
<file path=[Content_Types].xml><?xml version="1.0" encoding="utf-8"?>
<Types xmlns="http://schemas.openxmlformats.org/package/2006/content-types">
  <Default Extension="xml" ContentType="application/xml"/>
  <Default Extension="png" ContentType="image/png"/>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52"/>
        </w:rPr>
      </w:pPr>
      <w:bookmarkStart w:id="0" w:name="_Toc22069"/>
    </w:p>
    <w:p>
      <w:pPr>
        <w:jc w:val="center"/>
        <w:rPr>
          <w:b/>
          <w:sz w:val="52"/>
        </w:rPr>
      </w:pPr>
      <w:r>
        <w:rPr>
          <w:rFonts w:hint="eastAsia"/>
          <w:b/>
          <w:sz w:val="52"/>
        </w:rPr>
        <w:t>建设项目环境影响报告表</w:t>
      </w:r>
    </w:p>
    <w:p>
      <w:pPr>
        <w:snapToGrid w:val="0"/>
        <w:spacing w:line="360" w:lineRule="auto"/>
        <w:jc w:val="center"/>
        <w:rPr>
          <w:sz w:val="32"/>
        </w:rPr>
      </w:pPr>
      <w:bookmarkStart w:id="1" w:name="_Toc226442861"/>
    </w:p>
    <w:p>
      <w:pPr>
        <w:snapToGrid w:val="0"/>
        <w:spacing w:line="360" w:lineRule="auto"/>
        <w:jc w:val="center"/>
        <w:rPr>
          <w:sz w:val="32"/>
        </w:rPr>
      </w:pPr>
      <w:r>
        <w:rPr>
          <w:sz w:val="32"/>
        </w:rPr>
        <w:t>（</w:t>
      </w:r>
      <w:r>
        <w:rPr>
          <w:rFonts w:hint="eastAsia"/>
          <w:sz w:val="32"/>
          <w:lang w:val="en-US" w:eastAsia="zh-CN"/>
        </w:rPr>
        <w:t>报批稿</w:t>
      </w:r>
      <w:r>
        <w:rPr>
          <w:sz w:val="32"/>
        </w:rPr>
        <w:t>）</w:t>
      </w:r>
      <w:bookmarkEnd w:id="1"/>
    </w:p>
    <w:p>
      <w:pPr>
        <w:snapToGrid w:val="0"/>
        <w:spacing w:line="360" w:lineRule="auto"/>
        <w:jc w:val="center"/>
        <w:rPr>
          <w:sz w:val="32"/>
        </w:rPr>
      </w:pPr>
    </w:p>
    <w:p>
      <w:pPr>
        <w:snapToGrid w:val="0"/>
        <w:spacing w:line="360" w:lineRule="auto"/>
        <w:jc w:val="center"/>
        <w:rPr>
          <w:sz w:val="32"/>
        </w:rPr>
      </w:pPr>
    </w:p>
    <w:p>
      <w:pPr>
        <w:snapToGrid w:val="0"/>
        <w:spacing w:line="360" w:lineRule="auto"/>
        <w:jc w:val="center"/>
        <w:rPr>
          <w:sz w:val="32"/>
        </w:rPr>
      </w:pPr>
    </w:p>
    <w:p>
      <w:pPr>
        <w:snapToGrid w:val="0"/>
        <w:spacing w:line="360" w:lineRule="auto"/>
        <w:jc w:val="center"/>
        <w:rPr>
          <w:sz w:val="32"/>
        </w:rPr>
      </w:pPr>
    </w:p>
    <w:p>
      <w:pPr>
        <w:snapToGrid w:val="0"/>
        <w:spacing w:line="360" w:lineRule="auto"/>
        <w:jc w:val="center"/>
        <w:rPr>
          <w:rFonts w:hAnsi="宋体"/>
          <w:sz w:val="32"/>
          <w:u w:val="single"/>
        </w:rPr>
      </w:pPr>
    </w:p>
    <w:p>
      <w:pPr>
        <w:pStyle w:val="2"/>
        <w:spacing w:line="360" w:lineRule="auto"/>
        <w:ind w:left="1529" w:leftChars="527" w:hanging="264" w:hangingChars="94"/>
        <w:jc w:val="both"/>
        <w:rPr>
          <w:rFonts w:hAnsi="宋体"/>
          <w:b/>
          <w:spacing w:val="8"/>
          <w:sz w:val="28"/>
          <w:szCs w:val="28"/>
          <w:u w:val="single"/>
        </w:rPr>
      </w:pPr>
      <w:r>
        <w:rPr>
          <w:rFonts w:hint="eastAsia" w:ascii="宋体" w:hAnsi="宋体"/>
          <w:b/>
          <w:sz w:val="28"/>
          <w:szCs w:val="28"/>
        </w:rPr>
        <w:t>项目名称：</w:t>
      </w:r>
      <w:r>
        <w:rPr>
          <w:rFonts w:hint="eastAsia" w:ascii="Times New Roman" w:hAnsi="宋体" w:eastAsia="宋体" w:cs="Times New Roman"/>
          <w:b/>
          <w:spacing w:val="8"/>
          <w:sz w:val="28"/>
          <w:szCs w:val="28"/>
          <w:u w:val="single"/>
        </w:rPr>
        <w:t>年产3万吨钢模及爬模设备生产线建设项目</w:t>
      </w:r>
    </w:p>
    <w:p>
      <w:pPr>
        <w:pStyle w:val="2"/>
        <w:spacing w:line="360" w:lineRule="auto"/>
        <w:ind w:left="1553" w:leftChars="536" w:hanging="267" w:hangingChars="95"/>
        <w:rPr>
          <w:sz w:val="32"/>
        </w:rPr>
      </w:pPr>
      <w:r>
        <w:rPr>
          <w:rFonts w:hint="eastAsia" w:ascii="宋体" w:hAnsi="宋体"/>
          <w:b/>
          <w:sz w:val="28"/>
          <w:szCs w:val="28"/>
        </w:rPr>
        <w:t>建设单位：</w:t>
      </w:r>
      <w:r>
        <w:rPr>
          <w:rFonts w:hint="eastAsia" w:hAnsi="宋体"/>
          <w:b/>
          <w:spacing w:val="8"/>
          <w:sz w:val="28"/>
          <w:szCs w:val="28"/>
          <w:u w:val="single"/>
          <w:lang w:val="en-US" w:eastAsia="zh-CN"/>
        </w:rPr>
        <w:t>云南银桥机械设备制造有限公司</w:t>
      </w:r>
      <w:r>
        <w:rPr>
          <w:rFonts w:hint="eastAsia" w:hAnsi="宋体"/>
          <w:b/>
          <w:spacing w:val="8"/>
          <w:sz w:val="28"/>
          <w:szCs w:val="28"/>
          <w:u w:val="single"/>
        </w:rPr>
        <w:t xml:space="preserve">           </w:t>
      </w:r>
    </w:p>
    <w:p>
      <w:pPr>
        <w:snapToGrid w:val="0"/>
        <w:spacing w:line="360" w:lineRule="auto"/>
        <w:jc w:val="center"/>
        <w:rPr>
          <w:sz w:val="32"/>
        </w:rPr>
      </w:pPr>
    </w:p>
    <w:p>
      <w:pPr>
        <w:snapToGrid w:val="0"/>
        <w:spacing w:line="360" w:lineRule="auto"/>
        <w:jc w:val="center"/>
        <w:rPr>
          <w:sz w:val="32"/>
        </w:rPr>
      </w:pPr>
    </w:p>
    <w:p>
      <w:pPr>
        <w:snapToGrid w:val="0"/>
        <w:spacing w:line="360" w:lineRule="auto"/>
        <w:jc w:val="center"/>
        <w:rPr>
          <w:sz w:val="32"/>
        </w:rPr>
      </w:pPr>
    </w:p>
    <w:p>
      <w:pPr>
        <w:snapToGrid w:val="0"/>
        <w:spacing w:line="360" w:lineRule="auto"/>
        <w:jc w:val="center"/>
        <w:rPr>
          <w:sz w:val="32"/>
        </w:rPr>
      </w:pPr>
    </w:p>
    <w:p>
      <w:pPr>
        <w:snapToGrid w:val="0"/>
        <w:spacing w:line="360" w:lineRule="auto"/>
        <w:jc w:val="center"/>
        <w:rPr>
          <w:sz w:val="32"/>
        </w:rPr>
      </w:pPr>
    </w:p>
    <w:p>
      <w:pPr>
        <w:snapToGrid w:val="0"/>
        <w:spacing w:line="360" w:lineRule="auto"/>
        <w:jc w:val="center"/>
        <w:rPr>
          <w:sz w:val="32"/>
        </w:rPr>
      </w:pPr>
    </w:p>
    <w:p>
      <w:pPr>
        <w:snapToGrid w:val="0"/>
        <w:spacing w:line="360" w:lineRule="auto"/>
        <w:jc w:val="center"/>
        <w:rPr>
          <w:sz w:val="32"/>
        </w:rPr>
      </w:pPr>
    </w:p>
    <w:p>
      <w:pPr>
        <w:snapToGrid w:val="0"/>
        <w:spacing w:line="360" w:lineRule="auto"/>
        <w:jc w:val="center"/>
        <w:rPr>
          <w:sz w:val="32"/>
        </w:rPr>
      </w:pPr>
      <w:r>
        <w:rPr>
          <w:rFonts w:hint="eastAsia" w:hAnsi="宋体"/>
          <w:sz w:val="32"/>
        </w:rPr>
        <w:t>编制</w:t>
      </w:r>
      <w:r>
        <w:rPr>
          <w:rFonts w:hAnsi="宋体"/>
          <w:sz w:val="32"/>
        </w:rPr>
        <w:t>日期：</w:t>
      </w:r>
      <w:r>
        <w:rPr>
          <w:sz w:val="32"/>
        </w:rPr>
        <w:t>20</w:t>
      </w:r>
      <w:r>
        <w:rPr>
          <w:rFonts w:hint="eastAsia"/>
          <w:sz w:val="32"/>
        </w:rPr>
        <w:t>20</w:t>
      </w:r>
      <w:r>
        <w:rPr>
          <w:rFonts w:hAnsi="宋体"/>
          <w:sz w:val="32"/>
        </w:rPr>
        <w:t>年</w:t>
      </w:r>
      <w:r>
        <w:rPr>
          <w:rFonts w:hint="eastAsia"/>
          <w:sz w:val="32"/>
          <w:lang w:val="en-US" w:eastAsia="zh-CN"/>
        </w:rPr>
        <w:t>11</w:t>
      </w:r>
      <w:r>
        <w:rPr>
          <w:rFonts w:hAnsi="宋体"/>
          <w:sz w:val="32"/>
        </w:rPr>
        <w:t>月</w:t>
      </w:r>
    </w:p>
    <w:p>
      <w:pPr>
        <w:jc w:val="center"/>
      </w:pPr>
      <w:r>
        <w:rPr>
          <w:rFonts w:hint="eastAsia" w:hAnsi="宋体"/>
          <w:sz w:val="32"/>
        </w:rPr>
        <w:t>编制单位：</w:t>
      </w:r>
      <w:r>
        <w:rPr>
          <w:rFonts w:hint="eastAsia"/>
          <w:spacing w:val="-2"/>
          <w:sz w:val="28"/>
          <w:szCs w:val="28"/>
        </w:rPr>
        <w:t>云南联创环境工程有</w:t>
      </w:r>
      <w:r>
        <w:rPr>
          <w:rFonts w:hint="eastAsia"/>
          <w:spacing w:val="-2"/>
          <w:sz w:val="28"/>
          <w:szCs w:val="28"/>
          <w:lang w:val="en-US" w:eastAsia="zh-CN"/>
        </w:rPr>
        <w:t>限公司</w:t>
      </w:r>
    </w:p>
    <w:p>
      <w:pPr>
        <w:rPr>
          <w:b/>
          <w:sz w:val="28"/>
          <w:szCs w:val="28"/>
        </w:rPr>
      </w:pPr>
      <w:r>
        <w:rPr>
          <w:b/>
          <w:sz w:val="28"/>
          <w:szCs w:val="28"/>
        </w:rPr>
        <w:br w:type="page"/>
      </w:r>
    </w:p>
    <w:p>
      <w:pPr>
        <w:spacing w:line="500" w:lineRule="atLeast"/>
        <w:ind w:firstLine="562"/>
        <w:jc w:val="center"/>
        <w:rPr>
          <w:b/>
          <w:sz w:val="28"/>
          <w:szCs w:val="28"/>
        </w:rPr>
      </w:pPr>
      <w:r>
        <w:rPr>
          <w:b/>
          <w:sz w:val="28"/>
          <w:szCs w:val="28"/>
        </w:rPr>
        <w:t>《建设项目环境影响报告表》编制说明</w:t>
      </w:r>
    </w:p>
    <w:p>
      <w:pPr>
        <w:adjustRightInd w:val="0"/>
        <w:spacing w:line="480" w:lineRule="auto"/>
        <w:ind w:firstLine="560"/>
        <w:jc w:val="both"/>
        <w:textAlignment w:val="baseline"/>
        <w:rPr>
          <w:bCs/>
          <w:kern w:val="0"/>
          <w:sz w:val="28"/>
          <w:szCs w:val="22"/>
        </w:rPr>
      </w:pPr>
      <w:r>
        <w:rPr>
          <w:bCs/>
          <w:kern w:val="0"/>
          <w:sz w:val="28"/>
          <w:szCs w:val="22"/>
        </w:rPr>
        <w:t>《建设项目环境影响报告表》由具有从事环境影响评价工作资质的单位编制。</w:t>
      </w:r>
    </w:p>
    <w:p>
      <w:pPr>
        <w:adjustRightInd w:val="0"/>
        <w:spacing w:line="480" w:lineRule="auto"/>
        <w:ind w:firstLine="560"/>
        <w:jc w:val="both"/>
        <w:textAlignment w:val="baseline"/>
        <w:rPr>
          <w:bCs/>
          <w:kern w:val="0"/>
          <w:sz w:val="28"/>
          <w:szCs w:val="22"/>
        </w:rPr>
      </w:pPr>
      <w:r>
        <w:rPr>
          <w:bCs/>
          <w:kern w:val="0"/>
          <w:sz w:val="28"/>
          <w:szCs w:val="22"/>
        </w:rPr>
        <w:t>1.</w:t>
      </w:r>
      <w:r>
        <w:rPr>
          <w:bCs/>
          <w:kern w:val="0"/>
          <w:sz w:val="28"/>
          <w:szCs w:val="22"/>
        </w:rPr>
        <w:tab/>
      </w:r>
      <w:r>
        <w:rPr>
          <w:bCs/>
          <w:kern w:val="0"/>
          <w:sz w:val="28"/>
          <w:szCs w:val="22"/>
        </w:rPr>
        <w:t>项目名称—指项目立项批复时的名称，应不超过30个字(两个英文字段作一个汉字)。</w:t>
      </w:r>
    </w:p>
    <w:p>
      <w:pPr>
        <w:adjustRightInd w:val="0"/>
        <w:spacing w:line="480" w:lineRule="auto"/>
        <w:ind w:firstLine="560"/>
        <w:jc w:val="both"/>
        <w:textAlignment w:val="baseline"/>
        <w:rPr>
          <w:bCs/>
          <w:kern w:val="0"/>
          <w:sz w:val="28"/>
          <w:szCs w:val="22"/>
        </w:rPr>
      </w:pPr>
      <w:r>
        <w:rPr>
          <w:bCs/>
          <w:kern w:val="0"/>
          <w:sz w:val="28"/>
          <w:szCs w:val="22"/>
        </w:rPr>
        <w:t>2. 建设地点—指项目所在地详细地址，公路、铁路应填写起止终点。</w:t>
      </w:r>
    </w:p>
    <w:p>
      <w:pPr>
        <w:adjustRightInd w:val="0"/>
        <w:spacing w:line="480" w:lineRule="auto"/>
        <w:ind w:firstLine="560"/>
        <w:jc w:val="both"/>
        <w:textAlignment w:val="baseline"/>
        <w:rPr>
          <w:bCs/>
          <w:kern w:val="0"/>
          <w:sz w:val="28"/>
          <w:szCs w:val="22"/>
        </w:rPr>
      </w:pPr>
      <w:r>
        <w:rPr>
          <w:bCs/>
          <w:kern w:val="0"/>
          <w:sz w:val="28"/>
          <w:szCs w:val="22"/>
        </w:rPr>
        <w:t>3.</w:t>
      </w:r>
      <w:r>
        <w:rPr>
          <w:bCs/>
          <w:kern w:val="0"/>
          <w:sz w:val="28"/>
          <w:szCs w:val="22"/>
        </w:rPr>
        <w:tab/>
      </w:r>
      <w:r>
        <w:rPr>
          <w:bCs/>
          <w:kern w:val="0"/>
          <w:sz w:val="28"/>
          <w:szCs w:val="22"/>
        </w:rPr>
        <w:t>行业类别—按国标填写。</w:t>
      </w:r>
    </w:p>
    <w:p>
      <w:pPr>
        <w:adjustRightInd w:val="0"/>
        <w:spacing w:line="480" w:lineRule="auto"/>
        <w:ind w:firstLine="560"/>
        <w:jc w:val="both"/>
        <w:textAlignment w:val="baseline"/>
        <w:rPr>
          <w:bCs/>
          <w:kern w:val="0"/>
          <w:sz w:val="28"/>
          <w:szCs w:val="22"/>
        </w:rPr>
      </w:pPr>
      <w:r>
        <w:rPr>
          <w:bCs/>
          <w:kern w:val="0"/>
          <w:sz w:val="28"/>
          <w:szCs w:val="22"/>
        </w:rPr>
        <w:t>4.</w:t>
      </w:r>
      <w:r>
        <w:rPr>
          <w:bCs/>
          <w:kern w:val="0"/>
          <w:sz w:val="28"/>
          <w:szCs w:val="22"/>
        </w:rPr>
        <w:tab/>
      </w:r>
      <w:r>
        <w:rPr>
          <w:bCs/>
          <w:kern w:val="0"/>
          <w:sz w:val="28"/>
          <w:szCs w:val="22"/>
        </w:rPr>
        <w:t>总投资—指项目投资总额。</w:t>
      </w:r>
    </w:p>
    <w:p>
      <w:pPr>
        <w:adjustRightInd w:val="0"/>
        <w:spacing w:line="480" w:lineRule="auto"/>
        <w:ind w:firstLine="560"/>
        <w:jc w:val="both"/>
        <w:textAlignment w:val="baseline"/>
        <w:rPr>
          <w:bCs/>
          <w:kern w:val="0"/>
          <w:sz w:val="28"/>
          <w:szCs w:val="22"/>
        </w:rPr>
      </w:pPr>
      <w:r>
        <w:rPr>
          <w:bCs/>
          <w:kern w:val="0"/>
          <w:sz w:val="28"/>
          <w:szCs w:val="22"/>
        </w:rPr>
        <w:t>5. 主要环境保护目标—指项目区周围一定范围内集中居民住宅区、学校、医院、保护文物、风景名胜区、水源地和生态敏感点等，应尽可能给出保护目标、性质、规模和距厂界距离等。</w:t>
      </w:r>
    </w:p>
    <w:p>
      <w:pPr>
        <w:adjustRightInd w:val="0"/>
        <w:spacing w:line="480" w:lineRule="auto"/>
        <w:ind w:firstLine="560"/>
        <w:jc w:val="both"/>
        <w:textAlignment w:val="baseline"/>
        <w:rPr>
          <w:bCs/>
          <w:kern w:val="0"/>
          <w:sz w:val="28"/>
          <w:szCs w:val="22"/>
        </w:rPr>
      </w:pPr>
      <w:r>
        <w:rPr>
          <w:bCs/>
          <w:kern w:val="0"/>
          <w:sz w:val="28"/>
          <w:szCs w:val="22"/>
        </w:rPr>
        <w:t>6. 结论与建议—给出本项目清洁生产、达标排放和总量控制的分析结论，确定污染防治措施的有效性，说明本项目对环境造成的影响，给出建设项目环境可行性的明确结论。同时提出减少环境影响的其他建议。</w:t>
      </w:r>
    </w:p>
    <w:p>
      <w:pPr>
        <w:adjustRightInd w:val="0"/>
        <w:spacing w:line="480" w:lineRule="auto"/>
        <w:ind w:firstLine="560"/>
        <w:jc w:val="both"/>
        <w:textAlignment w:val="baseline"/>
        <w:rPr>
          <w:bCs/>
          <w:kern w:val="0"/>
          <w:sz w:val="28"/>
          <w:szCs w:val="22"/>
        </w:rPr>
      </w:pPr>
      <w:r>
        <w:rPr>
          <w:bCs/>
          <w:kern w:val="0"/>
          <w:sz w:val="28"/>
          <w:szCs w:val="22"/>
        </w:rPr>
        <w:t>7. 预审意见—由行业主管部门填写答复意见，无主管部门项目，不填。</w:t>
      </w:r>
    </w:p>
    <w:p>
      <w:pPr>
        <w:adjustRightInd w:val="0"/>
        <w:spacing w:line="480" w:lineRule="auto"/>
        <w:ind w:firstLine="560"/>
        <w:jc w:val="both"/>
        <w:textAlignment w:val="baseline"/>
        <w:rPr>
          <w:bCs/>
          <w:kern w:val="0"/>
          <w:sz w:val="28"/>
          <w:szCs w:val="22"/>
        </w:rPr>
      </w:pPr>
      <w:r>
        <w:rPr>
          <w:bCs/>
          <w:kern w:val="0"/>
          <w:sz w:val="28"/>
          <w:szCs w:val="22"/>
        </w:rPr>
        <w:t>8. 审批意见—由负责审批该项目的环境保护行政主管部门批复。</w:t>
      </w:r>
    </w:p>
    <w:p>
      <w:pPr>
        <w:pStyle w:val="2"/>
        <w:ind w:firstLine="560"/>
        <w:jc w:val="both"/>
        <w:rPr>
          <w:bCs/>
          <w:kern w:val="0"/>
          <w:sz w:val="28"/>
          <w:szCs w:val="22"/>
        </w:rPr>
      </w:pPr>
    </w:p>
    <w:p>
      <w:pPr>
        <w:pStyle w:val="2"/>
        <w:ind w:firstLine="560"/>
        <w:jc w:val="both"/>
        <w:rPr>
          <w:bCs/>
          <w:kern w:val="0"/>
          <w:sz w:val="28"/>
          <w:szCs w:val="22"/>
        </w:rPr>
      </w:pPr>
    </w:p>
    <w:p>
      <w:pPr>
        <w:spacing w:line="240" w:lineRule="auto"/>
        <w:ind w:firstLine="0" w:firstLineChars="0"/>
        <w:jc w:val="center"/>
        <w:rPr>
          <w:rFonts w:ascii="宋体" w:hAnsi="宋体"/>
          <w:b/>
          <w:bCs/>
          <w:sz w:val="30"/>
          <w:szCs w:val="30"/>
        </w:rPr>
      </w:pPr>
      <w:r>
        <w:rPr>
          <w:rFonts w:ascii="宋体" w:hAnsi="宋体"/>
          <w:b/>
          <w:bCs/>
          <w:sz w:val="30"/>
          <w:szCs w:val="30"/>
        </w:rPr>
        <w:t>目录</w:t>
      </w:r>
    </w:p>
    <w:p>
      <w:pPr>
        <w:spacing w:line="360" w:lineRule="auto"/>
        <w:ind w:firstLine="420" w:firstLineChars="150"/>
        <w:rPr>
          <w:sz w:val="24"/>
          <w:szCs w:val="24"/>
        </w:rPr>
      </w:pPr>
      <w:r>
        <w:rPr>
          <w:sz w:val="28"/>
          <w:szCs w:val="28"/>
        </w:rPr>
        <w:fldChar w:fldCharType="begin"/>
      </w:r>
      <w:r>
        <w:rPr>
          <w:sz w:val="28"/>
          <w:szCs w:val="28"/>
        </w:rPr>
        <w:instrText xml:space="preserve">TOC \o "1-1" \h \u </w:instrText>
      </w:r>
      <w:r>
        <w:rPr>
          <w:sz w:val="28"/>
          <w:szCs w:val="28"/>
        </w:rPr>
        <w:fldChar w:fldCharType="separate"/>
      </w:r>
      <w:r>
        <w:rPr>
          <w:sz w:val="24"/>
          <w:szCs w:val="24"/>
        </w:rPr>
        <w:fldChar w:fldCharType="begin"/>
      </w:r>
      <w:r>
        <w:rPr>
          <w:sz w:val="24"/>
          <w:szCs w:val="24"/>
        </w:rPr>
        <w:instrText xml:space="preserve"> HYPERLINK \l "_Toc18546" </w:instrText>
      </w:r>
      <w:r>
        <w:rPr>
          <w:sz w:val="24"/>
          <w:szCs w:val="24"/>
        </w:rPr>
        <w:fldChar w:fldCharType="separate"/>
      </w:r>
      <w:r>
        <w:rPr>
          <w:sz w:val="24"/>
          <w:szCs w:val="24"/>
        </w:rPr>
        <w:t>表一建设项目基本概况…………</w:t>
      </w:r>
      <w:r>
        <w:rPr>
          <w:rFonts w:hint="eastAsia"/>
          <w:sz w:val="24"/>
          <w:szCs w:val="24"/>
        </w:rPr>
        <w:t>..</w:t>
      </w:r>
      <w:r>
        <w:rPr>
          <w:sz w:val="24"/>
          <w:szCs w:val="24"/>
        </w:rPr>
        <w:t>……………………………………………</w:t>
      </w:r>
      <w:r>
        <w:rPr>
          <w:rFonts w:hint="eastAsia"/>
          <w:sz w:val="24"/>
          <w:szCs w:val="24"/>
        </w:rPr>
        <w:t>1</w:t>
      </w:r>
      <w:r>
        <w:rPr>
          <w:rFonts w:hint="eastAsia"/>
          <w:sz w:val="24"/>
          <w:szCs w:val="24"/>
        </w:rPr>
        <w:fldChar w:fldCharType="end"/>
      </w:r>
    </w:p>
    <w:p>
      <w:pPr>
        <w:pStyle w:val="16"/>
        <w:tabs>
          <w:tab w:val="right" w:leader="dot" w:pos="8306"/>
        </w:tabs>
        <w:spacing w:line="360" w:lineRule="auto"/>
        <w:ind w:firstLine="480"/>
        <w:jc w:val="both"/>
        <w:rPr>
          <w:sz w:val="24"/>
          <w:szCs w:val="24"/>
        </w:rPr>
      </w:pPr>
      <w:r>
        <w:rPr>
          <w:sz w:val="24"/>
          <w:szCs w:val="24"/>
        </w:rPr>
        <w:fldChar w:fldCharType="begin"/>
      </w:r>
      <w:r>
        <w:rPr>
          <w:sz w:val="24"/>
          <w:szCs w:val="24"/>
        </w:rPr>
        <w:instrText xml:space="preserve"> HYPERLINK \l "_Toc8755" </w:instrText>
      </w:r>
      <w:r>
        <w:rPr>
          <w:sz w:val="24"/>
          <w:szCs w:val="24"/>
        </w:rPr>
        <w:fldChar w:fldCharType="separate"/>
      </w:r>
      <w:r>
        <w:rPr>
          <w:sz w:val="24"/>
          <w:szCs w:val="24"/>
        </w:rPr>
        <w:t>表二建设项目所在地自然环境简况</w:t>
      </w:r>
      <w:r>
        <w:rPr>
          <w:sz w:val="24"/>
          <w:szCs w:val="24"/>
        </w:rPr>
        <w:tab/>
      </w:r>
      <w:r>
        <w:rPr>
          <w:sz w:val="24"/>
          <w:szCs w:val="24"/>
        </w:rPr>
        <w:fldChar w:fldCharType="begin"/>
      </w:r>
      <w:r>
        <w:rPr>
          <w:sz w:val="24"/>
          <w:szCs w:val="24"/>
        </w:rPr>
        <w:instrText xml:space="preserve"> PAGEREF _Toc8755 </w:instrText>
      </w:r>
      <w:r>
        <w:rPr>
          <w:sz w:val="24"/>
          <w:szCs w:val="24"/>
        </w:rPr>
        <w:fldChar w:fldCharType="separate"/>
      </w:r>
      <w:r>
        <w:rPr>
          <w:sz w:val="24"/>
          <w:szCs w:val="24"/>
        </w:rPr>
        <w:t>9</w:t>
      </w:r>
      <w:r>
        <w:rPr>
          <w:sz w:val="24"/>
          <w:szCs w:val="24"/>
        </w:rPr>
        <w:fldChar w:fldCharType="end"/>
      </w:r>
      <w:r>
        <w:rPr>
          <w:sz w:val="24"/>
          <w:szCs w:val="24"/>
        </w:rPr>
        <w:fldChar w:fldCharType="end"/>
      </w:r>
    </w:p>
    <w:p>
      <w:pPr>
        <w:pStyle w:val="16"/>
        <w:tabs>
          <w:tab w:val="right" w:leader="dot" w:pos="8306"/>
        </w:tabs>
        <w:spacing w:line="360" w:lineRule="auto"/>
        <w:ind w:firstLine="480"/>
        <w:jc w:val="both"/>
        <w:rPr>
          <w:sz w:val="24"/>
          <w:szCs w:val="24"/>
        </w:rPr>
      </w:pPr>
      <w:r>
        <w:rPr>
          <w:sz w:val="24"/>
          <w:szCs w:val="24"/>
        </w:rPr>
        <w:fldChar w:fldCharType="begin"/>
      </w:r>
      <w:r>
        <w:rPr>
          <w:sz w:val="24"/>
          <w:szCs w:val="24"/>
        </w:rPr>
        <w:instrText xml:space="preserve"> HYPERLINK \l "_Toc4582" </w:instrText>
      </w:r>
      <w:r>
        <w:rPr>
          <w:sz w:val="24"/>
          <w:szCs w:val="24"/>
        </w:rPr>
        <w:fldChar w:fldCharType="separate"/>
      </w:r>
      <w:r>
        <w:rPr>
          <w:sz w:val="24"/>
          <w:szCs w:val="24"/>
        </w:rPr>
        <w:t>表三环境质量状况</w:t>
      </w:r>
      <w:r>
        <w:rPr>
          <w:sz w:val="24"/>
          <w:szCs w:val="24"/>
        </w:rPr>
        <w:tab/>
      </w:r>
      <w:r>
        <w:rPr>
          <w:sz w:val="24"/>
          <w:szCs w:val="24"/>
        </w:rPr>
        <w:fldChar w:fldCharType="begin"/>
      </w:r>
      <w:r>
        <w:rPr>
          <w:sz w:val="24"/>
          <w:szCs w:val="24"/>
        </w:rPr>
        <w:instrText xml:space="preserve"> PAGEREF _Toc4582 </w:instrText>
      </w:r>
      <w:r>
        <w:rPr>
          <w:sz w:val="24"/>
          <w:szCs w:val="24"/>
        </w:rPr>
        <w:fldChar w:fldCharType="separate"/>
      </w:r>
      <w:r>
        <w:rPr>
          <w:sz w:val="24"/>
          <w:szCs w:val="24"/>
        </w:rPr>
        <w:t>14</w:t>
      </w:r>
      <w:r>
        <w:rPr>
          <w:sz w:val="24"/>
          <w:szCs w:val="24"/>
        </w:rPr>
        <w:fldChar w:fldCharType="end"/>
      </w:r>
      <w:r>
        <w:rPr>
          <w:sz w:val="24"/>
          <w:szCs w:val="24"/>
        </w:rPr>
        <w:fldChar w:fldCharType="end"/>
      </w:r>
    </w:p>
    <w:p>
      <w:pPr>
        <w:pStyle w:val="16"/>
        <w:tabs>
          <w:tab w:val="right" w:leader="dot" w:pos="8306"/>
        </w:tabs>
        <w:spacing w:line="360" w:lineRule="auto"/>
        <w:ind w:firstLine="480"/>
        <w:jc w:val="both"/>
        <w:rPr>
          <w:sz w:val="24"/>
          <w:szCs w:val="24"/>
        </w:rPr>
      </w:pPr>
      <w:r>
        <w:rPr>
          <w:sz w:val="24"/>
          <w:szCs w:val="24"/>
        </w:rPr>
        <w:fldChar w:fldCharType="begin"/>
      </w:r>
      <w:r>
        <w:rPr>
          <w:sz w:val="24"/>
          <w:szCs w:val="24"/>
        </w:rPr>
        <w:instrText xml:space="preserve"> HYPERLINK \l "_Toc29438" </w:instrText>
      </w:r>
      <w:r>
        <w:rPr>
          <w:sz w:val="24"/>
          <w:szCs w:val="24"/>
        </w:rPr>
        <w:fldChar w:fldCharType="separate"/>
      </w:r>
      <w:r>
        <w:rPr>
          <w:sz w:val="24"/>
          <w:szCs w:val="24"/>
        </w:rPr>
        <w:t>表四评价适用标准</w:t>
      </w:r>
      <w:r>
        <w:rPr>
          <w:sz w:val="24"/>
          <w:szCs w:val="24"/>
        </w:rPr>
        <w:tab/>
      </w:r>
      <w:r>
        <w:rPr>
          <w:sz w:val="24"/>
          <w:szCs w:val="24"/>
        </w:rPr>
        <w:fldChar w:fldCharType="begin"/>
      </w:r>
      <w:r>
        <w:rPr>
          <w:sz w:val="24"/>
          <w:szCs w:val="24"/>
        </w:rPr>
        <w:instrText xml:space="preserve"> PAGEREF _Toc29438 </w:instrText>
      </w:r>
      <w:r>
        <w:rPr>
          <w:sz w:val="24"/>
          <w:szCs w:val="24"/>
        </w:rPr>
        <w:fldChar w:fldCharType="separate"/>
      </w:r>
      <w:r>
        <w:rPr>
          <w:sz w:val="24"/>
          <w:szCs w:val="24"/>
        </w:rPr>
        <w:t>20</w:t>
      </w:r>
      <w:r>
        <w:rPr>
          <w:sz w:val="24"/>
          <w:szCs w:val="24"/>
        </w:rPr>
        <w:fldChar w:fldCharType="end"/>
      </w:r>
      <w:r>
        <w:rPr>
          <w:sz w:val="24"/>
          <w:szCs w:val="24"/>
        </w:rPr>
        <w:fldChar w:fldCharType="end"/>
      </w:r>
    </w:p>
    <w:p>
      <w:pPr>
        <w:pStyle w:val="16"/>
        <w:tabs>
          <w:tab w:val="right" w:leader="dot" w:pos="8306"/>
        </w:tabs>
        <w:spacing w:line="360" w:lineRule="auto"/>
        <w:ind w:firstLine="480"/>
        <w:jc w:val="both"/>
        <w:rPr>
          <w:sz w:val="24"/>
          <w:szCs w:val="24"/>
        </w:rPr>
      </w:pPr>
      <w:r>
        <w:rPr>
          <w:sz w:val="24"/>
          <w:szCs w:val="24"/>
        </w:rPr>
        <w:fldChar w:fldCharType="begin"/>
      </w:r>
      <w:r>
        <w:rPr>
          <w:sz w:val="24"/>
          <w:szCs w:val="24"/>
        </w:rPr>
        <w:instrText xml:space="preserve"> HYPERLINK \l "_Toc23037" </w:instrText>
      </w:r>
      <w:r>
        <w:rPr>
          <w:sz w:val="24"/>
          <w:szCs w:val="24"/>
        </w:rPr>
        <w:fldChar w:fldCharType="separate"/>
      </w:r>
      <w:r>
        <w:rPr>
          <w:sz w:val="24"/>
          <w:szCs w:val="24"/>
        </w:rPr>
        <w:t>表五建设项目工程分析</w:t>
      </w:r>
      <w:r>
        <w:rPr>
          <w:sz w:val="24"/>
          <w:szCs w:val="24"/>
        </w:rPr>
        <w:tab/>
      </w:r>
      <w:r>
        <w:rPr>
          <w:sz w:val="24"/>
          <w:szCs w:val="24"/>
        </w:rPr>
        <w:fldChar w:fldCharType="begin"/>
      </w:r>
      <w:r>
        <w:rPr>
          <w:sz w:val="24"/>
          <w:szCs w:val="24"/>
        </w:rPr>
        <w:instrText xml:space="preserve"> PAGEREF _Toc23037 </w:instrText>
      </w:r>
      <w:r>
        <w:rPr>
          <w:sz w:val="24"/>
          <w:szCs w:val="24"/>
        </w:rPr>
        <w:fldChar w:fldCharType="separate"/>
      </w:r>
      <w:r>
        <w:rPr>
          <w:sz w:val="24"/>
          <w:szCs w:val="24"/>
        </w:rPr>
        <w:t>24</w:t>
      </w:r>
      <w:r>
        <w:rPr>
          <w:sz w:val="24"/>
          <w:szCs w:val="24"/>
        </w:rPr>
        <w:fldChar w:fldCharType="end"/>
      </w:r>
      <w:r>
        <w:rPr>
          <w:sz w:val="24"/>
          <w:szCs w:val="24"/>
        </w:rPr>
        <w:fldChar w:fldCharType="end"/>
      </w:r>
    </w:p>
    <w:p>
      <w:pPr>
        <w:pStyle w:val="16"/>
        <w:tabs>
          <w:tab w:val="right" w:leader="dot" w:pos="8306"/>
        </w:tabs>
        <w:spacing w:line="360" w:lineRule="auto"/>
        <w:ind w:firstLine="480"/>
        <w:jc w:val="both"/>
        <w:rPr>
          <w:sz w:val="24"/>
          <w:szCs w:val="24"/>
        </w:rPr>
      </w:pPr>
      <w:r>
        <w:rPr>
          <w:sz w:val="24"/>
          <w:szCs w:val="24"/>
        </w:rPr>
        <w:fldChar w:fldCharType="begin"/>
      </w:r>
      <w:r>
        <w:rPr>
          <w:sz w:val="24"/>
          <w:szCs w:val="24"/>
        </w:rPr>
        <w:instrText xml:space="preserve"> HYPERLINK \l "_Toc15745" </w:instrText>
      </w:r>
      <w:r>
        <w:rPr>
          <w:sz w:val="24"/>
          <w:szCs w:val="24"/>
        </w:rPr>
        <w:fldChar w:fldCharType="separate"/>
      </w:r>
      <w:r>
        <w:rPr>
          <w:sz w:val="24"/>
          <w:szCs w:val="24"/>
        </w:rPr>
        <w:t>表六项目主要污染物产生及预计排放情况</w:t>
      </w:r>
      <w:r>
        <w:rPr>
          <w:sz w:val="24"/>
          <w:szCs w:val="24"/>
        </w:rPr>
        <w:tab/>
      </w:r>
      <w:r>
        <w:rPr>
          <w:sz w:val="24"/>
          <w:szCs w:val="24"/>
        </w:rPr>
        <w:fldChar w:fldCharType="begin"/>
      </w:r>
      <w:r>
        <w:rPr>
          <w:sz w:val="24"/>
          <w:szCs w:val="24"/>
        </w:rPr>
        <w:instrText xml:space="preserve"> PAGEREF _Toc15745 </w:instrText>
      </w:r>
      <w:r>
        <w:rPr>
          <w:sz w:val="24"/>
          <w:szCs w:val="24"/>
        </w:rPr>
        <w:fldChar w:fldCharType="separate"/>
      </w:r>
      <w:r>
        <w:rPr>
          <w:sz w:val="24"/>
          <w:szCs w:val="24"/>
        </w:rPr>
        <w:t>38</w:t>
      </w:r>
      <w:r>
        <w:rPr>
          <w:sz w:val="24"/>
          <w:szCs w:val="24"/>
        </w:rPr>
        <w:fldChar w:fldCharType="end"/>
      </w:r>
      <w:r>
        <w:rPr>
          <w:sz w:val="24"/>
          <w:szCs w:val="24"/>
        </w:rPr>
        <w:fldChar w:fldCharType="end"/>
      </w:r>
    </w:p>
    <w:p>
      <w:pPr>
        <w:pStyle w:val="16"/>
        <w:tabs>
          <w:tab w:val="right" w:leader="dot" w:pos="8306"/>
        </w:tabs>
        <w:spacing w:line="360" w:lineRule="auto"/>
        <w:ind w:firstLine="480"/>
        <w:jc w:val="both"/>
        <w:rPr>
          <w:sz w:val="24"/>
          <w:szCs w:val="24"/>
        </w:rPr>
      </w:pPr>
      <w:r>
        <w:rPr>
          <w:sz w:val="24"/>
          <w:szCs w:val="24"/>
        </w:rPr>
        <w:fldChar w:fldCharType="begin"/>
      </w:r>
      <w:r>
        <w:rPr>
          <w:sz w:val="24"/>
          <w:szCs w:val="24"/>
        </w:rPr>
        <w:instrText xml:space="preserve"> HYPERLINK \l "_Toc24163" </w:instrText>
      </w:r>
      <w:r>
        <w:rPr>
          <w:sz w:val="24"/>
          <w:szCs w:val="24"/>
        </w:rPr>
        <w:fldChar w:fldCharType="separate"/>
      </w:r>
      <w:r>
        <w:rPr>
          <w:sz w:val="24"/>
          <w:szCs w:val="24"/>
        </w:rPr>
        <w:t>表七环境影响分析</w:t>
      </w:r>
      <w:r>
        <w:rPr>
          <w:sz w:val="24"/>
          <w:szCs w:val="24"/>
        </w:rPr>
        <w:tab/>
      </w:r>
      <w:r>
        <w:rPr>
          <w:sz w:val="24"/>
          <w:szCs w:val="24"/>
        </w:rPr>
        <w:fldChar w:fldCharType="begin"/>
      </w:r>
      <w:r>
        <w:rPr>
          <w:sz w:val="24"/>
          <w:szCs w:val="24"/>
        </w:rPr>
        <w:instrText xml:space="preserve"> PAGEREF _Toc24163 </w:instrText>
      </w:r>
      <w:r>
        <w:rPr>
          <w:sz w:val="24"/>
          <w:szCs w:val="24"/>
        </w:rPr>
        <w:fldChar w:fldCharType="separate"/>
      </w:r>
      <w:r>
        <w:rPr>
          <w:sz w:val="24"/>
          <w:szCs w:val="24"/>
        </w:rPr>
        <w:t>38</w:t>
      </w:r>
      <w:r>
        <w:rPr>
          <w:sz w:val="24"/>
          <w:szCs w:val="24"/>
        </w:rPr>
        <w:fldChar w:fldCharType="end"/>
      </w:r>
      <w:r>
        <w:rPr>
          <w:sz w:val="24"/>
          <w:szCs w:val="24"/>
        </w:rPr>
        <w:fldChar w:fldCharType="end"/>
      </w:r>
    </w:p>
    <w:p>
      <w:pPr>
        <w:pStyle w:val="16"/>
        <w:tabs>
          <w:tab w:val="right" w:leader="dot" w:pos="8306"/>
        </w:tabs>
        <w:spacing w:line="360" w:lineRule="auto"/>
        <w:ind w:firstLine="480"/>
        <w:jc w:val="both"/>
        <w:rPr>
          <w:sz w:val="24"/>
          <w:szCs w:val="24"/>
        </w:rPr>
      </w:pPr>
      <w:r>
        <w:rPr>
          <w:sz w:val="24"/>
          <w:szCs w:val="24"/>
        </w:rPr>
        <w:fldChar w:fldCharType="begin"/>
      </w:r>
      <w:r>
        <w:rPr>
          <w:sz w:val="24"/>
          <w:szCs w:val="24"/>
        </w:rPr>
        <w:instrText xml:space="preserve"> HYPERLINK \l "_Toc6816" </w:instrText>
      </w:r>
      <w:r>
        <w:rPr>
          <w:sz w:val="24"/>
          <w:szCs w:val="24"/>
        </w:rPr>
        <w:fldChar w:fldCharType="separate"/>
      </w:r>
      <w:r>
        <w:rPr>
          <w:sz w:val="24"/>
          <w:szCs w:val="24"/>
        </w:rPr>
        <w:t>表八建设项目拟采取的防治措施及预期治理效果</w:t>
      </w:r>
      <w:r>
        <w:rPr>
          <w:sz w:val="24"/>
          <w:szCs w:val="24"/>
        </w:rPr>
        <w:tab/>
      </w:r>
      <w:r>
        <w:rPr>
          <w:sz w:val="24"/>
          <w:szCs w:val="24"/>
        </w:rPr>
        <w:fldChar w:fldCharType="begin"/>
      </w:r>
      <w:r>
        <w:rPr>
          <w:sz w:val="24"/>
          <w:szCs w:val="24"/>
        </w:rPr>
        <w:instrText xml:space="preserve"> PAGEREF _Toc6816 </w:instrText>
      </w:r>
      <w:r>
        <w:rPr>
          <w:sz w:val="24"/>
          <w:szCs w:val="24"/>
        </w:rPr>
        <w:fldChar w:fldCharType="separate"/>
      </w:r>
      <w:r>
        <w:rPr>
          <w:sz w:val="24"/>
          <w:szCs w:val="24"/>
        </w:rPr>
        <w:t>68</w:t>
      </w:r>
      <w:r>
        <w:rPr>
          <w:sz w:val="24"/>
          <w:szCs w:val="24"/>
        </w:rPr>
        <w:fldChar w:fldCharType="end"/>
      </w:r>
      <w:r>
        <w:rPr>
          <w:sz w:val="24"/>
          <w:szCs w:val="24"/>
        </w:rPr>
        <w:fldChar w:fldCharType="end"/>
      </w:r>
    </w:p>
    <w:p>
      <w:pPr>
        <w:pStyle w:val="16"/>
        <w:tabs>
          <w:tab w:val="right" w:leader="dot" w:pos="8306"/>
        </w:tabs>
        <w:spacing w:line="360" w:lineRule="auto"/>
        <w:ind w:firstLine="480"/>
        <w:jc w:val="both"/>
        <w:rPr>
          <w:sz w:val="28"/>
          <w:szCs w:val="28"/>
        </w:rPr>
      </w:pPr>
      <w:r>
        <w:rPr>
          <w:sz w:val="24"/>
          <w:szCs w:val="24"/>
        </w:rPr>
        <w:fldChar w:fldCharType="begin"/>
      </w:r>
      <w:r>
        <w:rPr>
          <w:sz w:val="24"/>
          <w:szCs w:val="24"/>
        </w:rPr>
        <w:instrText xml:space="preserve"> HYPERLINK \l "_Toc17835" </w:instrText>
      </w:r>
      <w:r>
        <w:rPr>
          <w:sz w:val="24"/>
          <w:szCs w:val="24"/>
        </w:rPr>
        <w:fldChar w:fldCharType="separate"/>
      </w:r>
      <w:r>
        <w:rPr>
          <w:sz w:val="24"/>
          <w:szCs w:val="24"/>
        </w:rPr>
        <w:t>表九结论与建议</w:t>
      </w:r>
      <w:r>
        <w:rPr>
          <w:sz w:val="24"/>
          <w:szCs w:val="24"/>
        </w:rPr>
        <w:tab/>
      </w:r>
      <w:r>
        <w:rPr>
          <w:sz w:val="24"/>
          <w:szCs w:val="24"/>
        </w:rPr>
        <w:fldChar w:fldCharType="begin"/>
      </w:r>
      <w:r>
        <w:rPr>
          <w:sz w:val="24"/>
          <w:szCs w:val="24"/>
        </w:rPr>
        <w:instrText xml:space="preserve"> PAGEREF _Toc17835 </w:instrText>
      </w:r>
      <w:r>
        <w:rPr>
          <w:sz w:val="24"/>
          <w:szCs w:val="24"/>
        </w:rPr>
        <w:fldChar w:fldCharType="separate"/>
      </w:r>
      <w:r>
        <w:rPr>
          <w:sz w:val="24"/>
          <w:szCs w:val="24"/>
        </w:rPr>
        <w:t>71</w:t>
      </w:r>
      <w:r>
        <w:rPr>
          <w:sz w:val="24"/>
          <w:szCs w:val="24"/>
        </w:rPr>
        <w:fldChar w:fldCharType="end"/>
      </w:r>
      <w:r>
        <w:rPr>
          <w:sz w:val="24"/>
          <w:szCs w:val="24"/>
        </w:rPr>
        <w:fldChar w:fldCharType="end"/>
      </w:r>
    </w:p>
    <w:p>
      <w:pPr>
        <w:pStyle w:val="2"/>
        <w:spacing w:line="240" w:lineRule="auto"/>
        <w:ind w:firstLine="480"/>
        <w:rPr>
          <w:b/>
          <w:sz w:val="21"/>
          <w:szCs w:val="21"/>
        </w:rPr>
      </w:pPr>
      <w:r>
        <w:rPr>
          <w:bCs/>
        </w:rPr>
        <w:fldChar w:fldCharType="end"/>
      </w:r>
      <w:r>
        <w:rPr>
          <w:rFonts w:hint="eastAsia"/>
          <w:b/>
          <w:sz w:val="21"/>
          <w:szCs w:val="21"/>
        </w:rPr>
        <w:t>附图</w:t>
      </w:r>
    </w:p>
    <w:p>
      <w:pPr>
        <w:pStyle w:val="2"/>
        <w:spacing w:line="240" w:lineRule="auto"/>
        <w:ind w:firstLine="420"/>
        <w:rPr>
          <w:sz w:val="21"/>
          <w:szCs w:val="21"/>
        </w:rPr>
      </w:pPr>
      <w:r>
        <w:rPr>
          <w:rFonts w:hint="eastAsia"/>
          <w:sz w:val="21"/>
          <w:szCs w:val="21"/>
        </w:rPr>
        <w:t>附图1厂区总平面布置图</w:t>
      </w:r>
    </w:p>
    <w:p>
      <w:pPr>
        <w:spacing w:line="240" w:lineRule="auto"/>
        <w:ind w:firstLine="420"/>
        <w:rPr>
          <w:sz w:val="21"/>
          <w:szCs w:val="21"/>
        </w:rPr>
      </w:pPr>
      <w:r>
        <w:rPr>
          <w:rFonts w:hint="eastAsia"/>
          <w:sz w:val="21"/>
          <w:szCs w:val="21"/>
        </w:rPr>
        <w:t>附图2项目地理位置图</w:t>
      </w:r>
    </w:p>
    <w:p>
      <w:pPr>
        <w:pStyle w:val="2"/>
        <w:spacing w:line="240" w:lineRule="auto"/>
        <w:ind w:firstLine="420"/>
        <w:rPr>
          <w:sz w:val="21"/>
          <w:szCs w:val="21"/>
        </w:rPr>
      </w:pPr>
      <w:r>
        <w:rPr>
          <w:rFonts w:hint="eastAsia"/>
          <w:sz w:val="21"/>
          <w:szCs w:val="21"/>
        </w:rPr>
        <w:t>附图3 项目区水系图</w:t>
      </w:r>
    </w:p>
    <w:p>
      <w:pPr>
        <w:spacing w:line="240" w:lineRule="auto"/>
        <w:ind w:firstLine="420"/>
        <w:rPr>
          <w:sz w:val="21"/>
          <w:szCs w:val="21"/>
        </w:rPr>
      </w:pPr>
      <w:r>
        <w:rPr>
          <w:rFonts w:hint="eastAsia"/>
          <w:sz w:val="21"/>
          <w:szCs w:val="21"/>
        </w:rPr>
        <w:t>附图4 项目周边环境关系图</w:t>
      </w:r>
    </w:p>
    <w:p>
      <w:pPr>
        <w:pStyle w:val="2"/>
        <w:spacing w:line="240" w:lineRule="auto"/>
        <w:ind w:firstLine="422"/>
        <w:rPr>
          <w:b/>
          <w:sz w:val="21"/>
          <w:szCs w:val="21"/>
        </w:rPr>
      </w:pPr>
      <w:r>
        <w:rPr>
          <w:rFonts w:hint="eastAsia"/>
          <w:b/>
          <w:sz w:val="21"/>
          <w:szCs w:val="21"/>
        </w:rPr>
        <w:t>附件</w:t>
      </w:r>
    </w:p>
    <w:p>
      <w:pPr>
        <w:pStyle w:val="3"/>
        <w:adjustRightInd w:val="0"/>
        <w:snapToGrid w:val="0"/>
        <w:spacing w:line="240" w:lineRule="auto"/>
        <w:ind w:firstLine="411" w:firstLineChars="196"/>
        <w:jc w:val="both"/>
        <w:rPr>
          <w:b w:val="0"/>
          <w:bCs w:val="0"/>
          <w:sz w:val="21"/>
          <w:szCs w:val="21"/>
        </w:rPr>
      </w:pPr>
      <w:r>
        <w:rPr>
          <w:rFonts w:hint="eastAsia"/>
          <w:b w:val="0"/>
          <w:bCs w:val="0"/>
          <w:sz w:val="21"/>
          <w:szCs w:val="21"/>
        </w:rPr>
        <w:t>附件1 建设单位营业执照</w:t>
      </w:r>
    </w:p>
    <w:p>
      <w:pPr>
        <w:spacing w:line="240" w:lineRule="auto"/>
        <w:ind w:firstLine="420"/>
        <w:rPr>
          <w:sz w:val="21"/>
          <w:szCs w:val="21"/>
        </w:rPr>
      </w:pPr>
      <w:r>
        <w:rPr>
          <w:rFonts w:hint="eastAsia"/>
          <w:sz w:val="21"/>
          <w:szCs w:val="21"/>
        </w:rPr>
        <w:t xml:space="preserve">附件2 项目委托书 </w:t>
      </w:r>
    </w:p>
    <w:p>
      <w:pPr>
        <w:spacing w:line="240" w:lineRule="auto"/>
        <w:ind w:firstLine="420"/>
        <w:rPr>
          <w:sz w:val="21"/>
          <w:szCs w:val="21"/>
        </w:rPr>
      </w:pPr>
      <w:r>
        <w:rPr>
          <w:rFonts w:hint="eastAsia"/>
          <w:sz w:val="21"/>
          <w:szCs w:val="21"/>
        </w:rPr>
        <w:t>附件3 厂区租赁协议</w:t>
      </w:r>
    </w:p>
    <w:p>
      <w:pPr>
        <w:spacing w:line="240" w:lineRule="auto"/>
        <w:ind w:firstLine="420"/>
        <w:rPr>
          <w:sz w:val="21"/>
          <w:szCs w:val="21"/>
        </w:rPr>
      </w:pPr>
      <w:r>
        <w:rPr>
          <w:rFonts w:hint="eastAsia"/>
          <w:sz w:val="21"/>
          <w:szCs w:val="21"/>
        </w:rPr>
        <w:t>附件4 租赁厂区环评批复</w:t>
      </w:r>
    </w:p>
    <w:p>
      <w:pPr>
        <w:pStyle w:val="2"/>
        <w:spacing w:line="240" w:lineRule="auto"/>
        <w:ind w:firstLine="420"/>
        <w:rPr>
          <w:sz w:val="21"/>
          <w:szCs w:val="21"/>
        </w:rPr>
      </w:pPr>
      <w:r>
        <w:rPr>
          <w:rFonts w:hint="eastAsia"/>
          <w:sz w:val="21"/>
          <w:szCs w:val="21"/>
        </w:rPr>
        <w:t>附件5 油漆检测报告</w:t>
      </w:r>
    </w:p>
    <w:p>
      <w:pPr>
        <w:spacing w:line="240" w:lineRule="auto"/>
        <w:ind w:firstLine="420"/>
        <w:rPr>
          <w:sz w:val="21"/>
          <w:szCs w:val="21"/>
        </w:rPr>
      </w:pPr>
      <w:r>
        <w:rPr>
          <w:rFonts w:hint="eastAsia"/>
          <w:sz w:val="21"/>
          <w:szCs w:val="21"/>
        </w:rPr>
        <w:t>附件6 环境质量现状监测报告</w:t>
      </w:r>
    </w:p>
    <w:p>
      <w:pPr>
        <w:pStyle w:val="2"/>
        <w:spacing w:line="240" w:lineRule="auto"/>
        <w:ind w:firstLine="420"/>
        <w:rPr>
          <w:sz w:val="21"/>
          <w:szCs w:val="21"/>
        </w:rPr>
      </w:pPr>
      <w:r>
        <w:rPr>
          <w:rFonts w:hint="eastAsia"/>
          <w:sz w:val="21"/>
          <w:szCs w:val="21"/>
        </w:rPr>
        <w:t>附件7 园区管委会入园前期证明</w:t>
      </w:r>
    </w:p>
    <w:p>
      <w:pPr>
        <w:spacing w:line="240" w:lineRule="auto"/>
        <w:ind w:firstLine="420"/>
        <w:rPr>
          <w:sz w:val="21"/>
          <w:szCs w:val="21"/>
        </w:rPr>
      </w:pPr>
      <w:r>
        <w:rPr>
          <w:rFonts w:hint="eastAsia"/>
          <w:sz w:val="21"/>
          <w:szCs w:val="21"/>
        </w:rPr>
        <w:t>附件8 项目进度管理表</w:t>
      </w:r>
    </w:p>
    <w:p>
      <w:pPr>
        <w:pStyle w:val="2"/>
        <w:spacing w:line="240" w:lineRule="auto"/>
        <w:ind w:firstLine="420"/>
        <w:rPr>
          <w:sz w:val="21"/>
          <w:szCs w:val="21"/>
        </w:rPr>
      </w:pPr>
      <w:r>
        <w:rPr>
          <w:rFonts w:hint="eastAsia"/>
          <w:sz w:val="21"/>
          <w:szCs w:val="21"/>
        </w:rPr>
        <w:t>附件9 环评单位三审单</w:t>
      </w:r>
    </w:p>
    <w:p>
      <w:pPr>
        <w:spacing w:line="240" w:lineRule="auto"/>
        <w:ind w:firstLine="420"/>
        <w:rPr>
          <w:rFonts w:hint="eastAsia"/>
          <w:sz w:val="21"/>
          <w:szCs w:val="21"/>
        </w:rPr>
      </w:pPr>
      <w:r>
        <w:rPr>
          <w:rFonts w:hint="eastAsia"/>
          <w:sz w:val="21"/>
          <w:szCs w:val="21"/>
        </w:rPr>
        <w:t>附件10 企业确认书</w:t>
      </w:r>
    </w:p>
    <w:p>
      <w:pPr>
        <w:pStyle w:val="11"/>
        <w:spacing w:line="240" w:lineRule="auto"/>
        <w:ind w:firstLine="420"/>
        <w:rPr>
          <w:rFonts w:hint="eastAsia" w:ascii="Times New Roman" w:hAnsi="Times New Roman" w:cs="Times New Roman"/>
          <w:sz w:val="21"/>
        </w:rPr>
      </w:pPr>
      <w:r>
        <w:rPr>
          <w:rFonts w:hint="eastAsia" w:ascii="Times New Roman" w:hAnsi="Times New Roman" w:cs="Times New Roman"/>
          <w:sz w:val="21"/>
        </w:rPr>
        <w:t>附件11 企业投资备案证</w:t>
      </w:r>
    </w:p>
    <w:p>
      <w:pPr>
        <w:pStyle w:val="9"/>
        <w:rPr>
          <w:rFonts w:hint="default" w:eastAsia="宋体"/>
          <w:lang w:val="en-US" w:eastAsia="zh-CN"/>
        </w:rPr>
      </w:pPr>
      <w:r>
        <w:rPr>
          <w:rFonts w:hint="eastAsia" w:cs="Times New Roman"/>
          <w:sz w:val="21"/>
          <w:lang w:val="en-US" w:eastAsia="zh-CN"/>
        </w:rPr>
        <w:t>附件12 技术评审意见</w:t>
      </w:r>
    </w:p>
    <w:p>
      <w:pPr>
        <w:pStyle w:val="9"/>
        <w:spacing w:line="240" w:lineRule="auto"/>
        <w:ind w:firstLine="420"/>
        <w:rPr>
          <w:rFonts w:hint="eastAsia"/>
          <w:kern w:val="2"/>
          <w:sz w:val="21"/>
          <w:szCs w:val="21"/>
        </w:rPr>
      </w:pPr>
      <w:r>
        <w:rPr>
          <w:rFonts w:hint="eastAsia"/>
          <w:kern w:val="2"/>
          <w:sz w:val="21"/>
          <w:szCs w:val="21"/>
        </w:rPr>
        <w:t>附件1</w:t>
      </w:r>
      <w:r>
        <w:rPr>
          <w:rFonts w:hint="eastAsia"/>
          <w:kern w:val="2"/>
          <w:sz w:val="21"/>
          <w:szCs w:val="21"/>
          <w:lang w:val="en-US" w:eastAsia="zh-CN"/>
        </w:rPr>
        <w:t>3</w:t>
      </w:r>
      <w:r>
        <w:rPr>
          <w:rFonts w:hint="eastAsia"/>
          <w:kern w:val="2"/>
          <w:sz w:val="21"/>
          <w:szCs w:val="21"/>
        </w:rPr>
        <w:t>专家意见修改对照单</w:t>
      </w:r>
    </w:p>
    <w:p>
      <w:pPr>
        <w:rPr>
          <w:rFonts w:hint="default" w:eastAsia="宋体"/>
          <w:lang w:val="en-US" w:eastAsia="zh-CN"/>
        </w:rPr>
      </w:pPr>
      <w:r>
        <w:rPr>
          <w:rFonts w:hint="eastAsia"/>
          <w:kern w:val="2"/>
          <w:sz w:val="21"/>
          <w:szCs w:val="21"/>
          <w:lang w:val="en-US" w:eastAsia="zh-CN"/>
        </w:rPr>
        <w:t>附件14 建设单位名称变更说明</w:t>
      </w:r>
    </w:p>
    <w:p>
      <w:pPr>
        <w:spacing w:line="240" w:lineRule="auto"/>
        <w:ind w:firstLine="422"/>
        <w:rPr>
          <w:b/>
          <w:sz w:val="21"/>
          <w:szCs w:val="21"/>
        </w:rPr>
      </w:pPr>
      <w:r>
        <w:rPr>
          <w:rFonts w:hint="eastAsia"/>
          <w:b/>
          <w:sz w:val="21"/>
          <w:szCs w:val="21"/>
        </w:rPr>
        <w:t>附表</w:t>
      </w:r>
    </w:p>
    <w:p>
      <w:pPr>
        <w:pStyle w:val="2"/>
        <w:spacing w:line="240" w:lineRule="auto"/>
        <w:ind w:firstLine="420"/>
        <w:rPr>
          <w:sz w:val="21"/>
          <w:szCs w:val="21"/>
        </w:rPr>
      </w:pPr>
      <w:r>
        <w:rPr>
          <w:sz w:val="21"/>
          <w:szCs w:val="21"/>
        </w:rPr>
        <w:t>附表1   建设项目环境保护审批登记表</w:t>
      </w:r>
    </w:p>
    <w:p>
      <w:pPr>
        <w:pStyle w:val="2"/>
        <w:spacing w:line="240" w:lineRule="auto"/>
        <w:ind w:firstLine="420"/>
        <w:rPr>
          <w:sz w:val="21"/>
          <w:szCs w:val="21"/>
        </w:rPr>
      </w:pPr>
      <w:r>
        <w:rPr>
          <w:sz w:val="21"/>
          <w:szCs w:val="21"/>
        </w:rPr>
        <w:t xml:space="preserve">附表2   </w:t>
      </w:r>
      <w:r>
        <w:rPr>
          <w:rFonts w:hint="eastAsia"/>
          <w:sz w:val="21"/>
          <w:szCs w:val="21"/>
        </w:rPr>
        <w:t>大气环境影响评价自查表</w:t>
      </w:r>
    </w:p>
    <w:p>
      <w:pPr>
        <w:pStyle w:val="2"/>
        <w:spacing w:line="240" w:lineRule="auto"/>
        <w:ind w:firstLine="420"/>
        <w:rPr>
          <w:sz w:val="21"/>
          <w:szCs w:val="21"/>
        </w:rPr>
      </w:pPr>
      <w:r>
        <w:rPr>
          <w:sz w:val="21"/>
          <w:szCs w:val="21"/>
        </w:rPr>
        <w:t xml:space="preserve">附表3 </w:t>
      </w:r>
      <w:r>
        <w:rPr>
          <w:rFonts w:hint="eastAsia"/>
          <w:sz w:val="21"/>
          <w:szCs w:val="21"/>
        </w:rPr>
        <w:t>环境风险评价自查表</w:t>
      </w:r>
    </w:p>
    <w:p>
      <w:pPr>
        <w:pStyle w:val="2"/>
        <w:spacing w:line="240" w:lineRule="auto"/>
        <w:ind w:firstLine="420"/>
        <w:rPr>
          <w:sz w:val="21"/>
          <w:szCs w:val="21"/>
        </w:rPr>
      </w:pPr>
      <w:r>
        <w:rPr>
          <w:sz w:val="21"/>
          <w:szCs w:val="21"/>
        </w:rPr>
        <w:t xml:space="preserve">附表4   </w:t>
      </w:r>
      <w:r>
        <w:rPr>
          <w:rFonts w:hint="eastAsia"/>
          <w:sz w:val="21"/>
          <w:szCs w:val="21"/>
        </w:rPr>
        <w:t>地表水环境影响评价自查表</w:t>
      </w:r>
    </w:p>
    <w:p>
      <w:pPr>
        <w:pStyle w:val="2"/>
        <w:spacing w:line="240" w:lineRule="auto"/>
        <w:ind w:firstLine="480"/>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1361" w:gutter="0"/>
          <w:pgNumType w:start="1"/>
          <w:cols w:space="720" w:num="1"/>
          <w:docGrid w:type="lines" w:linePitch="312" w:charSpace="0"/>
        </w:sectPr>
      </w:pPr>
    </w:p>
    <w:p>
      <w:pPr>
        <w:pStyle w:val="3"/>
        <w:adjustRightInd w:val="0"/>
        <w:snapToGrid w:val="0"/>
        <w:spacing w:line="240" w:lineRule="auto"/>
        <w:jc w:val="both"/>
        <w:rPr>
          <w:rFonts w:eastAsia="黑体"/>
          <w:bCs w:val="0"/>
          <w:sz w:val="30"/>
          <w:szCs w:val="30"/>
        </w:rPr>
      </w:pPr>
      <w:bookmarkStart w:id="2" w:name="_Toc18546"/>
      <w:r>
        <w:rPr>
          <w:bCs w:val="0"/>
          <w:sz w:val="30"/>
          <w:szCs w:val="30"/>
        </w:rPr>
        <w:t>表一建设项目基本概况</w:t>
      </w:r>
      <w:bookmarkEnd w:id="0"/>
      <w:bookmarkEnd w:id="2"/>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93"/>
        <w:gridCol w:w="1241"/>
        <w:gridCol w:w="660"/>
        <w:gridCol w:w="853"/>
        <w:gridCol w:w="149"/>
        <w:gridCol w:w="1324"/>
        <w:gridCol w:w="449"/>
        <w:gridCol w:w="836"/>
        <w:gridCol w:w="63"/>
        <w:gridCol w:w="11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1793" w:type="dxa"/>
            <w:noWrap/>
            <w:vAlign w:val="center"/>
          </w:tcPr>
          <w:p>
            <w:pPr>
              <w:pStyle w:val="26"/>
              <w:keepNext w:val="0"/>
              <w:keepLines w:val="0"/>
              <w:suppressLineNumbers w:val="0"/>
              <w:spacing w:before="0" w:beforeAutospacing="0" w:after="0" w:afterAutospacing="0"/>
              <w:ind w:left="0" w:right="0"/>
              <w:rPr>
                <w:color w:val="auto"/>
              </w:rPr>
            </w:pPr>
            <w:r>
              <w:rPr>
                <w:color w:val="auto"/>
              </w:rPr>
              <w:t>项目名称</w:t>
            </w:r>
          </w:p>
        </w:tc>
        <w:tc>
          <w:tcPr>
            <w:tcW w:w="6729" w:type="dxa"/>
            <w:gridSpan w:val="9"/>
            <w:noWrap/>
            <w:vAlign w:val="center"/>
          </w:tcPr>
          <w:p>
            <w:pPr>
              <w:pStyle w:val="26"/>
              <w:keepNext w:val="0"/>
              <w:keepLines w:val="0"/>
              <w:suppressLineNumbers w:val="0"/>
              <w:spacing w:before="0" w:beforeAutospacing="0" w:after="0" w:afterAutospacing="0"/>
              <w:ind w:left="0" w:right="0"/>
              <w:rPr>
                <w:b w:val="0"/>
                <w:color w:val="auto"/>
              </w:rPr>
            </w:pPr>
            <w:r>
              <w:rPr>
                <w:rFonts w:hint="eastAsia"/>
                <w:b w:val="0"/>
                <w:color w:val="auto"/>
              </w:rPr>
              <w:t>年产3万吨钢模及爬模设备生产线建设项目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3" w:type="dxa"/>
            <w:noWrap/>
            <w:vAlign w:val="center"/>
          </w:tcPr>
          <w:p>
            <w:pPr>
              <w:pStyle w:val="26"/>
              <w:keepNext w:val="0"/>
              <w:keepLines w:val="0"/>
              <w:suppressLineNumbers w:val="0"/>
              <w:spacing w:before="0" w:beforeAutospacing="0" w:after="0" w:afterAutospacing="0"/>
              <w:ind w:left="0" w:right="0"/>
              <w:rPr>
                <w:color w:val="auto"/>
              </w:rPr>
            </w:pPr>
            <w:r>
              <w:rPr>
                <w:color w:val="auto"/>
              </w:rPr>
              <w:t>建设单位</w:t>
            </w:r>
          </w:p>
        </w:tc>
        <w:tc>
          <w:tcPr>
            <w:tcW w:w="6729" w:type="dxa"/>
            <w:gridSpan w:val="9"/>
            <w:noWrap/>
            <w:vAlign w:val="center"/>
          </w:tcPr>
          <w:p>
            <w:pPr>
              <w:pStyle w:val="26"/>
              <w:keepNext w:val="0"/>
              <w:keepLines w:val="0"/>
              <w:suppressLineNumbers w:val="0"/>
              <w:spacing w:before="0" w:beforeAutospacing="0" w:after="0" w:afterAutospacing="0"/>
              <w:ind w:left="0" w:right="0"/>
              <w:rPr>
                <w:b w:val="0"/>
                <w:color w:val="auto"/>
              </w:rPr>
            </w:pPr>
            <w:r>
              <w:rPr>
                <w:rFonts w:hint="eastAsia"/>
                <w:b w:val="0"/>
                <w:color w:val="auto"/>
              </w:rPr>
              <w:t>云南银桥机械设备制造有限公司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3" w:type="dxa"/>
            <w:noWrap/>
            <w:vAlign w:val="center"/>
          </w:tcPr>
          <w:p>
            <w:pPr>
              <w:pStyle w:val="26"/>
              <w:keepNext w:val="0"/>
              <w:keepLines w:val="0"/>
              <w:suppressLineNumbers w:val="0"/>
              <w:spacing w:before="0" w:beforeAutospacing="0" w:after="0" w:afterAutospacing="0"/>
              <w:ind w:left="0" w:right="0"/>
              <w:rPr>
                <w:color w:val="auto"/>
              </w:rPr>
            </w:pPr>
            <w:r>
              <w:rPr>
                <w:color w:val="auto"/>
              </w:rPr>
              <w:t>法定代表人</w:t>
            </w:r>
          </w:p>
        </w:tc>
        <w:tc>
          <w:tcPr>
            <w:tcW w:w="2903" w:type="dxa"/>
            <w:gridSpan w:val="4"/>
            <w:noWrap/>
            <w:vAlign w:val="center"/>
          </w:tcPr>
          <w:p>
            <w:pPr>
              <w:pStyle w:val="26"/>
              <w:keepNext w:val="0"/>
              <w:keepLines w:val="0"/>
              <w:suppressLineNumbers w:val="0"/>
              <w:spacing w:before="0" w:beforeAutospacing="0" w:after="0" w:afterAutospacing="0"/>
              <w:ind w:left="0" w:right="0"/>
              <w:rPr>
                <w:rFonts w:hint="default" w:eastAsia="宋体"/>
                <w:b w:val="0"/>
                <w:color w:val="auto"/>
                <w:lang w:val="en-US" w:eastAsia="zh-CN"/>
              </w:rPr>
            </w:pPr>
            <w:r>
              <w:rPr>
                <w:rFonts w:hint="eastAsia"/>
                <w:b w:val="0"/>
                <w:color w:val="auto"/>
                <w:lang w:val="en-US" w:eastAsia="zh-CN"/>
              </w:rPr>
              <w:t>王长银</w:t>
            </w:r>
          </w:p>
        </w:tc>
        <w:tc>
          <w:tcPr>
            <w:tcW w:w="1773" w:type="dxa"/>
            <w:gridSpan w:val="2"/>
            <w:noWrap/>
            <w:vAlign w:val="center"/>
          </w:tcPr>
          <w:p>
            <w:pPr>
              <w:pStyle w:val="26"/>
              <w:keepNext w:val="0"/>
              <w:keepLines w:val="0"/>
              <w:suppressLineNumbers w:val="0"/>
              <w:spacing w:before="0" w:beforeAutospacing="0" w:after="0" w:afterAutospacing="0"/>
              <w:ind w:left="0" w:right="0"/>
              <w:rPr>
                <w:color w:val="auto"/>
              </w:rPr>
            </w:pPr>
            <w:r>
              <w:rPr>
                <w:color w:val="auto"/>
              </w:rPr>
              <w:t>联系人</w:t>
            </w:r>
          </w:p>
        </w:tc>
        <w:tc>
          <w:tcPr>
            <w:tcW w:w="2053" w:type="dxa"/>
            <w:gridSpan w:val="3"/>
            <w:noWrap/>
            <w:vAlign w:val="center"/>
          </w:tcPr>
          <w:p>
            <w:pPr>
              <w:pStyle w:val="26"/>
              <w:keepNext w:val="0"/>
              <w:keepLines w:val="0"/>
              <w:suppressLineNumbers w:val="0"/>
              <w:spacing w:before="0" w:beforeAutospacing="0" w:after="0" w:afterAutospacing="0"/>
              <w:ind w:left="0" w:right="0"/>
              <w:rPr>
                <w:b w:val="0"/>
                <w:color w:val="auto"/>
              </w:rPr>
            </w:pPr>
            <w:r>
              <w:rPr>
                <w:rFonts w:hint="eastAsia"/>
                <w:b w:val="0"/>
                <w:color w:val="auto"/>
              </w:rPr>
              <w:t>田茂彬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3" w:type="dxa"/>
            <w:noWrap/>
            <w:vAlign w:val="center"/>
          </w:tcPr>
          <w:p>
            <w:pPr>
              <w:pStyle w:val="26"/>
              <w:keepNext w:val="0"/>
              <w:keepLines w:val="0"/>
              <w:suppressLineNumbers w:val="0"/>
              <w:spacing w:before="0" w:beforeAutospacing="0" w:after="0" w:afterAutospacing="0"/>
              <w:ind w:left="0" w:right="0"/>
              <w:rPr>
                <w:color w:val="auto"/>
              </w:rPr>
            </w:pPr>
            <w:r>
              <w:rPr>
                <w:color w:val="auto"/>
              </w:rPr>
              <w:t>通讯地址</w:t>
            </w:r>
          </w:p>
        </w:tc>
        <w:tc>
          <w:tcPr>
            <w:tcW w:w="6729" w:type="dxa"/>
            <w:gridSpan w:val="9"/>
            <w:noWrap/>
            <w:vAlign w:val="center"/>
          </w:tcPr>
          <w:p>
            <w:pPr>
              <w:pStyle w:val="26"/>
              <w:keepNext w:val="0"/>
              <w:keepLines w:val="0"/>
              <w:suppressLineNumbers w:val="0"/>
              <w:spacing w:before="0" w:beforeAutospacing="0" w:after="0" w:afterAutospacing="0"/>
              <w:ind w:left="0" w:right="0"/>
              <w:rPr>
                <w:b w:val="0"/>
                <w:color w:val="auto"/>
              </w:rPr>
            </w:pPr>
            <w:r>
              <w:rPr>
                <w:b w:val="0"/>
                <w:color w:val="auto"/>
              </w:rPr>
              <w:t>富民县工业园</w:t>
            </w:r>
            <w:r>
              <w:rPr>
                <w:rFonts w:hint="eastAsia"/>
                <w:b w:val="0"/>
                <w:color w:val="auto"/>
              </w:rPr>
              <w:t>区</w:t>
            </w:r>
            <w:r>
              <w:rPr>
                <w:b w:val="0"/>
                <w:color w:val="auto"/>
              </w:rPr>
              <w:t>哨菁机械加工园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3" w:type="dxa"/>
            <w:noWrap/>
            <w:vAlign w:val="center"/>
          </w:tcPr>
          <w:p>
            <w:pPr>
              <w:pStyle w:val="26"/>
              <w:keepNext w:val="0"/>
              <w:keepLines w:val="0"/>
              <w:suppressLineNumbers w:val="0"/>
              <w:spacing w:before="0" w:beforeAutospacing="0" w:after="0" w:afterAutospacing="0"/>
              <w:ind w:left="0" w:right="0"/>
              <w:rPr>
                <w:color w:val="auto"/>
              </w:rPr>
            </w:pPr>
            <w:r>
              <w:rPr>
                <w:color w:val="auto"/>
              </w:rPr>
              <w:t>联系电话</w:t>
            </w:r>
          </w:p>
        </w:tc>
        <w:tc>
          <w:tcPr>
            <w:tcW w:w="1901" w:type="dxa"/>
            <w:gridSpan w:val="2"/>
            <w:noWrap/>
            <w:vAlign w:val="center"/>
          </w:tcPr>
          <w:p>
            <w:pPr>
              <w:pStyle w:val="26"/>
              <w:keepNext w:val="0"/>
              <w:keepLines w:val="0"/>
              <w:suppressLineNumbers w:val="0"/>
              <w:spacing w:before="0" w:beforeAutospacing="0" w:after="0" w:afterAutospacing="0"/>
              <w:ind w:left="0" w:right="0"/>
              <w:rPr>
                <w:b w:val="0"/>
                <w:color w:val="auto"/>
              </w:rPr>
            </w:pPr>
            <w:r>
              <w:rPr>
                <w:rFonts w:hint="eastAsia"/>
                <w:b w:val="0"/>
                <w:color w:val="auto"/>
              </w:rPr>
              <w:t>13759532811</w:t>
            </w:r>
          </w:p>
        </w:tc>
        <w:tc>
          <w:tcPr>
            <w:tcW w:w="1002" w:type="dxa"/>
            <w:gridSpan w:val="2"/>
            <w:noWrap/>
            <w:vAlign w:val="center"/>
          </w:tcPr>
          <w:p>
            <w:pPr>
              <w:pStyle w:val="26"/>
              <w:keepNext w:val="0"/>
              <w:keepLines w:val="0"/>
              <w:suppressLineNumbers w:val="0"/>
              <w:spacing w:before="0" w:beforeAutospacing="0" w:after="0" w:afterAutospacing="0"/>
              <w:ind w:left="0" w:right="0"/>
              <w:rPr>
                <w:color w:val="auto"/>
              </w:rPr>
            </w:pPr>
            <w:r>
              <w:rPr>
                <w:color w:val="auto"/>
              </w:rPr>
              <w:t>传真</w:t>
            </w:r>
          </w:p>
        </w:tc>
        <w:tc>
          <w:tcPr>
            <w:tcW w:w="1773" w:type="dxa"/>
            <w:gridSpan w:val="2"/>
            <w:noWrap/>
            <w:vAlign w:val="center"/>
          </w:tcPr>
          <w:p>
            <w:pPr>
              <w:pStyle w:val="26"/>
              <w:keepNext w:val="0"/>
              <w:keepLines w:val="0"/>
              <w:suppressLineNumbers w:val="0"/>
              <w:spacing w:before="0" w:beforeAutospacing="0" w:after="0" w:afterAutospacing="0"/>
              <w:ind w:left="0" w:right="0"/>
              <w:rPr>
                <w:color w:val="auto"/>
              </w:rPr>
            </w:pPr>
            <w:r>
              <w:rPr>
                <w:color w:val="auto"/>
              </w:rPr>
              <w:t>/</w:t>
            </w:r>
          </w:p>
        </w:tc>
        <w:tc>
          <w:tcPr>
            <w:tcW w:w="836" w:type="dxa"/>
            <w:noWrap/>
            <w:vAlign w:val="center"/>
          </w:tcPr>
          <w:p>
            <w:pPr>
              <w:pStyle w:val="26"/>
              <w:keepNext w:val="0"/>
              <w:keepLines w:val="0"/>
              <w:suppressLineNumbers w:val="0"/>
              <w:spacing w:before="0" w:beforeAutospacing="0" w:after="0" w:afterAutospacing="0"/>
              <w:ind w:left="0" w:right="0"/>
              <w:rPr>
                <w:color w:val="auto"/>
              </w:rPr>
            </w:pPr>
            <w:r>
              <w:rPr>
                <w:color w:val="auto"/>
              </w:rPr>
              <w:t>邮编</w:t>
            </w:r>
          </w:p>
        </w:tc>
        <w:tc>
          <w:tcPr>
            <w:tcW w:w="1217" w:type="dxa"/>
            <w:gridSpan w:val="2"/>
            <w:noWrap/>
            <w:vAlign w:val="center"/>
          </w:tcPr>
          <w:p>
            <w:pPr>
              <w:pStyle w:val="26"/>
              <w:keepNext w:val="0"/>
              <w:keepLines w:val="0"/>
              <w:suppressLineNumbers w:val="0"/>
              <w:spacing w:before="0" w:beforeAutospacing="0" w:after="0" w:afterAutospacing="0"/>
              <w:ind w:left="0" w:right="0"/>
              <w:rPr>
                <w:b w:val="0"/>
                <w:color w:val="auto"/>
              </w:rPr>
            </w:pPr>
            <w:r>
              <w:rPr>
                <w:b w:val="0"/>
                <w:color w:val="auto"/>
              </w:rPr>
              <w:t>655200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3" w:type="dxa"/>
            <w:noWrap/>
            <w:vAlign w:val="center"/>
          </w:tcPr>
          <w:p>
            <w:pPr>
              <w:pStyle w:val="26"/>
              <w:keepNext w:val="0"/>
              <w:keepLines w:val="0"/>
              <w:suppressLineNumbers w:val="0"/>
              <w:spacing w:before="0" w:beforeAutospacing="0" w:after="0" w:afterAutospacing="0"/>
              <w:ind w:left="0" w:right="0"/>
              <w:rPr>
                <w:color w:val="auto"/>
              </w:rPr>
            </w:pPr>
            <w:r>
              <w:rPr>
                <w:color w:val="auto"/>
              </w:rPr>
              <w:t>建设地点</w:t>
            </w:r>
          </w:p>
        </w:tc>
        <w:tc>
          <w:tcPr>
            <w:tcW w:w="6729" w:type="dxa"/>
            <w:gridSpan w:val="9"/>
            <w:noWrap/>
            <w:vAlign w:val="center"/>
          </w:tcPr>
          <w:p>
            <w:pPr>
              <w:pStyle w:val="26"/>
              <w:keepNext w:val="0"/>
              <w:keepLines w:val="0"/>
              <w:suppressLineNumbers w:val="0"/>
              <w:spacing w:before="0" w:beforeAutospacing="0" w:after="0" w:afterAutospacing="0"/>
              <w:ind w:left="0" w:right="0"/>
              <w:rPr>
                <w:b w:val="0"/>
                <w:color w:val="auto"/>
              </w:rPr>
            </w:pPr>
            <w:r>
              <w:rPr>
                <w:b w:val="0"/>
                <w:color w:val="auto"/>
              </w:rPr>
              <w:t>富民县工业园</w:t>
            </w:r>
            <w:r>
              <w:rPr>
                <w:rFonts w:hint="eastAsia"/>
                <w:b w:val="0"/>
                <w:color w:val="auto"/>
              </w:rPr>
              <w:t>区</w:t>
            </w:r>
            <w:r>
              <w:rPr>
                <w:b w:val="0"/>
                <w:color w:val="auto"/>
              </w:rPr>
              <w:t>哨菁机械加工园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 w:hRule="atLeast"/>
          <w:jc w:val="center"/>
        </w:trPr>
        <w:tc>
          <w:tcPr>
            <w:tcW w:w="1793" w:type="dxa"/>
            <w:noWrap/>
            <w:vAlign w:val="center"/>
          </w:tcPr>
          <w:p>
            <w:pPr>
              <w:pStyle w:val="26"/>
              <w:keepNext w:val="0"/>
              <w:keepLines w:val="0"/>
              <w:suppressLineNumbers w:val="0"/>
              <w:spacing w:before="0" w:beforeAutospacing="0" w:after="0" w:afterAutospacing="0"/>
              <w:ind w:left="0" w:right="0"/>
              <w:rPr>
                <w:color w:val="auto"/>
              </w:rPr>
            </w:pPr>
            <w:r>
              <w:rPr>
                <w:color w:val="auto"/>
              </w:rPr>
              <w:t>立项审批部门</w:t>
            </w:r>
          </w:p>
        </w:tc>
        <w:tc>
          <w:tcPr>
            <w:tcW w:w="2754" w:type="dxa"/>
            <w:gridSpan w:val="3"/>
            <w:noWrap/>
            <w:vAlign w:val="center"/>
          </w:tcPr>
          <w:p>
            <w:pPr>
              <w:pStyle w:val="26"/>
              <w:keepNext w:val="0"/>
              <w:keepLines w:val="0"/>
              <w:suppressLineNumbers w:val="0"/>
              <w:spacing w:before="0" w:beforeAutospacing="0" w:after="0" w:afterAutospacing="0"/>
              <w:ind w:left="0" w:right="0"/>
              <w:rPr>
                <w:b w:val="0"/>
                <w:color w:val="auto"/>
              </w:rPr>
            </w:pPr>
            <w:r>
              <w:rPr>
                <w:rFonts w:hint="eastAsia"/>
                <w:b w:val="0"/>
                <w:color w:val="auto"/>
              </w:rPr>
              <w:t>富民县发展和改革局</w:t>
            </w:r>
          </w:p>
        </w:tc>
        <w:tc>
          <w:tcPr>
            <w:tcW w:w="1473" w:type="dxa"/>
            <w:gridSpan w:val="2"/>
            <w:noWrap/>
            <w:vAlign w:val="center"/>
          </w:tcPr>
          <w:p>
            <w:pPr>
              <w:pStyle w:val="26"/>
              <w:keepNext w:val="0"/>
              <w:keepLines w:val="0"/>
              <w:suppressLineNumbers w:val="0"/>
              <w:spacing w:before="0" w:beforeAutospacing="0" w:after="0" w:afterAutospacing="0"/>
              <w:ind w:left="0" w:right="0"/>
              <w:rPr>
                <w:color w:val="auto"/>
              </w:rPr>
            </w:pPr>
            <w:r>
              <w:rPr>
                <w:color w:val="auto"/>
              </w:rPr>
              <w:t>批准文号</w:t>
            </w:r>
          </w:p>
        </w:tc>
        <w:tc>
          <w:tcPr>
            <w:tcW w:w="2502" w:type="dxa"/>
            <w:gridSpan w:val="4"/>
            <w:noWrap/>
            <w:vAlign w:val="center"/>
          </w:tcPr>
          <w:p>
            <w:pPr>
              <w:pStyle w:val="26"/>
              <w:keepNext w:val="0"/>
              <w:keepLines w:val="0"/>
              <w:suppressLineNumbers w:val="0"/>
              <w:spacing w:before="0" w:beforeAutospacing="0" w:after="0" w:afterAutospacing="0"/>
              <w:ind w:left="0" w:right="0"/>
              <w:rPr>
                <w:b w:val="0"/>
                <w:color w:val="auto"/>
              </w:rPr>
            </w:pPr>
            <w:r>
              <w:rPr>
                <w:b w:val="0"/>
                <w:color w:val="auto"/>
              </w:rPr>
              <w:t>富发改企业备案</w:t>
            </w:r>
            <w:r>
              <w:rPr>
                <w:rFonts w:hint="eastAsia"/>
                <w:b w:val="0"/>
                <w:color w:val="auto"/>
              </w:rPr>
              <w:t>[2020]77号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3" w:type="dxa"/>
            <w:noWrap/>
            <w:vAlign w:val="center"/>
          </w:tcPr>
          <w:p>
            <w:pPr>
              <w:pStyle w:val="26"/>
              <w:keepNext w:val="0"/>
              <w:keepLines w:val="0"/>
              <w:suppressLineNumbers w:val="0"/>
              <w:spacing w:before="0" w:beforeAutospacing="0" w:after="0" w:afterAutospacing="0"/>
              <w:ind w:left="0" w:right="0"/>
              <w:rPr>
                <w:color w:val="auto"/>
              </w:rPr>
            </w:pPr>
            <w:r>
              <w:rPr>
                <w:color w:val="auto"/>
              </w:rPr>
              <w:t>建设性质</w:t>
            </w:r>
          </w:p>
        </w:tc>
        <w:tc>
          <w:tcPr>
            <w:tcW w:w="2754" w:type="dxa"/>
            <w:gridSpan w:val="3"/>
            <w:noWrap/>
            <w:vAlign w:val="center"/>
          </w:tcPr>
          <w:p>
            <w:pPr>
              <w:pStyle w:val="26"/>
              <w:keepNext w:val="0"/>
              <w:keepLines w:val="0"/>
              <w:suppressLineNumbers w:val="0"/>
              <w:spacing w:before="0" w:beforeAutospacing="0" w:after="0" w:afterAutospacing="0"/>
              <w:ind w:left="0" w:right="0"/>
              <w:rPr>
                <w:b w:val="0"/>
                <w:color w:val="auto"/>
              </w:rPr>
            </w:pPr>
            <w:r>
              <w:rPr>
                <w:b w:val="0"/>
                <w:color w:val="auto"/>
              </w:rPr>
              <w:t>新建</w:t>
            </w:r>
          </w:p>
        </w:tc>
        <w:tc>
          <w:tcPr>
            <w:tcW w:w="1473" w:type="dxa"/>
            <w:gridSpan w:val="2"/>
            <w:noWrap/>
            <w:vAlign w:val="center"/>
          </w:tcPr>
          <w:p>
            <w:pPr>
              <w:pStyle w:val="26"/>
              <w:keepNext w:val="0"/>
              <w:keepLines w:val="0"/>
              <w:suppressLineNumbers w:val="0"/>
              <w:spacing w:before="0" w:beforeAutospacing="0" w:after="0" w:afterAutospacing="0"/>
              <w:ind w:left="0" w:right="0"/>
              <w:rPr>
                <w:color w:val="auto"/>
              </w:rPr>
            </w:pPr>
            <w:r>
              <w:rPr>
                <w:color w:val="auto"/>
              </w:rPr>
              <w:t>行业类别及代码</w:t>
            </w:r>
          </w:p>
        </w:tc>
        <w:tc>
          <w:tcPr>
            <w:tcW w:w="2502" w:type="dxa"/>
            <w:gridSpan w:val="4"/>
            <w:noWrap/>
            <w:vAlign w:val="center"/>
          </w:tcPr>
          <w:p>
            <w:pPr>
              <w:pStyle w:val="26"/>
              <w:keepNext w:val="0"/>
              <w:keepLines w:val="0"/>
              <w:suppressLineNumbers w:val="0"/>
              <w:spacing w:before="0" w:beforeAutospacing="0" w:after="0" w:afterAutospacing="0"/>
              <w:ind w:left="0" w:right="0"/>
              <w:rPr>
                <w:b w:val="0"/>
                <w:color w:val="auto"/>
              </w:rPr>
            </w:pPr>
            <w:r>
              <w:rPr>
                <w:b w:val="0"/>
                <w:color w:val="auto"/>
              </w:rPr>
              <w:t>[C3</w:t>
            </w:r>
            <w:r>
              <w:rPr>
                <w:rFonts w:hint="eastAsia"/>
                <w:b w:val="0"/>
                <w:color w:val="auto"/>
              </w:rPr>
              <w:t>3</w:t>
            </w:r>
            <w:r>
              <w:rPr>
                <w:b w:val="0"/>
                <w:color w:val="auto"/>
              </w:rPr>
              <w:t>11]金属结构制造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3" w:type="dxa"/>
            <w:noWrap/>
            <w:vAlign w:val="center"/>
          </w:tcPr>
          <w:p>
            <w:pPr>
              <w:pStyle w:val="26"/>
              <w:keepNext w:val="0"/>
              <w:keepLines w:val="0"/>
              <w:suppressLineNumbers w:val="0"/>
              <w:spacing w:before="0" w:beforeAutospacing="0" w:after="0" w:afterAutospacing="0"/>
              <w:ind w:left="0" w:right="0"/>
              <w:rPr>
                <w:color w:val="auto"/>
              </w:rPr>
            </w:pPr>
            <w:r>
              <w:rPr>
                <w:color w:val="auto"/>
              </w:rPr>
              <w:t>占地面积（m</w:t>
            </w:r>
            <w:r>
              <w:rPr>
                <w:color w:val="auto"/>
                <w:vertAlign w:val="superscript"/>
              </w:rPr>
              <w:t>2</w:t>
            </w:r>
            <w:r>
              <w:rPr>
                <w:color w:val="auto"/>
              </w:rPr>
              <w:t>）</w:t>
            </w:r>
          </w:p>
        </w:tc>
        <w:tc>
          <w:tcPr>
            <w:tcW w:w="2754" w:type="dxa"/>
            <w:gridSpan w:val="3"/>
            <w:noWrap/>
            <w:vAlign w:val="center"/>
          </w:tcPr>
          <w:p>
            <w:pPr>
              <w:pStyle w:val="26"/>
              <w:keepNext w:val="0"/>
              <w:keepLines w:val="0"/>
              <w:suppressLineNumbers w:val="0"/>
              <w:spacing w:before="0" w:beforeAutospacing="0" w:after="0" w:afterAutospacing="0"/>
              <w:ind w:left="0" w:right="0"/>
              <w:rPr>
                <w:b w:val="0"/>
                <w:color w:val="auto"/>
              </w:rPr>
            </w:pPr>
            <w:r>
              <w:rPr>
                <w:rFonts w:hint="eastAsia"/>
                <w:b w:val="0"/>
                <w:color w:val="auto"/>
              </w:rPr>
              <w:t>16900</w:t>
            </w:r>
          </w:p>
        </w:tc>
        <w:tc>
          <w:tcPr>
            <w:tcW w:w="1473" w:type="dxa"/>
            <w:gridSpan w:val="2"/>
            <w:noWrap/>
            <w:vAlign w:val="center"/>
          </w:tcPr>
          <w:p>
            <w:pPr>
              <w:pStyle w:val="26"/>
              <w:keepNext w:val="0"/>
              <w:keepLines w:val="0"/>
              <w:suppressLineNumbers w:val="0"/>
              <w:spacing w:before="0" w:beforeAutospacing="0" w:after="0" w:afterAutospacing="0"/>
              <w:ind w:left="0" w:right="0"/>
              <w:rPr>
                <w:color w:val="auto"/>
              </w:rPr>
            </w:pPr>
            <w:r>
              <w:rPr>
                <w:color w:val="auto"/>
              </w:rPr>
              <w:t>绿化面积（m</w:t>
            </w:r>
            <w:r>
              <w:rPr>
                <w:color w:val="auto"/>
                <w:vertAlign w:val="superscript"/>
              </w:rPr>
              <w:t>2</w:t>
            </w:r>
            <w:r>
              <w:rPr>
                <w:color w:val="auto"/>
              </w:rPr>
              <w:t>）</w:t>
            </w:r>
          </w:p>
        </w:tc>
        <w:tc>
          <w:tcPr>
            <w:tcW w:w="2502" w:type="dxa"/>
            <w:gridSpan w:val="4"/>
            <w:noWrap/>
            <w:vAlign w:val="center"/>
          </w:tcPr>
          <w:p>
            <w:pPr>
              <w:pStyle w:val="26"/>
              <w:keepNext w:val="0"/>
              <w:keepLines w:val="0"/>
              <w:suppressLineNumbers w:val="0"/>
              <w:spacing w:before="0" w:beforeAutospacing="0" w:after="0" w:afterAutospacing="0"/>
              <w:ind w:left="0" w:right="0"/>
              <w:rPr>
                <w:b w:val="0"/>
                <w:color w:val="auto"/>
              </w:rPr>
            </w:pPr>
            <w:r>
              <w:rPr>
                <w:b w:val="0"/>
                <w:color w:val="auto"/>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9" w:hRule="atLeast"/>
          <w:jc w:val="center"/>
        </w:trPr>
        <w:tc>
          <w:tcPr>
            <w:tcW w:w="1793" w:type="dxa"/>
            <w:noWrap/>
            <w:vAlign w:val="center"/>
          </w:tcPr>
          <w:p>
            <w:pPr>
              <w:pStyle w:val="26"/>
              <w:keepNext w:val="0"/>
              <w:keepLines w:val="0"/>
              <w:suppressLineNumbers w:val="0"/>
              <w:spacing w:before="0" w:beforeAutospacing="0" w:after="0" w:afterAutospacing="0"/>
              <w:ind w:left="0" w:right="0"/>
              <w:rPr>
                <w:color w:val="auto"/>
              </w:rPr>
            </w:pPr>
            <w:r>
              <w:rPr>
                <w:color w:val="auto"/>
              </w:rPr>
              <w:t>总投资（万元）</w:t>
            </w:r>
          </w:p>
        </w:tc>
        <w:tc>
          <w:tcPr>
            <w:tcW w:w="1241" w:type="dxa"/>
            <w:tcBorders>
              <w:right w:val="single" w:color="auto" w:sz="4" w:space="0"/>
            </w:tcBorders>
            <w:noWrap/>
            <w:vAlign w:val="center"/>
          </w:tcPr>
          <w:p>
            <w:pPr>
              <w:pStyle w:val="26"/>
              <w:keepNext w:val="0"/>
              <w:keepLines w:val="0"/>
              <w:suppressLineNumbers w:val="0"/>
              <w:spacing w:before="0" w:beforeAutospacing="0" w:after="0" w:afterAutospacing="0"/>
              <w:ind w:left="0" w:right="0"/>
              <w:rPr>
                <w:b w:val="0"/>
                <w:color w:val="auto"/>
              </w:rPr>
            </w:pPr>
            <w:r>
              <w:rPr>
                <w:rFonts w:hint="eastAsia"/>
                <w:b w:val="0"/>
                <w:color w:val="auto"/>
              </w:rPr>
              <w:t>5000</w:t>
            </w:r>
          </w:p>
        </w:tc>
        <w:tc>
          <w:tcPr>
            <w:tcW w:w="1513" w:type="dxa"/>
            <w:gridSpan w:val="2"/>
            <w:tcBorders>
              <w:left w:val="single" w:color="auto" w:sz="4" w:space="0"/>
            </w:tcBorders>
            <w:noWrap/>
            <w:vAlign w:val="center"/>
          </w:tcPr>
          <w:p>
            <w:pPr>
              <w:pStyle w:val="26"/>
              <w:keepNext w:val="0"/>
              <w:keepLines w:val="0"/>
              <w:suppressLineNumbers w:val="0"/>
              <w:spacing w:before="0" w:beforeAutospacing="0" w:after="0" w:afterAutospacing="0"/>
              <w:ind w:left="0" w:right="0"/>
              <w:rPr>
                <w:color w:val="auto"/>
              </w:rPr>
            </w:pPr>
            <w:r>
              <w:rPr>
                <w:color w:val="auto"/>
              </w:rPr>
              <w:t>其中：环保投资（万元）</w:t>
            </w:r>
          </w:p>
        </w:tc>
        <w:tc>
          <w:tcPr>
            <w:tcW w:w="1473" w:type="dxa"/>
            <w:gridSpan w:val="2"/>
            <w:noWrap/>
            <w:vAlign w:val="center"/>
          </w:tcPr>
          <w:p>
            <w:pPr>
              <w:pStyle w:val="26"/>
              <w:keepNext w:val="0"/>
              <w:keepLines w:val="0"/>
              <w:suppressLineNumbers w:val="0"/>
              <w:spacing w:before="0" w:beforeAutospacing="0" w:after="0" w:afterAutospacing="0"/>
              <w:ind w:left="0" w:right="0"/>
              <w:rPr>
                <w:b w:val="0"/>
                <w:color w:val="auto"/>
              </w:rPr>
            </w:pPr>
            <w:r>
              <w:rPr>
                <w:rFonts w:hint="eastAsia"/>
                <w:b w:val="0"/>
                <w:color w:val="auto"/>
              </w:rPr>
              <w:t>37.4</w:t>
            </w:r>
          </w:p>
        </w:tc>
        <w:tc>
          <w:tcPr>
            <w:tcW w:w="1348" w:type="dxa"/>
            <w:gridSpan w:val="3"/>
            <w:noWrap/>
            <w:vAlign w:val="center"/>
          </w:tcPr>
          <w:p>
            <w:pPr>
              <w:pStyle w:val="26"/>
              <w:keepNext w:val="0"/>
              <w:keepLines w:val="0"/>
              <w:suppressLineNumbers w:val="0"/>
              <w:spacing w:before="0" w:beforeAutospacing="0" w:after="0" w:afterAutospacing="0"/>
              <w:ind w:left="0" w:right="0"/>
              <w:rPr>
                <w:color w:val="auto"/>
              </w:rPr>
            </w:pPr>
            <w:r>
              <w:rPr>
                <w:color w:val="auto"/>
              </w:rPr>
              <w:t>环保投资比例</w:t>
            </w:r>
          </w:p>
        </w:tc>
        <w:tc>
          <w:tcPr>
            <w:tcW w:w="1154" w:type="dxa"/>
            <w:noWrap/>
            <w:vAlign w:val="center"/>
          </w:tcPr>
          <w:p>
            <w:pPr>
              <w:pStyle w:val="26"/>
              <w:keepNext w:val="0"/>
              <w:keepLines w:val="0"/>
              <w:suppressLineNumbers w:val="0"/>
              <w:spacing w:before="0" w:beforeAutospacing="0" w:after="0" w:afterAutospacing="0"/>
              <w:ind w:left="0" w:right="0"/>
              <w:rPr>
                <w:b w:val="0"/>
                <w:color w:val="auto"/>
              </w:rPr>
            </w:pPr>
            <w:r>
              <w:rPr>
                <w:rFonts w:hint="eastAsia"/>
                <w:b w:val="0"/>
                <w:color w:val="auto"/>
              </w:rPr>
              <w:t>0.75%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793" w:type="dxa"/>
            <w:noWrap/>
            <w:vAlign w:val="center"/>
          </w:tcPr>
          <w:p>
            <w:pPr>
              <w:pStyle w:val="26"/>
              <w:keepNext w:val="0"/>
              <w:keepLines w:val="0"/>
              <w:suppressLineNumbers w:val="0"/>
              <w:spacing w:before="0" w:beforeAutospacing="0" w:after="0" w:afterAutospacing="0"/>
              <w:ind w:left="0" w:right="0"/>
              <w:rPr>
                <w:color w:val="auto"/>
              </w:rPr>
            </w:pPr>
            <w:r>
              <w:rPr>
                <w:color w:val="auto"/>
              </w:rPr>
              <w:t>评价经费</w:t>
            </w:r>
          </w:p>
          <w:p>
            <w:pPr>
              <w:pStyle w:val="26"/>
              <w:keepNext w:val="0"/>
              <w:keepLines w:val="0"/>
              <w:suppressLineNumbers w:val="0"/>
              <w:spacing w:before="0" w:beforeAutospacing="0" w:after="0" w:afterAutospacing="0"/>
              <w:ind w:left="0" w:right="0"/>
              <w:rPr>
                <w:color w:val="auto"/>
              </w:rPr>
            </w:pPr>
            <w:r>
              <w:rPr>
                <w:color w:val="auto"/>
              </w:rPr>
              <w:t>（万元）</w:t>
            </w:r>
          </w:p>
        </w:tc>
        <w:tc>
          <w:tcPr>
            <w:tcW w:w="1241" w:type="dxa"/>
            <w:tcBorders>
              <w:right w:val="single" w:color="auto" w:sz="4" w:space="0"/>
            </w:tcBorders>
            <w:noWrap/>
            <w:vAlign w:val="center"/>
          </w:tcPr>
          <w:p>
            <w:pPr>
              <w:pStyle w:val="26"/>
              <w:keepNext w:val="0"/>
              <w:keepLines w:val="0"/>
              <w:suppressLineNumbers w:val="0"/>
              <w:spacing w:before="0" w:beforeAutospacing="0" w:after="0" w:afterAutospacing="0"/>
              <w:ind w:left="0" w:right="0"/>
              <w:rPr>
                <w:color w:val="auto"/>
              </w:rPr>
            </w:pPr>
            <w:r>
              <w:rPr>
                <w:color w:val="auto"/>
              </w:rPr>
              <w:t>/</w:t>
            </w:r>
          </w:p>
        </w:tc>
        <w:tc>
          <w:tcPr>
            <w:tcW w:w="2986" w:type="dxa"/>
            <w:gridSpan w:val="4"/>
            <w:tcBorders>
              <w:left w:val="single" w:color="auto" w:sz="4" w:space="0"/>
            </w:tcBorders>
            <w:noWrap/>
            <w:vAlign w:val="center"/>
          </w:tcPr>
          <w:p>
            <w:pPr>
              <w:pStyle w:val="26"/>
              <w:keepNext w:val="0"/>
              <w:keepLines w:val="0"/>
              <w:suppressLineNumbers w:val="0"/>
              <w:spacing w:before="0" w:beforeAutospacing="0" w:after="0" w:afterAutospacing="0"/>
              <w:ind w:left="0" w:right="0"/>
              <w:rPr>
                <w:color w:val="auto"/>
              </w:rPr>
            </w:pPr>
            <w:r>
              <w:rPr>
                <w:color w:val="auto"/>
              </w:rPr>
              <w:t>预期投产日期</w:t>
            </w:r>
          </w:p>
        </w:tc>
        <w:tc>
          <w:tcPr>
            <w:tcW w:w="2502" w:type="dxa"/>
            <w:gridSpan w:val="4"/>
            <w:noWrap/>
            <w:vAlign w:val="center"/>
          </w:tcPr>
          <w:p>
            <w:pPr>
              <w:pStyle w:val="26"/>
              <w:keepNext w:val="0"/>
              <w:keepLines w:val="0"/>
              <w:suppressLineNumbers w:val="0"/>
              <w:spacing w:before="0" w:beforeAutospacing="0" w:after="0" w:afterAutospacing="0"/>
              <w:ind w:left="0" w:right="0"/>
              <w:rPr>
                <w:b w:val="0"/>
                <w:color w:val="auto"/>
              </w:rPr>
            </w:pPr>
            <w:r>
              <w:rPr>
                <w:b w:val="0"/>
                <w:color w:val="auto"/>
              </w:rPr>
              <w:t>20</w:t>
            </w:r>
            <w:r>
              <w:rPr>
                <w:rFonts w:hint="eastAsia"/>
                <w:b w:val="0"/>
                <w:color w:val="auto"/>
              </w:rPr>
              <w:t>20</w:t>
            </w:r>
            <w:r>
              <w:rPr>
                <w:b w:val="0"/>
                <w:color w:val="auto"/>
              </w:rPr>
              <w:t>年</w:t>
            </w:r>
            <w:r>
              <w:rPr>
                <w:rFonts w:hint="eastAsia"/>
                <w:b w:val="0"/>
                <w:color w:val="auto"/>
              </w:rPr>
              <w:t>12</w:t>
            </w:r>
            <w:r>
              <w:rPr>
                <w:b w:val="0"/>
                <w:color w:val="auto"/>
              </w:rPr>
              <w:t>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jc w:val="center"/>
        </w:trPr>
        <w:tc>
          <w:tcPr>
            <w:tcW w:w="8522" w:type="dxa"/>
            <w:gridSpan w:val="10"/>
            <w:noWrap/>
            <w:vAlign w:val="center"/>
          </w:tcPr>
          <w:p>
            <w:pPr>
              <w:keepNext w:val="0"/>
              <w:keepLines w:val="0"/>
              <w:suppressLineNumbers w:val="0"/>
              <w:spacing w:before="0" w:beforeAutospacing="0" w:after="0" w:afterAutospacing="0"/>
              <w:ind w:left="0" w:right="0" w:firstLine="0" w:firstLineChars="0"/>
              <w:jc w:val="both"/>
              <w:rPr>
                <w:b/>
                <w:bCs/>
              </w:rPr>
            </w:pPr>
            <w:r>
              <w:rPr>
                <w:b/>
                <w:bCs/>
              </w:rPr>
              <w:t>工程内容及规模：</w:t>
            </w:r>
          </w:p>
          <w:p>
            <w:pPr>
              <w:keepNext w:val="0"/>
              <w:keepLines w:val="0"/>
              <w:suppressLineNumbers w:val="0"/>
              <w:spacing w:before="0" w:beforeAutospacing="0" w:after="0" w:afterAutospacing="0"/>
              <w:ind w:left="0" w:right="0" w:firstLine="590" w:firstLineChars="245"/>
              <w:jc w:val="both"/>
              <w:rPr>
                <w:b/>
                <w:bCs/>
              </w:rPr>
            </w:pPr>
            <w:r>
              <w:rPr>
                <w:b/>
                <w:bCs/>
              </w:rPr>
              <w:t>一、项目由来</w:t>
            </w:r>
          </w:p>
          <w:p>
            <w:pPr>
              <w:pStyle w:val="2"/>
              <w:keepNext w:val="0"/>
              <w:keepLines w:val="0"/>
              <w:suppressLineNumbers w:val="0"/>
              <w:spacing w:before="0" w:beforeAutospacing="0" w:after="0" w:afterAutospacing="0"/>
              <w:ind w:left="0" w:right="0" w:firstLineChars="0"/>
              <w:jc w:val="both"/>
              <w:rPr>
                <w:rFonts w:hint="eastAsia"/>
              </w:rPr>
            </w:pPr>
            <w:r>
              <w:rPr>
                <w:rFonts w:hint="eastAsia"/>
              </w:rPr>
              <w:t>云南银桥机械设备制造有限公司（营业执照见附件1）</w:t>
            </w:r>
            <w:r>
              <w:rPr>
                <w:rFonts w:hint="eastAsia"/>
                <w:lang w:val="en-US" w:eastAsia="zh-CN"/>
              </w:rPr>
              <w:t>前身为昆明市银桥钢模有限公司，</w:t>
            </w:r>
            <w:r>
              <w:t>成立于</w:t>
            </w:r>
            <w:r>
              <w:rPr>
                <w:rFonts w:eastAsia="Times New Roman"/>
              </w:rPr>
              <w:t>2004</w:t>
            </w:r>
            <w:r>
              <w:rPr>
                <w:spacing w:val="-41"/>
              </w:rPr>
              <w:t xml:space="preserve">年 </w:t>
            </w:r>
            <w:r>
              <w:rPr>
                <w:rFonts w:eastAsia="Times New Roman"/>
              </w:rPr>
              <w:t>8</w:t>
            </w:r>
            <w:r>
              <w:rPr>
                <w:spacing w:val="-16"/>
              </w:rPr>
              <w:t>月</w:t>
            </w:r>
            <w:r>
              <w:rPr>
                <w:rFonts w:hint="eastAsia"/>
              </w:rPr>
              <w:t>，拥有国内先进的钢结构制作、加工技术。为认真落实国家中长期科学与技术发展规划纲要，积极响应国家《中国制造2025》，依托“绿色建筑与建筑工业化”等重点专项，践行“以钢代木”的推广组合钢模板政策，结合我国制造业发展实际和未来发展的根本要求，根据《云南省人民政府办公厅关于促进建筑业持续健康发展的实施意见》（云政办发〔2017〕85 号）精神，云南银桥机械设备制造有限公司拟在</w:t>
            </w:r>
            <w:r>
              <w:t>富民县工业园</w:t>
            </w:r>
            <w:r>
              <w:rPr>
                <w:rFonts w:hint="eastAsia"/>
              </w:rPr>
              <w:t>区</w:t>
            </w:r>
            <w:r>
              <w:t>哨菁机械加工园</w:t>
            </w:r>
            <w:r>
              <w:rPr>
                <w:rFonts w:hint="eastAsia"/>
              </w:rPr>
              <w:t>投资钢模板生产线和爬模设备生产线建设项目。</w:t>
            </w:r>
          </w:p>
          <w:p>
            <w:pPr>
              <w:keepNext w:val="0"/>
              <w:keepLines w:val="0"/>
              <w:suppressLineNumbers w:val="0"/>
              <w:spacing w:before="0" w:beforeAutospacing="0" w:after="0" w:afterAutospacing="0"/>
              <w:ind w:left="0" w:right="0"/>
              <w:rPr>
                <w:rFonts w:eastAsia="Times New Roman"/>
              </w:rPr>
            </w:pPr>
            <w:r>
              <w:rPr>
                <w:rFonts w:hint="eastAsia"/>
              </w:rPr>
              <w:t>本项目于2020年11月11日取得了富民县发展和改革局投资备案证，备案证号为富发改企业备案[2020]77号，详见附件11。</w:t>
            </w:r>
          </w:p>
          <w:p>
            <w:pPr>
              <w:keepNext w:val="0"/>
              <w:keepLines w:val="0"/>
              <w:suppressLineNumbers w:val="0"/>
              <w:spacing w:before="0" w:beforeAutospacing="0" w:after="0" w:afterAutospacing="0" w:line="480" w:lineRule="exact"/>
              <w:ind w:left="0" w:right="0" w:firstLine="480"/>
              <w:jc w:val="both"/>
            </w:pPr>
            <w:r>
              <w:rPr>
                <w:rFonts w:hint="eastAsia"/>
              </w:rPr>
              <w:t>按照</w:t>
            </w:r>
            <w:r>
              <w:t>《中华人民共和国环境保护法》、《建设项目环境保护管理条例》，建设过程中或者建成投产后可能对环境产生影响的新建、扩建、改建、迁建、技术改造项目及区域开发建设项目，需进行环境影响评价。根据2018年4月28日公布的《关于修改&lt;建设项目环境影响评价分类管理名录&gt;部分内容的决定》修正）中本项目属于</w:t>
            </w:r>
            <w:r>
              <w:rPr>
                <w:rFonts w:asciiTheme="minorEastAsia" w:hAnsiTheme="minorEastAsia" w:eastAsiaTheme="minorEastAsia"/>
              </w:rPr>
              <w:t>“</w:t>
            </w:r>
            <w:r>
              <w:t>二十二、金属制品业67、金属制品加工制造</w:t>
            </w:r>
            <w:r>
              <w:rPr>
                <w:rFonts w:hint="eastAsia"/>
              </w:rPr>
              <w:t>”</w:t>
            </w:r>
            <w:r>
              <w:t>中</w:t>
            </w:r>
            <w:r>
              <w:rPr>
                <w:rFonts w:asciiTheme="minorEastAsia" w:hAnsiTheme="minorEastAsia" w:eastAsiaTheme="minorEastAsia"/>
              </w:rPr>
              <w:t>“</w:t>
            </w:r>
            <w:r>
              <w:t>其他（仅切割组装除外）</w:t>
            </w:r>
            <w:r>
              <w:rPr>
                <w:rFonts w:asciiTheme="minorEastAsia" w:hAnsiTheme="minorEastAsia" w:eastAsiaTheme="minorEastAsia"/>
              </w:rPr>
              <w:t>”</w:t>
            </w:r>
            <w:r>
              <w:t>，建设项目不涉及电镀工艺</w:t>
            </w:r>
            <w:r>
              <w:rPr>
                <w:rFonts w:hint="eastAsia"/>
              </w:rPr>
              <w:t>但</w:t>
            </w:r>
            <w:r>
              <w:t>使用水性涂料，应该编制环境影响报告表。</w:t>
            </w:r>
            <w:r>
              <w:rPr>
                <w:rFonts w:hint="eastAsia"/>
              </w:rPr>
              <w:t>云南银桥机械设备制造有限公司</w:t>
            </w:r>
            <w:r>
              <w:rPr>
                <w:spacing w:val="-2"/>
              </w:rPr>
              <w:t>特委托</w:t>
            </w:r>
            <w:r>
              <w:rPr>
                <w:rFonts w:hint="eastAsia"/>
                <w:spacing w:val="-2"/>
              </w:rPr>
              <w:t>云南联创环境工程有限公司</w:t>
            </w:r>
            <w:r>
              <w:rPr>
                <w:spacing w:val="-2"/>
              </w:rPr>
              <w:t>承担《</w:t>
            </w:r>
            <w:r>
              <w:rPr>
                <w:rFonts w:hint="eastAsia"/>
              </w:rPr>
              <w:t>年产3万吨钢模及爬模设备生产线建设项目</w:t>
            </w:r>
            <w:r>
              <w:rPr>
                <w:spacing w:val="-2"/>
              </w:rPr>
              <w:t>环境影响报告表》的编制</w:t>
            </w:r>
            <w:r>
              <w:t>工作（委托书</w:t>
            </w:r>
            <w:r>
              <w:rPr>
                <w:spacing w:val="-2"/>
              </w:rPr>
              <w:t>见附件</w:t>
            </w:r>
            <w:r>
              <w:rPr>
                <w:rFonts w:hint="eastAsia"/>
                <w:spacing w:val="-2"/>
              </w:rPr>
              <w:t>2</w:t>
            </w:r>
            <w:r>
              <w:t>）。</w:t>
            </w:r>
            <w:r>
              <w:rPr>
                <w:bCs/>
              </w:rPr>
              <w:t>我公司环评技术人员在接受委托后，在现场调研、查阅相关资料、分析工程内容等基础上，编制出了本项目环境影响报告表。本报告表</w:t>
            </w:r>
            <w:r>
              <w:t>经审查批准后，可以作为环境保护审批部门管理和环保工程设计的科学依据。</w:t>
            </w:r>
          </w:p>
          <w:p>
            <w:pPr>
              <w:keepNext w:val="0"/>
              <w:keepLines w:val="0"/>
              <w:suppressLineNumbers w:val="0"/>
              <w:spacing w:before="0" w:beforeAutospacing="0" w:after="0" w:afterAutospacing="0"/>
              <w:ind w:left="0" w:right="0" w:firstLine="472" w:firstLineChars="196"/>
              <w:jc w:val="both"/>
              <w:rPr>
                <w:b/>
                <w:bCs/>
              </w:rPr>
            </w:pPr>
            <w:r>
              <w:rPr>
                <w:b/>
                <w:bCs/>
              </w:rPr>
              <w:t>二、</w:t>
            </w:r>
            <w:r>
              <w:rPr>
                <w:rFonts w:hint="eastAsia"/>
                <w:b/>
                <w:bCs/>
              </w:rPr>
              <w:t>项目概况</w:t>
            </w:r>
          </w:p>
          <w:p>
            <w:pPr>
              <w:keepNext w:val="0"/>
              <w:keepLines w:val="0"/>
              <w:suppressLineNumbers w:val="0"/>
              <w:spacing w:before="0" w:beforeAutospacing="0" w:after="0" w:afterAutospacing="0"/>
              <w:ind w:left="0" w:right="0" w:firstLine="480"/>
              <w:jc w:val="both"/>
            </w:pPr>
            <w:r>
              <w:t>项目名称：</w:t>
            </w:r>
            <w:r>
              <w:rPr>
                <w:rFonts w:hint="eastAsia"/>
              </w:rPr>
              <w:t>年产3万吨钢模及爬模设备生产线建设项目</w:t>
            </w:r>
          </w:p>
          <w:p>
            <w:pPr>
              <w:keepNext w:val="0"/>
              <w:keepLines w:val="0"/>
              <w:suppressLineNumbers w:val="0"/>
              <w:spacing w:before="0" w:beforeAutospacing="0" w:after="0" w:afterAutospacing="0"/>
              <w:ind w:left="0" w:right="0" w:firstLine="480"/>
              <w:jc w:val="both"/>
            </w:pPr>
            <w:r>
              <w:t>建设单位：</w:t>
            </w:r>
            <w:r>
              <w:rPr>
                <w:rFonts w:hint="eastAsia"/>
              </w:rPr>
              <w:t>云南银桥机械设备制造有限公司</w:t>
            </w:r>
          </w:p>
          <w:p>
            <w:pPr>
              <w:keepNext w:val="0"/>
              <w:keepLines w:val="0"/>
              <w:suppressLineNumbers w:val="0"/>
              <w:spacing w:before="0" w:beforeAutospacing="0" w:after="0" w:afterAutospacing="0"/>
              <w:ind w:left="0" w:right="0" w:firstLine="480" w:firstLineChars="0"/>
              <w:jc w:val="both"/>
            </w:pPr>
            <w:r>
              <w:t>建设地点：富民县工业园</w:t>
            </w:r>
            <w:r>
              <w:rPr>
                <w:rFonts w:hint="eastAsia"/>
              </w:rPr>
              <w:t>区</w:t>
            </w:r>
            <w:r>
              <w:t>哨菁机械加工园</w:t>
            </w:r>
          </w:p>
          <w:p>
            <w:pPr>
              <w:keepNext w:val="0"/>
              <w:keepLines w:val="0"/>
              <w:suppressLineNumbers w:val="0"/>
              <w:spacing w:before="0" w:beforeAutospacing="0" w:after="0" w:afterAutospacing="0"/>
              <w:ind w:left="0" w:right="0" w:firstLine="480"/>
              <w:jc w:val="both"/>
            </w:pPr>
            <w:r>
              <w:t>建设性质：</w:t>
            </w:r>
            <w:r>
              <w:rPr>
                <w:rFonts w:hint="eastAsia"/>
              </w:rPr>
              <w:t>新建</w:t>
            </w:r>
          </w:p>
          <w:p>
            <w:pPr>
              <w:keepNext w:val="0"/>
              <w:keepLines w:val="0"/>
              <w:suppressLineNumbers w:val="0"/>
              <w:spacing w:before="0" w:beforeAutospacing="0" w:after="0" w:afterAutospacing="0"/>
              <w:ind w:left="0" w:right="0" w:firstLine="480"/>
              <w:jc w:val="both"/>
            </w:pPr>
            <w:r>
              <w:t>投资金额</w:t>
            </w:r>
            <w:r>
              <w:rPr>
                <w:rFonts w:hint="eastAsia"/>
              </w:rPr>
              <w:t>：10099</w:t>
            </w:r>
            <w:r>
              <w:t>万元</w:t>
            </w:r>
          </w:p>
          <w:p>
            <w:pPr>
              <w:keepNext w:val="0"/>
              <w:keepLines w:val="0"/>
              <w:suppressLineNumbers w:val="0"/>
              <w:tabs>
                <w:tab w:val="left" w:pos="439"/>
              </w:tabs>
              <w:spacing w:before="0" w:beforeAutospacing="0" w:after="0" w:afterAutospacing="0"/>
              <w:ind w:left="0" w:right="0" w:firstLine="472" w:firstLineChars="196"/>
              <w:jc w:val="both"/>
              <w:rPr>
                <w:b/>
                <w:bCs/>
              </w:rPr>
            </w:pPr>
            <w:r>
              <w:rPr>
                <w:rFonts w:hint="eastAsia"/>
                <w:b/>
                <w:bCs/>
              </w:rPr>
              <w:t>三、</w:t>
            </w:r>
            <w:r>
              <w:rPr>
                <w:b/>
                <w:bCs/>
              </w:rPr>
              <w:t>建设内容及规模</w:t>
            </w:r>
          </w:p>
          <w:p>
            <w:pPr>
              <w:keepNext w:val="0"/>
              <w:keepLines w:val="0"/>
              <w:suppressLineNumbers w:val="0"/>
              <w:spacing w:before="0" w:beforeAutospacing="0" w:after="0" w:afterAutospacing="0"/>
              <w:ind w:left="0" w:right="0" w:firstLine="480"/>
              <w:jc w:val="both"/>
            </w:pPr>
            <w:r>
              <w:t>项目</w:t>
            </w:r>
            <w:r>
              <w:rPr>
                <w:rFonts w:hint="eastAsia"/>
              </w:rPr>
              <w:t>租用云南鸿发机械制造有限公司现有标准厂房12452.8m</w:t>
            </w:r>
            <w:r>
              <w:rPr>
                <w:rFonts w:hint="eastAsia"/>
                <w:vertAlign w:val="superscript"/>
              </w:rPr>
              <w:t>2</w:t>
            </w:r>
            <w:r>
              <w:rPr>
                <w:rFonts w:hint="eastAsia"/>
              </w:rPr>
              <w:t>及办公楼729m</w:t>
            </w:r>
            <w:r>
              <w:rPr>
                <w:rFonts w:hint="eastAsia"/>
                <w:vertAlign w:val="superscript"/>
              </w:rPr>
              <w:t>2</w:t>
            </w:r>
            <w:r>
              <w:rPr>
                <w:rFonts w:hint="eastAsia"/>
              </w:rPr>
              <w:t>，安装年产3万吨钢模及爬模设备生产线共2条。</w:t>
            </w:r>
            <w:bookmarkStart w:id="3" w:name="_Toc394998924"/>
            <w:r>
              <w:rPr>
                <w:rFonts w:hint="eastAsia"/>
              </w:rPr>
              <w:t>云南鸿发机械制造有限公司</w:t>
            </w:r>
            <w:r>
              <w:t>已</w:t>
            </w:r>
            <w:r>
              <w:rPr>
                <w:rFonts w:hint="eastAsia"/>
              </w:rPr>
              <w:t>办理了相关环保手续，并</w:t>
            </w:r>
            <w:r>
              <w:t>获得环保局批复文件</w:t>
            </w:r>
            <w:r>
              <w:rPr>
                <w:rFonts w:hint="eastAsia"/>
              </w:rPr>
              <w:t>（富环保复【2015】9号），批复详见附件3。</w:t>
            </w:r>
          </w:p>
          <w:p>
            <w:pPr>
              <w:keepNext w:val="0"/>
              <w:keepLines w:val="0"/>
              <w:suppressLineNumbers w:val="0"/>
              <w:spacing w:before="0" w:beforeAutospacing="0" w:after="0" w:afterAutospacing="0"/>
              <w:ind w:left="0" w:right="0" w:firstLine="480"/>
              <w:jc w:val="both"/>
            </w:pPr>
            <w:r>
              <w:t>工程内容主要包括主体工程</w:t>
            </w:r>
            <w:r>
              <w:rPr>
                <w:rFonts w:hint="eastAsia"/>
              </w:rPr>
              <w:t>（1#生产厂房、2#生产厂房）、附属工程（综合楼、淋浴间）、公用工程（供水工程、排水工程、供电工程）、环保工程（危废暂存间、VOCS处理系统、化粪池、隔油池、油烟净化器等）。项目所涉及工程内容除淋浴间外全部使用云南鸿发机械制造有限公司已建成建筑。</w:t>
            </w:r>
          </w:p>
          <w:p>
            <w:pPr>
              <w:keepNext w:val="0"/>
              <w:keepLines w:val="0"/>
              <w:suppressLineNumbers w:val="0"/>
              <w:spacing w:before="0" w:beforeAutospacing="0" w:after="0" w:afterAutospacing="0"/>
              <w:ind w:left="0" w:right="0" w:firstLine="480"/>
              <w:jc w:val="both"/>
            </w:pPr>
            <w:r>
              <w:rPr>
                <w:rFonts w:hint="eastAsia"/>
              </w:rPr>
              <w:t>项目运营后共设置员工40人。供电、供水依托富民工业园区电网及供水系统。项目</w:t>
            </w:r>
            <w:r>
              <w:t>工程</w:t>
            </w:r>
            <w:r>
              <w:rPr>
                <w:rFonts w:hint="eastAsia"/>
              </w:rPr>
              <w:t>组成</w:t>
            </w:r>
            <w:r>
              <w:t>见表1-1</w:t>
            </w:r>
            <w:r>
              <w:rPr>
                <w:rFonts w:hint="eastAsia"/>
              </w:rPr>
              <w:t>所示。</w:t>
            </w:r>
          </w:p>
          <w:p>
            <w:pPr>
              <w:pStyle w:val="25"/>
              <w:keepNext w:val="0"/>
              <w:keepLines w:val="0"/>
              <w:suppressLineNumbers w:val="0"/>
              <w:spacing w:before="0" w:beforeAutospacing="0" w:after="0" w:afterAutospacing="0" w:line="240" w:lineRule="auto"/>
              <w:ind w:left="0" w:right="0"/>
            </w:pPr>
            <w:r>
              <w:t>表1-1  项目工程组成一览表</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39"/>
              <w:gridCol w:w="858"/>
              <w:gridCol w:w="463"/>
              <w:gridCol w:w="721"/>
              <w:gridCol w:w="576"/>
              <w:gridCol w:w="2988"/>
              <w:gridCol w:w="203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639"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工程</w:t>
                  </w:r>
                </w:p>
                <w:p>
                  <w:pPr>
                    <w:pStyle w:val="26"/>
                    <w:keepNext w:val="0"/>
                    <w:keepLines w:val="0"/>
                    <w:suppressLineNumbers w:val="0"/>
                    <w:spacing w:before="0" w:beforeAutospacing="0" w:after="0" w:afterAutospacing="0"/>
                    <w:ind w:left="0" w:right="0"/>
                    <w:rPr>
                      <w:b w:val="0"/>
                      <w:bCs w:val="0"/>
                      <w:color w:val="auto"/>
                    </w:rPr>
                  </w:pPr>
                  <w:r>
                    <w:rPr>
                      <w:b w:val="0"/>
                      <w:bCs w:val="0"/>
                      <w:color w:val="auto"/>
                    </w:rPr>
                    <w:t>类别</w:t>
                  </w:r>
                </w:p>
              </w:tc>
              <w:tc>
                <w:tcPr>
                  <w:tcW w:w="2042" w:type="dxa"/>
                  <w:gridSpan w:val="3"/>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工程组成</w:t>
                  </w:r>
                </w:p>
              </w:tc>
              <w:tc>
                <w:tcPr>
                  <w:tcW w:w="3564"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主要工程内容</w:t>
                  </w:r>
                </w:p>
              </w:tc>
              <w:tc>
                <w:tcPr>
                  <w:tcW w:w="2031"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639"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主体工程</w:t>
                  </w:r>
                </w:p>
              </w:tc>
              <w:tc>
                <w:tcPr>
                  <w:tcW w:w="858"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标准化厂房</w:t>
                  </w:r>
                </w:p>
              </w:tc>
              <w:tc>
                <w:tcPr>
                  <w:tcW w:w="1184"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w:t>
                  </w:r>
                  <w:r>
                    <w:rPr>
                      <w:b w:val="0"/>
                      <w:bCs w:val="0"/>
                      <w:color w:val="auto"/>
                    </w:rPr>
                    <w:t>生产</w:t>
                  </w:r>
                  <w:r>
                    <w:rPr>
                      <w:rFonts w:hint="eastAsia"/>
                      <w:b w:val="0"/>
                      <w:bCs w:val="0"/>
                      <w:color w:val="auto"/>
                    </w:rPr>
                    <w:t>厂房</w:t>
                  </w:r>
                </w:p>
              </w:tc>
              <w:tc>
                <w:tcPr>
                  <w:tcW w:w="3564" w:type="dxa"/>
                  <w:gridSpan w:val="2"/>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车间建筑面积均为</w:t>
                  </w:r>
                  <w:r>
                    <w:rPr>
                      <w:rFonts w:hint="eastAsia"/>
                      <w:b w:val="0"/>
                      <w:bCs w:val="0"/>
                      <w:color w:val="auto"/>
                    </w:rPr>
                    <w:t>6226m</w:t>
                  </w:r>
                  <w:r>
                    <w:rPr>
                      <w:rFonts w:hint="eastAsia"/>
                      <w:b w:val="0"/>
                      <w:bCs w:val="0"/>
                      <w:color w:val="auto"/>
                      <w:vertAlign w:val="superscript"/>
                    </w:rPr>
                    <w:t>2</w:t>
                  </w:r>
                  <w:r>
                    <w:rPr>
                      <w:b w:val="0"/>
                      <w:bCs w:val="0"/>
                      <w:color w:val="auto"/>
                    </w:rPr>
                    <w:t>，位于厂区</w:t>
                  </w:r>
                  <w:r>
                    <w:rPr>
                      <w:rFonts w:hint="eastAsia"/>
                      <w:b w:val="0"/>
                      <w:bCs w:val="0"/>
                      <w:color w:val="auto"/>
                    </w:rPr>
                    <w:t>中</w:t>
                  </w:r>
                  <w:r>
                    <w:rPr>
                      <w:b w:val="0"/>
                      <w:bCs w:val="0"/>
                      <w:color w:val="auto"/>
                    </w:rPr>
                    <w:t>部，设置有原料堆放区</w:t>
                  </w:r>
                  <w:r>
                    <w:rPr>
                      <w:rFonts w:hint="eastAsia"/>
                      <w:b w:val="0"/>
                      <w:bCs w:val="0"/>
                      <w:color w:val="auto"/>
                    </w:rPr>
                    <w:t>、</w:t>
                  </w:r>
                  <w:r>
                    <w:rPr>
                      <w:b w:val="0"/>
                      <w:bCs w:val="0"/>
                      <w:color w:val="auto"/>
                    </w:rPr>
                    <w:t>下料区</w:t>
                  </w:r>
                  <w:r>
                    <w:rPr>
                      <w:rFonts w:hint="eastAsia"/>
                      <w:b w:val="0"/>
                      <w:bCs w:val="0"/>
                      <w:color w:val="auto"/>
                    </w:rPr>
                    <w:t>、</w:t>
                  </w:r>
                  <w:r>
                    <w:rPr>
                      <w:b w:val="0"/>
                      <w:bCs w:val="0"/>
                      <w:color w:val="auto"/>
                    </w:rPr>
                    <w:t>加工区</w:t>
                  </w:r>
                  <w:r>
                    <w:rPr>
                      <w:rFonts w:hint="eastAsia"/>
                      <w:b w:val="0"/>
                      <w:bCs w:val="0"/>
                      <w:color w:val="auto"/>
                    </w:rPr>
                    <w:t>、</w:t>
                  </w:r>
                  <w:r>
                    <w:rPr>
                      <w:b w:val="0"/>
                      <w:bCs w:val="0"/>
                      <w:color w:val="auto"/>
                    </w:rPr>
                    <w:t>成品堆放区</w:t>
                  </w:r>
                  <w:r>
                    <w:rPr>
                      <w:rFonts w:hint="eastAsia"/>
                      <w:b w:val="0"/>
                      <w:bCs w:val="0"/>
                      <w:color w:val="auto"/>
                    </w:rPr>
                    <w:t>，主要的工序为钢材剪板（切割）、组合、焊接、矫正、钻孔、喷漆等，喷漆房为单独的密闭车间，喷漆房地面为带孔钢板，底部设置有涂料回收池</w:t>
                  </w:r>
                  <w:r>
                    <w:rPr>
                      <w:b w:val="0"/>
                      <w:bCs w:val="0"/>
                      <w:color w:val="auto"/>
                    </w:rPr>
                    <w:t>。</w:t>
                  </w:r>
                </w:p>
              </w:tc>
              <w:tc>
                <w:tcPr>
                  <w:tcW w:w="2031"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生产厂房为双跨等高钢结构体系，1层。层高9.65m</w:t>
                  </w:r>
                  <w:r>
                    <w:rPr>
                      <w:rFonts w:hint="eastAsia"/>
                      <w:b w:val="0"/>
                      <w:bCs w:val="0"/>
                      <w:color w:val="auto"/>
                    </w:rPr>
                    <w:t>，</w:t>
                  </w:r>
                  <w:r>
                    <w:rPr>
                      <w:b w:val="0"/>
                      <w:bCs w:val="0"/>
                      <w:color w:val="auto"/>
                    </w:rPr>
                    <w:t>位置详见附图</w:t>
                  </w:r>
                  <w:r>
                    <w:rPr>
                      <w:rFonts w:hint="eastAsia"/>
                      <w:b w:val="0"/>
                      <w:bCs w:val="0"/>
                      <w:color w:val="auto"/>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639"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184"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w:t>
                  </w:r>
                  <w:r>
                    <w:rPr>
                      <w:b w:val="0"/>
                      <w:bCs w:val="0"/>
                      <w:color w:val="auto"/>
                    </w:rPr>
                    <w:t>生产</w:t>
                  </w:r>
                  <w:r>
                    <w:rPr>
                      <w:rFonts w:hint="eastAsia"/>
                      <w:b w:val="0"/>
                      <w:bCs w:val="0"/>
                      <w:color w:val="auto"/>
                    </w:rPr>
                    <w:t>厂房</w:t>
                  </w:r>
                </w:p>
              </w:tc>
              <w:tc>
                <w:tcPr>
                  <w:tcW w:w="3565" w:type="dxa"/>
                  <w:gridSpan w:val="2"/>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2032"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639"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附属工程</w:t>
                  </w:r>
                </w:p>
              </w:tc>
              <w:tc>
                <w:tcPr>
                  <w:tcW w:w="856"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综合楼</w:t>
                  </w:r>
                  <w:r>
                    <w:rPr>
                      <w:rFonts w:hint="eastAsia"/>
                      <w:b w:val="0"/>
                      <w:bCs w:val="0"/>
                      <w:color w:val="auto"/>
                    </w:rPr>
                    <w:t>（4F）</w:t>
                  </w:r>
                </w:p>
              </w:tc>
              <w:tc>
                <w:tcPr>
                  <w:tcW w:w="1184"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食堂</w:t>
                  </w:r>
                </w:p>
              </w:tc>
              <w:tc>
                <w:tcPr>
                  <w:tcW w:w="3565"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位于综合楼一楼</w:t>
                  </w:r>
                  <w:r>
                    <w:rPr>
                      <w:rFonts w:hint="eastAsia"/>
                      <w:b w:val="0"/>
                      <w:bCs w:val="0"/>
                      <w:color w:val="auto"/>
                    </w:rPr>
                    <w:t>，</w:t>
                  </w:r>
                  <w:r>
                    <w:rPr>
                      <w:b w:val="0"/>
                      <w:bCs w:val="0"/>
                      <w:color w:val="auto"/>
                    </w:rPr>
                    <w:t>建筑面积</w:t>
                  </w:r>
                  <w:r>
                    <w:rPr>
                      <w:rFonts w:hint="eastAsia"/>
                      <w:b w:val="0"/>
                      <w:bCs w:val="0"/>
                      <w:color w:val="auto"/>
                    </w:rPr>
                    <w:t>729m</w:t>
                  </w:r>
                  <w:r>
                    <w:rPr>
                      <w:rFonts w:hint="eastAsia"/>
                      <w:b w:val="0"/>
                      <w:bCs w:val="0"/>
                      <w:color w:val="auto"/>
                      <w:vertAlign w:val="superscript"/>
                    </w:rPr>
                    <w:t>2</w:t>
                  </w:r>
                  <w:r>
                    <w:rPr>
                      <w:rFonts w:hint="eastAsia"/>
                      <w:b w:val="0"/>
                      <w:bCs w:val="0"/>
                      <w:color w:val="auto"/>
                    </w:rPr>
                    <w:t>，设置基础灶台两个，使用的能源为液化气及电，可满足厂区40人就餐。</w:t>
                  </w:r>
                </w:p>
              </w:tc>
              <w:tc>
                <w:tcPr>
                  <w:tcW w:w="2032"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综合楼为钢混结构</w:t>
                  </w:r>
                  <w:r>
                    <w:rPr>
                      <w:rFonts w:hint="eastAsia"/>
                      <w:b w:val="0"/>
                      <w:bCs w:val="0"/>
                      <w:color w:val="auto"/>
                    </w:rPr>
                    <w:t>，</w:t>
                  </w:r>
                  <w:r>
                    <w:rPr>
                      <w:b w:val="0"/>
                      <w:bCs w:val="0"/>
                      <w:color w:val="auto"/>
                    </w:rPr>
                    <w:t>位置详见附图</w:t>
                  </w:r>
                  <w:r>
                    <w:rPr>
                      <w:rFonts w:hint="eastAsia"/>
                      <w:b w:val="0"/>
                      <w:bCs w:val="0"/>
                      <w:color w:val="auto"/>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639"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184"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办公室</w:t>
                  </w:r>
                </w:p>
              </w:tc>
              <w:tc>
                <w:tcPr>
                  <w:tcW w:w="3565"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位于综合楼</w:t>
                  </w:r>
                  <w:r>
                    <w:rPr>
                      <w:rFonts w:hint="eastAsia"/>
                      <w:b w:val="0"/>
                      <w:bCs w:val="0"/>
                      <w:color w:val="auto"/>
                    </w:rPr>
                    <w:t>2-3</w:t>
                  </w:r>
                  <w:r>
                    <w:rPr>
                      <w:b w:val="0"/>
                      <w:bCs w:val="0"/>
                      <w:color w:val="auto"/>
                    </w:rPr>
                    <w:t>楼</w:t>
                  </w:r>
                  <w:r>
                    <w:rPr>
                      <w:rFonts w:hint="eastAsia"/>
                      <w:b w:val="0"/>
                      <w:bCs w:val="0"/>
                      <w:color w:val="auto"/>
                    </w:rPr>
                    <w:t>，每层</w:t>
                  </w:r>
                  <w:r>
                    <w:rPr>
                      <w:b w:val="0"/>
                      <w:bCs w:val="0"/>
                      <w:color w:val="auto"/>
                    </w:rPr>
                    <w:t>建筑面积均为</w:t>
                  </w:r>
                  <w:r>
                    <w:rPr>
                      <w:rFonts w:hint="eastAsia"/>
                      <w:b w:val="0"/>
                      <w:bCs w:val="0"/>
                      <w:color w:val="auto"/>
                    </w:rPr>
                    <w:t>729m</w:t>
                  </w:r>
                  <w:r>
                    <w:rPr>
                      <w:rFonts w:hint="eastAsia"/>
                      <w:b w:val="0"/>
                      <w:bCs w:val="0"/>
                      <w:color w:val="auto"/>
                      <w:vertAlign w:val="superscript"/>
                    </w:rPr>
                    <w:t>2</w:t>
                  </w:r>
                  <w:r>
                    <w:rPr>
                      <w:rFonts w:hint="eastAsia"/>
                      <w:b w:val="0"/>
                      <w:bCs w:val="0"/>
                      <w:color w:val="auto"/>
                    </w:rPr>
                    <w:t>。</w:t>
                  </w:r>
                </w:p>
              </w:tc>
              <w:tc>
                <w:tcPr>
                  <w:tcW w:w="2032"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639"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184"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员工宿舍</w:t>
                  </w:r>
                </w:p>
              </w:tc>
              <w:tc>
                <w:tcPr>
                  <w:tcW w:w="3565"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位于综合楼</w:t>
                  </w:r>
                  <w:r>
                    <w:rPr>
                      <w:rFonts w:hint="eastAsia"/>
                      <w:b w:val="0"/>
                      <w:bCs w:val="0"/>
                      <w:color w:val="auto"/>
                    </w:rPr>
                    <w:t>4楼，</w:t>
                  </w:r>
                  <w:r>
                    <w:rPr>
                      <w:b w:val="0"/>
                      <w:bCs w:val="0"/>
                      <w:color w:val="auto"/>
                    </w:rPr>
                    <w:t>建筑面积</w:t>
                  </w:r>
                  <w:r>
                    <w:rPr>
                      <w:rFonts w:hint="eastAsia"/>
                      <w:b w:val="0"/>
                      <w:bCs w:val="0"/>
                      <w:color w:val="auto"/>
                    </w:rPr>
                    <w:t>729m</w:t>
                  </w:r>
                  <w:r>
                    <w:rPr>
                      <w:rFonts w:hint="eastAsia"/>
                      <w:b w:val="0"/>
                      <w:bCs w:val="0"/>
                      <w:color w:val="auto"/>
                      <w:vertAlign w:val="superscript"/>
                    </w:rPr>
                    <w:t>2</w:t>
                  </w:r>
                  <w:r>
                    <w:rPr>
                      <w:rFonts w:hint="eastAsia"/>
                      <w:b w:val="0"/>
                      <w:bCs w:val="0"/>
                      <w:color w:val="auto"/>
                    </w:rPr>
                    <w:t>，不设置淋浴间。</w:t>
                  </w:r>
                </w:p>
              </w:tc>
              <w:tc>
                <w:tcPr>
                  <w:tcW w:w="2032"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639"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184"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卫生间</w:t>
                  </w:r>
                </w:p>
              </w:tc>
              <w:tc>
                <w:tcPr>
                  <w:tcW w:w="3565"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各层均设置一个</w:t>
                  </w:r>
                  <w:r>
                    <w:rPr>
                      <w:rFonts w:hint="eastAsia"/>
                      <w:b w:val="0"/>
                      <w:bCs w:val="0"/>
                      <w:color w:val="auto"/>
                    </w:rPr>
                    <w:t>50m</w:t>
                  </w:r>
                  <w:r>
                    <w:rPr>
                      <w:rFonts w:hint="eastAsia"/>
                      <w:b w:val="0"/>
                      <w:bCs w:val="0"/>
                      <w:color w:val="auto"/>
                      <w:vertAlign w:val="superscript"/>
                    </w:rPr>
                    <w:t>2</w:t>
                  </w:r>
                  <w:r>
                    <w:rPr>
                      <w:rFonts w:hint="eastAsia"/>
                      <w:b w:val="0"/>
                      <w:bCs w:val="0"/>
                      <w:color w:val="auto"/>
                    </w:rPr>
                    <w:t>的公用厕所。</w:t>
                  </w:r>
                </w:p>
              </w:tc>
              <w:tc>
                <w:tcPr>
                  <w:tcW w:w="2032"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639"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184"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淋浴间</w:t>
                  </w:r>
                </w:p>
              </w:tc>
              <w:tc>
                <w:tcPr>
                  <w:tcW w:w="3565"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位于厂区南部，占地面积140m</w:t>
                  </w:r>
                  <w:r>
                    <w:rPr>
                      <w:rFonts w:hint="eastAsia"/>
                      <w:b w:val="0"/>
                      <w:bCs w:val="0"/>
                      <w:color w:val="auto"/>
                      <w:vertAlign w:val="superscript"/>
                    </w:rPr>
                    <w:t>2</w:t>
                  </w:r>
                  <w:r>
                    <w:rPr>
                      <w:rFonts w:hint="eastAsia"/>
                      <w:b w:val="0"/>
                      <w:bCs w:val="0"/>
                      <w:color w:val="auto"/>
                    </w:rPr>
                    <w:t>，钢质框架结构，地面硬化。淋浴用水采用热水器加热。</w:t>
                  </w:r>
                </w:p>
              </w:tc>
              <w:tc>
                <w:tcPr>
                  <w:tcW w:w="2032"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位置详见附图</w:t>
                  </w:r>
                  <w:r>
                    <w:rPr>
                      <w:rFonts w:hint="eastAsia"/>
                      <w:b w:val="0"/>
                      <w:bCs w:val="0"/>
                      <w:color w:val="auto"/>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639"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公用及辅助工程</w:t>
                  </w:r>
                </w:p>
              </w:tc>
              <w:tc>
                <w:tcPr>
                  <w:tcW w:w="856"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给排水</w:t>
                  </w:r>
                </w:p>
              </w:tc>
              <w:tc>
                <w:tcPr>
                  <w:tcW w:w="1184"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供水</w:t>
                  </w:r>
                </w:p>
              </w:tc>
              <w:tc>
                <w:tcPr>
                  <w:tcW w:w="5597" w:type="dxa"/>
                  <w:gridSpan w:val="3"/>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由为富民工业园区供水管网供给。项目不直接取水，区域内无取水井设置。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639"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463"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排水</w:t>
                  </w:r>
                </w:p>
              </w:tc>
              <w:tc>
                <w:tcPr>
                  <w:tcW w:w="721"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生产污水</w:t>
                  </w:r>
                </w:p>
              </w:tc>
              <w:tc>
                <w:tcPr>
                  <w:tcW w:w="576"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涂料废水</w:t>
                  </w:r>
                </w:p>
              </w:tc>
              <w:tc>
                <w:tcPr>
                  <w:tcW w:w="5021" w:type="dxa"/>
                  <w:gridSpan w:val="2"/>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项目涂料废水主要来源于喷涂过程中产生的漆雾部分进入到喷漆房底部的涂料废水收集池内。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639"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463"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721"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576"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冷却水</w:t>
                  </w:r>
                </w:p>
              </w:tc>
              <w:tc>
                <w:tcPr>
                  <w:tcW w:w="5021" w:type="dxa"/>
                  <w:gridSpan w:val="2"/>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部分材料经过冲床冲孔后需使用水进行快速冷却，喷洒的水进入冲床下部钢结构的废水收集池，经滤网过滤后回用。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6" w:hRule="atLeast"/>
                <w:jc w:val="center"/>
              </w:trPr>
              <w:tc>
                <w:tcPr>
                  <w:tcW w:w="639"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463"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721"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生活污水</w:t>
                  </w:r>
                </w:p>
              </w:tc>
              <w:tc>
                <w:tcPr>
                  <w:tcW w:w="5597" w:type="dxa"/>
                  <w:gridSpan w:val="3"/>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厂区生活污水主要来源于淋浴间、食堂及卫生间。淋浴用水直接经厂区污水管进入园区污水管网，食堂废水经隔油池后与厕所废水进入厂区化粪池处理后进入园区污水管网。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6" w:hRule="atLeast"/>
                <w:jc w:val="center"/>
              </w:trPr>
              <w:tc>
                <w:tcPr>
                  <w:tcW w:w="639"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463"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721"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雨水</w:t>
                  </w:r>
                </w:p>
              </w:tc>
              <w:tc>
                <w:tcPr>
                  <w:tcW w:w="5597" w:type="dxa"/>
                  <w:gridSpan w:val="3"/>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厂区生产厂房四周均设置有雨水沟，收集后排入园区雨水管网。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639"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能源</w:t>
                  </w:r>
                </w:p>
              </w:tc>
              <w:tc>
                <w:tcPr>
                  <w:tcW w:w="1184"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供电</w:t>
                  </w:r>
                </w:p>
              </w:tc>
              <w:tc>
                <w:tcPr>
                  <w:tcW w:w="5597" w:type="dxa"/>
                  <w:gridSpan w:val="3"/>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项目生产、消防等用电由富民工业园区电网供给，场区范围内无备用电源设置。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639"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环保工程</w:t>
                  </w:r>
                </w:p>
              </w:tc>
              <w:tc>
                <w:tcPr>
                  <w:tcW w:w="856"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固废</w:t>
                  </w:r>
                </w:p>
              </w:tc>
              <w:tc>
                <w:tcPr>
                  <w:tcW w:w="1184"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危险废物暂存间</w:t>
                  </w:r>
                </w:p>
              </w:tc>
              <w:tc>
                <w:tcPr>
                  <w:tcW w:w="5597" w:type="dxa"/>
                  <w:gridSpan w:val="3"/>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拟在1#生产厂房内设置1间危险废物暂存间，建筑面积为8m</w:t>
                  </w:r>
                  <w:r>
                    <w:rPr>
                      <w:rFonts w:hint="eastAsia"/>
                      <w:b w:val="0"/>
                      <w:bCs w:val="0"/>
                      <w:color w:val="auto"/>
                      <w:vertAlign w:val="superscript"/>
                    </w:rPr>
                    <w:t>2</w:t>
                  </w:r>
                  <w:r>
                    <w:rPr>
                      <w:rFonts w:hint="eastAsia"/>
                      <w:b w:val="0"/>
                      <w:bCs w:val="0"/>
                      <w:color w:val="auto"/>
                    </w:rPr>
                    <w:t>，用于项目废过滤棉、活性炭等危废的暂存。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639"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184"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一般固废暂存间</w:t>
                  </w:r>
                </w:p>
              </w:tc>
              <w:tc>
                <w:tcPr>
                  <w:tcW w:w="5597" w:type="dxa"/>
                  <w:gridSpan w:val="3"/>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拟在2#生产厂房设置1间一般固体废物暂存间，建筑面积为30 m</w:t>
                  </w:r>
                  <w:r>
                    <w:rPr>
                      <w:rFonts w:hint="eastAsia"/>
                      <w:b w:val="0"/>
                      <w:bCs w:val="0"/>
                      <w:color w:val="auto"/>
                      <w:vertAlign w:val="superscript"/>
                    </w:rPr>
                    <w:t>2</w:t>
                  </w:r>
                  <w:r>
                    <w:rPr>
                      <w:rFonts w:hint="eastAsia"/>
                      <w:b w:val="0"/>
                      <w:bCs w:val="0"/>
                      <w:color w:val="auto"/>
                    </w:rPr>
                    <w:t>，用于项目产生的焊渣、废金属等一般固体废物的收集。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639"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184"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生活垃圾</w:t>
                  </w:r>
                </w:p>
              </w:tc>
              <w:tc>
                <w:tcPr>
                  <w:tcW w:w="5597" w:type="dxa"/>
                  <w:gridSpan w:val="3"/>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本项目在项目区内设置生活垃圾收集桶，生活垃圾收集后交园区环卫部门进行清运处理。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jc w:val="center"/>
              </w:trPr>
              <w:tc>
                <w:tcPr>
                  <w:tcW w:w="639"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废气</w:t>
                  </w:r>
                </w:p>
              </w:tc>
              <w:tc>
                <w:tcPr>
                  <w:tcW w:w="1184"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机加工</w:t>
                  </w:r>
                </w:p>
              </w:tc>
              <w:tc>
                <w:tcPr>
                  <w:tcW w:w="5597" w:type="dxa"/>
                  <w:gridSpan w:val="3"/>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机加工产生的废气主要为粉尘，经过在各车间内分别设置1套移动式除尘器处理后，少量粉尘经过车间阻隔自然沉降，少部分从车间门窗外逸</w:t>
                  </w:r>
                  <w:r>
                    <w:rPr>
                      <w:b w:val="0"/>
                      <w:bCs w:val="0"/>
                      <w:color w:val="auto"/>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jc w:val="center"/>
              </w:trPr>
              <w:tc>
                <w:tcPr>
                  <w:tcW w:w="639"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8"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184"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焊接烟尘</w:t>
                  </w:r>
                </w:p>
              </w:tc>
              <w:tc>
                <w:tcPr>
                  <w:tcW w:w="5595" w:type="dxa"/>
                  <w:gridSpan w:val="3"/>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本项目焊接烟尘通过在各生产车间内分别设置1套移动式除尘器进行处理。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jc w:val="center"/>
              </w:trPr>
              <w:tc>
                <w:tcPr>
                  <w:tcW w:w="639"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8"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184"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喷漆</w:t>
                  </w:r>
                </w:p>
              </w:tc>
              <w:tc>
                <w:tcPr>
                  <w:tcW w:w="5595" w:type="dxa"/>
                  <w:gridSpan w:val="3"/>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项目2个厂区均设置有密闭的喷漆房，产生的VOCS分别经过收集管后进入1套过滤棉+活性炭吸附装置，对所收集有机废气进行处理，达标后由</w:t>
                  </w:r>
                  <w:r>
                    <w:rPr>
                      <w:b w:val="0"/>
                      <w:bCs w:val="0"/>
                      <w:color w:val="auto"/>
                    </w:rPr>
                    <w:t>15m排气筒</w:t>
                  </w:r>
                  <w:r>
                    <w:rPr>
                      <w:rFonts w:hint="eastAsia"/>
                      <w:b w:val="0"/>
                      <w:bCs w:val="0"/>
                      <w:color w:val="auto"/>
                    </w:rPr>
                    <w:t>统一排放</w:t>
                  </w:r>
                  <w:r>
                    <w:rPr>
                      <w:b w:val="0"/>
                      <w:bCs w:val="0"/>
                      <w:color w:val="auto"/>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jc w:val="center"/>
              </w:trPr>
              <w:tc>
                <w:tcPr>
                  <w:tcW w:w="639"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8"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184"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食堂油烟</w:t>
                  </w:r>
                </w:p>
              </w:tc>
              <w:tc>
                <w:tcPr>
                  <w:tcW w:w="5595" w:type="dxa"/>
                  <w:gridSpan w:val="3"/>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项目食堂产生的油烟通过食堂油烟净化器处理后经油烟管引至楼顶排放。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jc w:val="center"/>
              </w:trPr>
              <w:tc>
                <w:tcPr>
                  <w:tcW w:w="639"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8"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废水</w:t>
                  </w:r>
                </w:p>
              </w:tc>
              <w:tc>
                <w:tcPr>
                  <w:tcW w:w="1184"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化粪池</w:t>
                  </w:r>
                </w:p>
              </w:tc>
              <w:tc>
                <w:tcPr>
                  <w:tcW w:w="5595" w:type="dxa"/>
                  <w:gridSpan w:val="3"/>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使用租赁厂区已建成的2个化粪池，位于综合楼西侧和东侧，建筑面积均为6m</w:t>
                  </w:r>
                  <w:r>
                    <w:rPr>
                      <w:rFonts w:hint="eastAsia"/>
                      <w:b w:val="0"/>
                      <w:bCs w:val="0"/>
                      <w:color w:val="auto"/>
                      <w:vertAlign w:val="superscript"/>
                    </w:rPr>
                    <w:t>2</w:t>
                  </w:r>
                  <w:r>
                    <w:rPr>
                      <w:rFonts w:hint="eastAsia"/>
                      <w:b w:val="0"/>
                      <w:bCs w:val="0"/>
                      <w:color w:val="auto"/>
                    </w:rPr>
                    <w:t>，有效面积为12m</w:t>
                  </w:r>
                  <w:r>
                    <w:rPr>
                      <w:rFonts w:hint="eastAsia"/>
                      <w:b w:val="0"/>
                      <w:bCs w:val="0"/>
                      <w:color w:val="auto"/>
                      <w:vertAlign w:val="superscript"/>
                    </w:rPr>
                    <w:t>3</w:t>
                  </w:r>
                  <w:r>
                    <w:rPr>
                      <w:rFonts w:hint="eastAsia"/>
                      <w:b w:val="0"/>
                      <w:bCs w:val="0"/>
                      <w:color w:val="auto"/>
                    </w:rPr>
                    <w:t>，位置详见附图1。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jc w:val="center"/>
              </w:trPr>
              <w:tc>
                <w:tcPr>
                  <w:tcW w:w="639"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8"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184"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隔油池</w:t>
                  </w:r>
                </w:p>
              </w:tc>
              <w:tc>
                <w:tcPr>
                  <w:tcW w:w="5595" w:type="dxa"/>
                  <w:gridSpan w:val="3"/>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位于综合楼东侧，建筑面积为2 m</w:t>
                  </w:r>
                  <w:r>
                    <w:rPr>
                      <w:rFonts w:hint="eastAsia"/>
                      <w:b w:val="0"/>
                      <w:bCs w:val="0"/>
                      <w:color w:val="auto"/>
                      <w:vertAlign w:val="superscript"/>
                    </w:rPr>
                    <w:t>2</w:t>
                  </w:r>
                  <w:r>
                    <w:rPr>
                      <w:rFonts w:hint="eastAsia"/>
                      <w:b w:val="0"/>
                      <w:bCs w:val="0"/>
                      <w:color w:val="auto"/>
                    </w:rPr>
                    <w:t>，有效容积为3 m</w:t>
                  </w:r>
                  <w:r>
                    <w:rPr>
                      <w:rFonts w:hint="eastAsia"/>
                      <w:b w:val="0"/>
                      <w:bCs w:val="0"/>
                      <w:color w:val="auto"/>
                      <w:vertAlign w:val="superscript"/>
                    </w:rPr>
                    <w:t>3</w:t>
                  </w:r>
                  <w:r>
                    <w:rPr>
                      <w:rFonts w:hint="eastAsia"/>
                      <w:b w:val="0"/>
                      <w:bCs w:val="0"/>
                      <w:color w:val="auto"/>
                    </w:rPr>
                    <w:t>，位置详见附图1。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jc w:val="center"/>
              </w:trPr>
              <w:tc>
                <w:tcPr>
                  <w:tcW w:w="639"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8"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184"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涂料回收池</w:t>
                  </w:r>
                </w:p>
              </w:tc>
              <w:tc>
                <w:tcPr>
                  <w:tcW w:w="5595" w:type="dxa"/>
                  <w:gridSpan w:val="3"/>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位于各喷漆房底部，占地面积60 m</w:t>
                  </w:r>
                  <w:r>
                    <w:rPr>
                      <w:rFonts w:hint="eastAsia"/>
                      <w:b w:val="0"/>
                      <w:bCs w:val="0"/>
                      <w:color w:val="auto"/>
                      <w:vertAlign w:val="superscript"/>
                    </w:rPr>
                    <w:t>2</w:t>
                  </w:r>
                  <w:r>
                    <w:rPr>
                      <w:rFonts w:hint="eastAsia"/>
                      <w:b w:val="0"/>
                      <w:bCs w:val="0"/>
                      <w:color w:val="auto"/>
                    </w:rPr>
                    <w:t>，有效容积为60 m</w:t>
                  </w:r>
                  <w:r>
                    <w:rPr>
                      <w:rFonts w:hint="eastAsia"/>
                      <w:b w:val="0"/>
                      <w:bCs w:val="0"/>
                      <w:color w:val="auto"/>
                      <w:vertAlign w:val="superscript"/>
                    </w:rPr>
                    <w:t>3</w:t>
                  </w:r>
                  <w:r>
                    <w:rPr>
                      <w:rFonts w:hint="eastAsia"/>
                      <w:b w:val="0"/>
                      <w:bCs w:val="0"/>
                      <w:color w:val="auto"/>
                    </w:rPr>
                    <w:t>，涂料废液随喷漆房地面（钢板）的孔进入涂料回收池，产生的废液暂存后回用于原环节。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jc w:val="center"/>
              </w:trPr>
              <w:tc>
                <w:tcPr>
                  <w:tcW w:w="639"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8"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184"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冷却水收集池</w:t>
                  </w:r>
                </w:p>
              </w:tc>
              <w:tc>
                <w:tcPr>
                  <w:tcW w:w="5595" w:type="dxa"/>
                  <w:gridSpan w:val="3"/>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钢质结构，位于各冲床底部，有效容积为4m</w:t>
                  </w:r>
                  <w:r>
                    <w:rPr>
                      <w:rFonts w:hint="eastAsia"/>
                      <w:b w:val="0"/>
                      <w:bCs w:val="0"/>
                      <w:color w:val="auto"/>
                      <w:vertAlign w:val="superscript"/>
                    </w:rPr>
                    <w:t>3</w:t>
                  </w:r>
                  <w:r>
                    <w:rPr>
                      <w:rFonts w:hint="eastAsia"/>
                      <w:b w:val="0"/>
                      <w:bCs w:val="0"/>
                      <w:color w:val="auto"/>
                    </w:rPr>
                    <w:t>，主要用于收集钢材降温的冷却水，经过滤网收集后回用于原环节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jc w:val="center"/>
              </w:trPr>
              <w:tc>
                <w:tcPr>
                  <w:tcW w:w="639"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8"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噪声</w:t>
                  </w:r>
                </w:p>
              </w:tc>
              <w:tc>
                <w:tcPr>
                  <w:tcW w:w="1184"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设备噪声</w:t>
                  </w:r>
                </w:p>
              </w:tc>
              <w:tc>
                <w:tcPr>
                  <w:tcW w:w="5595" w:type="dxa"/>
                  <w:gridSpan w:val="3"/>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项目区选用低噪声设备，所有生产设备置于厂房内；设备安装减震垫进行基础减震</w:t>
                  </w:r>
                </w:p>
              </w:tc>
            </w:tr>
            <w:bookmarkEnd w:id="3"/>
          </w:tbl>
          <w:p>
            <w:pPr>
              <w:keepNext w:val="0"/>
              <w:keepLines w:val="0"/>
              <w:suppressLineNumbers w:val="0"/>
              <w:spacing w:before="0" w:beforeAutospacing="0" w:after="0" w:afterAutospacing="0"/>
              <w:ind w:left="0" w:right="0" w:firstLine="472" w:firstLineChars="196"/>
              <w:jc w:val="both"/>
              <w:rPr>
                <w:b/>
                <w:bCs/>
              </w:rPr>
            </w:pPr>
            <w:r>
              <w:rPr>
                <w:rFonts w:hint="eastAsia"/>
                <w:b/>
                <w:bCs/>
              </w:rPr>
              <w:t>四</w:t>
            </w:r>
            <w:r>
              <w:rPr>
                <w:b/>
                <w:bCs/>
              </w:rPr>
              <w:t>、项目平面布局</w:t>
            </w:r>
          </w:p>
          <w:p>
            <w:pPr>
              <w:keepNext w:val="0"/>
              <w:keepLines w:val="0"/>
              <w:suppressLineNumbers w:val="0"/>
              <w:spacing w:before="0" w:beforeAutospacing="0" w:after="0" w:afterAutospacing="0"/>
              <w:ind w:left="0" w:right="0" w:firstLine="480"/>
              <w:jc w:val="both"/>
            </w:pPr>
            <w:r>
              <w:t>项目位于富民县工业园</w:t>
            </w:r>
            <w:r>
              <w:rPr>
                <w:rFonts w:hint="eastAsia"/>
              </w:rPr>
              <w:t>区</w:t>
            </w:r>
            <w:r>
              <w:t>哨菁机械加工园，租用</w:t>
            </w:r>
            <w:r>
              <w:rPr>
                <w:rFonts w:hint="eastAsia"/>
              </w:rPr>
              <w:t>云南鸿发机械制造有限公司标准厂房12452.8 m</w:t>
            </w:r>
            <w:r>
              <w:rPr>
                <w:rFonts w:hint="eastAsia"/>
                <w:vertAlign w:val="superscript"/>
              </w:rPr>
              <w:t>2</w:t>
            </w:r>
            <w:r>
              <w:rPr>
                <w:rFonts w:hint="eastAsia"/>
              </w:rPr>
              <w:t>及办公楼729m</w:t>
            </w:r>
            <w:r>
              <w:rPr>
                <w:rFonts w:hint="eastAsia"/>
                <w:vertAlign w:val="superscript"/>
              </w:rPr>
              <w:t>2</w:t>
            </w:r>
            <w:r>
              <w:t>。项目建设内容为新建</w:t>
            </w:r>
            <w:r>
              <w:rPr>
                <w:rFonts w:hint="eastAsia"/>
              </w:rPr>
              <w:t>2</w:t>
            </w:r>
            <w:r>
              <w:t>条</w:t>
            </w:r>
            <w:r>
              <w:rPr>
                <w:rFonts w:hint="eastAsia"/>
              </w:rPr>
              <w:t>年加工钢结构产品3万吨项目的</w:t>
            </w:r>
            <w:r>
              <w:t>生产线，生产厂房内生产设备按照生产工艺流程各自设于生产线内，总体按</w:t>
            </w:r>
            <w:r>
              <w:rPr>
                <w:rFonts w:hint="eastAsia"/>
              </w:rPr>
              <w:t>东</w:t>
            </w:r>
            <w:r>
              <w:t>到</w:t>
            </w:r>
            <w:r>
              <w:rPr>
                <w:rFonts w:hint="eastAsia"/>
              </w:rPr>
              <w:t>西</w:t>
            </w:r>
            <w:r>
              <w:t>布设。其中厂房内</w:t>
            </w:r>
            <w:r>
              <w:rPr>
                <w:rFonts w:hint="eastAsia"/>
              </w:rPr>
              <w:t>东</w:t>
            </w:r>
            <w:r>
              <w:t>侧主要为原料堆放区</w:t>
            </w:r>
            <w:r>
              <w:rPr>
                <w:rFonts w:hint="eastAsia"/>
              </w:rPr>
              <w:t>、下料区、加工区、喷涂车间、成品堆放区</w:t>
            </w:r>
            <w:r>
              <w:t>等。综合楼位于厂内东侧</w:t>
            </w:r>
            <w:r>
              <w:rPr>
                <w:rFonts w:hint="eastAsia"/>
              </w:rPr>
              <w:t>，</w:t>
            </w:r>
            <w:r>
              <w:t>紧邻园区大门</w:t>
            </w:r>
            <w:r>
              <w:rPr>
                <w:rFonts w:hint="eastAsia"/>
              </w:rPr>
              <w:t>，</w:t>
            </w:r>
            <w:r>
              <w:t>便于办公及日常管理</w:t>
            </w:r>
            <w:r>
              <w:rPr>
                <w:rFonts w:hint="eastAsia"/>
              </w:rPr>
              <w:t>。总体上厂区</w:t>
            </w:r>
            <w:r>
              <w:t>通道畅通，布局合理，具体情况详见附图</w:t>
            </w:r>
            <w:r>
              <w:rPr>
                <w:rFonts w:hint="eastAsia"/>
              </w:rPr>
              <w:t>1</w:t>
            </w:r>
            <w:r>
              <w:t>。</w:t>
            </w:r>
          </w:p>
          <w:p>
            <w:pPr>
              <w:keepNext w:val="0"/>
              <w:keepLines w:val="0"/>
              <w:suppressLineNumbers w:val="0"/>
              <w:spacing w:before="0" w:beforeAutospacing="0" w:after="0" w:afterAutospacing="0"/>
              <w:ind w:left="0" w:right="0" w:firstLine="472" w:firstLineChars="196"/>
              <w:jc w:val="both"/>
              <w:rPr>
                <w:b/>
                <w:bCs/>
              </w:rPr>
            </w:pPr>
            <w:r>
              <w:rPr>
                <w:rFonts w:hint="eastAsia"/>
                <w:b/>
                <w:bCs/>
              </w:rPr>
              <w:t>五</w:t>
            </w:r>
            <w:r>
              <w:rPr>
                <w:b/>
                <w:bCs/>
              </w:rPr>
              <w:t>、产品方案及规模</w:t>
            </w:r>
          </w:p>
          <w:p>
            <w:pPr>
              <w:keepNext w:val="0"/>
              <w:keepLines w:val="0"/>
              <w:suppressLineNumbers w:val="0"/>
              <w:spacing w:before="0" w:beforeAutospacing="0" w:after="0" w:afterAutospacing="0"/>
              <w:ind w:left="0" w:right="0" w:firstLine="480"/>
              <w:jc w:val="both"/>
            </w:pPr>
            <w:r>
              <w:t>项目共生产</w:t>
            </w:r>
            <w:r>
              <w:rPr>
                <w:rFonts w:hint="eastAsia"/>
              </w:rPr>
              <w:t>3</w:t>
            </w:r>
            <w:r>
              <w:t>类产品，视市场订货情况组织生产，主要为：</w:t>
            </w:r>
            <w:r>
              <w:rPr>
                <w:rFonts w:hint="eastAsia"/>
              </w:rPr>
              <w:t>钢模板、</w:t>
            </w:r>
            <w:r>
              <w:t>爬模及隧道台车。项目各产品方案及产量</w:t>
            </w:r>
            <w:r>
              <w:rPr>
                <w:rFonts w:hint="eastAsia"/>
              </w:rPr>
              <w:t>见</w:t>
            </w:r>
            <w:r>
              <w:t>表1-2。</w:t>
            </w:r>
          </w:p>
          <w:p>
            <w:pPr>
              <w:pStyle w:val="25"/>
              <w:keepNext w:val="0"/>
              <w:keepLines w:val="0"/>
              <w:suppressLineNumbers w:val="0"/>
              <w:spacing w:before="0" w:beforeAutospacing="0" w:after="0" w:afterAutospacing="0" w:line="240" w:lineRule="auto"/>
              <w:ind w:left="0" w:right="0"/>
            </w:pPr>
            <w:r>
              <w:t>表1-2 项目产品方案</w:t>
            </w:r>
          </w:p>
          <w:tbl>
            <w:tblPr>
              <w:tblStyle w:val="18"/>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49"/>
              <w:gridCol w:w="2626"/>
              <w:gridCol w:w="2461"/>
              <w:gridCol w:w="234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50"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序号</w:t>
                  </w:r>
                </w:p>
              </w:tc>
              <w:tc>
                <w:tcPr>
                  <w:tcW w:w="2631"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产品名称</w:t>
                  </w:r>
                </w:p>
              </w:tc>
              <w:tc>
                <w:tcPr>
                  <w:tcW w:w="2466"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生产规模（t/a）</w:t>
                  </w:r>
                </w:p>
              </w:tc>
              <w:tc>
                <w:tcPr>
                  <w:tcW w:w="2344"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50"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1</w:t>
                  </w:r>
                </w:p>
              </w:tc>
              <w:tc>
                <w:tcPr>
                  <w:tcW w:w="2631"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钢模板</w:t>
                  </w:r>
                </w:p>
              </w:tc>
              <w:tc>
                <w:tcPr>
                  <w:tcW w:w="2466"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10000</w:t>
                  </w:r>
                </w:p>
              </w:tc>
              <w:tc>
                <w:tcPr>
                  <w:tcW w:w="2344"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用于高速路、桥梁和水利等施工过程中使用的钢模板。规格按客户需求进行生产，无固定的生产规格。约10%需要喷漆。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50"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2</w:t>
                  </w:r>
                </w:p>
              </w:tc>
              <w:tc>
                <w:tcPr>
                  <w:tcW w:w="2631"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爬模</w:t>
                  </w:r>
                </w:p>
              </w:tc>
              <w:tc>
                <w:tcPr>
                  <w:tcW w:w="2466"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10000</w:t>
                  </w:r>
                </w:p>
              </w:tc>
              <w:tc>
                <w:tcPr>
                  <w:tcW w:w="2344"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外侧部分需进行喷漆、约占爬模钢材量的10%。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50"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3</w:t>
                  </w:r>
                </w:p>
              </w:tc>
              <w:tc>
                <w:tcPr>
                  <w:tcW w:w="2631"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隧道台车</w:t>
                  </w:r>
                </w:p>
              </w:tc>
              <w:tc>
                <w:tcPr>
                  <w:tcW w:w="2466"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10000</w:t>
                  </w:r>
                </w:p>
              </w:tc>
              <w:tc>
                <w:tcPr>
                  <w:tcW w:w="2344"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外侧部分需进行喷漆、约占隧道台车钢材量的10%。</w:t>
                  </w:r>
                </w:p>
              </w:tc>
            </w:tr>
          </w:tbl>
          <w:p>
            <w:pPr>
              <w:keepNext w:val="0"/>
              <w:keepLines w:val="0"/>
              <w:suppressLineNumbers w:val="0"/>
              <w:spacing w:before="0" w:beforeAutospacing="0" w:after="0" w:afterAutospacing="0"/>
              <w:ind w:left="0" w:right="0" w:firstLine="480"/>
              <w:jc w:val="both"/>
              <w:rPr>
                <w:bCs/>
              </w:rPr>
            </w:pPr>
            <w:r>
              <w:rPr>
                <w:rFonts w:hint="eastAsia"/>
                <w:bCs/>
              </w:rPr>
              <w:t>主要产品简介：</w:t>
            </w:r>
          </w:p>
          <w:p>
            <w:pPr>
              <w:pStyle w:val="2"/>
              <w:keepNext w:val="0"/>
              <w:keepLines w:val="0"/>
              <w:suppressLineNumbers w:val="0"/>
              <w:spacing w:before="0" w:beforeAutospacing="0" w:after="0" w:afterAutospacing="0"/>
              <w:ind w:left="0" w:right="0" w:firstLine="480" w:firstLineChars="0"/>
              <w:jc w:val="both"/>
            </w:pPr>
            <w:r>
              <w:rPr>
                <w:rFonts w:hint="eastAsia"/>
              </w:rPr>
              <w:t>1、钢模板</w:t>
            </w:r>
          </w:p>
          <w:p>
            <w:pPr>
              <w:pStyle w:val="17"/>
              <w:keepNext w:val="0"/>
              <w:keepLines w:val="0"/>
              <w:suppressLineNumbers w:val="0"/>
              <w:shd w:val="clear" w:color="auto" w:fill="FFFFFF"/>
              <w:spacing w:before="0" w:beforeAutospacing="0" w:after="0" w:afterAutospacing="0"/>
              <w:ind w:left="0" w:right="0" w:firstLine="480"/>
              <w:jc w:val="both"/>
            </w:pPr>
            <w:r>
              <w:rPr>
                <w:rFonts w:hint="eastAsia"/>
              </w:rPr>
              <w:t>钢模板分为免拆钢模板和传统钢模板。免拆</w:t>
            </w:r>
            <w:r>
              <w:t>钢模板可替代</w:t>
            </w:r>
            <w:r>
              <w:fldChar w:fldCharType="begin"/>
            </w:r>
            <w:r>
              <w:instrText xml:space="preserve"> HYPERLINK "https://baike.sogou.com/lemma/ShowInnerLink.htm?lemmaId=6035550&amp;ss_c=ssc.citiao.link" \t "_blank" </w:instrText>
            </w:r>
            <w:r>
              <w:fldChar w:fldCharType="separate"/>
            </w:r>
            <w:r>
              <w:t>木模板</w:t>
            </w:r>
            <w:r>
              <w:fldChar w:fldCharType="end"/>
            </w:r>
            <w:r>
              <w:t>，显著地减少了通常与木材、</w:t>
            </w:r>
            <w:r>
              <w:fldChar w:fldCharType="begin"/>
            </w:r>
            <w:r>
              <w:instrText xml:space="preserve"> HYPERLINK "https://baike.sogou.com/lemma/ShowInnerLink.htm?lemmaId=457010&amp;ss_c=ssc.citiao.link" \t "_blank" </w:instrText>
            </w:r>
            <w:r>
              <w:fldChar w:fldCharType="separate"/>
            </w:r>
            <w:r>
              <w:t>胶合板</w:t>
            </w:r>
            <w:r>
              <w:fldChar w:fldCharType="end"/>
            </w:r>
            <w:r>
              <w:t>、或钢板等传统封模板对混凝土压力中的</w:t>
            </w:r>
            <w:r>
              <w:fldChar w:fldCharType="begin"/>
            </w:r>
            <w:r>
              <w:instrText xml:space="preserve"> HYPERLINK "https://baike.sogou.com/lemma/ShowInnerLink.htm?lemmaId=55259972&amp;ss_c=ssc.citiao.link" \t "_blank" </w:instrText>
            </w:r>
            <w:r>
              <w:fldChar w:fldCharType="separate"/>
            </w:r>
            <w:r>
              <w:t>孔隙水压力</w:t>
            </w:r>
            <w:r>
              <w:fldChar w:fldCharType="end"/>
            </w:r>
            <w:r>
              <w:t>及气泡的排除； 钢模板（免拆模板网）结构混凝土浇注成形后，形成了一个理想的粗糙界面。不需要进行粗琢作业可以进入下一道工序施工</w:t>
            </w:r>
            <w:r>
              <w:rPr>
                <w:rFonts w:hint="eastAsia"/>
              </w:rPr>
              <w:t>。</w:t>
            </w:r>
            <w:r>
              <w:t>既可以在安装钢筋之前放置，也可以在安装钢筋之后放置。如果是在安装钢筋之前放置，放置安装方便简易；可以对混凝土的浇注过程进行可视化监控，从而降低出现孔隙和蜂窝状结构等现象的风险。传统钢模板是用于</w:t>
            </w:r>
            <w:r>
              <w:fldChar w:fldCharType="begin"/>
            </w:r>
            <w:r>
              <w:instrText xml:space="preserve"> HYPERLINK "https://baike.sogou.com/lemma/ShowInnerLink.htm?lemmaId=74459881&amp;ss_c=ssc.citiao.link" \t "_blank" </w:instrText>
            </w:r>
            <w:r>
              <w:fldChar w:fldCharType="separate"/>
            </w:r>
            <w:r>
              <w:t>混凝土浇筑</w:t>
            </w:r>
            <w:r>
              <w:fldChar w:fldCharType="end"/>
            </w:r>
            <w:r>
              <w:t>成型的钢制模板，除了钢质模板还有木质模板、</w:t>
            </w:r>
            <w:r>
              <w:fldChar w:fldCharType="begin"/>
            </w:r>
            <w:r>
              <w:instrText xml:space="preserve"> HYPERLINK "https://baike.sogou.com/lemma/ShowInnerLink.htm?lemmaId=8964610&amp;ss_c=ssc.citiao.link" \t "_blank" </w:instrText>
            </w:r>
            <w:r>
              <w:fldChar w:fldCharType="separate"/>
            </w:r>
            <w:r>
              <w:t>胶合板模板</w:t>
            </w:r>
            <w:r>
              <w:fldChar w:fldCharType="end"/>
            </w:r>
            <w:r>
              <w:t>等。 传统钢模板使用后可进行拆卸</w:t>
            </w:r>
            <w:r>
              <w:rPr>
                <w:rFonts w:hint="eastAsia"/>
              </w:rPr>
              <w:t>，</w:t>
            </w:r>
            <w:r>
              <w:t>以其多次使用、混凝土浇筑成型美观等特点被广泛应用于建筑工程中。常见的钢模板有</w:t>
            </w:r>
            <w:r>
              <w:fldChar w:fldCharType="begin"/>
            </w:r>
            <w:r>
              <w:instrText xml:space="preserve"> HYPERLINK "https://baike.sogou.com/lemma/ShowInnerLink.htm?lemmaId=8020421&amp;ss_c=ssc.citiao.link" \t "_blank" </w:instrText>
            </w:r>
            <w:r>
              <w:fldChar w:fldCharType="separate"/>
            </w:r>
            <w:r>
              <w:t>箱梁模板</w:t>
            </w:r>
            <w:r>
              <w:fldChar w:fldCharType="end"/>
            </w:r>
            <w:r>
              <w:t>、</w:t>
            </w:r>
            <w:r>
              <w:fldChar w:fldCharType="begin"/>
            </w:r>
            <w:r>
              <w:instrText xml:space="preserve"> HYPERLINK "https://baike.sogou.com/lemma/ShowInnerLink.htm?lemmaId=463691&amp;ss_c=ssc.citiao.link" \t "_blank" </w:instrText>
            </w:r>
            <w:r>
              <w:fldChar w:fldCharType="separate"/>
            </w:r>
            <w:r>
              <w:t>T型梁</w:t>
            </w:r>
            <w:r>
              <w:fldChar w:fldCharType="end"/>
            </w:r>
            <w:r>
              <w:t>模板、</w:t>
            </w:r>
            <w:r>
              <w:fldChar w:fldCharType="begin"/>
            </w:r>
            <w:r>
              <w:instrText xml:space="preserve"> HYPERLINK "https://baike.sogou.com/lemma/ShowInnerLink.htm?lemmaId=8345256&amp;ss_c=ssc.citiao.link" \t "_blank" </w:instrText>
            </w:r>
            <w:r>
              <w:fldChar w:fldCharType="separate"/>
            </w:r>
            <w:r>
              <w:t>盖梁</w:t>
            </w:r>
            <w:r>
              <w:fldChar w:fldCharType="end"/>
            </w:r>
            <w:r>
              <w:t>模板、空心梁模板、圆模板、护梁模板、墩柱头模板等</w:t>
            </w:r>
            <w:r>
              <w:rPr>
                <w:rFonts w:hint="eastAsia"/>
              </w:rPr>
              <w:t>。</w:t>
            </w:r>
          </w:p>
          <w:p>
            <w:pPr>
              <w:keepNext w:val="0"/>
              <w:keepLines w:val="0"/>
              <w:suppressLineNumbers w:val="0"/>
              <w:spacing w:before="0" w:beforeAutospacing="0" w:after="0" w:afterAutospacing="0"/>
              <w:ind w:left="0" w:right="0" w:firstLine="480"/>
              <w:jc w:val="both"/>
            </w:pPr>
            <w:r>
              <w:rPr>
                <w:rFonts w:hint="eastAsia"/>
              </w:rPr>
              <w:t>2、爬模</w:t>
            </w:r>
          </w:p>
          <w:p>
            <w:pPr>
              <w:pStyle w:val="2"/>
              <w:keepNext w:val="0"/>
              <w:keepLines w:val="0"/>
              <w:suppressLineNumbers w:val="0"/>
              <w:spacing w:before="0" w:beforeAutospacing="0" w:after="0" w:afterAutospacing="0"/>
              <w:ind w:left="0" w:right="0" w:firstLine="480"/>
              <w:jc w:val="both"/>
            </w:pPr>
            <w:r>
              <w:rPr>
                <w:rFonts w:hint="eastAsia"/>
              </w:rPr>
              <w:t>爬模是爬升模板的简称，国外也叫跳模。它由爬升模板、爬架(也有的爬模没有爬架)和爬升设备三部分组成，在施工剪力墙体系、筒体体系和桥墩筀等高耸结构中是一种有效的工具。由于具备自爬的能力，因此不需起重机械的吊运，这减少了施工中运输机械的吊运工作量。在自爬的模板上悬挂脚手架可省去施工过程中的外脚手架。</w:t>
            </w:r>
          </w:p>
          <w:p>
            <w:pPr>
              <w:keepNext w:val="0"/>
              <w:keepLines w:val="0"/>
              <w:suppressLineNumbers w:val="0"/>
              <w:spacing w:before="0" w:beforeAutospacing="0" w:after="0" w:afterAutospacing="0"/>
              <w:ind w:left="0" w:right="0" w:firstLine="480"/>
              <w:jc w:val="both"/>
            </w:pPr>
            <w:r>
              <w:rPr>
                <w:rFonts w:hint="eastAsia"/>
              </w:rPr>
              <w:t>3、隧道台车</w:t>
            </w:r>
          </w:p>
          <w:p>
            <w:pPr>
              <w:pStyle w:val="2"/>
              <w:keepNext w:val="0"/>
              <w:keepLines w:val="0"/>
              <w:suppressLineNumbers w:val="0"/>
              <w:spacing w:before="0" w:beforeAutospacing="0" w:after="0" w:afterAutospacing="0"/>
              <w:ind w:left="0" w:right="0" w:firstLine="480"/>
              <w:jc w:val="both"/>
            </w:pPr>
            <w:r>
              <w:rPr>
                <w:rFonts w:hint="eastAsia"/>
              </w:rPr>
              <w:t>隧道衬砌台车是隧道施工过程二次衬砌中必须使用的专用设备，用于对隧道内壁的砼衬砌施工。台车一般设计为钢拱架式，主要由顶模板、侧模板及车架组成，使用标准组合钢模板。该类衬砌台车般用于短隧道施工，特别是对于平面和空间几何形状复杂、工序转换频繁、工艺要求严格的隧道砼衬砌施工，其优越性更明显。</w:t>
            </w:r>
          </w:p>
          <w:p>
            <w:pPr>
              <w:keepNext w:val="0"/>
              <w:keepLines w:val="0"/>
              <w:suppressLineNumbers w:val="0"/>
              <w:spacing w:before="0" w:beforeAutospacing="0" w:after="0" w:afterAutospacing="0"/>
              <w:ind w:left="0" w:right="0" w:firstLine="472" w:firstLineChars="196"/>
              <w:jc w:val="both"/>
              <w:rPr>
                <w:b/>
                <w:bCs/>
              </w:rPr>
            </w:pPr>
            <w:r>
              <w:rPr>
                <w:rFonts w:hint="eastAsia"/>
                <w:b/>
                <w:bCs/>
              </w:rPr>
              <w:t>六、主要设备</w:t>
            </w:r>
          </w:p>
          <w:p>
            <w:pPr>
              <w:keepNext w:val="0"/>
              <w:keepLines w:val="0"/>
              <w:suppressLineNumbers w:val="0"/>
              <w:spacing w:before="0" w:beforeAutospacing="0" w:after="0" w:afterAutospacing="0"/>
              <w:ind w:left="0" w:right="0" w:firstLine="480"/>
              <w:jc w:val="both"/>
            </w:pPr>
            <w:r>
              <w:rPr>
                <w:rFonts w:hint="eastAsia"/>
              </w:rPr>
              <w:t>本项目使用设备不属于《产业结构调整目录》（2019年本）中的“淘汰类”设备。设备均布置于生产厂房内，项目主要设备见表1-3。</w:t>
            </w:r>
          </w:p>
          <w:p>
            <w:pPr>
              <w:pStyle w:val="25"/>
              <w:keepNext w:val="0"/>
              <w:keepLines w:val="0"/>
              <w:suppressLineNumbers w:val="0"/>
              <w:spacing w:before="0" w:beforeAutospacing="0" w:after="0" w:afterAutospacing="0" w:line="240" w:lineRule="auto"/>
              <w:ind w:left="0" w:right="0"/>
            </w:pPr>
            <w:r>
              <w:rPr>
                <w:rFonts w:hint="eastAsia"/>
              </w:rPr>
              <w:t>表1-3 项目主要设备一览表</w:t>
            </w:r>
          </w:p>
          <w:tbl>
            <w:tblPr>
              <w:tblStyle w:val="19"/>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81"/>
              <w:gridCol w:w="2323"/>
              <w:gridCol w:w="1849"/>
              <w:gridCol w:w="427"/>
              <w:gridCol w:w="559"/>
              <w:gridCol w:w="233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1"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序号</w:t>
                  </w:r>
                </w:p>
              </w:tc>
              <w:tc>
                <w:tcPr>
                  <w:tcW w:w="2323"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名称</w:t>
                  </w:r>
                </w:p>
              </w:tc>
              <w:tc>
                <w:tcPr>
                  <w:tcW w:w="1849" w:type="dxa"/>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规格</w:t>
                  </w:r>
                </w:p>
              </w:tc>
              <w:tc>
                <w:tcPr>
                  <w:tcW w:w="427" w:type="dxa"/>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单位</w:t>
                  </w:r>
                </w:p>
              </w:tc>
              <w:tc>
                <w:tcPr>
                  <w:tcW w:w="559"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数量</w:t>
                  </w:r>
                </w:p>
              </w:tc>
              <w:tc>
                <w:tcPr>
                  <w:tcW w:w="2337"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主要用途</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1"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w:t>
                  </w:r>
                </w:p>
              </w:tc>
              <w:tc>
                <w:tcPr>
                  <w:tcW w:w="2323"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激光剪板机</w:t>
                  </w:r>
                </w:p>
              </w:tc>
              <w:tc>
                <w:tcPr>
                  <w:tcW w:w="1849" w:type="dxa"/>
                  <w:vAlign w:val="center"/>
                </w:tcPr>
                <w:p>
                  <w:pPr>
                    <w:pStyle w:val="26"/>
                    <w:keepNext w:val="0"/>
                    <w:keepLines w:val="0"/>
                    <w:suppressLineNumbers w:val="0"/>
                    <w:spacing w:before="0" w:beforeAutospacing="0" w:after="0" w:afterAutospacing="0"/>
                    <w:ind w:left="0" w:right="0"/>
                    <w:rPr>
                      <w:rFonts w:eastAsiaTheme="minorEastAsia"/>
                      <w:b w:val="0"/>
                      <w:bCs w:val="0"/>
                      <w:color w:val="auto"/>
                    </w:rPr>
                  </w:pPr>
                  <w:r>
                    <w:rPr>
                      <w:rFonts w:eastAsiaTheme="minorEastAsia"/>
                      <w:b w:val="0"/>
                      <w:bCs w:val="0"/>
                      <w:color w:val="auto"/>
                    </w:rPr>
                    <w:t>W11-20X2000</w:t>
                  </w:r>
                </w:p>
              </w:tc>
              <w:tc>
                <w:tcPr>
                  <w:tcW w:w="427" w:type="dxa"/>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台</w:t>
                  </w:r>
                </w:p>
              </w:tc>
              <w:tc>
                <w:tcPr>
                  <w:tcW w:w="559"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4</w:t>
                  </w:r>
                </w:p>
              </w:tc>
              <w:tc>
                <w:tcPr>
                  <w:tcW w:w="2337"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下料工段</w:t>
                  </w:r>
                  <w:r>
                    <w:rPr>
                      <w:rFonts w:hint="eastAsia"/>
                      <w:b w:val="0"/>
                      <w:bCs w:val="0"/>
                      <w:color w:val="auto"/>
                    </w:rPr>
                    <w:t>，</w:t>
                  </w:r>
                  <w:r>
                    <w:rPr>
                      <w:b w:val="0"/>
                      <w:bCs w:val="0"/>
                      <w:color w:val="auto"/>
                    </w:rPr>
                    <w:t>钢板</w:t>
                  </w:r>
                  <w:r>
                    <w:rPr>
                      <w:rFonts w:hint="eastAsia"/>
                      <w:b w:val="0"/>
                      <w:bCs w:val="0"/>
                      <w:color w:val="auto"/>
                    </w:rPr>
                    <w:t>切割和剪裁。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1"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w:t>
                  </w:r>
                </w:p>
              </w:tc>
              <w:tc>
                <w:tcPr>
                  <w:tcW w:w="2323"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数控切割机</w:t>
                  </w:r>
                </w:p>
              </w:tc>
              <w:tc>
                <w:tcPr>
                  <w:tcW w:w="1849" w:type="dxa"/>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13*3200</w:t>
                  </w:r>
                </w:p>
              </w:tc>
              <w:tc>
                <w:tcPr>
                  <w:tcW w:w="427" w:type="dxa"/>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台</w:t>
                  </w:r>
                </w:p>
              </w:tc>
              <w:tc>
                <w:tcPr>
                  <w:tcW w:w="559"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w:t>
                  </w:r>
                </w:p>
              </w:tc>
              <w:tc>
                <w:tcPr>
                  <w:tcW w:w="2337"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1"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w:t>
                  </w:r>
                </w:p>
              </w:tc>
              <w:tc>
                <w:tcPr>
                  <w:tcW w:w="2323"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激光切割机</w:t>
                  </w:r>
                </w:p>
              </w:tc>
              <w:tc>
                <w:tcPr>
                  <w:tcW w:w="1849" w:type="dxa"/>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3080</w:t>
                  </w:r>
                </w:p>
              </w:tc>
              <w:tc>
                <w:tcPr>
                  <w:tcW w:w="427" w:type="dxa"/>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台</w:t>
                  </w:r>
                </w:p>
              </w:tc>
              <w:tc>
                <w:tcPr>
                  <w:tcW w:w="559"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w:t>
                  </w:r>
                </w:p>
              </w:tc>
              <w:tc>
                <w:tcPr>
                  <w:tcW w:w="2337"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1"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4</w:t>
                  </w:r>
                </w:p>
              </w:tc>
              <w:tc>
                <w:tcPr>
                  <w:tcW w:w="2323"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数控折弯机</w:t>
                  </w:r>
                </w:p>
              </w:tc>
              <w:tc>
                <w:tcPr>
                  <w:tcW w:w="1849" w:type="dxa"/>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W67Y-160X3200</w:t>
                  </w:r>
                </w:p>
              </w:tc>
              <w:tc>
                <w:tcPr>
                  <w:tcW w:w="427" w:type="dxa"/>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台</w:t>
                  </w:r>
                </w:p>
              </w:tc>
              <w:tc>
                <w:tcPr>
                  <w:tcW w:w="559"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w:t>
                  </w:r>
                </w:p>
              </w:tc>
              <w:tc>
                <w:tcPr>
                  <w:tcW w:w="2337"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加工车间</w:t>
                  </w:r>
                  <w:r>
                    <w:rPr>
                      <w:rFonts w:hint="eastAsia"/>
                      <w:b w:val="0"/>
                      <w:bCs w:val="0"/>
                      <w:color w:val="auto"/>
                    </w:rPr>
                    <w:t>，</w:t>
                  </w:r>
                  <w:r>
                    <w:rPr>
                      <w:b w:val="0"/>
                      <w:bCs w:val="0"/>
                      <w:color w:val="auto"/>
                    </w:rPr>
                    <w:t>按照定制需求进行弯曲</w:t>
                  </w:r>
                  <w:r>
                    <w:rPr>
                      <w:rFonts w:hint="eastAsia"/>
                      <w:b w:val="0"/>
                      <w:bCs w:val="0"/>
                      <w:color w:val="auto"/>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1"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5</w:t>
                  </w:r>
                </w:p>
              </w:tc>
              <w:tc>
                <w:tcPr>
                  <w:tcW w:w="2323"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冲床</w:t>
                  </w:r>
                </w:p>
              </w:tc>
              <w:tc>
                <w:tcPr>
                  <w:tcW w:w="1849" w:type="dxa"/>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80T</w:t>
                  </w:r>
                </w:p>
              </w:tc>
              <w:tc>
                <w:tcPr>
                  <w:tcW w:w="427" w:type="dxa"/>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台</w:t>
                  </w:r>
                </w:p>
              </w:tc>
              <w:tc>
                <w:tcPr>
                  <w:tcW w:w="559"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6</w:t>
                  </w:r>
                </w:p>
              </w:tc>
              <w:tc>
                <w:tcPr>
                  <w:tcW w:w="2337"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加工车间，型材打孔。</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1"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6</w:t>
                  </w:r>
                </w:p>
              </w:tc>
              <w:tc>
                <w:tcPr>
                  <w:tcW w:w="2323"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行车</w:t>
                  </w:r>
                </w:p>
              </w:tc>
              <w:tc>
                <w:tcPr>
                  <w:tcW w:w="1849" w:type="dxa"/>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5T/6T</w:t>
                  </w:r>
                </w:p>
              </w:tc>
              <w:tc>
                <w:tcPr>
                  <w:tcW w:w="427" w:type="dxa"/>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台</w:t>
                  </w:r>
                </w:p>
              </w:tc>
              <w:tc>
                <w:tcPr>
                  <w:tcW w:w="559"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6</w:t>
                  </w:r>
                </w:p>
              </w:tc>
              <w:tc>
                <w:tcPr>
                  <w:tcW w:w="2337"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加工车间，钢材搬运。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1"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7</w:t>
                  </w:r>
                </w:p>
              </w:tc>
              <w:tc>
                <w:tcPr>
                  <w:tcW w:w="2323"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二氧化碳保护焊机</w:t>
                  </w:r>
                </w:p>
              </w:tc>
              <w:tc>
                <w:tcPr>
                  <w:tcW w:w="1849" w:type="dxa"/>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w:t>
                  </w:r>
                </w:p>
              </w:tc>
              <w:tc>
                <w:tcPr>
                  <w:tcW w:w="427" w:type="dxa"/>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套</w:t>
                  </w:r>
                </w:p>
              </w:tc>
              <w:tc>
                <w:tcPr>
                  <w:tcW w:w="559"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20</w:t>
                  </w:r>
                </w:p>
              </w:tc>
              <w:tc>
                <w:tcPr>
                  <w:tcW w:w="2337"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加工车间，焊接。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1"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8</w:t>
                  </w:r>
                </w:p>
              </w:tc>
              <w:tc>
                <w:tcPr>
                  <w:tcW w:w="2323"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喷枪</w:t>
                  </w:r>
                </w:p>
              </w:tc>
              <w:tc>
                <w:tcPr>
                  <w:tcW w:w="1849" w:type="dxa"/>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w:t>
                  </w:r>
                </w:p>
              </w:tc>
              <w:tc>
                <w:tcPr>
                  <w:tcW w:w="427" w:type="dxa"/>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把</w:t>
                  </w:r>
                </w:p>
              </w:tc>
              <w:tc>
                <w:tcPr>
                  <w:tcW w:w="559"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10</w:t>
                  </w:r>
                </w:p>
              </w:tc>
              <w:tc>
                <w:tcPr>
                  <w:tcW w:w="2337"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主要用于喷涂料。</w:t>
                  </w:r>
                </w:p>
              </w:tc>
            </w:tr>
          </w:tbl>
          <w:p>
            <w:pPr>
              <w:keepNext w:val="0"/>
              <w:keepLines w:val="0"/>
              <w:suppressLineNumbers w:val="0"/>
              <w:spacing w:before="0" w:beforeAutospacing="0" w:after="0" w:afterAutospacing="0"/>
              <w:ind w:left="0" w:right="0" w:firstLine="472" w:firstLineChars="196"/>
              <w:jc w:val="both"/>
              <w:rPr>
                <w:b/>
                <w:bCs/>
              </w:rPr>
            </w:pPr>
            <w:r>
              <w:rPr>
                <w:rFonts w:hint="eastAsia"/>
                <w:b/>
                <w:bCs/>
              </w:rPr>
              <w:t>七、</w:t>
            </w:r>
            <w:r>
              <w:rPr>
                <w:b/>
                <w:bCs/>
              </w:rPr>
              <w:t>项目主要原辅料</w:t>
            </w:r>
            <w:r>
              <w:rPr>
                <w:rFonts w:hint="eastAsia"/>
                <w:b/>
                <w:bCs/>
              </w:rPr>
              <w:t>及</w:t>
            </w:r>
            <w:r>
              <w:rPr>
                <w:b/>
                <w:bCs/>
              </w:rPr>
              <w:t>能源消耗</w:t>
            </w:r>
          </w:p>
          <w:p>
            <w:pPr>
              <w:keepNext w:val="0"/>
              <w:keepLines w:val="0"/>
              <w:suppressLineNumbers w:val="0"/>
              <w:spacing w:before="0" w:beforeAutospacing="0" w:after="0" w:afterAutospacing="0"/>
              <w:ind w:left="0" w:right="0" w:firstLine="480"/>
              <w:jc w:val="both"/>
            </w:pPr>
            <w:r>
              <w:t>1、项目主要原辅材料</w:t>
            </w:r>
          </w:p>
          <w:p>
            <w:pPr>
              <w:keepNext w:val="0"/>
              <w:keepLines w:val="0"/>
              <w:suppressLineNumbers w:val="0"/>
              <w:spacing w:before="0" w:beforeAutospacing="0" w:after="0" w:afterAutospacing="0"/>
              <w:ind w:left="0" w:right="0" w:firstLine="480"/>
              <w:jc w:val="both"/>
            </w:pPr>
            <w:r>
              <w:t>项目原辅料及能源的消耗的情况见下表。</w:t>
            </w:r>
          </w:p>
          <w:p>
            <w:pPr>
              <w:pStyle w:val="25"/>
              <w:keepNext w:val="0"/>
              <w:keepLines w:val="0"/>
              <w:suppressLineNumbers w:val="0"/>
              <w:spacing w:before="0" w:beforeAutospacing="0" w:after="0" w:afterAutospacing="0" w:line="240" w:lineRule="auto"/>
              <w:ind w:left="0" w:right="0"/>
            </w:pPr>
            <w:r>
              <w:t>表1-</w:t>
            </w:r>
            <w:r>
              <w:rPr>
                <w:rFonts w:hint="eastAsia"/>
              </w:rPr>
              <w:t>4</w:t>
            </w:r>
            <w:r>
              <w:t xml:space="preserve"> 项目原辅材料消耗情况一览表</w:t>
            </w:r>
          </w:p>
          <w:tbl>
            <w:tblPr>
              <w:tblStyle w:val="1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36"/>
              <w:gridCol w:w="1686"/>
              <w:gridCol w:w="1360"/>
              <w:gridCol w:w="1844"/>
              <w:gridCol w:w="1416"/>
              <w:gridCol w:w="133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5" w:type="pc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序号</w:t>
                  </w:r>
                </w:p>
              </w:tc>
              <w:tc>
                <w:tcPr>
                  <w:tcW w:w="1016" w:type="pc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名称</w:t>
                  </w:r>
                </w:p>
              </w:tc>
              <w:tc>
                <w:tcPr>
                  <w:tcW w:w="820" w:type="pc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用量</w:t>
                  </w:r>
                </w:p>
              </w:tc>
              <w:tc>
                <w:tcPr>
                  <w:tcW w:w="1111" w:type="pc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储存方式</w:t>
                  </w:r>
                </w:p>
              </w:tc>
              <w:tc>
                <w:tcPr>
                  <w:tcW w:w="86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最大储存量</w:t>
                  </w:r>
                </w:p>
              </w:tc>
              <w:tc>
                <w:tcPr>
                  <w:tcW w:w="808" w:type="pct"/>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来源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 w:type="pct"/>
                  <w:gridSpan w:val="6"/>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主要原辅材料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5" w:type="pc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1</w:t>
                  </w:r>
                </w:p>
              </w:tc>
              <w:tc>
                <w:tcPr>
                  <w:tcW w:w="101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板材</w:t>
                  </w:r>
                </w:p>
              </w:tc>
              <w:tc>
                <w:tcPr>
                  <w:tcW w:w="75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1.44万</w:t>
                  </w:r>
                  <w:r>
                    <w:rPr>
                      <w:b w:val="0"/>
                      <w:bCs w:val="0"/>
                      <w:color w:val="auto"/>
                    </w:rPr>
                    <w:t>t/a</w:t>
                  </w:r>
                </w:p>
              </w:tc>
              <w:tc>
                <w:tcPr>
                  <w:tcW w:w="1111" w:type="pct"/>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原料区堆放</w:t>
                  </w:r>
                </w:p>
              </w:tc>
              <w:tc>
                <w:tcPr>
                  <w:tcW w:w="86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2000t</w:t>
                  </w:r>
                </w:p>
              </w:tc>
              <w:tc>
                <w:tcPr>
                  <w:tcW w:w="872" w:type="pct"/>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攀枝花钢铁公司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w:t>
                  </w:r>
                </w:p>
              </w:tc>
              <w:tc>
                <w:tcPr>
                  <w:tcW w:w="101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槽钢</w:t>
                  </w:r>
                </w:p>
              </w:tc>
              <w:tc>
                <w:tcPr>
                  <w:tcW w:w="75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1.5万</w:t>
                  </w:r>
                  <w:r>
                    <w:rPr>
                      <w:b w:val="0"/>
                      <w:bCs w:val="0"/>
                      <w:color w:val="auto"/>
                    </w:rPr>
                    <w:t>t/a</w:t>
                  </w:r>
                </w:p>
              </w:tc>
              <w:tc>
                <w:tcPr>
                  <w:tcW w:w="1111"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6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2000t</w:t>
                  </w:r>
                </w:p>
              </w:tc>
              <w:tc>
                <w:tcPr>
                  <w:tcW w:w="872" w:type="pct"/>
                  <w:vMerge w:val="restart"/>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昆明钢铁控股有限公司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4</w:t>
                  </w:r>
                </w:p>
              </w:tc>
              <w:tc>
                <w:tcPr>
                  <w:tcW w:w="101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角钢</w:t>
                  </w:r>
                </w:p>
              </w:tc>
              <w:tc>
                <w:tcPr>
                  <w:tcW w:w="82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0.1万</w:t>
                  </w:r>
                  <w:r>
                    <w:rPr>
                      <w:b w:val="0"/>
                      <w:bCs w:val="0"/>
                      <w:color w:val="auto"/>
                    </w:rPr>
                    <w:t>t/a</w:t>
                  </w:r>
                </w:p>
              </w:tc>
              <w:tc>
                <w:tcPr>
                  <w:tcW w:w="1111"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1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500t</w:t>
                  </w:r>
                </w:p>
              </w:tc>
              <w:tc>
                <w:tcPr>
                  <w:tcW w:w="851"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5</w:t>
                  </w:r>
                </w:p>
              </w:tc>
              <w:tc>
                <w:tcPr>
                  <w:tcW w:w="101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焊丝、焊条</w:t>
                  </w:r>
                </w:p>
              </w:tc>
              <w:tc>
                <w:tcPr>
                  <w:tcW w:w="82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40t/a</w:t>
                  </w:r>
                </w:p>
              </w:tc>
              <w:tc>
                <w:tcPr>
                  <w:tcW w:w="1111"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箱装,</w:t>
                  </w:r>
                  <w:r>
                    <w:rPr>
                      <w:b w:val="0"/>
                      <w:bCs w:val="0"/>
                      <w:color w:val="auto"/>
                    </w:rPr>
                    <w:t xml:space="preserve"> 原料区堆放</w:t>
                  </w:r>
                </w:p>
              </w:tc>
              <w:tc>
                <w:tcPr>
                  <w:tcW w:w="81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5t</w:t>
                  </w:r>
                </w:p>
              </w:tc>
              <w:tc>
                <w:tcPr>
                  <w:tcW w:w="851" w:type="pct"/>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云南大西洋焊接材料有限公司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6</w:t>
                  </w:r>
                </w:p>
              </w:tc>
              <w:tc>
                <w:tcPr>
                  <w:tcW w:w="101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水性丙烯酸涂料</w:t>
                  </w:r>
                </w:p>
              </w:tc>
              <w:tc>
                <w:tcPr>
                  <w:tcW w:w="82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8.49t/a</w:t>
                  </w:r>
                </w:p>
              </w:tc>
              <w:tc>
                <w:tcPr>
                  <w:tcW w:w="1111"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桶装,</w:t>
                  </w:r>
                  <w:r>
                    <w:rPr>
                      <w:b w:val="0"/>
                      <w:bCs w:val="0"/>
                      <w:color w:val="auto"/>
                    </w:rPr>
                    <w:t>原料区堆放</w:t>
                  </w:r>
                </w:p>
              </w:tc>
              <w:tc>
                <w:tcPr>
                  <w:tcW w:w="81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2t</w:t>
                  </w:r>
                </w:p>
              </w:tc>
              <w:tc>
                <w:tcPr>
                  <w:tcW w:w="851" w:type="pct"/>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昆明京昆水漆涂料有限公司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7</w:t>
                  </w:r>
                </w:p>
              </w:tc>
              <w:tc>
                <w:tcPr>
                  <w:tcW w:w="101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氧气</w:t>
                  </w:r>
                </w:p>
              </w:tc>
              <w:tc>
                <w:tcPr>
                  <w:tcW w:w="82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300瓶</w:t>
                  </w:r>
                </w:p>
              </w:tc>
              <w:tc>
                <w:tcPr>
                  <w:tcW w:w="1111"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钢瓶（70kg装）</w:t>
                  </w:r>
                </w:p>
              </w:tc>
              <w:tc>
                <w:tcPr>
                  <w:tcW w:w="81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100瓶</w:t>
                  </w:r>
                </w:p>
              </w:tc>
              <w:tc>
                <w:tcPr>
                  <w:tcW w:w="851" w:type="pct"/>
                  <w:vMerge w:val="restart"/>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富民县周边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8</w:t>
                  </w:r>
                </w:p>
              </w:tc>
              <w:tc>
                <w:tcPr>
                  <w:tcW w:w="101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二氧化碳</w:t>
                  </w:r>
                </w:p>
              </w:tc>
              <w:tc>
                <w:tcPr>
                  <w:tcW w:w="82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250瓶</w:t>
                  </w:r>
                </w:p>
              </w:tc>
              <w:tc>
                <w:tcPr>
                  <w:tcW w:w="1111"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钢瓶（90kg装）</w:t>
                  </w:r>
                </w:p>
              </w:tc>
              <w:tc>
                <w:tcPr>
                  <w:tcW w:w="86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100瓶</w:t>
                  </w:r>
                </w:p>
              </w:tc>
              <w:tc>
                <w:tcPr>
                  <w:tcW w:w="808"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9</w:t>
                  </w:r>
                </w:p>
              </w:tc>
              <w:tc>
                <w:tcPr>
                  <w:tcW w:w="101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乙炔</w:t>
                  </w:r>
                </w:p>
              </w:tc>
              <w:tc>
                <w:tcPr>
                  <w:tcW w:w="82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210瓶</w:t>
                  </w:r>
                </w:p>
              </w:tc>
              <w:tc>
                <w:tcPr>
                  <w:tcW w:w="1111"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钢瓶（5kg装）</w:t>
                  </w:r>
                </w:p>
              </w:tc>
              <w:tc>
                <w:tcPr>
                  <w:tcW w:w="86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100瓶</w:t>
                  </w:r>
                </w:p>
              </w:tc>
              <w:tc>
                <w:tcPr>
                  <w:tcW w:w="808"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00" w:type="pct"/>
                  <w:gridSpan w:val="6"/>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主要能源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10</w:t>
                  </w:r>
                </w:p>
              </w:tc>
              <w:tc>
                <w:tcPr>
                  <w:tcW w:w="101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水</w:t>
                  </w:r>
                </w:p>
              </w:tc>
              <w:tc>
                <w:tcPr>
                  <w:tcW w:w="82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2298m</w:t>
                  </w:r>
                  <w:r>
                    <w:rPr>
                      <w:rFonts w:hint="eastAsia"/>
                      <w:b w:val="0"/>
                      <w:bCs w:val="0"/>
                      <w:color w:val="auto"/>
                      <w:vertAlign w:val="superscript"/>
                    </w:rPr>
                    <w:t>3</w:t>
                  </w:r>
                </w:p>
              </w:tc>
              <w:tc>
                <w:tcPr>
                  <w:tcW w:w="1111"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w:t>
                  </w:r>
                </w:p>
              </w:tc>
              <w:tc>
                <w:tcPr>
                  <w:tcW w:w="86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w:t>
                  </w:r>
                </w:p>
              </w:tc>
              <w:tc>
                <w:tcPr>
                  <w:tcW w:w="808" w:type="pct"/>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园区供水管网接入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11</w:t>
                  </w:r>
                </w:p>
              </w:tc>
              <w:tc>
                <w:tcPr>
                  <w:tcW w:w="101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电</w:t>
                  </w:r>
                </w:p>
              </w:tc>
              <w:tc>
                <w:tcPr>
                  <w:tcW w:w="82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30万kW·h</w:t>
                  </w:r>
                </w:p>
              </w:tc>
              <w:tc>
                <w:tcPr>
                  <w:tcW w:w="1111"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w:t>
                  </w:r>
                </w:p>
              </w:tc>
              <w:tc>
                <w:tcPr>
                  <w:tcW w:w="86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w:t>
                  </w:r>
                </w:p>
              </w:tc>
              <w:tc>
                <w:tcPr>
                  <w:tcW w:w="808" w:type="pct"/>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园区电网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12</w:t>
                  </w:r>
                </w:p>
              </w:tc>
              <w:tc>
                <w:tcPr>
                  <w:tcW w:w="101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液化气</w:t>
                  </w:r>
                </w:p>
              </w:tc>
              <w:tc>
                <w:tcPr>
                  <w:tcW w:w="82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25瓶</w:t>
                  </w:r>
                </w:p>
              </w:tc>
              <w:tc>
                <w:tcPr>
                  <w:tcW w:w="1111"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瓶装（15kg装）</w:t>
                  </w:r>
                </w:p>
              </w:tc>
              <w:tc>
                <w:tcPr>
                  <w:tcW w:w="86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1瓶</w:t>
                  </w:r>
                </w:p>
              </w:tc>
              <w:tc>
                <w:tcPr>
                  <w:tcW w:w="808" w:type="pct"/>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富民县内液化气公司</w:t>
                  </w:r>
                </w:p>
              </w:tc>
            </w:tr>
          </w:tbl>
          <w:p>
            <w:pPr>
              <w:keepNext w:val="0"/>
              <w:keepLines w:val="0"/>
              <w:suppressLineNumbers w:val="0"/>
              <w:spacing w:before="0" w:beforeAutospacing="0" w:after="0" w:afterAutospacing="0"/>
              <w:ind w:left="0" w:right="0" w:firstLine="600" w:firstLineChars="250"/>
              <w:jc w:val="both"/>
            </w:pPr>
            <w:r>
              <w:rPr>
                <w:rFonts w:hint="eastAsia"/>
              </w:rPr>
              <w:t>2、</w:t>
            </w:r>
            <w:r>
              <w:t>项目原辅材料</w:t>
            </w:r>
            <w:r>
              <w:rPr>
                <w:rFonts w:hint="eastAsia"/>
              </w:rPr>
              <w:t>特性</w:t>
            </w:r>
          </w:p>
          <w:p>
            <w:pPr>
              <w:pStyle w:val="25"/>
              <w:keepNext w:val="0"/>
              <w:keepLines w:val="0"/>
              <w:suppressLineNumbers w:val="0"/>
              <w:spacing w:before="0" w:beforeAutospacing="0" w:after="0" w:afterAutospacing="0" w:line="240" w:lineRule="auto"/>
              <w:ind w:left="0" w:right="0"/>
            </w:pPr>
            <w:r>
              <w:rPr>
                <w:rFonts w:hint="eastAsia"/>
              </w:rPr>
              <w:t>表1-5项目主要原辅材料理化性质一览表</w:t>
            </w:r>
          </w:p>
          <w:tbl>
            <w:tblPr>
              <w:tblStyle w:val="19"/>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468"/>
              <w:gridCol w:w="680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471"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物料名称</w:t>
                  </w:r>
                </w:p>
              </w:tc>
              <w:tc>
                <w:tcPr>
                  <w:tcW w:w="6825"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理化性质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471"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钢材</w:t>
                  </w:r>
                </w:p>
              </w:tc>
              <w:tc>
                <w:tcPr>
                  <w:tcW w:w="6825"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一般碳钢，主要成分为 Fe 以及 C、Si、Mn、P、S 等非金属杂质，不含 Cr、Mo、Ni 等重金属。</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471"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焊丝、焊条</w:t>
                  </w:r>
                </w:p>
              </w:tc>
              <w:tc>
                <w:tcPr>
                  <w:tcW w:w="6825"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焊条、焊丝是作为填充金属或同时作为导电用的金属丝焊接材料。用于焊接较重要的低碳钢结构和强度等级低的低合金钢，一般用于焊接钢结构和普通碳钢管道的焊接。具有优良的焊接工艺性能和力学性能，电弧稳定，飞溅少，脱渣容易，焊缝成型美观。其主要成分为 Fe96%、C0.2%、Mnl.2%、Sil%、P0.04%、S0.035%、Ni0.3%、Ci0.2%、Mo0.3%、V0.08%。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471"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水性丙烯酸漆</w:t>
                  </w:r>
                </w:p>
              </w:tc>
              <w:tc>
                <w:tcPr>
                  <w:tcW w:w="6825"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本项目使用水性丙烯酸漆，由苯乙烯、丙烯酸共聚乳液（40.0%）、金红石（5%）、酞菁蓝（2%）、水（50.97%）、烷基苯酚聚乙二醇磷酸盐（0.2）、2-氨基-2-甲基-1-丙醇（0.2%）、萘磺酸、甲醛的聚合物钠盐(9Cl)（0.1%）、聚二甲基硅氧烷（0.1%）、[1,2-亚乙基二(氧)]二甲醇（0.03%）组成，使用水稀释。丙烯酸聚合物是丙烯酸及其衍生物的聚合物。密度约1.3g/cm</w:t>
                  </w:r>
                  <w:r>
                    <w:rPr>
                      <w:rFonts w:hint="eastAsia"/>
                      <w:b w:val="0"/>
                      <w:bCs w:val="0"/>
                      <w:color w:val="auto"/>
                      <w:vertAlign w:val="superscript"/>
                    </w:rPr>
                    <w:t>3</w:t>
                  </w:r>
                  <w:r>
                    <w:rPr>
                      <w:rFonts w:hint="eastAsia"/>
                      <w:b w:val="0"/>
                      <w:bCs w:val="0"/>
                      <w:color w:val="auto"/>
                    </w:rPr>
                    <w:t>，沸点：126℃。油漆成分检测报告详见附件4。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471"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乙炔</w:t>
                  </w:r>
                </w:p>
              </w:tc>
              <w:tc>
                <w:tcPr>
                  <w:tcW w:w="6825" w:type="dxa"/>
                  <w:noWrap/>
                  <w:vAlign w:val="center"/>
                </w:tcPr>
                <w:p>
                  <w:pPr>
                    <w:pStyle w:val="26"/>
                    <w:keepNext w:val="0"/>
                    <w:keepLines w:val="0"/>
                    <w:suppressLineNumbers w:val="0"/>
                    <w:spacing w:before="0" w:beforeAutospacing="0" w:after="0" w:afterAutospacing="0"/>
                    <w:ind w:left="0" w:right="0"/>
                    <w:rPr>
                      <w:rFonts w:asciiTheme="minorEastAsia" w:hAnsiTheme="minorEastAsia" w:eastAsiaTheme="minorEastAsia"/>
                      <w:b w:val="0"/>
                      <w:bCs w:val="0"/>
                      <w:color w:val="auto"/>
                    </w:rPr>
                  </w:pPr>
                  <w:r>
                    <w:rPr>
                      <w:b w:val="0"/>
                      <w:bCs w:val="0"/>
                      <w:color w:val="auto"/>
                    </w:rPr>
                    <w:t>乙炔为无色芳香气味的</w:t>
                  </w:r>
                  <w:r>
                    <w:fldChar w:fldCharType="begin"/>
                  </w:r>
                  <w:r>
                    <w:instrText xml:space="preserve"> HYPERLINK "https://baike.sogou.com/lemma/ShowInnerLink.htm?lemmaId=7924894&amp;ss_c=ssc.citiao.link" \t "_blank" </w:instrText>
                  </w:r>
                  <w:r>
                    <w:fldChar w:fldCharType="separate"/>
                  </w:r>
                  <w:r>
                    <w:rPr>
                      <w:b w:val="0"/>
                      <w:bCs w:val="0"/>
                      <w:color w:val="auto"/>
                    </w:rPr>
                    <w:t>易燃气体</w:t>
                  </w:r>
                  <w:r>
                    <w:rPr>
                      <w:b w:val="0"/>
                      <w:bCs w:val="0"/>
                      <w:color w:val="auto"/>
                    </w:rPr>
                    <w:fldChar w:fldCharType="end"/>
                  </w:r>
                  <w:r>
                    <w:rPr>
                      <w:b w:val="0"/>
                      <w:bCs w:val="0"/>
                      <w:color w:val="auto"/>
                    </w:rPr>
                    <w:t>。熔点（118.656kPa）-80.8</w:t>
                  </w:r>
                  <w:r>
                    <w:rPr>
                      <w:rFonts w:hint="eastAsia"/>
                      <w:b w:val="0"/>
                      <w:bCs w:val="0"/>
                      <w:color w:val="auto"/>
                    </w:rPr>
                    <w:t>℃</w:t>
                  </w:r>
                  <w:r>
                    <w:rPr>
                      <w:b w:val="0"/>
                      <w:bCs w:val="0"/>
                      <w:color w:val="auto"/>
                    </w:rPr>
                    <w:t>，沸点-84</w:t>
                  </w:r>
                  <w:r>
                    <w:rPr>
                      <w:rFonts w:hint="eastAsia"/>
                      <w:b w:val="0"/>
                      <w:bCs w:val="0"/>
                      <w:color w:val="auto"/>
                    </w:rPr>
                    <w:t>℃</w:t>
                  </w:r>
                  <w:r>
                    <w:rPr>
                      <w:b w:val="0"/>
                      <w:bCs w:val="0"/>
                      <w:color w:val="auto"/>
                    </w:rPr>
                    <w:t>，相对密度0.6208（-82/4</w:t>
                  </w:r>
                  <w:r>
                    <w:rPr>
                      <w:rFonts w:hint="eastAsia"/>
                      <w:b w:val="0"/>
                      <w:bCs w:val="0"/>
                      <w:color w:val="auto"/>
                    </w:rPr>
                    <w:t>℃</w:t>
                  </w:r>
                  <w:r>
                    <w:rPr>
                      <w:b w:val="0"/>
                      <w:bCs w:val="0"/>
                      <w:color w:val="auto"/>
                    </w:rPr>
                    <w:t>），折射率1.00051，</w:t>
                  </w:r>
                  <w:r>
                    <w:fldChar w:fldCharType="begin"/>
                  </w:r>
                  <w:r>
                    <w:instrText xml:space="preserve"> HYPERLINK "https://baike.sogou.com/lemma/ShowInnerLink.htm?lemmaId=337478&amp;ss_c=ssc.citiao.link" \t "_blank" </w:instrText>
                  </w:r>
                  <w:r>
                    <w:fldChar w:fldCharType="separate"/>
                  </w:r>
                  <w:r>
                    <w:rPr>
                      <w:b w:val="0"/>
                      <w:bCs w:val="0"/>
                      <w:color w:val="auto"/>
                    </w:rPr>
                    <w:t>折光率</w:t>
                  </w:r>
                  <w:r>
                    <w:rPr>
                      <w:b w:val="0"/>
                      <w:bCs w:val="0"/>
                      <w:color w:val="auto"/>
                    </w:rPr>
                    <w:fldChar w:fldCharType="end"/>
                  </w:r>
                  <w:r>
                    <w:rPr>
                      <w:b w:val="0"/>
                      <w:bCs w:val="0"/>
                      <w:color w:val="auto"/>
                    </w:rPr>
                    <w:t>1.0005（0</w:t>
                  </w:r>
                  <w:r>
                    <w:rPr>
                      <w:rFonts w:hint="eastAsia"/>
                      <w:b w:val="0"/>
                      <w:bCs w:val="0"/>
                      <w:color w:val="auto"/>
                    </w:rPr>
                    <w:t>℃</w:t>
                  </w:r>
                  <w:r>
                    <w:rPr>
                      <w:b w:val="0"/>
                      <w:bCs w:val="0"/>
                      <w:color w:val="auto"/>
                    </w:rPr>
                    <w:t>），闪点（</w:t>
                  </w:r>
                  <w:r>
                    <w:fldChar w:fldCharType="begin"/>
                  </w:r>
                  <w:r>
                    <w:instrText xml:space="preserve"> HYPERLINK "https://baike.sogou.com/lemma/ShowInnerLink.htm?lemmaId=8233997&amp;ss_c=ssc.citiao.link" \t "_blank" </w:instrText>
                  </w:r>
                  <w:r>
                    <w:fldChar w:fldCharType="separate"/>
                  </w:r>
                  <w:r>
                    <w:rPr>
                      <w:b w:val="0"/>
                      <w:bCs w:val="0"/>
                      <w:color w:val="auto"/>
                    </w:rPr>
                    <w:t>开杯</w:t>
                  </w:r>
                  <w:r>
                    <w:rPr>
                      <w:b w:val="0"/>
                      <w:bCs w:val="0"/>
                      <w:color w:val="auto"/>
                    </w:rPr>
                    <w:fldChar w:fldCharType="end"/>
                  </w:r>
                  <w:r>
                    <w:rPr>
                      <w:b w:val="0"/>
                      <w:bCs w:val="0"/>
                      <w:color w:val="auto"/>
                    </w:rPr>
                    <w:t>）-17.78</w:t>
                  </w:r>
                  <w:r>
                    <w:rPr>
                      <w:rFonts w:hint="eastAsia"/>
                      <w:b w:val="0"/>
                      <w:bCs w:val="0"/>
                      <w:color w:val="auto"/>
                    </w:rPr>
                    <w:t>℃</w:t>
                  </w:r>
                  <w:r>
                    <w:rPr>
                      <w:b w:val="0"/>
                      <w:bCs w:val="0"/>
                      <w:color w:val="auto"/>
                    </w:rPr>
                    <w:t>，</w:t>
                  </w:r>
                  <w:r>
                    <w:fldChar w:fldCharType="begin"/>
                  </w:r>
                  <w:r>
                    <w:instrText xml:space="preserve"> HYPERLINK "https://baike.sogou.com/lemma/ShowInnerLink.htm?lemmaId=391636&amp;ss_c=ssc.citiao.link" \t "_blank" </w:instrText>
                  </w:r>
                  <w:r>
                    <w:fldChar w:fldCharType="separate"/>
                  </w:r>
                  <w:r>
                    <w:rPr>
                      <w:b w:val="0"/>
                      <w:bCs w:val="0"/>
                      <w:color w:val="auto"/>
                    </w:rPr>
                    <w:t>自燃点</w:t>
                  </w:r>
                  <w:r>
                    <w:rPr>
                      <w:b w:val="0"/>
                      <w:bCs w:val="0"/>
                      <w:color w:val="auto"/>
                    </w:rPr>
                    <w:fldChar w:fldCharType="end"/>
                  </w:r>
                  <w:r>
                    <w:rPr>
                      <w:b w:val="0"/>
                      <w:bCs w:val="0"/>
                      <w:color w:val="auto"/>
                    </w:rPr>
                    <w:t>305</w:t>
                  </w:r>
                  <w:r>
                    <w:rPr>
                      <w:rFonts w:hint="eastAsia"/>
                      <w:b w:val="0"/>
                      <w:bCs w:val="0"/>
                      <w:color w:val="auto"/>
                    </w:rPr>
                    <w:t>℃</w:t>
                  </w:r>
                  <w:r>
                    <w:rPr>
                      <w:b w:val="0"/>
                      <w:bCs w:val="0"/>
                      <w:color w:val="auto"/>
                    </w:rPr>
                    <w:t>。在空气中爆炸极限2.3%-72.3%（vol）。在液态和固态下或在气态和一定压力下有猛烈爆炸的危险，受热、震动、</w:t>
                  </w:r>
                  <w:r>
                    <w:fldChar w:fldCharType="begin"/>
                  </w:r>
                  <w:r>
                    <w:instrText xml:space="preserve"> HYPERLINK "https://baike.sogou.com/lemma/ShowInnerLink.htm?lemmaId=252833&amp;ss_c=ssc.citiao.link" \t "_blank" </w:instrText>
                  </w:r>
                  <w:r>
                    <w:fldChar w:fldCharType="separate"/>
                  </w:r>
                  <w:r>
                    <w:rPr>
                      <w:b w:val="0"/>
                      <w:bCs w:val="0"/>
                      <w:color w:val="auto"/>
                    </w:rPr>
                    <w:t>电火花</w:t>
                  </w:r>
                  <w:r>
                    <w:rPr>
                      <w:b w:val="0"/>
                      <w:bCs w:val="0"/>
                      <w:color w:val="auto"/>
                    </w:rPr>
                    <w:fldChar w:fldCharType="end"/>
                  </w:r>
                  <w:r>
                    <w:rPr>
                      <w:b w:val="0"/>
                      <w:bCs w:val="0"/>
                      <w:color w:val="auto"/>
                    </w:rPr>
                    <w:t>等因素都可以引发爆炸</w:t>
                  </w:r>
                  <w:r>
                    <w:rPr>
                      <w:rFonts w:hint="eastAsia"/>
                      <w:b w:val="0"/>
                      <w:bCs w:val="0"/>
                      <w:color w:val="auto"/>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471"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氧气</w:t>
                  </w:r>
                </w:p>
              </w:tc>
              <w:tc>
                <w:tcPr>
                  <w:tcW w:w="6825"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氧含量为99.2%，含有一氧化碳、二氧化碳、乙炔等对人体有害的杂质。化学式O</w:t>
                  </w:r>
                  <w:r>
                    <w:rPr>
                      <w:rFonts w:hint="eastAsia"/>
                      <w:b w:val="0"/>
                      <w:bCs w:val="0"/>
                      <w:color w:val="auto"/>
                      <w:vertAlign w:val="subscript"/>
                    </w:rPr>
                    <w:t>2</w:t>
                  </w:r>
                  <w:r>
                    <w:rPr>
                      <w:rFonts w:hint="eastAsia"/>
                      <w:b w:val="0"/>
                      <w:bCs w:val="0"/>
                      <w:color w:val="auto"/>
                    </w:rPr>
                    <w:t>，式量32.00，无色无味气体，氧元素最常见的单质形态。熔点-218.4℃，沸点-183℃，密度 1.141x103kg/m</w:t>
                  </w:r>
                  <w:r>
                    <w:rPr>
                      <w:rFonts w:hint="eastAsia"/>
                      <w:b w:val="0"/>
                      <w:bCs w:val="0"/>
                      <w:color w:val="auto"/>
                      <w:vertAlign w:val="superscript"/>
                    </w:rPr>
                    <w:t>3</w:t>
                  </w:r>
                  <w:r>
                    <w:rPr>
                      <w:rFonts w:hint="eastAsia"/>
                      <w:b w:val="0"/>
                      <w:bCs w:val="0"/>
                      <w:color w:val="auto"/>
                    </w:rPr>
                    <w:t>。它本身作为助燃剂与丙烷等高燃气体配合使用，达到焊割金属的作用，各行各业中，特别是机械企业里用途很广，作为切割之用也很方便，是首选的一种切割方法。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471"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二氧化碳</w:t>
                  </w:r>
                </w:p>
              </w:tc>
              <w:tc>
                <w:tcPr>
                  <w:tcW w:w="6825"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二氧化碳（化学式：CO</w:t>
                  </w:r>
                  <w:r>
                    <w:rPr>
                      <w:rFonts w:hint="eastAsia"/>
                      <w:b w:val="0"/>
                      <w:bCs w:val="0"/>
                      <w:color w:val="auto"/>
                      <w:vertAlign w:val="subscript"/>
                    </w:rPr>
                    <w:t>2</w:t>
                  </w:r>
                  <w:r>
                    <w:rPr>
                      <w:rFonts w:hint="eastAsia"/>
                      <w:b w:val="0"/>
                      <w:bCs w:val="0"/>
                      <w:color w:val="auto"/>
                    </w:rPr>
                    <w:t>）是空气中常见的温室气体，是一种气态化合物，碳与氧反应生成其化学式为CO</w:t>
                  </w:r>
                  <w:r>
                    <w:rPr>
                      <w:rFonts w:hint="eastAsia"/>
                      <w:b w:val="0"/>
                      <w:bCs w:val="0"/>
                      <w:color w:val="auto"/>
                      <w:vertAlign w:val="subscript"/>
                    </w:rPr>
                    <w:t>2</w:t>
                  </w:r>
                  <w:r>
                    <w:rPr>
                      <w:rFonts w:hint="eastAsia"/>
                      <w:b w:val="0"/>
                      <w:bCs w:val="0"/>
                      <w:color w:val="auto"/>
                    </w:rPr>
                    <w:t>，一个二氧化碳分子由两个氧原子与一个碳原子通过共价键构成。二氧化碳常温下是一种无色无味、不可燃的气体，密度比空气大，略溶于水，与水反应生成碳酸。</w:t>
                  </w:r>
                </w:p>
              </w:tc>
            </w:tr>
          </w:tbl>
          <w:p>
            <w:pPr>
              <w:keepNext w:val="0"/>
              <w:keepLines w:val="0"/>
              <w:suppressLineNumbers w:val="0"/>
              <w:spacing w:before="0" w:beforeAutospacing="0" w:after="0" w:afterAutospacing="0"/>
              <w:ind w:left="0" w:right="0" w:firstLine="480"/>
              <w:jc w:val="both"/>
            </w:pPr>
            <w:r>
              <w:rPr>
                <w:rFonts w:hint="eastAsia"/>
              </w:rPr>
              <w:t>3、涂料用量核算</w:t>
            </w:r>
          </w:p>
          <w:p>
            <w:pPr>
              <w:pStyle w:val="11"/>
              <w:keepNext w:val="0"/>
              <w:keepLines w:val="0"/>
              <w:suppressLineNumbers w:val="0"/>
              <w:spacing w:before="0" w:beforeAutospacing="0" w:after="0" w:afterAutospacing="0"/>
              <w:ind w:left="0" w:right="0" w:firstLine="480"/>
            </w:pPr>
            <w:r>
              <w:rPr>
                <w:rFonts w:hint="eastAsia"/>
              </w:rPr>
              <w:t>（1）本项目涂料用量采用以下公式计算：</w:t>
            </w:r>
          </w:p>
          <w:p>
            <w:pPr>
              <w:pStyle w:val="9"/>
              <w:keepNext w:val="0"/>
              <w:keepLines w:val="0"/>
              <w:suppressLineNumbers w:val="0"/>
              <w:spacing w:before="0" w:beforeAutospacing="0" w:after="0" w:afterAutospacing="0"/>
              <w:ind w:left="0" w:right="0" w:firstLine="480"/>
              <w:rPr>
                <w:rFonts w:ascii="宋体" w:hAnsi="Courier New" w:cs="Courier New"/>
              </w:rPr>
            </w:pPr>
            <m:oMathPara>
              <m:oMath>
                <m:r>
                  <m:rPr>
                    <m:sty m:val="p"/>
                  </m:rPr>
                  <w:rPr>
                    <w:rFonts w:hint="eastAsia" w:ascii="Cambria Math" w:hAnsi="Cambria Math"/>
                  </w:rPr>
                  <m:t>m=</m:t>
                </m:r>
                <m:r>
                  <m:rPr>
                    <m:sty m:val="p"/>
                  </m:rPr>
                  <w:rPr>
                    <w:rFonts w:ascii="Cambria Math" w:hAnsi="Cambria Math"/>
                  </w:rPr>
                  <m:t>ρδsŋ×</m:t>
                </m:r>
                <m:sSup>
                  <m:sSupPr>
                    <m:ctrlPr>
                      <w:rPr>
                        <w:rFonts w:ascii="Cambria Math" w:hAnsi="Cambria Math"/>
                      </w:rPr>
                    </m:ctrlPr>
                  </m:sSupPr>
                  <m:e>
                    <m:r>
                      <m:rPr>
                        <m:sty m:val="p"/>
                      </m:rPr>
                      <w:rPr>
                        <w:rFonts w:ascii="Cambria Math" w:hAnsi="Cambria Math"/>
                      </w:rPr>
                      <m:t>10</m:t>
                    </m:r>
                    <m:ctrlPr>
                      <w:rPr>
                        <w:rFonts w:ascii="Cambria Math" w:hAnsi="Cambria Math"/>
                      </w:rPr>
                    </m:ctrlPr>
                  </m:e>
                  <m:sup>
                    <m:r>
                      <m:rPr>
                        <m:sty m:val="p"/>
                      </m:rPr>
                      <w:rPr>
                        <w:rFonts w:ascii="Cambria Math" w:hAnsi="Cambria Math"/>
                      </w:rPr>
                      <m:t>-6</m:t>
                    </m:r>
                    <m:ctrlPr>
                      <w:rPr>
                        <w:rFonts w:ascii="Cambria Math" w:hAnsi="Cambria Math"/>
                      </w:rPr>
                    </m:ctrlPr>
                  </m:sup>
                </m:sSup>
                <m:r>
                  <m:rPr>
                    <m:sty m:val="p"/>
                  </m:rPr>
                  <w:rPr>
                    <w:rFonts w:ascii="Cambria Math" w:hAnsi="Cambria Math"/>
                  </w:rPr>
                  <m:t>/(NV∙ε)</m:t>
                </m:r>
              </m:oMath>
            </m:oMathPara>
          </w:p>
          <w:p>
            <w:pPr>
              <w:keepNext w:val="0"/>
              <w:keepLines w:val="0"/>
              <w:suppressLineNumbers w:val="0"/>
              <w:spacing w:before="0" w:beforeAutospacing="0" w:after="0" w:afterAutospacing="0" w:line="240" w:lineRule="auto"/>
              <w:ind w:left="0" w:right="0" w:firstLine="480"/>
            </w:pPr>
            <w:r>
              <w:rPr>
                <w:rFonts w:hint="eastAsia"/>
              </w:rPr>
              <w:t>其中：m—单种涂料用量（t）</w:t>
            </w:r>
          </w:p>
          <w:p>
            <w:pPr>
              <w:pStyle w:val="11"/>
              <w:keepNext w:val="0"/>
              <w:keepLines w:val="0"/>
              <w:suppressLineNumbers w:val="0"/>
              <w:spacing w:before="0" w:beforeAutospacing="0" w:after="0" w:afterAutospacing="0"/>
              <w:ind w:left="0" w:right="0" w:firstLine="480"/>
            </w:pPr>
            <w:r>
              <w:rPr>
                <w:rFonts w:ascii="Times New Roman" w:hAnsi="Times New Roman" w:cs="Times New Roman"/>
              </w:rPr>
              <w:t>ρ</w:t>
            </w:r>
            <w:r>
              <w:rPr>
                <w:rFonts w:hint="eastAsia"/>
              </w:rPr>
              <w:t>—该涂料密度（</w:t>
            </w:r>
            <w:r>
              <w:rPr>
                <w:rFonts w:ascii="Times New Roman" w:hAnsi="Times New Roman" w:cs="Times New Roman"/>
              </w:rPr>
              <w:t>g/cm</w:t>
            </w:r>
            <w:r>
              <w:rPr>
                <w:rFonts w:ascii="Times New Roman" w:hAnsi="Times New Roman" w:cs="Times New Roman"/>
                <w:vertAlign w:val="superscript"/>
              </w:rPr>
              <w:t>3</w:t>
            </w:r>
            <w:r>
              <w:rPr>
                <w:rFonts w:hint="eastAsia"/>
              </w:rPr>
              <w:t>）</w:t>
            </w:r>
          </w:p>
          <w:p>
            <w:pPr>
              <w:pStyle w:val="11"/>
              <w:keepNext w:val="0"/>
              <w:keepLines w:val="0"/>
              <w:suppressLineNumbers w:val="0"/>
              <w:spacing w:before="0" w:beforeAutospacing="0" w:after="0" w:afterAutospacing="0" w:line="240" w:lineRule="auto"/>
              <w:ind w:left="0" w:right="0" w:firstLine="480"/>
            </w:pPr>
            <w:r>
              <w:rPr>
                <w:rFonts w:ascii="Times New Roman" w:hAnsi="Times New Roman" w:cs="Times New Roman"/>
              </w:rPr>
              <w:t>δ</w:t>
            </w:r>
            <w:r>
              <w:rPr>
                <w:rFonts w:hint="eastAsia"/>
              </w:rPr>
              <w:t>—涂层厚度（干膜厚度）(</w:t>
            </w:r>
            <w:r>
              <w:rPr>
                <w:rFonts w:ascii="Times New Roman" w:hAnsi="Times New Roman" w:cs="Times New Roman" w:eastAsiaTheme="minorEastAsia"/>
                <w:sz w:val="21"/>
              </w:rPr>
              <w:t>u</w:t>
            </w:r>
            <w:r>
              <w:rPr>
                <w:rFonts w:hint="eastAsia" w:ascii="Times New Roman" w:hAnsi="Times New Roman" w:cs="Times New Roman" w:eastAsiaTheme="minorEastAsia"/>
                <w:sz w:val="21"/>
              </w:rPr>
              <w:t>m</w:t>
            </w:r>
            <w:r>
              <w:rPr>
                <w:rFonts w:hint="eastAsia"/>
              </w:rPr>
              <w:t>)</w:t>
            </w:r>
          </w:p>
          <w:p>
            <w:pPr>
              <w:pStyle w:val="9"/>
              <w:keepNext w:val="0"/>
              <w:keepLines w:val="0"/>
              <w:suppressLineNumbers w:val="0"/>
              <w:spacing w:before="0" w:beforeAutospacing="0" w:after="0" w:afterAutospacing="0"/>
              <w:ind w:left="0" w:right="0" w:firstLine="480"/>
            </w:pPr>
            <w:r>
              <w:rPr>
                <w:rFonts w:hint="eastAsia"/>
              </w:rPr>
              <w:t xml:space="preserve">      s—涂装面积（m</w:t>
            </w:r>
            <w:r>
              <w:rPr>
                <w:rFonts w:hint="eastAsia"/>
                <w:vertAlign w:val="superscript"/>
              </w:rPr>
              <w:t>2</w:t>
            </w:r>
            <w:r>
              <w:rPr>
                <w:rFonts w:hint="eastAsia"/>
              </w:rPr>
              <w:t>）</w:t>
            </w:r>
          </w:p>
          <w:p>
            <w:pPr>
              <w:keepNext w:val="0"/>
              <w:keepLines w:val="0"/>
              <w:suppressLineNumbers w:val="0"/>
              <w:spacing w:before="0" w:beforeAutospacing="0" w:after="0" w:afterAutospacing="0"/>
              <w:ind w:left="0" w:right="0" w:firstLine="480"/>
            </w:pPr>
            <w:r>
              <w:t>ŋ</w:t>
            </w:r>
            <w:r>
              <w:rPr>
                <w:rFonts w:hint="eastAsia"/>
              </w:rPr>
              <w:t>—该涂料所占总涂料比例（%）</w:t>
            </w:r>
          </w:p>
          <w:p>
            <w:pPr>
              <w:pStyle w:val="11"/>
              <w:keepNext w:val="0"/>
              <w:keepLines w:val="0"/>
              <w:suppressLineNumbers w:val="0"/>
              <w:spacing w:before="0" w:beforeAutospacing="0" w:after="0" w:afterAutospacing="0"/>
              <w:ind w:left="0" w:right="0" w:firstLine="480"/>
            </w:pPr>
            <w:r>
              <w:rPr>
                <w:rFonts w:ascii="Times New Roman" w:hAnsi="Times New Roman" w:cs="Times New Roman"/>
              </w:rPr>
              <w:t xml:space="preserve">  NV</w:t>
            </w:r>
            <w:r>
              <w:rPr>
                <w:rFonts w:hint="eastAsia"/>
              </w:rPr>
              <w:t>—该涂料的体积固体份（%）</w:t>
            </w:r>
          </w:p>
          <w:p>
            <w:pPr>
              <w:pStyle w:val="9"/>
              <w:keepNext w:val="0"/>
              <w:keepLines w:val="0"/>
              <w:suppressLineNumbers w:val="0"/>
              <w:spacing w:before="0" w:beforeAutospacing="0" w:after="0" w:afterAutospacing="0"/>
              <w:ind w:left="0" w:right="0" w:firstLine="480"/>
            </w:pPr>
            <w:r>
              <w:t xml:space="preserve"> ε</w:t>
            </w:r>
            <w:r>
              <w:rPr>
                <w:rFonts w:hint="eastAsia"/>
              </w:rPr>
              <w:t>—上漆率（%）</w:t>
            </w:r>
          </w:p>
          <w:p>
            <w:pPr>
              <w:keepNext w:val="0"/>
              <w:keepLines w:val="0"/>
              <w:suppressLineNumbers w:val="0"/>
              <w:spacing w:before="0" w:beforeAutospacing="0" w:after="0" w:afterAutospacing="0"/>
              <w:ind w:left="0" w:right="0" w:firstLine="360" w:firstLineChars="150"/>
            </w:pPr>
            <w:r>
              <w:rPr>
                <w:rFonts w:hint="eastAsia"/>
              </w:rPr>
              <w:t>（2）参数选定</w:t>
            </w:r>
          </w:p>
          <w:p>
            <w:pPr>
              <w:pStyle w:val="11"/>
              <w:keepNext w:val="0"/>
              <w:keepLines w:val="0"/>
              <w:suppressLineNumbers w:val="0"/>
              <w:spacing w:before="0" w:beforeAutospacing="0" w:after="0" w:afterAutospacing="0"/>
              <w:ind w:left="0" w:right="0" w:firstLine="480"/>
              <w:rPr>
                <w:rFonts w:ascii="Times New Roman" w:hAnsi="Times New Roman" w:cs="Times New Roman"/>
              </w:rPr>
            </w:pPr>
            <w:r>
              <w:rPr>
                <w:rFonts w:cs="Times New Roman" w:asciiTheme="minorEastAsia" w:hAnsiTheme="minorEastAsia" w:eastAsiaTheme="minorEastAsia"/>
              </w:rPr>
              <w:fldChar w:fldCharType="begin"/>
            </w:r>
            <w:r>
              <w:rPr>
                <w:rFonts w:cs="Times New Roman" w:asciiTheme="minorEastAsia" w:hAnsiTheme="minorEastAsia" w:eastAsiaTheme="minorEastAsia"/>
              </w:rPr>
              <w:instrText xml:space="preserve"> = 1 \* GB3 </w:instrText>
            </w:r>
            <w:r>
              <w:rPr>
                <w:rFonts w:cs="Times New Roman" w:asciiTheme="minorEastAsia" w:hAnsiTheme="minorEastAsia" w:eastAsiaTheme="minorEastAsia"/>
              </w:rPr>
              <w:fldChar w:fldCharType="separate"/>
            </w:r>
            <w:r>
              <w:rPr>
                <w:rFonts w:cs="Times New Roman" w:asciiTheme="minorEastAsia" w:hAnsiTheme="minorEastAsia" w:eastAsiaTheme="minorEastAsia"/>
              </w:rPr>
              <w:t>①</w:t>
            </w:r>
            <w:r>
              <w:rPr>
                <w:rFonts w:cs="Times New Roman" w:asciiTheme="minorEastAsia" w:hAnsiTheme="minorEastAsia" w:eastAsiaTheme="minorEastAsia"/>
              </w:rPr>
              <w:fldChar w:fldCharType="end"/>
            </w:r>
            <w:r>
              <w:rPr>
                <w:rFonts w:ascii="Times New Roman" w:hAnsi="Times New Roman" w:cs="Times New Roman"/>
              </w:rPr>
              <w:t>该涂料的密度（ρ）</w:t>
            </w:r>
            <w:r>
              <w:rPr>
                <w:rFonts w:hint="eastAsia" w:ascii="Times New Roman" w:hAnsi="Times New Roman" w:cs="Times New Roman"/>
              </w:rPr>
              <w:t>：</w:t>
            </w:r>
            <w:r>
              <w:rPr>
                <w:rFonts w:ascii="Times New Roman" w:hAnsi="Times New Roman" w:cs="Times New Roman"/>
              </w:rPr>
              <w:t>根据建设单位提供的资料，本项目使用的水性漆密度为1.35g/cm</w:t>
            </w:r>
            <w:r>
              <w:rPr>
                <w:rFonts w:ascii="Times New Roman" w:hAnsi="Times New Roman" w:cs="Times New Roman"/>
                <w:vertAlign w:val="superscript"/>
              </w:rPr>
              <w:t>3</w:t>
            </w:r>
            <w:r>
              <w:rPr>
                <w:rFonts w:ascii="Times New Roman" w:hAnsi="Times New Roman" w:cs="Times New Roman"/>
              </w:rPr>
              <w:t>；</w:t>
            </w:r>
          </w:p>
          <w:p>
            <w:pPr>
              <w:pStyle w:val="9"/>
              <w:keepNext w:val="0"/>
              <w:keepLines w:val="0"/>
              <w:suppressLineNumbers w:val="0"/>
              <w:spacing w:before="0" w:beforeAutospacing="0" w:after="0" w:afterAutospacing="0"/>
              <w:ind w:left="0" w:right="0" w:firstLine="480"/>
              <w:rPr>
                <w:rFonts w:eastAsiaTheme="minorEastAsia"/>
                <w:sz w:val="21"/>
              </w:rPr>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t>涂层厚度</w:t>
            </w:r>
            <w:r>
              <w:rPr>
                <w:rFonts w:hint="eastAsia"/>
              </w:rPr>
              <w:t>（</w:t>
            </w:r>
            <w:r>
              <w:t>δ</w:t>
            </w:r>
            <w:r>
              <w:rPr>
                <w:rFonts w:hint="eastAsia"/>
              </w:rPr>
              <w:t>）：公式中的涂层厚度是指涂层的干膜厚度，根据水性漆厂家资料，钢结构喷涂厚度约为40</w:t>
            </w:r>
            <w:r>
              <w:rPr>
                <w:rFonts w:eastAsiaTheme="minorEastAsia"/>
              </w:rPr>
              <w:t xml:space="preserve"> u</w:t>
            </w:r>
            <w:r>
              <w:rPr>
                <w:rFonts w:hint="eastAsia" w:eastAsiaTheme="minorEastAsia"/>
              </w:rPr>
              <w:t>m；</w:t>
            </w:r>
          </w:p>
          <w:p>
            <w:pPr>
              <w:keepNext w:val="0"/>
              <w:keepLines w:val="0"/>
              <w:suppressLineNumbers w:val="0"/>
              <w:spacing w:before="0" w:beforeAutospacing="0" w:after="0" w:afterAutospacing="0"/>
              <w:ind w:left="0" w:right="0" w:firstLine="470" w:firstLineChars="196"/>
              <w:jc w:val="both"/>
            </w:pPr>
            <w:r>
              <w:rPr>
                <w:rFonts w:hint="eastAsia"/>
              </w:rPr>
              <w:fldChar w:fldCharType="begin"/>
            </w:r>
            <w:r>
              <w:instrText xml:space="preserve"> = 3 \* GB3 </w:instrText>
            </w:r>
            <w:r>
              <w:rPr>
                <w:rFonts w:hint="eastAsia"/>
              </w:rPr>
              <w:fldChar w:fldCharType="separate"/>
            </w:r>
            <w:r>
              <w:rPr>
                <w:rFonts w:hint="eastAsia"/>
              </w:rPr>
              <w:t>③</w:t>
            </w:r>
            <w:r>
              <w:rPr>
                <w:rFonts w:hint="eastAsia"/>
              </w:rPr>
              <w:fldChar w:fldCharType="end"/>
            </w:r>
            <w:r>
              <w:t>涂装面积</w:t>
            </w:r>
            <w:r>
              <w:rPr>
                <w:rFonts w:hint="eastAsia"/>
              </w:rPr>
              <w:t>（s）：根据企业提供的技术参数，详见表1-7。</w:t>
            </w:r>
          </w:p>
          <w:p>
            <w:pPr>
              <w:pStyle w:val="11"/>
              <w:keepNext w:val="0"/>
              <w:keepLines w:val="0"/>
              <w:suppressLineNumbers w:val="0"/>
              <w:spacing w:before="0" w:beforeAutospacing="0" w:after="0" w:afterAutospacing="0"/>
              <w:ind w:left="0" w:right="0" w:firstLine="480"/>
            </w:pPr>
            <w:r>
              <w:fldChar w:fldCharType="begin"/>
            </w:r>
            <w:r>
              <w:rPr>
                <w:rFonts w:hint="eastAsia"/>
              </w:rPr>
              <w:instrText xml:space="preserve">= 4 \* GB3</w:instrText>
            </w:r>
            <w:r>
              <w:fldChar w:fldCharType="separate"/>
            </w:r>
            <w:r>
              <w:rPr>
                <w:rFonts w:hint="eastAsia"/>
              </w:rPr>
              <w:t>④</w:t>
            </w:r>
            <w:r>
              <w:fldChar w:fldCharType="end"/>
            </w:r>
            <w:r>
              <w:rPr>
                <w:rFonts w:hint="eastAsia"/>
              </w:rPr>
              <w:t>该涂料所占总涂料比例（</w:t>
            </w:r>
            <w:r>
              <w:t>ŋ</w:t>
            </w:r>
            <w:r>
              <w:rPr>
                <w:rFonts w:hint="eastAsia"/>
              </w:rPr>
              <w:t>）：本项目仅使用水性丙烯酸漆，</w:t>
            </w:r>
            <w:r>
              <w:t>ŋ取</w:t>
            </w:r>
            <w:r>
              <w:rPr>
                <w:rFonts w:hint="eastAsia"/>
              </w:rPr>
              <w:t>100%。</w:t>
            </w:r>
          </w:p>
          <w:p>
            <w:pPr>
              <w:pStyle w:val="9"/>
              <w:keepNext w:val="0"/>
              <w:keepLines w:val="0"/>
              <w:suppressLineNumbers w:val="0"/>
              <w:spacing w:before="0" w:beforeAutospacing="0" w:after="0" w:afterAutospacing="0"/>
              <w:ind w:left="0" w:right="0" w:firstLine="480"/>
            </w:pPr>
            <w:r>
              <w:rPr>
                <w:rFonts w:hint="eastAsia"/>
              </w:rPr>
              <w:fldChar w:fldCharType="begin"/>
            </w:r>
            <w:r>
              <w:instrText xml:space="preserve"> = 5 \* GB3 </w:instrText>
            </w:r>
            <w:r>
              <w:rPr>
                <w:rFonts w:hint="eastAsia"/>
              </w:rPr>
              <w:fldChar w:fldCharType="separate"/>
            </w:r>
            <w:r>
              <w:rPr>
                <w:rFonts w:hint="eastAsia"/>
              </w:rPr>
              <w:t>⑤</w:t>
            </w:r>
            <w:r>
              <w:rPr>
                <w:rFonts w:hint="eastAsia"/>
              </w:rPr>
              <w:fldChar w:fldCharType="end"/>
            </w:r>
            <w:r>
              <w:rPr>
                <w:rFonts w:hint="eastAsia"/>
              </w:rPr>
              <w:t>该涂料的体积固体份（</w:t>
            </w:r>
            <w:r>
              <w:t>NV</w:t>
            </w:r>
            <w:r>
              <w:rPr>
                <w:rFonts w:hint="eastAsia"/>
              </w:rPr>
              <w:t>）：是指涂料中非挥发性成分与液体涂料的体积比，根据业主提供的油漆成分检测报告（详见附件4），漆料的非挥发性成分含量为40%。</w:t>
            </w:r>
          </w:p>
          <w:p>
            <w:pPr>
              <w:keepNext w:val="0"/>
              <w:keepLines w:val="0"/>
              <w:suppressLineNumbers w:val="0"/>
              <w:spacing w:before="0" w:beforeAutospacing="0" w:after="0" w:afterAutospacing="0"/>
              <w:ind w:left="0" w:right="0" w:firstLine="480"/>
            </w:pPr>
            <w:r>
              <w:rPr>
                <w:rFonts w:hint="eastAsia"/>
              </w:rPr>
              <w:fldChar w:fldCharType="begin"/>
            </w:r>
            <w:r>
              <w:instrText xml:space="preserve"> = 6 \* GB3 </w:instrText>
            </w:r>
            <w:r>
              <w:rPr>
                <w:rFonts w:hint="eastAsia"/>
              </w:rPr>
              <w:fldChar w:fldCharType="separate"/>
            </w:r>
            <w:r>
              <w:rPr>
                <w:rFonts w:hint="eastAsia"/>
              </w:rPr>
              <w:t>⑥</w:t>
            </w:r>
            <w:r>
              <w:rPr>
                <w:rFonts w:hint="eastAsia"/>
              </w:rPr>
              <w:fldChar w:fldCharType="end"/>
            </w:r>
            <w:r>
              <w:rPr>
                <w:rFonts w:hint="eastAsia"/>
              </w:rPr>
              <w:t>上漆率（</w:t>
            </w:r>
            <w:r>
              <w:t>ε</w:t>
            </w:r>
            <w:r>
              <w:rPr>
                <w:rFonts w:hint="eastAsia"/>
              </w:rPr>
              <w:t>）：上漆率又叫做附着率，指喷漆过程中，附着在工件上的漆占总用漆量的比例。根据查阅《现代涂料与涂装》（2006.10期），喷涂距离在10-15cm时，水性漆的附着率约为70%。</w:t>
            </w:r>
          </w:p>
          <w:p>
            <w:pPr>
              <w:pStyle w:val="11"/>
              <w:keepNext w:val="0"/>
              <w:keepLines w:val="0"/>
              <w:suppressLineNumbers w:val="0"/>
              <w:spacing w:before="0" w:beforeAutospacing="0" w:after="0" w:afterAutospacing="0" w:line="240" w:lineRule="auto"/>
              <w:ind w:left="0" w:right="0" w:firstLine="0" w:firstLineChars="0"/>
              <w:jc w:val="center"/>
              <w:rPr>
                <w:rFonts w:ascii="Times New Roman" w:hAnsi="Times New Roman" w:cs="Times New Roman"/>
                <w:b/>
                <w:sz w:val="21"/>
              </w:rPr>
            </w:pPr>
            <w:r>
              <w:rPr>
                <w:rFonts w:ascii="Times New Roman" w:hAnsi="Times New Roman" w:cs="Times New Roman"/>
                <w:b/>
                <w:sz w:val="21"/>
              </w:rPr>
              <w:t>表1-6 本项目参数选择情况一览表</w:t>
            </w:r>
          </w:p>
          <w:tbl>
            <w:tblPr>
              <w:tblStyle w:val="1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92"/>
              <w:gridCol w:w="1030"/>
              <w:gridCol w:w="1560"/>
              <w:gridCol w:w="1558"/>
              <w:gridCol w:w="1938"/>
              <w:gridCol w:w="11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8" w:type="pct"/>
                  <w:vAlign w:val="center"/>
                </w:tcPr>
                <w:p>
                  <w:pPr>
                    <w:pStyle w:val="9"/>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类型</w:t>
                  </w:r>
                </w:p>
              </w:tc>
              <w:tc>
                <w:tcPr>
                  <w:tcW w:w="621" w:type="pct"/>
                  <w:vAlign w:val="center"/>
                </w:tcPr>
                <w:p>
                  <w:pPr>
                    <w:pStyle w:val="9"/>
                    <w:keepNext w:val="0"/>
                    <w:keepLines w:val="0"/>
                    <w:suppressLineNumbers w:val="0"/>
                    <w:spacing w:before="0" w:beforeAutospacing="0" w:after="0" w:afterAutospacing="0" w:line="240" w:lineRule="auto"/>
                    <w:ind w:left="0" w:right="0" w:firstLine="0" w:firstLineChars="0"/>
                    <w:jc w:val="center"/>
                    <w:rPr>
                      <w:b/>
                      <w:sz w:val="21"/>
                      <w:szCs w:val="21"/>
                    </w:rPr>
                  </w:pPr>
                  <w:r>
                    <w:rPr>
                      <w:b/>
                      <w:sz w:val="21"/>
                      <w:szCs w:val="21"/>
                    </w:rPr>
                    <w:t>密度（ρ）g/cm</w:t>
                  </w:r>
                  <w:r>
                    <w:rPr>
                      <w:b/>
                      <w:sz w:val="21"/>
                      <w:szCs w:val="21"/>
                      <w:vertAlign w:val="superscript"/>
                    </w:rPr>
                    <w:t>3</w:t>
                  </w:r>
                </w:p>
              </w:tc>
              <w:tc>
                <w:tcPr>
                  <w:tcW w:w="940" w:type="pct"/>
                  <w:vAlign w:val="center"/>
                </w:tcPr>
                <w:p>
                  <w:pPr>
                    <w:pStyle w:val="9"/>
                    <w:keepNext w:val="0"/>
                    <w:keepLines w:val="0"/>
                    <w:suppressLineNumbers w:val="0"/>
                    <w:spacing w:before="0" w:beforeAutospacing="0" w:after="0" w:afterAutospacing="0" w:line="240" w:lineRule="auto"/>
                    <w:ind w:left="0" w:right="0" w:firstLine="0" w:firstLineChars="0"/>
                    <w:jc w:val="center"/>
                    <w:rPr>
                      <w:b/>
                      <w:sz w:val="21"/>
                      <w:szCs w:val="21"/>
                    </w:rPr>
                  </w:pPr>
                  <w:r>
                    <w:rPr>
                      <w:b/>
                      <w:sz w:val="21"/>
                      <w:szCs w:val="21"/>
                    </w:rPr>
                    <w:t>涂层厚度</w:t>
                  </w:r>
                  <w:r>
                    <w:rPr>
                      <w:rFonts w:hint="eastAsia"/>
                      <w:b/>
                      <w:sz w:val="21"/>
                      <w:szCs w:val="21"/>
                    </w:rPr>
                    <w:t>（</w:t>
                  </w:r>
                  <w:r>
                    <w:rPr>
                      <w:b/>
                      <w:sz w:val="21"/>
                      <w:szCs w:val="21"/>
                    </w:rPr>
                    <w:t>δ</w:t>
                  </w:r>
                  <w:r>
                    <w:rPr>
                      <w:rFonts w:hint="eastAsia"/>
                      <w:b/>
                      <w:sz w:val="21"/>
                      <w:szCs w:val="21"/>
                    </w:rPr>
                    <w:t>）</w:t>
                  </w:r>
                </w:p>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eastAsiaTheme="minorEastAsia"/>
                      <w:b/>
                      <w:sz w:val="21"/>
                      <w:szCs w:val="21"/>
                    </w:rPr>
                    <w:t>u</w:t>
                  </w:r>
                  <w:r>
                    <w:rPr>
                      <w:rFonts w:hint="eastAsia" w:eastAsiaTheme="minorEastAsia"/>
                      <w:b/>
                      <w:sz w:val="21"/>
                      <w:szCs w:val="21"/>
                    </w:rPr>
                    <w:t>m</w:t>
                  </w:r>
                </w:p>
              </w:tc>
              <w:tc>
                <w:tcPr>
                  <w:tcW w:w="939" w:type="pct"/>
                  <w:vAlign w:val="center"/>
                </w:tcPr>
                <w:p>
                  <w:pPr>
                    <w:pStyle w:val="9"/>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涂料所占总涂料比例（</w:t>
                  </w:r>
                  <w:r>
                    <w:rPr>
                      <w:b/>
                      <w:sz w:val="21"/>
                      <w:szCs w:val="21"/>
                    </w:rPr>
                    <w:t>ŋ</w:t>
                  </w:r>
                  <w:r>
                    <w:rPr>
                      <w:rFonts w:hint="eastAsia"/>
                      <w:b/>
                      <w:sz w:val="21"/>
                      <w:szCs w:val="21"/>
                    </w:rPr>
                    <w:t>）</w:t>
                  </w:r>
                </w:p>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w:t>
                  </w:r>
                </w:p>
              </w:tc>
              <w:tc>
                <w:tcPr>
                  <w:tcW w:w="1168" w:type="pct"/>
                  <w:vAlign w:val="center"/>
                </w:tcPr>
                <w:p>
                  <w:pPr>
                    <w:pStyle w:val="9"/>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体积固体份（</w:t>
                  </w:r>
                  <w:r>
                    <w:rPr>
                      <w:b/>
                      <w:sz w:val="21"/>
                      <w:szCs w:val="21"/>
                    </w:rPr>
                    <w:t>NV</w:t>
                  </w:r>
                  <w:r>
                    <w:rPr>
                      <w:rFonts w:hint="eastAsia"/>
                      <w:b/>
                      <w:sz w:val="21"/>
                      <w:szCs w:val="21"/>
                    </w:rPr>
                    <w:t>）</w:t>
                  </w:r>
                </w:p>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w:t>
                  </w:r>
                </w:p>
              </w:tc>
              <w:tc>
                <w:tcPr>
                  <w:tcW w:w="674" w:type="pct"/>
                  <w:vAlign w:val="center"/>
                </w:tcPr>
                <w:p>
                  <w:pPr>
                    <w:pStyle w:val="9"/>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上漆率</w:t>
                  </w:r>
                </w:p>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8" w:type="pc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bCs/>
                      <w:sz w:val="21"/>
                      <w:szCs w:val="21"/>
                    </w:rPr>
                    <w:t>水性丙烯酸漆</w:t>
                  </w:r>
                </w:p>
              </w:tc>
              <w:tc>
                <w:tcPr>
                  <w:tcW w:w="621" w:type="pc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1.35</w:t>
                  </w:r>
                </w:p>
              </w:tc>
              <w:tc>
                <w:tcPr>
                  <w:tcW w:w="940" w:type="pc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40</w:t>
                  </w:r>
                </w:p>
              </w:tc>
              <w:tc>
                <w:tcPr>
                  <w:tcW w:w="939" w:type="pc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100</w:t>
                  </w:r>
                </w:p>
              </w:tc>
              <w:tc>
                <w:tcPr>
                  <w:tcW w:w="1168" w:type="pc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40</w:t>
                  </w:r>
                </w:p>
              </w:tc>
              <w:tc>
                <w:tcPr>
                  <w:tcW w:w="674" w:type="pc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70</w:t>
                  </w:r>
                </w:p>
              </w:tc>
            </w:tr>
          </w:tbl>
          <w:p>
            <w:pPr>
              <w:pStyle w:val="9"/>
              <w:keepNext w:val="0"/>
              <w:keepLines w:val="0"/>
              <w:suppressLineNumbers w:val="0"/>
              <w:spacing w:before="0" w:beforeAutospacing="0" w:after="0" w:afterAutospacing="0"/>
              <w:ind w:left="0" w:right="0" w:firstLine="480"/>
            </w:pPr>
            <w:r>
              <w:rPr>
                <w:rFonts w:hint="eastAsia"/>
              </w:rPr>
              <w:t>（3）核算结果</w:t>
            </w:r>
          </w:p>
          <w:p>
            <w:pPr>
              <w:keepNext w:val="0"/>
              <w:keepLines w:val="0"/>
              <w:suppressLineNumbers w:val="0"/>
              <w:spacing w:before="0" w:beforeAutospacing="0" w:after="0" w:afterAutospacing="0"/>
              <w:ind w:left="0" w:right="0" w:firstLine="480"/>
            </w:pPr>
            <w:r>
              <w:rPr>
                <w:rFonts w:hint="eastAsia"/>
              </w:rPr>
              <w:t>本项目涂料使用量核算情况见下表1-7。</w:t>
            </w:r>
          </w:p>
          <w:p>
            <w:pPr>
              <w:pStyle w:val="11"/>
              <w:keepNext w:val="0"/>
              <w:keepLines w:val="0"/>
              <w:suppressLineNumbers w:val="0"/>
              <w:spacing w:before="0" w:beforeAutospacing="0" w:after="0" w:afterAutospacing="0" w:line="240" w:lineRule="auto"/>
              <w:ind w:left="0" w:right="0" w:firstLine="0" w:firstLineChars="0"/>
              <w:jc w:val="center"/>
              <w:rPr>
                <w:b/>
                <w:sz w:val="21"/>
              </w:rPr>
            </w:pPr>
            <w:r>
              <w:rPr>
                <w:rFonts w:hint="eastAsia"/>
                <w:b/>
                <w:sz w:val="21"/>
              </w:rPr>
              <w:t>表1-7 本项目涂料使用量核算表</w:t>
            </w:r>
          </w:p>
          <w:tbl>
            <w:tblPr>
              <w:tblStyle w:val="1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56"/>
              <w:gridCol w:w="853"/>
              <w:gridCol w:w="854"/>
              <w:gridCol w:w="1555"/>
              <w:gridCol w:w="1133"/>
              <w:gridCol w:w="708"/>
              <w:gridCol w:w="763"/>
              <w:gridCol w:w="8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8" w:type="pct"/>
                  <w:vAlign w:val="center"/>
                </w:tcPr>
                <w:p>
                  <w:pPr>
                    <w:pStyle w:val="9"/>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产品</w:t>
                  </w:r>
                </w:p>
              </w:tc>
              <w:tc>
                <w:tcPr>
                  <w:tcW w:w="514" w:type="pct"/>
                  <w:vAlign w:val="center"/>
                </w:tcPr>
                <w:p>
                  <w:pPr>
                    <w:pStyle w:val="9"/>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产量</w:t>
                  </w:r>
                </w:p>
              </w:tc>
              <w:tc>
                <w:tcPr>
                  <w:tcW w:w="515" w:type="pc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kern w:val="0"/>
                      <w:sz w:val="21"/>
                      <w:szCs w:val="21"/>
                    </w:rPr>
                    <w:t>喷涂</w:t>
                  </w:r>
                  <w:r>
                    <w:rPr>
                      <w:b/>
                      <w:kern w:val="0"/>
                      <w:sz w:val="21"/>
                      <w:szCs w:val="21"/>
                    </w:rPr>
                    <w:t>比例</w:t>
                  </w:r>
                </w:p>
              </w:tc>
              <w:tc>
                <w:tcPr>
                  <w:tcW w:w="937" w:type="pc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kern w:val="0"/>
                      <w:sz w:val="21"/>
                      <w:szCs w:val="21"/>
                    </w:rPr>
                    <w:t>单位产品平均喷涂表面积</w:t>
                  </w:r>
                </w:p>
              </w:tc>
              <w:tc>
                <w:tcPr>
                  <w:tcW w:w="683" w:type="pc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kern w:val="0"/>
                      <w:sz w:val="21"/>
                      <w:szCs w:val="21"/>
                    </w:rPr>
                    <w:t>喷涂面积</w:t>
                  </w:r>
                </w:p>
              </w:tc>
              <w:tc>
                <w:tcPr>
                  <w:tcW w:w="427" w:type="pc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kern w:val="0"/>
                      <w:sz w:val="21"/>
                      <w:szCs w:val="21"/>
                    </w:rPr>
                    <w:t>附着率</w:t>
                  </w:r>
                </w:p>
              </w:tc>
              <w:tc>
                <w:tcPr>
                  <w:tcW w:w="460" w:type="pct"/>
                  <w:vAlign w:val="center"/>
                </w:tcPr>
                <w:p>
                  <w:pPr>
                    <w:keepNext w:val="0"/>
                    <w:keepLines w:val="0"/>
                    <w:suppressLineNumbers w:val="0"/>
                    <w:spacing w:before="0" w:beforeAutospacing="0" w:after="0" w:afterAutospacing="0" w:line="240" w:lineRule="auto"/>
                    <w:ind w:left="0" w:right="0" w:firstLine="0" w:firstLineChars="0"/>
                    <w:jc w:val="center"/>
                    <w:rPr>
                      <w:b/>
                      <w:kern w:val="0"/>
                      <w:sz w:val="21"/>
                      <w:szCs w:val="21"/>
                    </w:rPr>
                  </w:pPr>
                  <w:r>
                    <w:rPr>
                      <w:rFonts w:hint="eastAsia"/>
                      <w:b/>
                      <w:kern w:val="0"/>
                      <w:sz w:val="21"/>
                      <w:szCs w:val="21"/>
                    </w:rPr>
                    <w:t>漆膜厚度</w:t>
                  </w:r>
                </w:p>
              </w:tc>
              <w:tc>
                <w:tcPr>
                  <w:tcW w:w="526" w:type="pct"/>
                  <w:vAlign w:val="center"/>
                </w:tcPr>
                <w:p>
                  <w:pPr>
                    <w:keepNext w:val="0"/>
                    <w:keepLines w:val="0"/>
                    <w:suppressLineNumbers w:val="0"/>
                    <w:spacing w:before="0" w:beforeAutospacing="0" w:after="0" w:afterAutospacing="0" w:line="240" w:lineRule="auto"/>
                    <w:ind w:left="0" w:right="0" w:firstLine="0" w:firstLineChars="0"/>
                    <w:jc w:val="center"/>
                    <w:rPr>
                      <w:b/>
                      <w:kern w:val="0"/>
                      <w:sz w:val="21"/>
                      <w:szCs w:val="21"/>
                    </w:rPr>
                  </w:pPr>
                  <w:r>
                    <w:rPr>
                      <w:rFonts w:hint="eastAsia"/>
                      <w:b/>
                      <w:kern w:val="0"/>
                      <w:sz w:val="21"/>
                      <w:szCs w:val="21"/>
                    </w:rPr>
                    <w:t>涂料使用量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8" w:type="pc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钢模板</w:t>
                  </w:r>
                </w:p>
              </w:tc>
              <w:tc>
                <w:tcPr>
                  <w:tcW w:w="513" w:type="pc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10000t</w:t>
                  </w:r>
                </w:p>
              </w:tc>
              <w:tc>
                <w:tcPr>
                  <w:tcW w:w="515" w:type="pct"/>
                  <w:vMerge w:val="restar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产品的10%</w:t>
                  </w:r>
                </w:p>
              </w:tc>
              <w:tc>
                <w:tcPr>
                  <w:tcW w:w="937" w:type="pc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10m</w:t>
                  </w:r>
                  <w:r>
                    <w:rPr>
                      <w:rFonts w:hint="eastAsia"/>
                      <w:sz w:val="21"/>
                      <w:szCs w:val="21"/>
                      <w:vertAlign w:val="superscript"/>
                    </w:rPr>
                    <w:t>2</w:t>
                  </w:r>
                  <w:r>
                    <w:rPr>
                      <w:rFonts w:hint="eastAsia"/>
                      <w:sz w:val="21"/>
                      <w:szCs w:val="21"/>
                    </w:rPr>
                    <w:t>/t</w:t>
                  </w:r>
                </w:p>
              </w:tc>
              <w:tc>
                <w:tcPr>
                  <w:tcW w:w="683" w:type="pc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10000 m</w:t>
                  </w:r>
                  <w:r>
                    <w:rPr>
                      <w:rFonts w:hint="eastAsia"/>
                      <w:sz w:val="21"/>
                      <w:szCs w:val="21"/>
                      <w:vertAlign w:val="superscript"/>
                    </w:rPr>
                    <w:t>2</w:t>
                  </w:r>
                </w:p>
              </w:tc>
              <w:tc>
                <w:tcPr>
                  <w:tcW w:w="427" w:type="pct"/>
                  <w:vMerge w:val="restar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70%</w:t>
                  </w:r>
                </w:p>
              </w:tc>
              <w:tc>
                <w:tcPr>
                  <w:tcW w:w="460" w:type="pct"/>
                  <w:vMerge w:val="restar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40</w:t>
                  </w:r>
                  <w:r>
                    <w:rPr>
                      <w:rFonts w:eastAsiaTheme="minorEastAsia"/>
                      <w:sz w:val="21"/>
                      <w:szCs w:val="21"/>
                    </w:rPr>
                    <w:t xml:space="preserve"> u</w:t>
                  </w:r>
                  <w:r>
                    <w:rPr>
                      <w:rFonts w:hint="eastAsia" w:eastAsiaTheme="minorEastAsia"/>
                      <w:sz w:val="21"/>
                      <w:szCs w:val="21"/>
                    </w:rPr>
                    <w:t>m</w:t>
                  </w:r>
                </w:p>
              </w:tc>
              <w:tc>
                <w:tcPr>
                  <w:tcW w:w="527" w:type="pc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1.93t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8" w:type="pct"/>
                  <w:vAlign w:val="center"/>
                </w:tcPr>
                <w:p>
                  <w:pPr>
                    <w:pStyle w:val="9"/>
                    <w:keepNext w:val="0"/>
                    <w:keepLines w:val="0"/>
                    <w:suppressLineNumbers w:val="0"/>
                    <w:spacing w:before="0" w:beforeAutospacing="0" w:after="0" w:afterAutospacing="0" w:line="240" w:lineRule="auto"/>
                    <w:ind w:left="0" w:right="0" w:firstLine="0" w:firstLineChars="0"/>
                    <w:jc w:val="center"/>
                    <w:rPr>
                      <w:bCs/>
                      <w:sz w:val="21"/>
                      <w:szCs w:val="21"/>
                    </w:rPr>
                  </w:pPr>
                  <w:r>
                    <w:rPr>
                      <w:rFonts w:hint="eastAsia"/>
                      <w:bCs/>
                      <w:sz w:val="21"/>
                      <w:szCs w:val="21"/>
                    </w:rPr>
                    <w:t>爬模</w:t>
                  </w:r>
                </w:p>
              </w:tc>
              <w:tc>
                <w:tcPr>
                  <w:tcW w:w="514" w:type="pc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10000t</w:t>
                  </w:r>
                </w:p>
              </w:tc>
              <w:tc>
                <w:tcPr>
                  <w:tcW w:w="515" w:type="pct"/>
                  <w:vMerge w:val="continue"/>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p>
              </w:tc>
              <w:tc>
                <w:tcPr>
                  <w:tcW w:w="937" w:type="pc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17m</w:t>
                  </w:r>
                  <w:r>
                    <w:rPr>
                      <w:rFonts w:hint="eastAsia"/>
                      <w:sz w:val="21"/>
                      <w:szCs w:val="21"/>
                      <w:vertAlign w:val="superscript"/>
                    </w:rPr>
                    <w:t>2</w:t>
                  </w:r>
                  <w:r>
                    <w:rPr>
                      <w:rFonts w:hint="eastAsia"/>
                      <w:sz w:val="21"/>
                      <w:szCs w:val="21"/>
                    </w:rPr>
                    <w:t>/t</w:t>
                  </w:r>
                </w:p>
              </w:tc>
              <w:tc>
                <w:tcPr>
                  <w:tcW w:w="683" w:type="pc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17000m</w:t>
                  </w:r>
                  <w:r>
                    <w:rPr>
                      <w:rFonts w:hint="eastAsia"/>
                      <w:sz w:val="21"/>
                      <w:szCs w:val="21"/>
                      <w:vertAlign w:val="superscript"/>
                    </w:rPr>
                    <w:t>2</w:t>
                  </w:r>
                </w:p>
              </w:tc>
              <w:tc>
                <w:tcPr>
                  <w:tcW w:w="427" w:type="pct"/>
                  <w:vMerge w:val="continue"/>
                  <w:vAlign w:val="center"/>
                </w:tcPr>
                <w:p>
                  <w:pPr>
                    <w:pStyle w:val="9"/>
                    <w:keepNext w:val="0"/>
                    <w:keepLines w:val="0"/>
                    <w:suppressLineNumbers w:val="0"/>
                    <w:spacing w:before="0" w:beforeAutospacing="0" w:after="0" w:afterAutospacing="0"/>
                    <w:ind w:left="0" w:right="0" w:firstLine="420"/>
                    <w:jc w:val="center"/>
                    <w:rPr>
                      <w:sz w:val="21"/>
                      <w:szCs w:val="21"/>
                    </w:rPr>
                  </w:pPr>
                </w:p>
              </w:tc>
              <w:tc>
                <w:tcPr>
                  <w:tcW w:w="460" w:type="pct"/>
                  <w:vMerge w:val="continue"/>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p>
              </w:tc>
              <w:tc>
                <w:tcPr>
                  <w:tcW w:w="526" w:type="pc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3.28t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8" w:type="pct"/>
                  <w:vAlign w:val="center"/>
                </w:tcPr>
                <w:p>
                  <w:pPr>
                    <w:pStyle w:val="9"/>
                    <w:keepNext w:val="0"/>
                    <w:keepLines w:val="0"/>
                    <w:suppressLineNumbers w:val="0"/>
                    <w:spacing w:before="0" w:beforeAutospacing="0" w:after="0" w:afterAutospacing="0" w:line="240" w:lineRule="auto"/>
                    <w:ind w:left="0" w:right="0" w:firstLine="0" w:firstLineChars="0"/>
                    <w:jc w:val="center"/>
                    <w:rPr>
                      <w:bCs/>
                      <w:sz w:val="21"/>
                      <w:szCs w:val="21"/>
                    </w:rPr>
                  </w:pPr>
                  <w:r>
                    <w:rPr>
                      <w:rFonts w:hint="eastAsia"/>
                      <w:bCs/>
                      <w:sz w:val="21"/>
                      <w:szCs w:val="21"/>
                    </w:rPr>
                    <w:t>隧道台车</w:t>
                  </w:r>
                </w:p>
              </w:tc>
              <w:tc>
                <w:tcPr>
                  <w:tcW w:w="514" w:type="pc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10000t</w:t>
                  </w:r>
                </w:p>
              </w:tc>
              <w:tc>
                <w:tcPr>
                  <w:tcW w:w="515" w:type="pct"/>
                  <w:vMerge w:val="continue"/>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p>
              </w:tc>
              <w:tc>
                <w:tcPr>
                  <w:tcW w:w="937" w:type="pc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17m</w:t>
                  </w:r>
                  <w:r>
                    <w:rPr>
                      <w:rFonts w:hint="eastAsia"/>
                      <w:sz w:val="21"/>
                      <w:szCs w:val="21"/>
                      <w:vertAlign w:val="superscript"/>
                    </w:rPr>
                    <w:t>2</w:t>
                  </w:r>
                  <w:r>
                    <w:rPr>
                      <w:rFonts w:hint="eastAsia"/>
                      <w:sz w:val="21"/>
                      <w:szCs w:val="21"/>
                    </w:rPr>
                    <w:t>/t</w:t>
                  </w:r>
                </w:p>
              </w:tc>
              <w:tc>
                <w:tcPr>
                  <w:tcW w:w="683" w:type="pc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17000m</w:t>
                  </w:r>
                  <w:r>
                    <w:rPr>
                      <w:rFonts w:hint="eastAsia"/>
                      <w:sz w:val="21"/>
                      <w:szCs w:val="21"/>
                      <w:vertAlign w:val="superscript"/>
                    </w:rPr>
                    <w:t>2</w:t>
                  </w:r>
                </w:p>
              </w:tc>
              <w:tc>
                <w:tcPr>
                  <w:tcW w:w="427" w:type="pct"/>
                  <w:vMerge w:val="continue"/>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p>
              </w:tc>
              <w:tc>
                <w:tcPr>
                  <w:tcW w:w="460" w:type="pct"/>
                  <w:vMerge w:val="continue"/>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p>
              </w:tc>
              <w:tc>
                <w:tcPr>
                  <w:tcW w:w="526" w:type="pc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3.28t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8" w:type="pct"/>
                  <w:vAlign w:val="center"/>
                </w:tcPr>
                <w:p>
                  <w:pPr>
                    <w:pStyle w:val="9"/>
                    <w:keepNext w:val="0"/>
                    <w:keepLines w:val="0"/>
                    <w:suppressLineNumbers w:val="0"/>
                    <w:spacing w:before="0" w:beforeAutospacing="0" w:after="0" w:afterAutospacing="0" w:line="240" w:lineRule="auto"/>
                    <w:ind w:left="0" w:right="0" w:firstLine="0" w:firstLineChars="0"/>
                    <w:jc w:val="center"/>
                    <w:rPr>
                      <w:bCs/>
                      <w:sz w:val="21"/>
                      <w:szCs w:val="21"/>
                    </w:rPr>
                  </w:pPr>
                  <w:r>
                    <w:rPr>
                      <w:rFonts w:hint="eastAsia"/>
                      <w:bCs/>
                      <w:sz w:val="21"/>
                      <w:szCs w:val="21"/>
                    </w:rPr>
                    <w:t>合计</w:t>
                  </w:r>
                </w:p>
              </w:tc>
              <w:tc>
                <w:tcPr>
                  <w:tcW w:w="514" w:type="pc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30000t</w:t>
                  </w:r>
                </w:p>
              </w:tc>
              <w:tc>
                <w:tcPr>
                  <w:tcW w:w="515" w:type="pc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w:t>
                  </w:r>
                </w:p>
              </w:tc>
              <w:tc>
                <w:tcPr>
                  <w:tcW w:w="937" w:type="pc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w:t>
                  </w:r>
                </w:p>
              </w:tc>
              <w:tc>
                <w:tcPr>
                  <w:tcW w:w="683" w:type="pc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w:t>
                  </w:r>
                </w:p>
              </w:tc>
              <w:tc>
                <w:tcPr>
                  <w:tcW w:w="427" w:type="pc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w:t>
                  </w:r>
                </w:p>
              </w:tc>
              <w:tc>
                <w:tcPr>
                  <w:tcW w:w="460" w:type="pc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w:t>
                  </w:r>
                </w:p>
              </w:tc>
              <w:tc>
                <w:tcPr>
                  <w:tcW w:w="526" w:type="pct"/>
                  <w:vAlign w:val="center"/>
                </w:tcPr>
                <w:p>
                  <w:pPr>
                    <w:pStyle w:val="9"/>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8.49t</w:t>
                  </w:r>
                </w:p>
              </w:tc>
            </w:tr>
          </w:tbl>
          <w:p>
            <w:pPr>
              <w:pStyle w:val="11"/>
              <w:keepNext w:val="0"/>
              <w:keepLines w:val="0"/>
              <w:suppressLineNumbers w:val="0"/>
              <w:spacing w:before="0" w:beforeAutospacing="0" w:after="0" w:afterAutospacing="0" w:line="240" w:lineRule="auto"/>
              <w:ind w:left="0" w:right="0" w:firstLine="525" w:firstLineChars="250"/>
              <w:rPr>
                <w:sz w:val="21"/>
              </w:rPr>
            </w:pPr>
            <w:r>
              <w:rPr>
                <w:rFonts w:hint="eastAsia"/>
                <w:sz w:val="21"/>
              </w:rPr>
              <w:t>注：单位产品平均喷涂表面积由企业提供，业主油漆使用量确认书详见附件10。</w:t>
            </w:r>
          </w:p>
          <w:p>
            <w:pPr>
              <w:keepNext w:val="0"/>
              <w:keepLines w:val="0"/>
              <w:suppressLineNumbers w:val="0"/>
              <w:spacing w:before="240" w:beforeAutospacing="0" w:after="0" w:afterAutospacing="0"/>
              <w:ind w:left="0" w:right="0" w:firstLine="472" w:firstLineChars="196"/>
              <w:jc w:val="both"/>
              <w:rPr>
                <w:b/>
                <w:bCs/>
              </w:rPr>
            </w:pPr>
            <w:r>
              <w:rPr>
                <w:rFonts w:hint="eastAsia"/>
                <w:b/>
                <w:bCs/>
              </w:rPr>
              <w:t>八</w:t>
            </w:r>
            <w:r>
              <w:rPr>
                <w:b/>
                <w:bCs/>
              </w:rPr>
              <w:t>、公用工程</w:t>
            </w:r>
          </w:p>
          <w:p>
            <w:pPr>
              <w:keepNext w:val="0"/>
              <w:keepLines w:val="0"/>
              <w:suppressLineNumbers w:val="0"/>
              <w:spacing w:before="0" w:beforeAutospacing="0" w:after="0" w:afterAutospacing="0"/>
              <w:ind w:left="0" w:right="0" w:firstLine="480"/>
              <w:jc w:val="both"/>
            </w:pPr>
            <w:r>
              <w:rPr>
                <w:rFonts w:hint="eastAsia"/>
              </w:rPr>
              <w:t>1、</w:t>
            </w:r>
            <w:r>
              <w:t>供水系统</w:t>
            </w:r>
          </w:p>
          <w:p>
            <w:pPr>
              <w:keepNext w:val="0"/>
              <w:keepLines w:val="0"/>
              <w:suppressLineNumbers w:val="0"/>
              <w:spacing w:before="0" w:beforeAutospacing="0" w:after="0" w:afterAutospacing="0"/>
              <w:ind w:left="0" w:right="0" w:firstLine="480"/>
              <w:jc w:val="both"/>
            </w:pPr>
            <w:r>
              <w:t>项目生产、生活用水均由园区供水管网直接供给。</w:t>
            </w:r>
          </w:p>
          <w:p>
            <w:pPr>
              <w:keepNext w:val="0"/>
              <w:keepLines w:val="0"/>
              <w:suppressLineNumbers w:val="0"/>
              <w:spacing w:before="0" w:beforeAutospacing="0" w:after="0" w:afterAutospacing="0"/>
              <w:ind w:left="0" w:right="0" w:firstLine="480"/>
              <w:jc w:val="both"/>
            </w:pPr>
            <w:r>
              <w:rPr>
                <w:rFonts w:hint="eastAsia"/>
              </w:rPr>
              <w:t>2、</w:t>
            </w:r>
            <w:r>
              <w:t>排水系统</w:t>
            </w:r>
          </w:p>
          <w:p>
            <w:pPr>
              <w:keepNext w:val="0"/>
              <w:keepLines w:val="0"/>
              <w:suppressLineNumbers w:val="0"/>
              <w:spacing w:before="0" w:beforeAutospacing="0" w:after="0" w:afterAutospacing="0"/>
              <w:ind w:left="0" w:right="0" w:firstLine="360" w:firstLineChars="150"/>
              <w:jc w:val="both"/>
            </w:pPr>
            <w:r>
              <w:rPr>
                <w:rFonts w:hint="eastAsia"/>
              </w:rPr>
              <w:t>（1）生产废水：项目为钢结构材料生产，生产过程中水性丙烯酸涂料在生产过程中需要用自来水进行调漆。项目喷涂过程中产生的废水主要来源于喷枪喷出的涂料（雾状）一部分未附着于工件表面，进入到底部的涂料回收池内被水吸收，产生的废水定期回用作调漆使用。另外部分材料经过冲床冲孔后需使用水进行快速冷却，喷洒的水进入冲床下部钢结构的废水收集池，经滤网过滤后回用。本项目产生的生产废水均不外排。</w:t>
            </w:r>
          </w:p>
          <w:p>
            <w:pPr>
              <w:keepNext w:val="0"/>
              <w:keepLines w:val="0"/>
              <w:suppressLineNumbers w:val="0"/>
              <w:spacing w:before="0" w:beforeAutospacing="0" w:after="0" w:afterAutospacing="0"/>
              <w:ind w:left="0" w:right="0" w:firstLine="240" w:firstLineChars="100"/>
              <w:jc w:val="both"/>
            </w:pPr>
            <w:r>
              <w:rPr>
                <w:rFonts w:hint="eastAsia"/>
              </w:rPr>
              <w:t>（2）生活废水：厂区生活污水主要来源于淋浴间、食堂及卫生间，食堂废水经隔油池后与其他生活污水废水进入厂区化粪池处理后进入园区污水管网。</w:t>
            </w:r>
          </w:p>
          <w:p>
            <w:pPr>
              <w:pStyle w:val="2"/>
              <w:keepNext w:val="0"/>
              <w:keepLines w:val="0"/>
              <w:suppressLineNumbers w:val="0"/>
              <w:spacing w:before="0" w:beforeAutospacing="0" w:after="0" w:afterAutospacing="0"/>
              <w:ind w:left="0" w:right="0" w:firstLine="240" w:firstLineChars="100"/>
              <w:jc w:val="both"/>
            </w:pPr>
            <w:r>
              <w:rPr>
                <w:rFonts w:hint="eastAsia"/>
              </w:rPr>
              <w:t>（3）雨水：厂区进行雨污分流，生产厂房四周均设置有雨水沟，收集后排入园区雨水管网。</w:t>
            </w:r>
          </w:p>
          <w:p>
            <w:pPr>
              <w:keepNext w:val="0"/>
              <w:keepLines w:val="0"/>
              <w:suppressLineNumbers w:val="0"/>
              <w:spacing w:before="0" w:beforeAutospacing="0" w:after="0" w:afterAutospacing="0"/>
              <w:ind w:left="0" w:right="0" w:firstLine="480"/>
              <w:jc w:val="both"/>
            </w:pPr>
            <w:r>
              <w:rPr>
                <w:rFonts w:hint="eastAsia"/>
              </w:rPr>
              <w:t>3、</w:t>
            </w:r>
            <w:r>
              <w:t>供配电</w:t>
            </w:r>
          </w:p>
          <w:p>
            <w:pPr>
              <w:keepNext w:val="0"/>
              <w:keepLines w:val="0"/>
              <w:suppressLineNumbers w:val="0"/>
              <w:spacing w:before="0" w:beforeAutospacing="0" w:after="0" w:afterAutospacing="0"/>
              <w:ind w:left="0" w:right="0" w:firstLine="480"/>
              <w:jc w:val="both"/>
            </w:pPr>
            <w:r>
              <w:t>本项目用电按用电性质分为生产用电、建筑物用电和其他用电等。根据项目实际建设情况，项目厂区供电依托于富民县工业园区哨菁机械加工园电网供电。</w:t>
            </w:r>
          </w:p>
          <w:p>
            <w:pPr>
              <w:keepNext w:val="0"/>
              <w:keepLines w:val="0"/>
              <w:suppressLineNumbers w:val="0"/>
              <w:spacing w:before="0" w:beforeAutospacing="0" w:after="0" w:afterAutospacing="0"/>
              <w:ind w:left="0" w:right="0" w:firstLine="472" w:firstLineChars="196"/>
              <w:jc w:val="both"/>
              <w:rPr>
                <w:b/>
                <w:bCs/>
              </w:rPr>
            </w:pPr>
            <w:r>
              <w:rPr>
                <w:rFonts w:hint="eastAsia"/>
                <w:b/>
                <w:bCs/>
              </w:rPr>
              <w:t>九</w:t>
            </w:r>
            <w:r>
              <w:rPr>
                <w:b/>
                <w:bCs/>
              </w:rPr>
              <w:t>、项目劳动定员及工作制度</w:t>
            </w:r>
          </w:p>
          <w:p>
            <w:pPr>
              <w:keepNext w:val="0"/>
              <w:keepLines w:val="0"/>
              <w:suppressLineNumbers w:val="0"/>
              <w:spacing w:before="0" w:beforeAutospacing="0" w:after="0" w:afterAutospacing="0"/>
              <w:ind w:left="0" w:right="0" w:firstLine="480"/>
              <w:jc w:val="both"/>
            </w:pPr>
            <w:r>
              <w:rPr>
                <w:rFonts w:hint="eastAsia"/>
              </w:rPr>
              <w:t>1、</w:t>
            </w:r>
            <w:r>
              <w:t>劳动定员：</w:t>
            </w:r>
            <w:r>
              <w:rPr>
                <w:lang w:val="zh-CN"/>
              </w:rPr>
              <w:t>本项目总劳动定员为</w:t>
            </w:r>
            <w:r>
              <w:rPr>
                <w:rFonts w:hint="eastAsia"/>
              </w:rPr>
              <w:t>40</w:t>
            </w:r>
            <w:r>
              <w:rPr>
                <w:lang w:val="zh-CN"/>
              </w:rPr>
              <w:t>人</w:t>
            </w:r>
            <w:r>
              <w:rPr>
                <w:rFonts w:hint="eastAsia"/>
                <w:lang w:val="zh-CN"/>
              </w:rPr>
              <w:t>，</w:t>
            </w:r>
            <w:r>
              <w:rPr>
                <w:rFonts w:hint="eastAsia"/>
              </w:rPr>
              <w:t>其中管理人员5人，技术员工10人，生产及辅助生产工人25人，</w:t>
            </w:r>
            <w:r>
              <w:rPr>
                <w:rFonts w:hint="eastAsia"/>
                <w:lang w:val="zh-CN"/>
              </w:rPr>
              <w:t>在项目区食宿</w:t>
            </w:r>
            <w:r>
              <w:t>。</w:t>
            </w:r>
          </w:p>
          <w:p>
            <w:pPr>
              <w:keepNext w:val="0"/>
              <w:keepLines w:val="0"/>
              <w:suppressLineNumbers w:val="0"/>
              <w:spacing w:before="0" w:beforeAutospacing="0" w:after="0" w:afterAutospacing="0"/>
              <w:ind w:left="0" w:right="0" w:firstLine="480"/>
              <w:jc w:val="both"/>
              <w:rPr>
                <w:lang w:val="zh-CN"/>
              </w:rPr>
            </w:pPr>
            <w:r>
              <w:rPr>
                <w:rFonts w:hint="eastAsia"/>
              </w:rPr>
              <w:t>2、</w:t>
            </w:r>
            <w:r>
              <w:t>工作制度：车间生产采用单班运转工作制，每班工作时间8小时，年工作日300天。</w:t>
            </w:r>
          </w:p>
          <w:p>
            <w:pPr>
              <w:keepNext w:val="0"/>
              <w:keepLines w:val="0"/>
              <w:suppressLineNumbers w:val="0"/>
              <w:spacing w:before="0" w:beforeAutospacing="0" w:after="0" w:afterAutospacing="0"/>
              <w:ind w:left="0" w:right="0" w:firstLine="472" w:firstLineChars="196"/>
              <w:jc w:val="both"/>
              <w:rPr>
                <w:b/>
                <w:bCs/>
              </w:rPr>
            </w:pPr>
            <w:r>
              <w:rPr>
                <w:rFonts w:hint="eastAsia"/>
                <w:b/>
                <w:bCs/>
              </w:rPr>
              <w:t>十</w:t>
            </w:r>
            <w:r>
              <w:rPr>
                <w:b/>
                <w:bCs/>
              </w:rPr>
              <w:t>、环保投资</w:t>
            </w:r>
          </w:p>
          <w:p>
            <w:pPr>
              <w:keepNext w:val="0"/>
              <w:keepLines w:val="0"/>
              <w:suppressLineNumbers w:val="0"/>
              <w:spacing w:before="0" w:beforeAutospacing="0" w:after="0" w:afterAutospacing="0"/>
              <w:ind w:left="0" w:right="0" w:firstLine="480"/>
              <w:jc w:val="both"/>
            </w:pPr>
            <w:r>
              <w:t>项目总投资</w:t>
            </w:r>
            <w:r>
              <w:rPr>
                <w:rFonts w:hint="eastAsia"/>
              </w:rPr>
              <w:t>5000</w:t>
            </w:r>
            <w:r>
              <w:t>万元，其中环保投资</w:t>
            </w:r>
            <w:r>
              <w:rPr>
                <w:rFonts w:hint="eastAsia"/>
              </w:rPr>
              <w:t>37.4万元</w:t>
            </w:r>
            <w:r>
              <w:t>，占总投资的</w:t>
            </w:r>
            <w:r>
              <w:rPr>
                <w:rFonts w:hint="eastAsia"/>
              </w:rPr>
              <w:t>0.75%</w:t>
            </w:r>
            <w:r>
              <w:t>，项目环保工程主要包喷漆废气处理系统、危废储存间、垃圾收集装置、设备减震降噪等。具体环保投资见下表。</w:t>
            </w:r>
          </w:p>
          <w:p>
            <w:pPr>
              <w:pStyle w:val="25"/>
              <w:keepNext w:val="0"/>
              <w:keepLines w:val="0"/>
              <w:suppressLineNumbers w:val="0"/>
              <w:spacing w:before="0" w:beforeAutospacing="0" w:after="0" w:afterAutospacing="0" w:line="240" w:lineRule="auto"/>
              <w:ind w:left="0" w:right="0"/>
            </w:pPr>
            <w:r>
              <w:t>表1-6  项目环保投资一览表 单位：万元</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03"/>
              <w:gridCol w:w="2980"/>
              <w:gridCol w:w="2015"/>
              <w:gridCol w:w="1174"/>
              <w:gridCol w:w="140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项目</w:t>
                  </w:r>
                </w:p>
              </w:tc>
              <w:tc>
                <w:tcPr>
                  <w:tcW w:w="2988"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环保措施</w:t>
                  </w:r>
                </w:p>
              </w:tc>
              <w:tc>
                <w:tcPr>
                  <w:tcW w:w="2020"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处理对象</w:t>
                  </w:r>
                </w:p>
              </w:tc>
              <w:tc>
                <w:tcPr>
                  <w:tcW w:w="1177"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投资金额</w:t>
                  </w:r>
                </w:p>
              </w:tc>
              <w:tc>
                <w:tcPr>
                  <w:tcW w:w="1407"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废气治理</w:t>
                  </w:r>
                </w:p>
              </w:tc>
              <w:tc>
                <w:tcPr>
                  <w:tcW w:w="2988"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密闭车间</w:t>
                  </w:r>
                  <w:r>
                    <w:rPr>
                      <w:b w:val="0"/>
                      <w:bCs w:val="0"/>
                      <w:color w:val="auto"/>
                    </w:rPr>
                    <w:t>+</w:t>
                  </w:r>
                  <w:r>
                    <w:rPr>
                      <w:rFonts w:hint="eastAsia"/>
                      <w:b w:val="0"/>
                      <w:bCs w:val="0"/>
                      <w:color w:val="auto"/>
                    </w:rPr>
                    <w:t>过滤棉+活性炭</w:t>
                  </w:r>
                  <w:r>
                    <w:rPr>
                      <w:b w:val="0"/>
                      <w:bCs w:val="0"/>
                      <w:color w:val="auto"/>
                    </w:rPr>
                    <w:t>吸附装置（1</w:t>
                  </w:r>
                  <w:r>
                    <w:rPr>
                      <w:rFonts w:hint="eastAsia"/>
                      <w:b w:val="0"/>
                      <w:bCs w:val="0"/>
                      <w:color w:val="auto"/>
                    </w:rPr>
                    <w:t>套</w:t>
                  </w:r>
                  <w:r>
                    <w:rPr>
                      <w:b w:val="0"/>
                      <w:bCs w:val="0"/>
                      <w:color w:val="auto"/>
                    </w:rPr>
                    <w:t>）</w:t>
                  </w:r>
                </w:p>
              </w:tc>
              <w:tc>
                <w:tcPr>
                  <w:tcW w:w="2020"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喷漆车间</w:t>
                  </w:r>
                </w:p>
              </w:tc>
              <w:tc>
                <w:tcPr>
                  <w:tcW w:w="1177"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25</w:t>
                  </w:r>
                </w:p>
              </w:tc>
              <w:tc>
                <w:tcPr>
                  <w:tcW w:w="1407"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环评新增</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2988"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15m排气筒</w:t>
                  </w:r>
                </w:p>
              </w:tc>
              <w:tc>
                <w:tcPr>
                  <w:tcW w:w="2020"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喷漆车间</w:t>
                  </w:r>
                </w:p>
              </w:tc>
              <w:tc>
                <w:tcPr>
                  <w:tcW w:w="1177"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w:t>
                  </w:r>
                </w:p>
              </w:tc>
              <w:tc>
                <w:tcPr>
                  <w:tcW w:w="1407"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2988"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移动式除尘器（2台）</w:t>
                  </w:r>
                </w:p>
              </w:tc>
              <w:tc>
                <w:tcPr>
                  <w:tcW w:w="2020"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焊接烟尘、切割、机加工粉尘</w:t>
                  </w:r>
                </w:p>
              </w:tc>
              <w:tc>
                <w:tcPr>
                  <w:tcW w:w="1177"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w:t>
                  </w:r>
                </w:p>
              </w:tc>
              <w:tc>
                <w:tcPr>
                  <w:tcW w:w="1407"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废水治理</w:t>
                  </w:r>
                </w:p>
              </w:tc>
              <w:tc>
                <w:tcPr>
                  <w:tcW w:w="2988"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化粪池（12m</w:t>
                  </w:r>
                  <w:r>
                    <w:rPr>
                      <w:rFonts w:hint="eastAsia"/>
                      <w:b w:val="0"/>
                      <w:bCs w:val="0"/>
                      <w:color w:val="auto"/>
                      <w:vertAlign w:val="superscript"/>
                    </w:rPr>
                    <w:t>3</w:t>
                  </w:r>
                  <w:r>
                    <w:rPr>
                      <w:rFonts w:hint="eastAsia"/>
                      <w:b w:val="0"/>
                      <w:bCs w:val="0"/>
                      <w:color w:val="auto"/>
                    </w:rPr>
                    <w:t>，2个）</w:t>
                  </w:r>
                </w:p>
              </w:tc>
              <w:tc>
                <w:tcPr>
                  <w:tcW w:w="2020"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生活污水</w:t>
                  </w:r>
                </w:p>
              </w:tc>
              <w:tc>
                <w:tcPr>
                  <w:tcW w:w="1177"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0.6</w:t>
                  </w:r>
                </w:p>
              </w:tc>
              <w:tc>
                <w:tcPr>
                  <w:tcW w:w="1407"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2988"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隔油池（3m</w:t>
                  </w:r>
                  <w:r>
                    <w:rPr>
                      <w:rFonts w:hint="eastAsia"/>
                      <w:b w:val="0"/>
                      <w:bCs w:val="0"/>
                      <w:color w:val="auto"/>
                      <w:vertAlign w:val="superscript"/>
                    </w:rPr>
                    <w:t>3</w:t>
                  </w:r>
                  <w:r>
                    <w:rPr>
                      <w:rFonts w:hint="eastAsia"/>
                      <w:b w:val="0"/>
                      <w:bCs w:val="0"/>
                      <w:color w:val="auto"/>
                    </w:rPr>
                    <w:t>，1个）</w:t>
                  </w:r>
                </w:p>
              </w:tc>
              <w:tc>
                <w:tcPr>
                  <w:tcW w:w="2020"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177"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0.3</w:t>
                  </w:r>
                </w:p>
              </w:tc>
              <w:tc>
                <w:tcPr>
                  <w:tcW w:w="1407"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2988"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涂料废液回收池（60 m</w:t>
                  </w:r>
                  <w:r>
                    <w:rPr>
                      <w:rFonts w:hint="eastAsia"/>
                      <w:b w:val="0"/>
                      <w:bCs w:val="0"/>
                      <w:color w:val="auto"/>
                      <w:vertAlign w:val="superscript"/>
                    </w:rPr>
                    <w:t>3</w:t>
                  </w:r>
                  <w:r>
                    <w:rPr>
                      <w:rFonts w:hint="eastAsia"/>
                      <w:b w:val="0"/>
                      <w:bCs w:val="0"/>
                      <w:color w:val="auto"/>
                    </w:rPr>
                    <w:t>，2个）</w:t>
                  </w:r>
                </w:p>
              </w:tc>
              <w:tc>
                <w:tcPr>
                  <w:tcW w:w="2020"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涂料废水</w:t>
                  </w:r>
                </w:p>
              </w:tc>
              <w:tc>
                <w:tcPr>
                  <w:tcW w:w="1177"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w:t>
                  </w:r>
                </w:p>
              </w:tc>
              <w:tc>
                <w:tcPr>
                  <w:tcW w:w="1407"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2988"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冷却水收集池（4 m</w:t>
                  </w:r>
                  <w:r>
                    <w:rPr>
                      <w:rFonts w:hint="eastAsia"/>
                      <w:b w:val="0"/>
                      <w:bCs w:val="0"/>
                      <w:color w:val="auto"/>
                      <w:vertAlign w:val="superscript"/>
                    </w:rPr>
                    <w:t>3</w:t>
                  </w:r>
                  <w:r>
                    <w:rPr>
                      <w:rFonts w:hint="eastAsia"/>
                      <w:b w:val="0"/>
                      <w:bCs w:val="0"/>
                      <w:color w:val="auto"/>
                    </w:rPr>
                    <w:t>，6个）</w:t>
                  </w:r>
                </w:p>
              </w:tc>
              <w:tc>
                <w:tcPr>
                  <w:tcW w:w="2020"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打孔冷却水</w:t>
                  </w:r>
                </w:p>
              </w:tc>
              <w:tc>
                <w:tcPr>
                  <w:tcW w:w="1177"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w:t>
                  </w:r>
                </w:p>
              </w:tc>
              <w:tc>
                <w:tcPr>
                  <w:tcW w:w="1407"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噪声治理</w:t>
                  </w:r>
                </w:p>
              </w:tc>
              <w:tc>
                <w:tcPr>
                  <w:tcW w:w="2988"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选用低噪设备，减震、消声、隔音</w:t>
                  </w:r>
                </w:p>
              </w:tc>
              <w:tc>
                <w:tcPr>
                  <w:tcW w:w="2020"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噪声较大生产线</w:t>
                  </w:r>
                </w:p>
              </w:tc>
              <w:tc>
                <w:tcPr>
                  <w:tcW w:w="1177"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w:t>
                  </w:r>
                </w:p>
              </w:tc>
              <w:tc>
                <w:tcPr>
                  <w:tcW w:w="1407"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计入工程总投资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2988"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建噪声房</w:t>
                  </w:r>
                </w:p>
              </w:tc>
              <w:tc>
                <w:tcPr>
                  <w:tcW w:w="2020"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噪声较大生产线</w:t>
                  </w:r>
                </w:p>
              </w:tc>
              <w:tc>
                <w:tcPr>
                  <w:tcW w:w="1177"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w:t>
                  </w:r>
                </w:p>
              </w:tc>
              <w:tc>
                <w:tcPr>
                  <w:tcW w:w="1407"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计入工程总投资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固体废弃物处置</w:t>
                  </w:r>
                </w:p>
              </w:tc>
              <w:tc>
                <w:tcPr>
                  <w:tcW w:w="2988"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危险废物暂存间</w:t>
                  </w:r>
                  <w:r>
                    <w:rPr>
                      <w:rFonts w:hint="eastAsia"/>
                      <w:b w:val="0"/>
                      <w:bCs w:val="0"/>
                      <w:color w:val="auto"/>
                    </w:rPr>
                    <w:t>（8m</w:t>
                  </w:r>
                  <w:r>
                    <w:rPr>
                      <w:rFonts w:hint="eastAsia"/>
                      <w:b w:val="0"/>
                      <w:bCs w:val="0"/>
                      <w:color w:val="auto"/>
                      <w:vertAlign w:val="superscript"/>
                    </w:rPr>
                    <w:t>2</w:t>
                  </w:r>
                  <w:r>
                    <w:rPr>
                      <w:rFonts w:hint="eastAsia"/>
                      <w:b w:val="0"/>
                      <w:bCs w:val="0"/>
                      <w:color w:val="auto"/>
                    </w:rPr>
                    <w:t>）</w:t>
                  </w:r>
                </w:p>
              </w:tc>
              <w:tc>
                <w:tcPr>
                  <w:tcW w:w="2020"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包装桶、废</w:t>
                  </w:r>
                  <w:r>
                    <w:rPr>
                      <w:rFonts w:hint="eastAsia"/>
                      <w:b w:val="0"/>
                      <w:bCs w:val="0"/>
                      <w:color w:val="auto"/>
                    </w:rPr>
                    <w:t>过滤棉、活性炭、废机油</w:t>
                  </w:r>
                </w:p>
              </w:tc>
              <w:tc>
                <w:tcPr>
                  <w:tcW w:w="1177"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w:t>
                  </w:r>
                </w:p>
              </w:tc>
              <w:tc>
                <w:tcPr>
                  <w:tcW w:w="1407"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作防渗防漏处理</w:t>
                  </w:r>
                  <w:r>
                    <w:rPr>
                      <w:rFonts w:hint="eastAsia"/>
                      <w:b w:val="0"/>
                      <w:bCs w:val="0"/>
                      <w:color w:val="auto"/>
                    </w:rPr>
                    <w:t>，建立台账记录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2988"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一般固废暂存间</w:t>
                  </w:r>
                  <w:r>
                    <w:rPr>
                      <w:rFonts w:hint="eastAsia"/>
                      <w:b w:val="0"/>
                      <w:bCs w:val="0"/>
                      <w:color w:val="auto"/>
                    </w:rPr>
                    <w:t>（30m</w:t>
                  </w:r>
                  <w:r>
                    <w:rPr>
                      <w:rFonts w:hint="eastAsia"/>
                      <w:b w:val="0"/>
                      <w:bCs w:val="0"/>
                      <w:color w:val="auto"/>
                      <w:vertAlign w:val="superscript"/>
                    </w:rPr>
                    <w:t>2</w:t>
                  </w:r>
                  <w:r>
                    <w:rPr>
                      <w:rFonts w:hint="eastAsia"/>
                      <w:b w:val="0"/>
                      <w:bCs w:val="0"/>
                      <w:color w:val="auto"/>
                    </w:rPr>
                    <w:t>）</w:t>
                  </w:r>
                </w:p>
              </w:tc>
              <w:tc>
                <w:tcPr>
                  <w:tcW w:w="2020"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金属边角料</w:t>
                  </w:r>
                  <w:r>
                    <w:rPr>
                      <w:rFonts w:hint="eastAsia"/>
                      <w:b w:val="0"/>
                      <w:bCs w:val="0"/>
                      <w:color w:val="auto"/>
                    </w:rPr>
                    <w:t>、</w:t>
                  </w:r>
                  <w:r>
                    <w:rPr>
                      <w:b w:val="0"/>
                      <w:bCs w:val="0"/>
                      <w:color w:val="auto"/>
                    </w:rPr>
                    <w:t>加工粉尘</w:t>
                  </w:r>
                  <w:r>
                    <w:rPr>
                      <w:rFonts w:hint="eastAsia"/>
                      <w:b w:val="0"/>
                      <w:bCs w:val="0"/>
                      <w:color w:val="auto"/>
                    </w:rPr>
                    <w:t>、</w:t>
                  </w:r>
                  <w:r>
                    <w:rPr>
                      <w:b w:val="0"/>
                      <w:bCs w:val="0"/>
                      <w:color w:val="auto"/>
                    </w:rPr>
                    <w:t>焊渣</w:t>
                  </w:r>
                  <w:r>
                    <w:rPr>
                      <w:rFonts w:hint="eastAsia"/>
                      <w:b w:val="0"/>
                      <w:bCs w:val="0"/>
                      <w:color w:val="auto"/>
                    </w:rPr>
                    <w:t>、</w:t>
                  </w:r>
                  <w:r>
                    <w:rPr>
                      <w:b w:val="0"/>
                      <w:bCs w:val="0"/>
                      <w:color w:val="auto"/>
                    </w:rPr>
                    <w:t>废包装材料</w:t>
                  </w:r>
                </w:p>
              </w:tc>
              <w:tc>
                <w:tcPr>
                  <w:tcW w:w="1177"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w:t>
                  </w:r>
                </w:p>
              </w:tc>
              <w:tc>
                <w:tcPr>
                  <w:tcW w:w="1407" w:type="dxa"/>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2988"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垃圾清运、垃圾桶设置</w:t>
                  </w:r>
                </w:p>
              </w:tc>
              <w:tc>
                <w:tcPr>
                  <w:tcW w:w="2020"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生活垃圾</w:t>
                  </w:r>
                </w:p>
              </w:tc>
              <w:tc>
                <w:tcPr>
                  <w:tcW w:w="1177"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0.5</w:t>
                  </w:r>
                </w:p>
              </w:tc>
              <w:tc>
                <w:tcPr>
                  <w:tcW w:w="1407"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2988"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废弃原料外运</w:t>
                  </w:r>
                </w:p>
              </w:tc>
              <w:tc>
                <w:tcPr>
                  <w:tcW w:w="2020"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钢材边角料</w:t>
                  </w:r>
                </w:p>
              </w:tc>
              <w:tc>
                <w:tcPr>
                  <w:tcW w:w="1177"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w:t>
                  </w:r>
                </w:p>
              </w:tc>
              <w:tc>
                <w:tcPr>
                  <w:tcW w:w="1407"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集中收集后外卖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noWrap/>
                  <w:vAlign w:val="center"/>
                </w:tcPr>
                <w:p>
                  <w:pPr>
                    <w:pStyle w:val="26"/>
                    <w:keepNext w:val="0"/>
                    <w:keepLines w:val="0"/>
                    <w:suppressLineNumbers w:val="0"/>
                    <w:spacing w:before="0" w:beforeAutospacing="0" w:after="0" w:afterAutospacing="0"/>
                    <w:ind w:left="0" w:right="0"/>
                    <w:rPr>
                      <w:b w:val="0"/>
                      <w:bCs w:val="0"/>
                      <w:color w:val="auto"/>
                    </w:rPr>
                  </w:pPr>
                </w:p>
              </w:tc>
              <w:tc>
                <w:tcPr>
                  <w:tcW w:w="5008"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合    计</w:t>
                  </w:r>
                </w:p>
              </w:tc>
              <w:tc>
                <w:tcPr>
                  <w:tcW w:w="1177"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37.4</w:t>
                  </w:r>
                </w:p>
              </w:tc>
              <w:tc>
                <w:tcPr>
                  <w:tcW w:w="1407" w:type="dxa"/>
                  <w:noWrap/>
                  <w:vAlign w:val="center"/>
                </w:tcPr>
                <w:p>
                  <w:pPr>
                    <w:pStyle w:val="26"/>
                    <w:keepNext w:val="0"/>
                    <w:keepLines w:val="0"/>
                    <w:suppressLineNumbers w:val="0"/>
                    <w:spacing w:before="0" w:beforeAutospacing="0" w:after="0" w:afterAutospacing="0"/>
                    <w:ind w:left="0" w:right="0"/>
                    <w:rPr>
                      <w:b w:val="0"/>
                      <w:bCs w:val="0"/>
                      <w:color w:val="auto"/>
                    </w:rPr>
                  </w:pPr>
                </w:p>
              </w:tc>
            </w:tr>
          </w:tbl>
          <w:p>
            <w:pPr>
              <w:keepNext w:val="0"/>
              <w:keepLines w:val="0"/>
              <w:suppressLineNumbers w:val="0"/>
              <w:spacing w:before="0" w:beforeAutospacing="0" w:after="0" w:afterAutospacing="0"/>
              <w:ind w:left="0" w:right="0" w:firstLine="352" w:firstLineChars="146"/>
              <w:jc w:val="both"/>
              <w:rPr>
                <w:b/>
                <w:bCs/>
              </w:rPr>
            </w:pPr>
            <w:r>
              <w:rPr>
                <w:rFonts w:hint="eastAsia"/>
                <w:b/>
                <w:bCs/>
              </w:rPr>
              <w:t>十一</w:t>
            </w:r>
            <w:r>
              <w:rPr>
                <w:b/>
                <w:bCs/>
              </w:rPr>
              <w:t>、</w:t>
            </w:r>
            <w:r>
              <w:rPr>
                <w:rFonts w:hint="eastAsia"/>
                <w:b/>
                <w:bCs/>
              </w:rPr>
              <w:t>与</w:t>
            </w:r>
            <w:r>
              <w:rPr>
                <w:b/>
                <w:bCs/>
              </w:rPr>
              <w:t>本项目有关的原有污染及环境问题</w:t>
            </w:r>
          </w:p>
          <w:p>
            <w:pPr>
              <w:keepNext w:val="0"/>
              <w:keepLines w:val="0"/>
              <w:suppressLineNumbers w:val="0"/>
              <w:spacing w:before="0" w:beforeAutospacing="0" w:after="0" w:afterAutospacing="0"/>
              <w:ind w:left="0" w:right="0" w:firstLine="480"/>
              <w:jc w:val="both"/>
              <w:rPr>
                <w:bCs/>
              </w:rPr>
            </w:pPr>
            <w:r>
              <w:rPr>
                <w:rFonts w:hint="eastAsia"/>
                <w:bCs/>
              </w:rPr>
              <w:t>1、与本项目相关的原有污染情况</w:t>
            </w:r>
          </w:p>
          <w:p>
            <w:pPr>
              <w:keepNext w:val="0"/>
              <w:keepLines w:val="0"/>
              <w:suppressLineNumbers w:val="0"/>
              <w:spacing w:before="0" w:beforeAutospacing="0" w:after="0" w:afterAutospacing="0"/>
              <w:ind w:left="0" w:right="0" w:firstLine="480"/>
              <w:jc w:val="both"/>
            </w:pPr>
            <w:r>
              <w:rPr>
                <w:rFonts w:hint="eastAsia"/>
                <w:bCs/>
              </w:rPr>
              <w:t>项目拟建位置</w:t>
            </w:r>
            <w:r>
              <w:t>富民县工业园</w:t>
            </w:r>
            <w:r>
              <w:rPr>
                <w:rFonts w:hint="eastAsia"/>
              </w:rPr>
              <w:t>区</w:t>
            </w:r>
            <w:r>
              <w:t>哨菁机械加工园</w:t>
            </w:r>
            <w:r>
              <w:rPr>
                <w:rFonts w:hint="eastAsia"/>
              </w:rPr>
              <w:t>，</w:t>
            </w:r>
            <w:r>
              <w:rPr>
                <w:rFonts w:hint="eastAsia" w:ascii="宋体" w:hAnsi="宋体"/>
              </w:rPr>
              <w:t>本项目</w:t>
            </w:r>
            <w:r>
              <w:rPr>
                <w:rFonts w:ascii="宋体" w:hAnsi="宋体"/>
              </w:rPr>
              <w:t>租用</w:t>
            </w:r>
            <w:r>
              <w:rPr>
                <w:rFonts w:hint="eastAsia" w:ascii="宋体" w:hAnsi="宋体"/>
              </w:rPr>
              <w:t>云南鸿发</w:t>
            </w:r>
            <w:r>
              <w:rPr>
                <w:rFonts w:ascii="宋体" w:hAnsi="宋体"/>
              </w:rPr>
              <w:t>机械</w:t>
            </w:r>
            <w:r>
              <w:rPr>
                <w:rFonts w:hint="eastAsia" w:ascii="宋体" w:hAnsi="宋体"/>
              </w:rPr>
              <w:t>制造有限公司标准厂房及附属办公用房</w:t>
            </w:r>
            <w:r>
              <w:rPr>
                <w:rFonts w:ascii="宋体" w:hAnsi="宋体"/>
              </w:rPr>
              <w:t>，</w:t>
            </w:r>
            <w:r>
              <w:rPr>
                <w:rFonts w:hint="eastAsia"/>
              </w:rPr>
              <w:t>云南鸿发机械制造有限公司</w:t>
            </w:r>
            <w:r>
              <w:t>已</w:t>
            </w:r>
            <w:r>
              <w:rPr>
                <w:rFonts w:hint="eastAsia"/>
              </w:rPr>
              <w:t>办理了相关环保手续，并</w:t>
            </w:r>
            <w:r>
              <w:t>获得环保局批复文件</w:t>
            </w:r>
            <w:r>
              <w:rPr>
                <w:rFonts w:hint="eastAsia"/>
              </w:rPr>
              <w:t>（富环保复【2015】9号），批复详见附件3，但未落实环保验收工作。</w:t>
            </w:r>
          </w:p>
          <w:p>
            <w:pPr>
              <w:keepNext w:val="0"/>
              <w:keepLines w:val="0"/>
              <w:suppressLineNumbers w:val="0"/>
              <w:spacing w:before="0" w:beforeAutospacing="0" w:after="0" w:afterAutospacing="0"/>
              <w:ind w:left="0" w:right="0" w:firstLine="480"/>
            </w:pPr>
            <w:r>
              <w:rPr>
                <w:rFonts w:hint="eastAsia" w:ascii="宋体" w:hAnsi="宋体"/>
              </w:rPr>
              <w:t>云南鸿发机械制造有限公司机械设备制造及配套项目共建设3栋并列的标准厂房，本项目租用的为1#、2#标准厂房作为生产车间。</w:t>
            </w:r>
            <w:r>
              <w:rPr>
                <w:rFonts w:hint="eastAsia"/>
              </w:rPr>
              <w:t>2016</w:t>
            </w:r>
            <w:r>
              <w:rPr>
                <w:rFonts w:hint="eastAsia" w:ascii="宋体" w:hAnsi="宋体"/>
              </w:rPr>
              <w:t>年</w:t>
            </w:r>
            <w:r>
              <w:rPr>
                <w:rFonts w:ascii="宋体" w:hAnsi="宋体"/>
              </w:rPr>
              <w:t>初，云南鸿发</w:t>
            </w:r>
            <w:r>
              <w:rPr>
                <w:rFonts w:hint="eastAsia" w:ascii="宋体" w:hAnsi="宋体"/>
              </w:rPr>
              <w:t>机械</w:t>
            </w:r>
            <w:r>
              <w:rPr>
                <w:rFonts w:ascii="宋体" w:hAnsi="宋体"/>
              </w:rPr>
              <w:t>制造有限公司停止了生产，撤出了相关生产设备</w:t>
            </w:r>
            <w:r>
              <w:rPr>
                <w:rFonts w:hint="eastAsia" w:ascii="宋体" w:hAnsi="宋体"/>
              </w:rPr>
              <w:t>设施</w:t>
            </w:r>
            <w:r>
              <w:rPr>
                <w:rFonts w:ascii="宋体" w:hAnsi="宋体"/>
              </w:rPr>
              <w:t>，</w:t>
            </w:r>
            <w:r>
              <w:rPr>
                <w:rFonts w:hint="eastAsia" w:ascii="宋体" w:hAnsi="宋体"/>
              </w:rPr>
              <w:t>并</w:t>
            </w:r>
            <w:r>
              <w:rPr>
                <w:rFonts w:ascii="宋体" w:hAnsi="宋体"/>
              </w:rPr>
              <w:t>将厂房出租</w:t>
            </w:r>
            <w:r>
              <w:rPr>
                <w:rFonts w:hint="eastAsia"/>
              </w:rPr>
              <w:t>，根据现场调查，无与本项目有关的原有污染情况。</w:t>
            </w:r>
          </w:p>
          <w:p>
            <w:pPr>
              <w:keepNext w:val="0"/>
              <w:keepLines w:val="0"/>
              <w:suppressLineNumbers w:val="0"/>
              <w:spacing w:before="0" w:beforeAutospacing="0" w:after="0" w:afterAutospacing="0"/>
              <w:ind w:left="0" w:right="0" w:firstLine="472" w:firstLineChars="197"/>
              <w:jc w:val="both"/>
            </w:pPr>
            <w:r>
              <w:rPr>
                <w:rFonts w:hint="eastAsia"/>
              </w:rPr>
              <w:t>2、主要环境问题</w:t>
            </w:r>
          </w:p>
          <w:p>
            <w:pPr>
              <w:keepNext w:val="0"/>
              <w:keepLines w:val="0"/>
              <w:suppressLineNumbers w:val="0"/>
              <w:spacing w:before="0" w:beforeAutospacing="0" w:after="0" w:afterAutospacing="0"/>
              <w:ind w:left="0" w:right="0" w:firstLine="480"/>
              <w:jc w:val="both"/>
            </w:pPr>
            <w:r>
              <w:rPr>
                <w:rFonts w:hint="eastAsia"/>
              </w:rPr>
              <w:t>项目区为云南鸿发机械制造有限公司原办公楼及生产车间，目前该公司此厂区已经停产，现场调查后不存在遗留的环境问题。项目区西侧50m为云南德众内燃机制造有限公司，南侧25m为昆明市银华工贸有限公司路桥分公司（在建），项目区北侧为15m云南联达钢结构制造有限公司，项目区东侧20m为108国道。项目区的主要的环境问题为南、北、西侧企业建设和加工产生的噪声以及喷漆切割等产生的粉尘及VOCS以及项目东侧108国道上行驶的的车辆产生的扬尘、汽车尾气和噪声污染。</w:t>
            </w:r>
          </w:p>
          <w:p>
            <w:pPr>
              <w:keepNext w:val="0"/>
              <w:keepLines w:val="0"/>
              <w:suppressLineNumbers w:val="0"/>
              <w:spacing w:before="0" w:beforeAutospacing="0" w:after="0" w:afterAutospacing="0"/>
              <w:ind w:left="0" w:right="0" w:firstLine="480"/>
              <w:jc w:val="both"/>
            </w:pPr>
          </w:p>
          <w:p>
            <w:pPr>
              <w:keepNext w:val="0"/>
              <w:keepLines w:val="0"/>
              <w:suppressLineNumbers w:val="0"/>
              <w:spacing w:before="0" w:beforeAutospacing="0" w:after="0" w:afterAutospacing="0"/>
              <w:ind w:left="0" w:right="0" w:firstLine="480"/>
              <w:jc w:val="both"/>
            </w:pPr>
          </w:p>
          <w:p>
            <w:pPr>
              <w:keepNext w:val="0"/>
              <w:keepLines w:val="0"/>
              <w:suppressLineNumbers w:val="0"/>
              <w:spacing w:before="0" w:beforeAutospacing="0" w:after="0" w:afterAutospacing="0"/>
              <w:ind w:left="0" w:right="0" w:firstLine="480"/>
              <w:jc w:val="both"/>
            </w:pPr>
          </w:p>
          <w:p>
            <w:pPr>
              <w:keepNext w:val="0"/>
              <w:keepLines w:val="0"/>
              <w:suppressLineNumbers w:val="0"/>
              <w:spacing w:before="0" w:beforeAutospacing="0" w:after="0" w:afterAutospacing="0"/>
              <w:ind w:left="0" w:right="0" w:firstLine="0" w:firstLineChars="0"/>
              <w:jc w:val="both"/>
            </w:pPr>
          </w:p>
          <w:p>
            <w:pPr>
              <w:pStyle w:val="2"/>
              <w:keepNext w:val="0"/>
              <w:keepLines w:val="0"/>
              <w:suppressLineNumbers w:val="0"/>
              <w:spacing w:before="0" w:beforeAutospacing="0" w:after="0" w:afterAutospacing="0"/>
              <w:ind w:left="0" w:right="0" w:firstLine="480"/>
              <w:jc w:val="both"/>
            </w:pPr>
          </w:p>
          <w:p>
            <w:pPr>
              <w:pStyle w:val="2"/>
              <w:keepNext w:val="0"/>
              <w:keepLines w:val="0"/>
              <w:suppressLineNumbers w:val="0"/>
              <w:spacing w:before="0" w:beforeAutospacing="0" w:after="0" w:afterAutospacing="0"/>
              <w:ind w:left="0" w:right="0" w:firstLine="480"/>
              <w:jc w:val="both"/>
            </w:pPr>
          </w:p>
          <w:p>
            <w:pPr>
              <w:keepNext w:val="0"/>
              <w:keepLines w:val="0"/>
              <w:suppressLineNumbers w:val="0"/>
              <w:spacing w:before="0" w:beforeAutospacing="0" w:after="0" w:afterAutospacing="0"/>
              <w:ind w:left="0" w:right="0" w:firstLine="0" w:firstLineChars="0"/>
              <w:jc w:val="both"/>
            </w:pPr>
          </w:p>
          <w:p>
            <w:pPr>
              <w:keepNext w:val="0"/>
              <w:keepLines w:val="0"/>
              <w:suppressLineNumbers w:val="0"/>
              <w:spacing w:before="0" w:beforeAutospacing="0" w:after="0" w:afterAutospacing="0"/>
              <w:ind w:left="0" w:right="0" w:firstLine="0" w:firstLineChars="0"/>
              <w:jc w:val="both"/>
            </w:pPr>
          </w:p>
          <w:p>
            <w:pPr>
              <w:pStyle w:val="11"/>
              <w:keepNext w:val="0"/>
              <w:keepLines w:val="0"/>
              <w:suppressLineNumbers w:val="0"/>
              <w:spacing w:before="0" w:beforeAutospacing="0" w:after="0" w:afterAutospacing="0"/>
              <w:ind w:left="0" w:right="0" w:firstLine="480"/>
            </w:pPr>
          </w:p>
          <w:p>
            <w:pPr>
              <w:pStyle w:val="9"/>
              <w:keepNext w:val="0"/>
              <w:keepLines w:val="0"/>
              <w:suppressLineNumbers w:val="0"/>
              <w:spacing w:before="0" w:beforeAutospacing="0" w:after="0" w:afterAutospacing="0"/>
              <w:ind w:left="0" w:right="0" w:firstLine="480"/>
            </w:pPr>
          </w:p>
          <w:p>
            <w:pPr>
              <w:keepNext w:val="0"/>
              <w:keepLines w:val="0"/>
              <w:suppressLineNumbers w:val="0"/>
              <w:spacing w:before="0" w:beforeAutospacing="0" w:after="0" w:afterAutospacing="0"/>
              <w:ind w:left="0" w:right="0" w:firstLine="480"/>
            </w:pPr>
          </w:p>
          <w:p>
            <w:pPr>
              <w:pStyle w:val="11"/>
              <w:keepNext w:val="0"/>
              <w:keepLines w:val="0"/>
              <w:suppressLineNumbers w:val="0"/>
              <w:spacing w:before="0" w:beforeAutospacing="0" w:after="0" w:afterAutospacing="0"/>
              <w:ind w:left="0" w:right="0" w:firstLine="480"/>
            </w:pPr>
          </w:p>
          <w:p>
            <w:pPr>
              <w:pStyle w:val="9"/>
              <w:keepNext w:val="0"/>
              <w:keepLines w:val="0"/>
              <w:suppressLineNumbers w:val="0"/>
              <w:spacing w:before="0" w:beforeAutospacing="0" w:after="0" w:afterAutospacing="0"/>
              <w:ind w:left="0" w:right="0" w:firstLine="480"/>
            </w:pPr>
          </w:p>
          <w:p>
            <w:pPr>
              <w:keepNext w:val="0"/>
              <w:keepLines w:val="0"/>
              <w:suppressLineNumbers w:val="0"/>
              <w:spacing w:before="0" w:beforeAutospacing="0" w:after="0" w:afterAutospacing="0"/>
              <w:ind w:left="0" w:right="0" w:firstLine="480"/>
            </w:pPr>
          </w:p>
          <w:p>
            <w:pPr>
              <w:pStyle w:val="11"/>
              <w:keepNext w:val="0"/>
              <w:keepLines w:val="0"/>
              <w:suppressLineNumbers w:val="0"/>
              <w:spacing w:before="0" w:beforeAutospacing="0" w:after="0" w:afterAutospacing="0"/>
              <w:ind w:left="0" w:right="0" w:firstLine="480"/>
            </w:pPr>
          </w:p>
          <w:p>
            <w:pPr>
              <w:pStyle w:val="9"/>
              <w:keepNext w:val="0"/>
              <w:keepLines w:val="0"/>
              <w:suppressLineNumbers w:val="0"/>
              <w:spacing w:before="0" w:beforeAutospacing="0" w:after="0" w:afterAutospacing="0"/>
              <w:ind w:left="0" w:right="0" w:firstLine="480"/>
            </w:pPr>
          </w:p>
          <w:p>
            <w:pPr>
              <w:keepNext w:val="0"/>
              <w:keepLines w:val="0"/>
              <w:suppressLineNumbers w:val="0"/>
              <w:spacing w:before="0" w:beforeAutospacing="0" w:after="0" w:afterAutospacing="0"/>
              <w:ind w:left="0" w:right="0" w:firstLine="480"/>
            </w:pPr>
          </w:p>
          <w:p>
            <w:pPr>
              <w:pStyle w:val="11"/>
              <w:keepNext w:val="0"/>
              <w:keepLines w:val="0"/>
              <w:suppressLineNumbers w:val="0"/>
              <w:spacing w:before="0" w:beforeAutospacing="0" w:after="0" w:afterAutospacing="0"/>
              <w:ind w:left="0" w:right="0" w:firstLine="0" w:firstLineChars="0"/>
              <w:rPr>
                <w:rFonts w:hint="eastAsia"/>
              </w:rPr>
            </w:pPr>
          </w:p>
          <w:p>
            <w:pPr>
              <w:pStyle w:val="9"/>
              <w:keepNext w:val="0"/>
              <w:keepLines w:val="0"/>
              <w:suppressLineNumbers w:val="0"/>
              <w:spacing w:before="0" w:beforeAutospacing="0" w:after="0" w:afterAutospacing="0"/>
              <w:ind w:left="0" w:right="0" w:firstLine="480"/>
            </w:pPr>
          </w:p>
          <w:p>
            <w:pPr>
              <w:keepNext w:val="0"/>
              <w:keepLines w:val="0"/>
              <w:suppressLineNumbers w:val="0"/>
              <w:spacing w:before="0" w:beforeAutospacing="0" w:after="0" w:afterAutospacing="0"/>
              <w:ind w:left="0" w:right="0" w:firstLine="0" w:firstLineChars="0"/>
            </w:pPr>
          </w:p>
        </w:tc>
      </w:tr>
    </w:tbl>
    <w:p>
      <w:pPr>
        <w:pStyle w:val="3"/>
        <w:jc w:val="both"/>
        <w:rPr>
          <w:bCs w:val="0"/>
          <w:sz w:val="30"/>
          <w:szCs w:val="30"/>
        </w:rPr>
      </w:pPr>
      <w:bookmarkStart w:id="4" w:name="_Toc20563"/>
      <w:bookmarkStart w:id="5" w:name="_Toc29088"/>
      <w:bookmarkStart w:id="6" w:name="_Toc19527"/>
      <w:bookmarkStart w:id="7" w:name="_Toc22248"/>
      <w:bookmarkStart w:id="8" w:name="_Toc8755"/>
      <w:r>
        <w:rPr>
          <w:bCs w:val="0"/>
          <w:sz w:val="30"/>
          <w:szCs w:val="30"/>
        </w:rPr>
        <w:t>表二建设项目所在地自然环境简况</w:t>
      </w:r>
      <w:bookmarkEnd w:id="4"/>
      <w:bookmarkEnd w:id="5"/>
      <w:bookmarkEnd w:id="6"/>
      <w:bookmarkEnd w:id="7"/>
      <w:bookmarkEnd w:id="8"/>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8986" w:type="dxa"/>
            <w:noWrap/>
          </w:tcPr>
          <w:p>
            <w:pPr>
              <w:keepNext w:val="0"/>
              <w:keepLines w:val="0"/>
              <w:suppressLineNumbers w:val="0"/>
              <w:adjustRightInd w:val="0"/>
              <w:snapToGrid w:val="0"/>
              <w:spacing w:before="0" w:beforeAutospacing="0" w:after="0" w:afterAutospacing="0"/>
              <w:ind w:left="0" w:right="0" w:firstLine="0" w:firstLineChars="0"/>
              <w:jc w:val="both"/>
              <w:rPr>
                <w:b/>
                <w:bCs/>
              </w:rPr>
            </w:pPr>
            <w:r>
              <w:rPr>
                <w:b/>
                <w:bCs/>
              </w:rPr>
              <w:t>一</w:t>
            </w:r>
            <w:r>
              <w:rPr>
                <w:rFonts w:hint="eastAsia"/>
                <w:b/>
                <w:bCs/>
              </w:rPr>
              <w:t>、</w:t>
            </w:r>
            <w:r>
              <w:rPr>
                <w:b/>
                <w:bCs/>
              </w:rPr>
              <w:t>自然环境简况（地形、地貌、地质、气候、气象、水文、</w:t>
            </w:r>
            <w:r>
              <w:rPr>
                <w:rFonts w:hint="eastAsia"/>
                <w:b/>
                <w:bCs/>
              </w:rPr>
              <w:t>土壤、</w:t>
            </w:r>
            <w:r>
              <w:rPr>
                <w:b/>
                <w:bCs/>
              </w:rPr>
              <w:t>植被等）：</w:t>
            </w:r>
          </w:p>
          <w:p>
            <w:pPr>
              <w:keepNext w:val="0"/>
              <w:keepLines w:val="0"/>
              <w:suppressLineNumbers w:val="0"/>
              <w:spacing w:before="0" w:beforeAutospacing="0" w:after="0" w:afterAutospacing="0"/>
              <w:ind w:left="0" w:right="0" w:firstLine="482"/>
              <w:jc w:val="both"/>
              <w:rPr>
                <w:b/>
                <w:bCs/>
              </w:rPr>
            </w:pPr>
            <w:bookmarkStart w:id="9" w:name="OLE_LINK29"/>
            <w:r>
              <w:rPr>
                <w:rFonts w:hint="eastAsia"/>
                <w:b/>
                <w:bCs/>
              </w:rPr>
              <w:t>1、地理位置</w:t>
            </w:r>
          </w:p>
          <w:p>
            <w:pPr>
              <w:keepNext w:val="0"/>
              <w:keepLines w:val="0"/>
              <w:widowControl/>
              <w:suppressLineNumbers w:val="0"/>
              <w:adjustRightInd w:val="0"/>
              <w:snapToGrid w:val="0"/>
              <w:spacing w:before="0" w:beforeAutospacing="0" w:after="0" w:afterAutospacing="0"/>
              <w:ind w:left="0" w:right="0" w:firstLine="480"/>
              <w:jc w:val="both"/>
            </w:pPr>
            <w:bookmarkStart w:id="10" w:name="_Toc58491009"/>
            <w:bookmarkStart w:id="11" w:name="_Toc71616966"/>
            <w:bookmarkStart w:id="12" w:name="_Toc58041089"/>
            <w:bookmarkStart w:id="13" w:name="_Toc58646768"/>
            <w:bookmarkStart w:id="14" w:name="_Toc59682784"/>
            <w:bookmarkStart w:id="15" w:name="_Toc73522865"/>
            <w:bookmarkStart w:id="16" w:name="_Toc73348468"/>
            <w:bookmarkStart w:id="17" w:name="_Toc60035520"/>
            <w:bookmarkStart w:id="18" w:name="_Toc58731255"/>
            <w:bookmarkStart w:id="19" w:name="_Toc75688624"/>
            <w:bookmarkStart w:id="20" w:name="_Toc75688916"/>
            <w:bookmarkStart w:id="21" w:name="_Toc75688770"/>
            <w:bookmarkStart w:id="22" w:name="_Toc73349381"/>
            <w:bookmarkStart w:id="23" w:name="_Toc58816640"/>
            <w:bookmarkStart w:id="24" w:name="_Toc58229301"/>
            <w:bookmarkStart w:id="25" w:name="_Toc58638877"/>
            <w:bookmarkStart w:id="26" w:name="_Toc73503861"/>
            <w:bookmarkStart w:id="27" w:name="_Toc72826728"/>
            <w:bookmarkStart w:id="28" w:name="_Toc75423664"/>
            <w:bookmarkStart w:id="29" w:name="_Toc58121772"/>
            <w:bookmarkStart w:id="30" w:name="_Toc58124706"/>
            <w:bookmarkStart w:id="31" w:name="_Toc59266585"/>
            <w:bookmarkStart w:id="32" w:name="_Toc75852261"/>
            <w:bookmarkStart w:id="33" w:name="_Toc73527816"/>
            <w:bookmarkStart w:id="34" w:name="_Toc74300421"/>
            <w:bookmarkStart w:id="35" w:name="_Toc75688476"/>
            <w:bookmarkStart w:id="36" w:name="_Toc74300275"/>
            <w:bookmarkStart w:id="37" w:name="_Toc59965644"/>
            <w:bookmarkStart w:id="38" w:name="_Toc74908561"/>
            <w:bookmarkStart w:id="39" w:name="_Toc73352242"/>
            <w:bookmarkStart w:id="40" w:name="_Toc73527664"/>
            <w:bookmarkStart w:id="41" w:name="_Toc57868321"/>
            <w:bookmarkStart w:id="42" w:name="_Toc74908707"/>
            <w:bookmarkStart w:id="43" w:name="_Toc58643189"/>
            <w:bookmarkStart w:id="44" w:name="_Toc58810537"/>
            <w:bookmarkStart w:id="45" w:name="_Toc74307537"/>
            <w:bookmarkStart w:id="46" w:name="_Toc58810450"/>
            <w:bookmarkStart w:id="47" w:name="_Toc73348620"/>
            <w:bookmarkStart w:id="48" w:name="_Toc74908351"/>
            <w:bookmarkStart w:id="49" w:name="_Toc58641488"/>
            <w:bookmarkStart w:id="50" w:name="_Toc60024596"/>
            <w:bookmarkStart w:id="51" w:name="_Toc58314437"/>
            <w:bookmarkStart w:id="52" w:name="_Toc59851096"/>
            <w:r>
              <w:t>富民县位于云南省中部，省会昆明市的西北部，东经102°21′～102°47′，北纬25°08′～25°36′之间。东与嵩明、寻甸相邻，北与禄劝山水相连，西与禄丰、武定接壤，南靠五华、西山区，属昆明市五区八县一市之一。全县国土面积993km</w:t>
            </w:r>
            <w:r>
              <w:rPr>
                <w:vertAlign w:val="superscript"/>
              </w:rPr>
              <w:t>2</w:t>
            </w:r>
            <w:r>
              <w:t>，15万人口。县城距昆明市区23km，是昆明市近郊县，108国道、昆武高速公路、轿子山旅游专线穿境而过，长（水）广（通）高速开工在即，成昆高铁专线和昆明主城至富民辅城的轻轨四号线即将规划建设，三纵两横的交通网络南北贯通，使富民成为重要交通线上的一个节点，富民—“昆明北大门”、“川西门户”的重要战略位置将进一步突显。</w:t>
            </w:r>
          </w:p>
          <w:p>
            <w:pPr>
              <w:keepNext w:val="0"/>
              <w:keepLines w:val="0"/>
              <w:suppressLineNumbers w:val="0"/>
              <w:spacing w:before="0" w:beforeAutospacing="0" w:after="0" w:afterAutospacing="0"/>
              <w:ind w:left="0" w:right="0" w:firstLine="480"/>
              <w:jc w:val="both"/>
            </w:pPr>
            <w:r>
              <w:rPr>
                <w:rFonts w:hint="eastAsia"/>
              </w:rPr>
              <w:t>本项目地处富民县富民工业园区哨菁机械加工园。项目区西侧50m为云南德众内燃机制造有限公司，南侧25m为昆明市银华工贸有限公司路桥分公司（在建），项目区北侧为15m云南联达钢结构制造有限公司，项目区东侧20m为108国道。厂区中心经纬度为东经</w:t>
            </w:r>
            <w:r>
              <w:t>102°27′52.73133″</w:t>
            </w:r>
            <w:r>
              <w:rPr>
                <w:rFonts w:hint="eastAsia"/>
              </w:rPr>
              <w:t>，北纬</w:t>
            </w:r>
            <w:r>
              <w:t>25°15′57.80312″</w:t>
            </w:r>
            <w:r>
              <w:rPr>
                <w:rFonts w:hint="eastAsia"/>
              </w:rPr>
              <w:t>，项目地理位置见附图2。</w:t>
            </w:r>
          </w:p>
          <w:p>
            <w:pPr>
              <w:keepNext w:val="0"/>
              <w:keepLines w:val="0"/>
              <w:suppressLineNumbers w:val="0"/>
              <w:spacing w:before="0" w:beforeAutospacing="0" w:after="0" w:afterAutospacing="0"/>
              <w:ind w:left="0" w:right="0" w:firstLine="482"/>
              <w:jc w:val="both"/>
              <w:rPr>
                <w:b/>
                <w:bCs/>
              </w:rPr>
            </w:pPr>
            <w:r>
              <w:rPr>
                <w:rFonts w:hint="eastAsia"/>
                <w:b/>
                <w:bCs/>
              </w:rPr>
              <w:t>2、地形、地貌、地质</w:t>
            </w:r>
          </w:p>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Pr>
              <w:keepNext w:val="0"/>
              <w:keepLines w:val="0"/>
              <w:suppressLineNumbers w:val="0"/>
              <w:spacing w:before="0" w:beforeAutospacing="0" w:after="0" w:afterAutospacing="0"/>
              <w:ind w:left="0" w:right="0" w:firstLine="480"/>
              <w:jc w:val="both"/>
            </w:pPr>
            <w:r>
              <w:rPr>
                <w:rFonts w:hint="eastAsia"/>
              </w:rPr>
              <w:t>富民县位于昆明市西北部，是个山区较多的县，地势南高北低，东西宽44.2km，南北长51.6km。由南向北倾斜，望海山把县境分为</w:t>
            </w:r>
            <w:r>
              <w:fldChar w:fldCharType="begin"/>
            </w:r>
            <w:r>
              <w:instrText xml:space="preserve"> HYPERLINK "http://baike.sogou.com/lemma/ShowInnerLink.htm?lemmaId=121122&amp;ss_c=ssc.citiao.link" </w:instrText>
            </w:r>
            <w:r>
              <w:fldChar w:fldCharType="separate"/>
            </w:r>
            <w:r>
              <w:rPr>
                <w:rFonts w:hint="eastAsia"/>
              </w:rPr>
              <w:t>螳螂</w:t>
            </w:r>
            <w:r>
              <w:rPr>
                <w:rFonts w:hint="eastAsia"/>
              </w:rPr>
              <w:fldChar w:fldCharType="end"/>
            </w:r>
            <w:r>
              <w:rPr>
                <w:rFonts w:hint="eastAsia"/>
              </w:rPr>
              <w:t>川和款</w:t>
            </w:r>
            <w:r>
              <w:fldChar w:fldCharType="begin"/>
            </w:r>
            <w:r>
              <w:instrText xml:space="preserve"> HYPERLINK "http://baike.sogou.com/lemma/ShowInnerLink.htm?lemmaId=2091889&amp;ss_c=ssc.citiao.link" </w:instrText>
            </w:r>
            <w:r>
              <w:fldChar w:fldCharType="separate"/>
            </w:r>
            <w:r>
              <w:rPr>
                <w:rFonts w:hint="eastAsia"/>
              </w:rPr>
              <w:t>庄河</w:t>
            </w:r>
            <w:r>
              <w:rPr>
                <w:rFonts w:hint="eastAsia"/>
              </w:rPr>
              <w:fldChar w:fldCharType="end"/>
            </w:r>
            <w:r>
              <w:rPr>
                <w:rFonts w:hint="eastAsia"/>
              </w:rPr>
              <w:t>两大水系。最大</w:t>
            </w:r>
            <w:r>
              <w:fldChar w:fldCharType="begin"/>
            </w:r>
            <w:r>
              <w:instrText xml:space="preserve"> HYPERLINK "http://baike.sogou.com/lemma/ShowInnerLink.htm?lemmaId=7606299&amp;ss_c=ssc.citiao.link" </w:instrText>
            </w:r>
            <w:r>
              <w:fldChar w:fldCharType="separate"/>
            </w:r>
            <w:r>
              <w:rPr>
                <w:rFonts w:hint="eastAsia"/>
              </w:rPr>
              <w:t>坝子</w:t>
            </w:r>
            <w:r>
              <w:rPr>
                <w:rFonts w:hint="eastAsia"/>
              </w:rPr>
              <w:fldChar w:fldCharType="end"/>
            </w:r>
            <w:r>
              <w:rPr>
                <w:rFonts w:hint="eastAsia"/>
              </w:rPr>
              <w:t>由永定、勤劳、</w:t>
            </w:r>
            <w:r>
              <w:fldChar w:fldCharType="begin"/>
            </w:r>
            <w:r>
              <w:instrText xml:space="preserve"> HYPERLINK "http://baike.sogou.com/lemma/ShowInnerLink.htm?lemmaId=5330895&amp;ss_c=ssc.citiao.link" </w:instrText>
            </w:r>
            <w:r>
              <w:fldChar w:fldCharType="separate"/>
            </w:r>
            <w:r>
              <w:rPr>
                <w:rFonts w:hint="eastAsia"/>
              </w:rPr>
              <w:t>大营</w:t>
            </w:r>
            <w:r>
              <w:rPr>
                <w:rFonts w:hint="eastAsia"/>
              </w:rPr>
              <w:fldChar w:fldCharType="end"/>
            </w:r>
            <w:r>
              <w:rPr>
                <w:rFonts w:hint="eastAsia"/>
              </w:rPr>
              <w:t>组成，螳螂川贯穿其间，坝子西部为金铜盆山，海拔2817米，为富民最高点，中部的望海山，海拔2672m，东部与嵩明分界的</w:t>
            </w:r>
            <w:r>
              <w:fldChar w:fldCharType="begin"/>
            </w:r>
            <w:r>
              <w:instrText xml:space="preserve"> HYPERLINK "http://baike.sogou.com/lemma/ShowInnerLink.htm?lemmaId=63334730&amp;ss_c=ssc.citiao.link" </w:instrText>
            </w:r>
            <w:r>
              <w:fldChar w:fldCharType="separate"/>
            </w:r>
            <w:r>
              <w:rPr>
                <w:rFonts w:hint="eastAsia"/>
              </w:rPr>
              <w:t>老鸦</w:t>
            </w:r>
            <w:r>
              <w:rPr>
                <w:rFonts w:hint="eastAsia"/>
              </w:rPr>
              <w:fldChar w:fldCharType="end"/>
            </w:r>
            <w:r>
              <w:rPr>
                <w:rFonts w:hint="eastAsia"/>
              </w:rPr>
              <w:t>山，海拔2873m，构成富民的三大山脉与两大水系。者北、赤鹫、罗免的田坝为低山环状河谷型，款庄为狭长和河谷型。坝区中部与主峰高差在800-1000m之间。</w:t>
            </w:r>
          </w:p>
          <w:p>
            <w:pPr>
              <w:keepNext w:val="0"/>
              <w:keepLines w:val="0"/>
              <w:suppressLineNumbers w:val="0"/>
              <w:spacing w:before="0" w:beforeAutospacing="0" w:after="0" w:afterAutospacing="0"/>
              <w:ind w:left="0" w:right="0" w:firstLine="480"/>
              <w:jc w:val="both"/>
            </w:pPr>
            <w:r>
              <w:rPr>
                <w:rFonts w:hint="eastAsia"/>
              </w:rPr>
              <w:t>项目建设用地为二类工业用地，地貌属丘陵地区。项目所在区域，未发现影响建设的崩塌，以及泥石流等不良地质灾害，亦未发现大的活动性断裂。</w:t>
            </w:r>
          </w:p>
          <w:p>
            <w:pPr>
              <w:keepNext w:val="0"/>
              <w:keepLines w:val="0"/>
              <w:suppressLineNumbers w:val="0"/>
              <w:spacing w:before="0" w:beforeAutospacing="0" w:after="0" w:afterAutospacing="0"/>
              <w:ind w:left="0" w:right="0" w:firstLine="482"/>
              <w:jc w:val="both"/>
              <w:rPr>
                <w:b/>
                <w:bCs/>
              </w:rPr>
            </w:pPr>
            <w:r>
              <w:rPr>
                <w:rFonts w:hint="eastAsia"/>
                <w:b/>
                <w:bCs/>
              </w:rPr>
              <w:t>3、气候、气象</w:t>
            </w:r>
          </w:p>
          <w:p>
            <w:pPr>
              <w:keepNext w:val="0"/>
              <w:keepLines w:val="0"/>
              <w:suppressLineNumbers w:val="0"/>
              <w:spacing w:before="0" w:beforeAutospacing="0" w:after="0" w:afterAutospacing="0"/>
              <w:ind w:left="0" w:right="0" w:firstLine="480"/>
              <w:jc w:val="both"/>
            </w:pPr>
            <w:r>
              <w:t>项目区属低纬度亚热带高原季风气候，</w:t>
            </w:r>
            <w:r>
              <w:rPr>
                <w:rFonts w:hint="eastAsia"/>
              </w:rPr>
              <w:t>项目区气象资料如下：</w:t>
            </w:r>
          </w:p>
          <w:p>
            <w:pPr>
              <w:keepNext w:val="0"/>
              <w:keepLines w:val="0"/>
              <w:suppressLineNumbers w:val="0"/>
              <w:spacing w:before="0" w:beforeAutospacing="0" w:after="0" w:afterAutospacing="0"/>
              <w:ind w:left="0" w:right="0" w:firstLine="360" w:firstLineChars="150"/>
              <w:jc w:val="both"/>
            </w:pPr>
            <w:r>
              <w:rPr>
                <w:rFonts w:hint="eastAsia"/>
              </w:rPr>
              <w:t>（1）</w:t>
            </w:r>
            <w:r>
              <w:t xml:space="preserve">多年年均气温 </w:t>
            </w:r>
            <w:r>
              <w:rPr>
                <w:rFonts w:hint="eastAsia"/>
              </w:rPr>
              <w:t>15.8</w:t>
            </w:r>
            <w:r>
              <w:t>℃；</w:t>
            </w:r>
          </w:p>
          <w:p>
            <w:pPr>
              <w:keepNext w:val="0"/>
              <w:keepLines w:val="0"/>
              <w:suppressLineNumbers w:val="0"/>
              <w:spacing w:before="0" w:beforeAutospacing="0" w:after="0" w:afterAutospacing="0"/>
              <w:ind w:left="0" w:right="0" w:firstLine="360" w:firstLineChars="150"/>
              <w:jc w:val="both"/>
            </w:pPr>
            <w:r>
              <w:rPr>
                <w:rFonts w:hint="eastAsia"/>
              </w:rPr>
              <w:t>（2）</w:t>
            </w:r>
            <w:r>
              <w:t>极端最高气温</w:t>
            </w:r>
            <w:r>
              <w:rPr>
                <w:rFonts w:hint="eastAsia"/>
              </w:rPr>
              <w:t>33.4</w:t>
            </w:r>
            <w:r>
              <w:t>℃；</w:t>
            </w:r>
          </w:p>
          <w:p>
            <w:pPr>
              <w:keepNext w:val="0"/>
              <w:keepLines w:val="0"/>
              <w:suppressLineNumbers w:val="0"/>
              <w:spacing w:before="0" w:beforeAutospacing="0" w:after="0" w:afterAutospacing="0"/>
              <w:ind w:left="0" w:right="0" w:firstLine="360" w:firstLineChars="150"/>
              <w:jc w:val="both"/>
            </w:pPr>
            <w:r>
              <w:rPr>
                <w:rFonts w:hint="eastAsia"/>
              </w:rPr>
              <w:t>（3）</w:t>
            </w:r>
            <w:r>
              <w:t>极端最低气温-</w:t>
            </w:r>
            <w:r>
              <w:rPr>
                <w:rFonts w:hint="eastAsia"/>
              </w:rPr>
              <w:t>7</w:t>
            </w:r>
            <w:r>
              <w:t>℃；</w:t>
            </w:r>
          </w:p>
          <w:p>
            <w:pPr>
              <w:keepNext w:val="0"/>
              <w:keepLines w:val="0"/>
              <w:suppressLineNumbers w:val="0"/>
              <w:spacing w:before="0" w:beforeAutospacing="0" w:after="0" w:afterAutospacing="0"/>
              <w:ind w:left="0" w:right="0" w:firstLine="360" w:firstLineChars="150"/>
              <w:jc w:val="both"/>
            </w:pPr>
            <w:r>
              <w:rPr>
                <w:rFonts w:hint="eastAsia"/>
              </w:rPr>
              <w:t>（4）年均</w:t>
            </w:r>
            <w:r>
              <w:t>降雨天数</w:t>
            </w:r>
            <w:r>
              <w:rPr>
                <w:rFonts w:hint="eastAsia"/>
              </w:rPr>
              <w:t>：136天；</w:t>
            </w:r>
          </w:p>
          <w:p>
            <w:pPr>
              <w:keepNext w:val="0"/>
              <w:keepLines w:val="0"/>
              <w:suppressLineNumbers w:val="0"/>
              <w:spacing w:before="0" w:beforeAutospacing="0" w:after="0" w:afterAutospacing="0"/>
              <w:ind w:left="0" w:right="0" w:firstLine="360" w:firstLineChars="150"/>
              <w:jc w:val="both"/>
            </w:pPr>
            <w:r>
              <w:rPr>
                <w:rFonts w:hint="eastAsia"/>
              </w:rPr>
              <w:t>（5）</w:t>
            </w:r>
            <w:r>
              <w:t>多年</w:t>
            </w:r>
            <w:r>
              <w:rPr>
                <w:rFonts w:hint="eastAsia"/>
              </w:rPr>
              <w:t>平均</w:t>
            </w:r>
            <w:r>
              <w:t>降</w:t>
            </w:r>
            <w:r>
              <w:rPr>
                <w:rFonts w:hint="eastAsia"/>
              </w:rPr>
              <w:t>水</w:t>
            </w:r>
            <w:r>
              <w:t>量</w:t>
            </w:r>
            <w:r>
              <w:rPr>
                <w:rFonts w:hint="eastAsia"/>
              </w:rPr>
              <w:t>：846.5mm；</w:t>
            </w:r>
          </w:p>
          <w:p>
            <w:pPr>
              <w:keepNext w:val="0"/>
              <w:keepLines w:val="0"/>
              <w:suppressLineNumbers w:val="0"/>
              <w:spacing w:before="0" w:beforeAutospacing="0" w:after="0" w:afterAutospacing="0"/>
              <w:ind w:left="0" w:right="0" w:firstLine="360" w:firstLineChars="150"/>
              <w:jc w:val="both"/>
            </w:pPr>
            <w:r>
              <w:rPr>
                <w:rFonts w:hint="eastAsia"/>
              </w:rPr>
              <w:t>（6）多年平均蒸发量：2032.5mm（采用20cm蒸发皿）；</w:t>
            </w:r>
          </w:p>
          <w:p>
            <w:pPr>
              <w:keepNext w:val="0"/>
              <w:keepLines w:val="0"/>
              <w:suppressLineNumbers w:val="0"/>
              <w:spacing w:before="0" w:beforeAutospacing="0" w:after="0" w:afterAutospacing="0"/>
              <w:ind w:left="0" w:right="0" w:firstLine="360" w:firstLineChars="150"/>
              <w:jc w:val="both"/>
            </w:pPr>
            <w:r>
              <w:rPr>
                <w:rFonts w:hint="eastAsia"/>
              </w:rPr>
              <w:t>（7）多年平均风速：1.82m/s</w:t>
            </w:r>
          </w:p>
          <w:p>
            <w:pPr>
              <w:keepNext w:val="0"/>
              <w:keepLines w:val="0"/>
              <w:suppressLineNumbers w:val="0"/>
              <w:spacing w:before="0" w:beforeAutospacing="0" w:after="0" w:afterAutospacing="0"/>
              <w:ind w:left="0" w:right="0" w:firstLine="360" w:firstLineChars="150"/>
              <w:jc w:val="both"/>
            </w:pPr>
            <w:r>
              <w:rPr>
                <w:rFonts w:hint="eastAsia"/>
              </w:rPr>
              <w:t>（8）全年无霜期：245天</w:t>
            </w:r>
          </w:p>
          <w:p>
            <w:pPr>
              <w:keepNext w:val="0"/>
              <w:keepLines w:val="0"/>
              <w:suppressLineNumbers w:val="0"/>
              <w:spacing w:before="0" w:beforeAutospacing="0" w:after="0" w:afterAutospacing="0"/>
              <w:ind w:left="0" w:right="0" w:firstLine="360" w:firstLineChars="150"/>
              <w:jc w:val="both"/>
            </w:pPr>
            <w:r>
              <w:rPr>
                <w:rFonts w:hint="eastAsia"/>
              </w:rPr>
              <w:t>（9）全年主导风向：SW</w:t>
            </w:r>
          </w:p>
          <w:p>
            <w:pPr>
              <w:keepNext w:val="0"/>
              <w:keepLines w:val="0"/>
              <w:suppressLineNumbers w:val="0"/>
              <w:spacing w:before="0" w:beforeAutospacing="0" w:after="0" w:afterAutospacing="0"/>
              <w:ind w:left="0" w:right="0" w:firstLine="480"/>
              <w:jc w:val="both"/>
            </w:pPr>
            <w:r>
              <w:t>项目区域主导风向为西南风（SW），风频为11.6%；次主导风向为西南偏西风（WSW），出现频率为10.96%；静风频率11.96%。全年平均风速为1.82m/s，月平均最大风速为1.94m/s，大风季节主要集中在春季。项目区风玫瑰图见图</w:t>
            </w:r>
            <w:r>
              <w:rPr>
                <w:rFonts w:hint="eastAsia"/>
              </w:rPr>
              <w:t>2-1。</w:t>
            </w:r>
          </w:p>
          <w:p>
            <w:pPr>
              <w:pStyle w:val="2"/>
              <w:keepNext w:val="0"/>
              <w:keepLines w:val="0"/>
              <w:suppressLineNumbers w:val="0"/>
              <w:spacing w:before="0" w:beforeAutospacing="0" w:after="0" w:afterAutospacing="0" w:line="240" w:lineRule="auto"/>
              <w:ind w:left="0" w:right="0" w:firstLine="0" w:firstLineChars="0"/>
              <w:jc w:val="center"/>
            </w:pPr>
            <w:r>
              <w:drawing>
                <wp:inline distT="0" distB="0" distL="0" distR="0">
                  <wp:extent cx="2105660" cy="2223135"/>
                  <wp:effectExtent l="19050" t="0" r="8519" b="0"/>
                  <wp:docPr id="6" name="图片 6" descr="C:\Users\ADMINI~1\AppData\Local\Temp\WeChat Files\82438a8cada0c5b381a3f0f742aa9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1\AppData\Local\Temp\WeChat Files\82438a8cada0c5b381a3f0f742aa9d3.png"/>
                          <pic:cNvPicPr>
                            <a:picLocks noChangeAspect="1" noChangeArrowheads="1"/>
                          </pic:cNvPicPr>
                        </pic:nvPicPr>
                        <pic:blipFill>
                          <a:blip r:embed="rId11"/>
                          <a:srcRect/>
                          <a:stretch>
                            <a:fillRect/>
                          </a:stretch>
                        </pic:blipFill>
                        <pic:spPr>
                          <a:xfrm>
                            <a:off x="0" y="0"/>
                            <a:ext cx="2106974" cy="2224436"/>
                          </a:xfrm>
                          <a:prstGeom prst="rect">
                            <a:avLst/>
                          </a:prstGeom>
                          <a:noFill/>
                          <a:ln w="9525">
                            <a:noFill/>
                            <a:miter lim="800000"/>
                            <a:headEnd/>
                            <a:tailEnd/>
                          </a:ln>
                        </pic:spPr>
                      </pic:pic>
                    </a:graphicData>
                  </a:graphic>
                </wp:inline>
              </w:drawing>
            </w:r>
          </w:p>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图2-1 项目区风玫瑰图</w:t>
            </w:r>
          </w:p>
          <w:p>
            <w:pPr>
              <w:keepNext w:val="0"/>
              <w:keepLines w:val="0"/>
              <w:suppressLineNumbers w:val="0"/>
              <w:spacing w:before="0" w:beforeAutospacing="0" w:after="0" w:afterAutospacing="0"/>
              <w:ind w:left="0" w:right="0" w:firstLine="482"/>
              <w:jc w:val="both"/>
              <w:rPr>
                <w:b/>
                <w:bCs/>
              </w:rPr>
            </w:pPr>
            <w:r>
              <w:rPr>
                <w:rFonts w:hint="eastAsia"/>
                <w:b/>
                <w:bCs/>
              </w:rPr>
              <w:t>4、河流水系及水文</w:t>
            </w:r>
          </w:p>
          <w:p>
            <w:pPr>
              <w:keepNext w:val="0"/>
              <w:keepLines w:val="0"/>
              <w:suppressLineNumbers w:val="0"/>
              <w:spacing w:before="0" w:beforeAutospacing="0" w:after="0" w:afterAutospacing="0"/>
              <w:ind w:left="0" w:right="0" w:firstLine="480"/>
              <w:jc w:val="both"/>
            </w:pPr>
            <w:r>
              <w:rPr>
                <w:rFonts w:hint="eastAsia"/>
              </w:rPr>
              <w:t>（1）地表水</w:t>
            </w:r>
          </w:p>
          <w:p>
            <w:pPr>
              <w:keepNext w:val="0"/>
              <w:keepLines w:val="0"/>
              <w:suppressLineNumbers w:val="0"/>
              <w:spacing w:before="0" w:beforeAutospacing="0" w:after="0" w:afterAutospacing="0"/>
              <w:ind w:left="0" w:right="0" w:firstLine="480"/>
              <w:jc w:val="both"/>
            </w:pPr>
            <w:r>
              <w:rPr>
                <w:rFonts w:hint="eastAsia"/>
              </w:rPr>
              <w:t>富民县行政区域属长江流域金沙江下段普渡河水系，普渡河干流由南向北纵穿县境，两岸水系呈不对称发育，主要支流共5条，从上游至下游分别为大营河、清水河、龙纳河、天生桥河、木板河。县境内除螳螂川干流外，流域面积大于100km</w:t>
            </w:r>
            <w:r>
              <w:rPr>
                <w:rFonts w:hint="eastAsia"/>
                <w:vertAlign w:val="superscript"/>
              </w:rPr>
              <w:t>2</w:t>
            </w:r>
            <w:r>
              <w:rPr>
                <w:rFonts w:hint="eastAsia"/>
              </w:rPr>
              <w:t>以上的支流有龙纳河、大营河、龙泉河、木板河。富民县境内多年平均降雨量为870mm，年平均地表就径流量为2.0895亿m</w:t>
            </w:r>
            <w:r>
              <w:rPr>
                <w:rFonts w:hint="eastAsia"/>
                <w:vertAlign w:val="superscript"/>
              </w:rPr>
              <w:t>3</w:t>
            </w:r>
            <w:r>
              <w:rPr>
                <w:rFonts w:hint="eastAsia"/>
              </w:rPr>
              <w:t>，平均径流深33.5mm。富民县水资源时空分布不均，1-5月降雨量最少，蒸发量最大的月份，也是富民县用水矛盾最为突出的时段，6-10月降雨量占全年的80%以上，是水资源极为丰富的月份。本项目产生的生活污水经工业区区污水处理厂处理后排入螳螂川内，雨水排入园区雨水管网，最终汇入螳螂川内，所以与本项目有关的地表水体主要为螳螂川，位于项目东侧1250m。</w:t>
            </w:r>
          </w:p>
          <w:p>
            <w:pPr>
              <w:keepNext w:val="0"/>
              <w:keepLines w:val="0"/>
              <w:suppressLineNumbers w:val="0"/>
              <w:spacing w:before="0" w:beforeAutospacing="0" w:after="0" w:afterAutospacing="0"/>
              <w:ind w:left="0" w:right="0" w:firstLine="480"/>
              <w:jc w:val="both"/>
            </w:pPr>
            <w:r>
              <w:rPr>
                <w:rFonts w:hint="eastAsia"/>
              </w:rPr>
              <w:t>螳螂川源于滇池，于莲花岩注入富民县境，由西南向东北流，到瓦窑进入富民坝子，经永定街道、赤鹫镇到龙发村汇集天生桥河水处，上游称“螳螂川”，下游称“普渡河”，再流经款庄镇与东村镇西缘，到沙坪村西北约1000m许进入禄劝县境，注入金沙江。县内全长63.4km，均宽65m，入出落差258m，年入境水量86320万m</w:t>
            </w:r>
            <w:r>
              <w:rPr>
                <w:rFonts w:hint="eastAsia"/>
                <w:vertAlign w:val="superscript"/>
              </w:rPr>
              <w:t>3</w:t>
            </w:r>
            <w:r>
              <w:rPr>
                <w:rFonts w:hint="eastAsia"/>
              </w:rPr>
              <w:t>，年均秒流量27.73m</w:t>
            </w:r>
            <w:r>
              <w:rPr>
                <w:rFonts w:hint="eastAsia"/>
                <w:vertAlign w:val="superscript"/>
              </w:rPr>
              <w:t>3</w:t>
            </w:r>
            <w:r>
              <w:rPr>
                <w:rFonts w:hint="eastAsia"/>
              </w:rPr>
              <w:t>，最大秒流量500m</w:t>
            </w:r>
            <w:r>
              <w:rPr>
                <w:rFonts w:hint="eastAsia"/>
                <w:vertAlign w:val="superscript"/>
              </w:rPr>
              <w:t>3</w:t>
            </w:r>
            <w:r>
              <w:rPr>
                <w:rFonts w:hint="eastAsia"/>
              </w:rPr>
              <w:t>。曾在清康熙五十一年（1712）断流。螳螂川属于普渡河的一部分，由滇池出口的中滩闸起至富民县赤鹫大桥止称螳螂川，富民县赤鹫大桥起至金沙江称为普渡河。</w:t>
            </w:r>
          </w:p>
          <w:p>
            <w:pPr>
              <w:keepNext w:val="0"/>
              <w:keepLines w:val="0"/>
              <w:suppressLineNumbers w:val="0"/>
              <w:spacing w:before="0" w:beforeAutospacing="0" w:after="0" w:afterAutospacing="0"/>
              <w:ind w:left="0" w:right="0" w:firstLine="480"/>
              <w:jc w:val="both"/>
            </w:pPr>
            <w:r>
              <w:rPr>
                <w:rFonts w:hint="eastAsia"/>
              </w:rPr>
              <w:t>项目所在区域地表水系图见附图3。</w:t>
            </w:r>
          </w:p>
          <w:p>
            <w:pPr>
              <w:pStyle w:val="2"/>
              <w:keepNext w:val="0"/>
              <w:keepLines w:val="0"/>
              <w:suppressLineNumbers w:val="0"/>
              <w:spacing w:before="0" w:beforeAutospacing="0" w:after="0" w:afterAutospacing="0"/>
              <w:ind w:left="0" w:right="0" w:firstLine="480"/>
              <w:jc w:val="both"/>
            </w:pPr>
            <w:r>
              <w:rPr>
                <w:rFonts w:hint="eastAsia"/>
              </w:rPr>
              <w:t>（2）地下水</w:t>
            </w:r>
          </w:p>
          <w:p>
            <w:pPr>
              <w:keepNext w:val="0"/>
              <w:keepLines w:val="0"/>
              <w:suppressLineNumbers w:val="0"/>
              <w:spacing w:before="0" w:beforeAutospacing="0" w:after="0" w:afterAutospacing="0"/>
              <w:ind w:left="0" w:right="0" w:firstLine="480"/>
              <w:jc w:val="both"/>
            </w:pPr>
            <w:r>
              <w:rPr>
                <w:rFonts w:hint="eastAsia"/>
              </w:rPr>
              <w:t>根据现场踏勘，项目所在地块无地下水出露点。</w:t>
            </w:r>
            <w:r>
              <w:t>本项目为《环境影响评价技术导则地下水环境》（HJ610-2016）中的规定的IV类建设项目，不开展地下水环境影响评价</w:t>
            </w:r>
            <w:r>
              <w:rPr>
                <w:kern w:val="0"/>
              </w:rPr>
              <w:t>。</w:t>
            </w:r>
          </w:p>
          <w:p>
            <w:pPr>
              <w:keepNext w:val="0"/>
              <w:keepLines w:val="0"/>
              <w:suppressLineNumbers w:val="0"/>
              <w:adjustRightInd w:val="0"/>
              <w:snapToGrid w:val="0"/>
              <w:spacing w:before="0" w:beforeAutospacing="0" w:after="0" w:afterAutospacing="0"/>
              <w:ind w:left="0" w:right="0" w:firstLine="482"/>
              <w:jc w:val="both"/>
              <w:rPr>
                <w:b/>
                <w:bCs/>
              </w:rPr>
            </w:pPr>
            <w:r>
              <w:rPr>
                <w:rFonts w:hint="eastAsia"/>
                <w:b/>
                <w:bCs/>
              </w:rPr>
              <w:t>5、土壤及植被</w:t>
            </w:r>
          </w:p>
          <w:p>
            <w:pPr>
              <w:keepNext w:val="0"/>
              <w:keepLines w:val="0"/>
              <w:suppressLineNumbers w:val="0"/>
              <w:spacing w:before="0" w:beforeAutospacing="0" w:after="0" w:afterAutospacing="0"/>
              <w:ind w:left="0" w:right="0" w:firstLine="480"/>
              <w:jc w:val="both"/>
            </w:pPr>
            <w:r>
              <w:rPr>
                <w:rFonts w:hint="eastAsia"/>
              </w:rPr>
              <w:t>富民县辖区面积100308.56公顷，耕地面积19252.97公顷，其中，灌溉水田4892.97公顷，占耕地面积的25.41%；望天田541.11公顷，占耕地面积的2.81%；旱地13746.09公顷，占耕地面积的71.40%；菜地72.80公顷，占耕地面积的0.38%。</w:t>
            </w:r>
          </w:p>
          <w:p>
            <w:pPr>
              <w:pStyle w:val="2"/>
              <w:keepNext w:val="0"/>
              <w:keepLines w:val="0"/>
              <w:suppressLineNumbers w:val="0"/>
              <w:spacing w:before="0" w:beforeAutospacing="0" w:after="0" w:afterAutospacing="0"/>
              <w:ind w:left="0" w:right="0" w:firstLine="480"/>
              <w:jc w:val="both"/>
            </w:pPr>
            <w:r>
              <w:rPr>
                <w:rFonts w:hint="eastAsia"/>
              </w:rPr>
              <w:t>全县土壤分为4个土类。红壤、紫色土、水稻土、棕壤土。红壤最多，全县有102.58万亩，占总面积1482180亩的69.20%，广泛分布在县内，海拔2500m以下的山坡和丘陵地带。紫色土全县有23.14万亩，占土地总面积的15.64%，与红壤与水稻土交混，主要分布在海拔2200m以下的罗兔、散旦2个镇和永定街道、款庄镇的部分地区也有分布。水稻土全县有7.19万亩，占总面积的4.85%，其中淹育型水稻土1.23万亩，潴育型有5.95万亩。棕壤土全县有2.49万亩，占总面积的1.70%，分布在海拔2500m以上的老青山、望海山等高寒地区。</w:t>
            </w:r>
          </w:p>
          <w:p>
            <w:pPr>
              <w:pStyle w:val="33"/>
              <w:keepNext w:val="0"/>
              <w:keepLines w:val="0"/>
              <w:suppressLineNumbers w:val="0"/>
              <w:spacing w:before="0" w:beforeAutospacing="0" w:after="0" w:afterAutospacing="0"/>
              <w:ind w:left="0" w:right="0" w:firstLine="480"/>
              <w:rPr>
                <w:rFonts w:ascii="Times New Roman" w:hAnsi="Times New Roman"/>
                <w:b/>
              </w:rPr>
            </w:pPr>
            <w:r>
              <w:rPr>
                <w:rFonts w:ascii="Times New Roman" w:hAnsi="Times New Roman"/>
              </w:rPr>
              <w:t>本项目为《</w:t>
            </w:r>
            <w:r>
              <w:fldChar w:fldCharType="begin"/>
            </w:r>
            <w:r>
              <w:instrText xml:space="preserve"> HYPERLINK "http://kjs.mee.gov.cn/hjbhbz/bzwb/other/pjjsdz/201809/W020180921558586433773.pdf" </w:instrText>
            </w:r>
            <w:r>
              <w:fldChar w:fldCharType="separate"/>
            </w:r>
            <w:r>
              <w:rPr>
                <w:rFonts w:ascii="Times New Roman" w:hAnsi="Times New Roman"/>
              </w:rPr>
              <w:t>环境影响评价技术导则土壤环境（试行）》（HJ 964—2018</w:t>
            </w:r>
            <w:r>
              <w:rPr>
                <w:rFonts w:ascii="Times New Roman" w:hAnsi="Times New Roman"/>
              </w:rPr>
              <w:fldChar w:fldCharType="end"/>
            </w:r>
            <w:r>
              <w:rPr>
                <w:rFonts w:ascii="Times New Roman" w:hAnsi="Times New Roman"/>
              </w:rPr>
              <w:t>）中的</w:t>
            </w:r>
            <w:r>
              <w:rPr>
                <w:rFonts w:ascii="Times New Roman" w:hAnsi="Times New Roman"/>
              </w:rPr>
              <w:fldChar w:fldCharType="begin"/>
            </w:r>
            <w:r>
              <w:rPr>
                <w:rFonts w:ascii="Times New Roman" w:hAnsi="Times New Roman"/>
              </w:rPr>
              <w:instrText xml:space="preserve"> = 4 \* ROMAN </w:instrText>
            </w:r>
            <w:r>
              <w:rPr>
                <w:rFonts w:ascii="Times New Roman" w:hAnsi="Times New Roman"/>
              </w:rPr>
              <w:fldChar w:fldCharType="separate"/>
            </w:r>
            <w:r>
              <w:rPr>
                <w:rFonts w:ascii="Times New Roman" w:hAnsi="Times New Roman"/>
              </w:rPr>
              <w:t>IV</w:t>
            </w:r>
            <w:r>
              <w:rPr>
                <w:rFonts w:ascii="Times New Roman" w:hAnsi="Times New Roman"/>
              </w:rPr>
              <w:fldChar w:fldCharType="end"/>
            </w:r>
            <w:r>
              <w:rPr>
                <w:rFonts w:ascii="Times New Roman" w:hAnsi="Times New Roman"/>
              </w:rPr>
              <w:t>类项目，不需要开展土壤环境影响评价。</w:t>
            </w:r>
          </w:p>
          <w:p>
            <w:pPr>
              <w:keepNext w:val="0"/>
              <w:keepLines w:val="0"/>
              <w:suppressLineNumbers w:val="0"/>
              <w:spacing w:before="0" w:beforeAutospacing="0" w:after="0" w:afterAutospacing="0"/>
              <w:ind w:left="0" w:right="0" w:firstLine="480"/>
              <w:jc w:val="both"/>
            </w:pPr>
            <w:r>
              <w:rPr>
                <w:rFonts w:hint="eastAsia"/>
              </w:rPr>
              <w:t>富民县植被系亚热带西部中山半湿润常绿阔叶林和亚热带暖性针叶林，植被类型十分丰富，既有滇中地区代表性的青冈栎属和石栎属为主的常绿阔叶林和云南松为主的针叶林，也有森林破坏后形成的各类次生植物群落，主要代表树种有高山栲、元江栲、滇青冈、滇石栎、云南松、华山松、滇油杉、桉树、柏树和桤木等。</w:t>
            </w:r>
          </w:p>
          <w:p>
            <w:pPr>
              <w:keepNext w:val="0"/>
              <w:keepLines w:val="0"/>
              <w:suppressLineNumbers w:val="0"/>
              <w:spacing w:before="0" w:beforeAutospacing="0" w:after="0" w:afterAutospacing="0"/>
              <w:ind w:left="0" w:right="0" w:firstLine="480"/>
              <w:jc w:val="both"/>
            </w:pPr>
            <w:r>
              <w:rPr>
                <w:rFonts w:hint="eastAsia"/>
              </w:rPr>
              <w:t>项目所在区域，土壤类型主要为山原红壤、紫色土、水稻土和棕壤土。由于受到人类活动的干扰，已无原生植被。植被类型主要有青岗栎树、石栎树为主的常绿阔叶林和云南松为主的针叶林，以及原生植被破坏后形成的次生植物群落。植物种类少，生物多样性差，无国家珍稀濒危保护物种。</w:t>
            </w:r>
          </w:p>
          <w:p>
            <w:pPr>
              <w:keepNext w:val="0"/>
              <w:keepLines w:val="0"/>
              <w:suppressLineNumbers w:val="0"/>
              <w:spacing w:before="0" w:beforeAutospacing="0" w:after="0" w:afterAutospacing="0"/>
              <w:ind w:left="0" w:right="0" w:firstLine="480"/>
              <w:jc w:val="both"/>
            </w:pPr>
            <w:r>
              <w:rPr>
                <w:rFonts w:hint="eastAsia"/>
              </w:rPr>
              <w:t>项目位于富民工业园区哨菁机械加工园，项目区内无国家级和省级重点保护野生植物，</w:t>
            </w:r>
            <w:r>
              <w:t>附近无饮用水水源保护区、水功能一级区的保护区和保留区、自然保护区、世界文化和自然遗产地、地质公园、森林公园、重要湿地等。</w:t>
            </w:r>
          </w:p>
          <w:p>
            <w:pPr>
              <w:pStyle w:val="34"/>
              <w:keepNext w:val="0"/>
              <w:keepLines w:val="0"/>
              <w:suppressLineNumbers w:val="0"/>
              <w:adjustRightInd w:val="0"/>
              <w:snapToGrid w:val="0"/>
              <w:spacing w:before="0" w:beforeAutospacing="0" w:after="0" w:afterAutospacing="0" w:line="360" w:lineRule="auto"/>
              <w:ind w:left="0" w:right="0" w:firstLine="482" w:firstLineChars="200"/>
              <w:rPr>
                <w:rFonts w:ascii="Times New Roman" w:hAnsi="Times New Roman" w:cs="Times New Roman"/>
                <w:b/>
                <w:bCs/>
                <w:sz w:val="24"/>
                <w:szCs w:val="24"/>
              </w:rPr>
            </w:pPr>
            <w:r>
              <w:rPr>
                <w:rFonts w:hint="eastAsia" w:ascii="Times New Roman" w:hAnsi="Times New Roman" w:cs="Times New Roman"/>
                <w:b/>
                <w:bCs/>
                <w:sz w:val="24"/>
                <w:szCs w:val="24"/>
              </w:rPr>
              <w:t>6</w:t>
            </w:r>
            <w:r>
              <w:rPr>
                <w:rFonts w:ascii="Times New Roman" w:hAnsi="Times New Roman" w:cs="Times New Roman"/>
                <w:b/>
                <w:bCs/>
                <w:sz w:val="24"/>
                <w:szCs w:val="24"/>
              </w:rPr>
              <w:t>、富民工业园区基本情况</w:t>
            </w:r>
          </w:p>
          <w:p>
            <w:pPr>
              <w:keepNext w:val="0"/>
              <w:keepLines w:val="0"/>
              <w:suppressLineNumbers w:val="0"/>
              <w:adjustRightInd w:val="0"/>
              <w:snapToGrid w:val="0"/>
              <w:spacing w:before="0" w:beforeAutospacing="0" w:after="0" w:afterAutospacing="0"/>
              <w:ind w:left="0" w:right="0" w:firstLine="420" w:firstLineChars="175"/>
              <w:jc w:val="both"/>
            </w:pPr>
            <w:r>
              <w:t>（1）富民工业园区简介</w:t>
            </w:r>
          </w:p>
          <w:p>
            <w:pPr>
              <w:pStyle w:val="36"/>
              <w:keepNext w:val="0"/>
              <w:keepLines w:val="0"/>
              <w:suppressLineNumbers w:val="0"/>
              <w:wordWrap w:val="0"/>
              <w:topLinePunct/>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富民工业园区位于富民永定街道、罗免镇、赤鹫镇、散</w:t>
            </w:r>
            <w:r>
              <w:rPr>
                <w:rFonts w:ascii="Times New Roman" w:hAnsi="Times New Roman" w:eastAsia="宋体" w:cs="Times New Roman"/>
                <w:sz w:val="24"/>
                <w:szCs w:val="24"/>
                <w:lang w:eastAsia="zh-CN"/>
              </w:rPr>
              <w:t>旦</w:t>
            </w:r>
            <w:r>
              <w:rPr>
                <w:rFonts w:ascii="Times New Roman" w:hAnsi="Times New Roman" w:eastAsia="宋体" w:cs="Times New Roman"/>
                <w:sz w:val="24"/>
                <w:szCs w:val="24"/>
              </w:rPr>
              <w:t>镇、款庄镇、东村镇的部分区域，各级主管部门对富民工</w:t>
            </w:r>
            <w:r>
              <w:rPr>
                <w:rFonts w:ascii="Times New Roman" w:hAnsi="Times New Roman" w:eastAsia="宋体" w:cs="Times New Roman"/>
                <w:sz w:val="24"/>
                <w:szCs w:val="24"/>
                <w:lang w:val="zh-CN" w:eastAsia="zh-CN"/>
              </w:rPr>
              <w:t>业园区</w:t>
            </w:r>
            <w:r>
              <w:rPr>
                <w:rFonts w:ascii="Times New Roman" w:hAnsi="Times New Roman" w:eastAsia="宋体" w:cs="Times New Roman"/>
                <w:sz w:val="24"/>
                <w:szCs w:val="24"/>
              </w:rPr>
              <w:t>规划和建设高度重视2006年完成了《富民工业集聚区总体规划</w:t>
            </w:r>
            <w:r>
              <w:rPr>
                <w:rFonts w:ascii="Times New Roman" w:hAnsi="Times New Roman" w:eastAsia="宋体" w:cs="Times New Roman"/>
                <w:sz w:val="24"/>
                <w:szCs w:val="24"/>
                <w:lang w:val="en-US" w:eastAsia="zh-CN"/>
              </w:rPr>
              <w:t>(2006-2020</w:t>
            </w:r>
            <w:r>
              <w:rPr>
                <w:rFonts w:ascii="Times New Roman" w:hAnsi="Times New Roman" w:eastAsia="宋体" w:cs="Times New Roman"/>
                <w:sz w:val="24"/>
                <w:szCs w:val="24"/>
              </w:rPr>
              <w:t>年)》的编制并获昆明市工业和信息化委员会批准实施，并于2008年7月取得了《富民工业集聚区总体规划环境影响报告书》审査意见</w:t>
            </w:r>
            <w:r>
              <w:rPr>
                <w:rFonts w:ascii="Times New Roman" w:hAnsi="Times New Roman" w:eastAsia="宋体" w:cs="Times New Roman"/>
                <w:sz w:val="24"/>
                <w:szCs w:val="24"/>
                <w:lang w:eastAsia="zh-CN"/>
              </w:rPr>
              <w:t>，</w:t>
            </w:r>
            <w:r>
              <w:rPr>
                <w:rFonts w:ascii="Times New Roman" w:hAnsi="Times New Roman" w:eastAsia="宋体" w:cs="Times New Roman"/>
                <w:sz w:val="24"/>
                <w:szCs w:val="24"/>
              </w:rPr>
              <w:t>2008年被省工信委确定为省级工业园区。</w:t>
            </w:r>
          </w:p>
          <w:p>
            <w:pPr>
              <w:pStyle w:val="36"/>
              <w:keepNext w:val="0"/>
              <w:keepLines w:val="0"/>
              <w:suppressLineNumbers w:val="0"/>
              <w:wordWrap w:val="0"/>
              <w:topLinePunct/>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随</w:t>
            </w:r>
            <w:r>
              <w:rPr>
                <w:rFonts w:ascii="Times New Roman" w:hAnsi="Times New Roman" w:eastAsia="宋体" w:cs="Times New Roman"/>
                <w:sz w:val="24"/>
                <w:szCs w:val="24"/>
                <w:lang w:eastAsia="zh-CN"/>
              </w:rPr>
              <w:t>着</w:t>
            </w:r>
            <w:r>
              <w:rPr>
                <w:rFonts w:ascii="Times New Roman" w:hAnsi="Times New Roman" w:eastAsia="宋体" w:cs="Times New Roman"/>
                <w:sz w:val="24"/>
                <w:szCs w:val="24"/>
              </w:rPr>
              <w:t>云南省出台了关于推动工业跨越式发展以及</w:t>
            </w:r>
            <w:r>
              <w:rPr>
                <w:rFonts w:ascii="Times New Roman" w:hAnsi="Times New Roman" w:eastAsia="宋体" w:cs="Times New Roman"/>
                <w:sz w:val="24"/>
                <w:szCs w:val="24"/>
                <w:lang w:val="zh-CN" w:eastAsia="zh-CN"/>
              </w:rPr>
              <w:t>“城</w:t>
            </w:r>
            <w:r>
              <w:rPr>
                <w:rFonts w:ascii="Times New Roman" w:hAnsi="Times New Roman" w:eastAsia="宋体" w:cs="Times New Roman"/>
                <w:sz w:val="24"/>
                <w:szCs w:val="24"/>
              </w:rPr>
              <w:t>镇、工业上山”的新政策，昆明市针对全市产业布局提出了调整优化的新要求。同时，随着近年来外围工业经济形式的发展和政策细则的落实，原</w:t>
            </w:r>
            <w:r>
              <w:rPr>
                <w:rFonts w:ascii="Times New Roman" w:hAnsi="Times New Roman" w:eastAsia="宋体" w:cs="Times New Roman"/>
                <w:sz w:val="24"/>
                <w:szCs w:val="24"/>
                <w:lang w:eastAsia="zh-CN"/>
              </w:rPr>
              <w:t>有</w:t>
            </w:r>
            <w:r>
              <w:rPr>
                <w:rFonts w:ascii="Times New Roman" w:hAnsi="Times New Roman" w:eastAsia="宋体" w:cs="Times New Roman"/>
                <w:sz w:val="24"/>
                <w:szCs w:val="24"/>
              </w:rPr>
              <w:t>工业园区的规划</w:t>
            </w:r>
            <w:r>
              <w:rPr>
                <w:rFonts w:ascii="Times New Roman" w:hAnsi="Times New Roman" w:eastAsia="宋体" w:cs="Times New Roman"/>
                <w:sz w:val="24"/>
                <w:szCs w:val="24"/>
                <w:lang w:eastAsia="zh-CN"/>
              </w:rPr>
              <w:t>已</w:t>
            </w:r>
            <w:r>
              <w:rPr>
                <w:rFonts w:ascii="Times New Roman" w:hAnsi="Times New Roman" w:eastAsia="宋体" w:cs="Times New Roman"/>
                <w:sz w:val="24"/>
                <w:szCs w:val="24"/>
              </w:rPr>
              <w:t>不能满足目前的 发展需求，需对原有工业园区总体规划作出调整。调整</w:t>
            </w:r>
            <w:r>
              <w:rPr>
                <w:rFonts w:ascii="Times New Roman" w:hAnsi="Times New Roman" w:eastAsia="宋体" w:cs="Times New Roman"/>
                <w:sz w:val="24"/>
                <w:szCs w:val="24"/>
                <w:lang w:eastAsia="zh-CN"/>
              </w:rPr>
              <w:t>工</w:t>
            </w:r>
            <w:r>
              <w:rPr>
                <w:rFonts w:ascii="Times New Roman" w:hAnsi="Times New Roman" w:eastAsia="宋体" w:cs="Times New Roman"/>
                <w:sz w:val="24"/>
                <w:szCs w:val="24"/>
              </w:rPr>
              <w:t>作中，主要是结合园区发展需求的实际情况，重新划定了规划范围，确定本次富民工业园规划区范围为四个片区，其中，白石岩</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lang w:val="zh-CN" w:eastAsia="zh-CN"/>
              </w:rPr>
              <w:t>大</w:t>
            </w:r>
            <w:r>
              <w:rPr>
                <w:rFonts w:ascii="Times New Roman" w:hAnsi="Times New Roman" w:eastAsia="宋体" w:cs="Times New Roman"/>
                <w:sz w:val="24"/>
                <w:szCs w:val="24"/>
                <w:lang w:eastAsia="zh-CN"/>
              </w:rPr>
              <w:t>白</w:t>
            </w:r>
            <w:r>
              <w:rPr>
                <w:rFonts w:ascii="Times New Roman" w:hAnsi="Times New Roman" w:eastAsia="宋体" w:cs="Times New Roman"/>
                <w:sz w:val="24"/>
                <w:szCs w:val="24"/>
              </w:rPr>
              <w:t>坡</w:t>
            </w:r>
            <w:r>
              <w:rPr>
                <w:rFonts w:ascii="Times New Roman" w:hAnsi="Times New Roman" w:eastAsia="宋体" w:cs="Times New Roman"/>
                <w:sz w:val="24"/>
                <w:szCs w:val="24"/>
                <w:lang w:eastAsia="zh-CN"/>
              </w:rPr>
              <w:t>片</w:t>
            </w:r>
            <w:r>
              <w:rPr>
                <w:rFonts w:ascii="Times New Roman" w:hAnsi="Times New Roman" w:eastAsia="宋体" w:cs="Times New Roman"/>
                <w:sz w:val="24"/>
                <w:szCs w:val="24"/>
              </w:rPr>
              <w:t>区主要包括白石岩、大白坡、哨</w:t>
            </w:r>
            <w:r>
              <w:rPr>
                <w:rFonts w:ascii="Times New Roman" w:hAnsi="Times New Roman" w:eastAsia="宋体" w:cs="Times New Roman"/>
                <w:sz w:val="24"/>
                <w:szCs w:val="24"/>
                <w:lang w:eastAsia="zh-CN"/>
              </w:rPr>
              <w:t>箐</w:t>
            </w:r>
            <w:r>
              <w:rPr>
                <w:rFonts w:ascii="Times New Roman" w:hAnsi="Times New Roman" w:eastAsia="宋体" w:cs="Times New Roman"/>
                <w:sz w:val="24"/>
                <w:szCs w:val="24"/>
              </w:rPr>
              <w:t>与赤鹫组团，大营</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lang w:val="zh-CN" w:eastAsia="zh-CN"/>
              </w:rPr>
              <w:t>茨塘</w:t>
            </w:r>
            <w:r>
              <w:rPr>
                <w:rFonts w:ascii="Times New Roman" w:hAnsi="Times New Roman" w:eastAsia="宋体" w:cs="Times New Roman"/>
                <w:sz w:val="24"/>
                <w:szCs w:val="24"/>
              </w:rPr>
              <w:t>片区主要包括大营、茨塘组团，散旦片区主要包括散旦南、散旦西与散旦北组团，款庄</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lang w:val="zh-CN" w:eastAsia="zh-CN"/>
              </w:rPr>
              <w:t>东村</w:t>
            </w:r>
            <w:r>
              <w:rPr>
                <w:rFonts w:ascii="Times New Roman" w:hAnsi="Times New Roman" w:eastAsia="宋体" w:cs="Times New Roman"/>
                <w:sz w:val="24"/>
                <w:szCs w:val="24"/>
              </w:rPr>
              <w:t>片区主要包括款庄、东村与和平</w:t>
            </w:r>
            <w:r>
              <w:rPr>
                <w:rFonts w:ascii="Times New Roman" w:hAnsi="Times New Roman" w:eastAsia="宋体" w:cs="Times New Roman"/>
                <w:sz w:val="24"/>
                <w:szCs w:val="24"/>
                <w:lang w:val="zh-CN" w:eastAsia="zh-CN"/>
              </w:rPr>
              <w:t>组团。</w:t>
            </w:r>
            <w:r>
              <w:rPr>
                <w:rFonts w:ascii="Times New Roman" w:hAnsi="Times New Roman" w:eastAsia="宋体" w:cs="Times New Roman"/>
                <w:sz w:val="24"/>
                <w:szCs w:val="24"/>
              </w:rPr>
              <w:t>在原来规划的基础上新增加</w:t>
            </w:r>
            <w:r>
              <w:rPr>
                <w:rFonts w:ascii="Times New Roman" w:hAnsi="Times New Roman" w:eastAsia="宋体" w:cs="Times New Roman"/>
                <w:sz w:val="24"/>
                <w:szCs w:val="24"/>
                <w:lang w:val="zh-CN" w:eastAsia="zh-CN"/>
              </w:rPr>
              <w:t>了赤</w:t>
            </w:r>
            <w:r>
              <w:rPr>
                <w:rFonts w:ascii="Times New Roman" w:hAnsi="Times New Roman" w:eastAsia="宋体" w:cs="Times New Roman"/>
                <w:sz w:val="24"/>
                <w:szCs w:val="24"/>
              </w:rPr>
              <w:t>鹫镇、散旦镇、款庄镇和东村镇的部分区域，规划建设用地面积由原来的</w:t>
            </w:r>
            <w:r>
              <w:rPr>
                <w:rFonts w:ascii="Times New Roman" w:hAnsi="Times New Roman" w:eastAsia="宋体" w:cs="Times New Roman"/>
                <w:sz w:val="24"/>
                <w:szCs w:val="24"/>
                <w:lang w:val="en-US" w:eastAsia="zh-CN"/>
              </w:rPr>
              <w:t>10.22</w:t>
            </w:r>
            <w:r>
              <w:rPr>
                <w:rFonts w:ascii="Times New Roman" w:hAnsi="Times New Roman" w:eastAsia="宋体" w:cs="Times New Roman"/>
                <w:sz w:val="24"/>
                <w:szCs w:val="24"/>
              </w:rPr>
              <w:t>平方公里调整为</w:t>
            </w:r>
            <w:r>
              <w:rPr>
                <w:rFonts w:ascii="Times New Roman" w:hAnsi="Times New Roman" w:eastAsia="宋体" w:cs="Times New Roman"/>
                <w:sz w:val="24"/>
                <w:szCs w:val="24"/>
                <w:lang w:val="en-US" w:eastAsia="zh-CN"/>
              </w:rPr>
              <w:t>30.4</w:t>
            </w:r>
            <w:r>
              <w:rPr>
                <w:rFonts w:ascii="Times New Roman" w:hAnsi="Times New Roman" w:eastAsia="宋体" w:cs="Times New Roman"/>
                <w:sz w:val="24"/>
                <w:szCs w:val="24"/>
              </w:rPr>
              <w:t>平方公里，增加了</w:t>
            </w:r>
            <w:r>
              <w:rPr>
                <w:rFonts w:ascii="Times New Roman" w:hAnsi="Times New Roman" w:eastAsia="宋体" w:cs="Times New Roman"/>
                <w:sz w:val="24"/>
                <w:szCs w:val="24"/>
                <w:lang w:val="en-US" w:eastAsia="zh-CN"/>
              </w:rPr>
              <w:t>20.18</w:t>
            </w:r>
            <w:r>
              <w:rPr>
                <w:rFonts w:ascii="Times New Roman" w:hAnsi="Times New Roman" w:eastAsia="宋体" w:cs="Times New Roman"/>
                <w:sz w:val="24"/>
                <w:szCs w:val="24"/>
              </w:rPr>
              <w:t>平方公里。调整了发展定位，是以装备制造、钛盐化工和新材料三大产业为主导的产业基地，取消了</w:t>
            </w:r>
            <w:r>
              <w:rPr>
                <w:rFonts w:ascii="Times New Roman" w:hAnsi="Times New Roman" w:eastAsia="宋体" w:cs="Times New Roman"/>
                <w:sz w:val="24"/>
                <w:szCs w:val="24"/>
                <w:lang w:eastAsia="zh-CN"/>
              </w:rPr>
              <w:t>原</w:t>
            </w:r>
            <w:r>
              <w:rPr>
                <w:rFonts w:ascii="Times New Roman" w:hAnsi="Times New Roman" w:eastAsia="宋体" w:cs="Times New Roman"/>
                <w:sz w:val="24"/>
                <w:szCs w:val="24"/>
              </w:rPr>
              <w:t>规划的硫化工、磷化工和饲料添加剂产业。产业布后由原规划的北营、麦竜、大营三个产业片区和奎南物流中心</w:t>
            </w:r>
            <w:r>
              <w:rPr>
                <w:rFonts w:ascii="Times New Roman" w:hAnsi="Times New Roman" w:eastAsia="宋体" w:cs="Times New Roman"/>
                <w:sz w:val="24"/>
                <w:szCs w:val="24"/>
                <w:lang w:val="zh-CN" w:eastAsia="zh-CN"/>
              </w:rPr>
              <w:t>“三片</w:t>
            </w:r>
            <w:r>
              <w:rPr>
                <w:rFonts w:ascii="Times New Roman" w:hAnsi="Times New Roman" w:eastAsia="宋体" w:cs="Times New Roman"/>
                <w:sz w:val="24"/>
                <w:szCs w:val="24"/>
              </w:rPr>
              <w:t>一中心</w:t>
            </w:r>
            <w:r>
              <w:rPr>
                <w:rFonts w:ascii="Times New Roman" w:hAnsi="Times New Roman" w:eastAsia="宋体" w:cs="Times New Roman"/>
                <w:sz w:val="24"/>
                <w:szCs w:val="24"/>
                <w:lang w:val="zh-CN" w:eastAsia="zh-CN"/>
              </w:rPr>
              <w:t>“结</w:t>
            </w:r>
            <w:r>
              <w:rPr>
                <w:rFonts w:ascii="Times New Roman" w:hAnsi="Times New Roman" w:eastAsia="宋体" w:cs="Times New Roman"/>
                <w:sz w:val="24"/>
                <w:szCs w:val="24"/>
              </w:rPr>
              <w:t>构，调整为包括白石岩</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lang w:val="zh-CN" w:eastAsia="zh-CN"/>
              </w:rPr>
              <w:t>大</w:t>
            </w:r>
            <w:r>
              <w:rPr>
                <w:rFonts w:ascii="Times New Roman" w:hAnsi="Times New Roman" w:eastAsia="宋体" w:cs="Times New Roman"/>
                <w:sz w:val="24"/>
                <w:szCs w:val="24"/>
              </w:rPr>
              <w:t>白坡片区、大营片区、散旦片</w:t>
            </w:r>
            <w:r>
              <w:rPr>
                <w:rFonts w:ascii="Times New Roman" w:hAnsi="Times New Roman" w:eastAsia="宋体" w:cs="Times New Roman"/>
                <w:sz w:val="24"/>
                <w:szCs w:val="24"/>
                <w:lang w:eastAsia="zh-CN"/>
              </w:rPr>
              <w:t>区、</w:t>
            </w:r>
            <w:r>
              <w:rPr>
                <w:rFonts w:ascii="Times New Roman" w:hAnsi="Times New Roman" w:eastAsia="宋体" w:cs="Times New Roman"/>
                <w:sz w:val="24"/>
                <w:szCs w:val="24"/>
              </w:rPr>
              <w:t>款庄</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lang w:val="zh-CN" w:eastAsia="zh-CN"/>
              </w:rPr>
              <w:t>东村</w:t>
            </w:r>
            <w:r>
              <w:rPr>
                <w:rFonts w:ascii="Times New Roman" w:hAnsi="Times New Roman" w:eastAsia="宋体" w:cs="Times New Roman"/>
                <w:sz w:val="24"/>
                <w:szCs w:val="24"/>
              </w:rPr>
              <w:t>片区四个工业片区。</w:t>
            </w:r>
          </w:p>
          <w:p>
            <w:pPr>
              <w:pStyle w:val="36"/>
              <w:keepNext w:val="0"/>
              <w:keepLines w:val="0"/>
              <w:suppressLineNumbers w:val="0"/>
              <w:wordWrap w:val="0"/>
              <w:topLinePunct/>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lang w:eastAsia="zh-CN"/>
              </w:rPr>
            </w:pPr>
            <w:r>
              <w:rPr>
                <w:rFonts w:ascii="Times New Roman" w:hAnsi="Times New Roman" w:eastAsia="宋体" w:cs="Times New Roman"/>
                <w:sz w:val="24"/>
                <w:szCs w:val="24"/>
              </w:rPr>
              <w:t>按照修编后的规划，富民工业园区定位为：新型工业园区，以装备制造、钛盐化工和新材料三大产业为主导的产业基地，集生产、生活配套为一体的生态化工业园。整个工业园区规划范围面积为</w:t>
            </w:r>
            <w:r>
              <w:rPr>
                <w:rFonts w:ascii="Times New Roman" w:hAnsi="Times New Roman" w:eastAsia="宋体" w:cs="Times New Roman"/>
                <w:sz w:val="24"/>
                <w:szCs w:val="24"/>
                <w:lang w:val="en-US" w:eastAsia="zh-CN"/>
              </w:rPr>
              <w:t>67.37km</w:t>
            </w:r>
            <w:r>
              <w:rPr>
                <w:rFonts w:ascii="Times New Roman" w:hAnsi="Times New Roman" w:eastAsia="宋体" w:cs="Times New Roman"/>
                <w:sz w:val="24"/>
                <w:szCs w:val="24"/>
                <w:vertAlign w:val="superscript"/>
                <w:lang w:val="en-US" w:eastAsia="zh-CN"/>
              </w:rPr>
              <w:t>2</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rPr>
              <w:t>园区建设用地面积为</w:t>
            </w:r>
            <w:r>
              <w:rPr>
                <w:rFonts w:ascii="Times New Roman" w:hAnsi="Times New Roman" w:eastAsia="宋体" w:cs="Times New Roman"/>
                <w:sz w:val="24"/>
                <w:szCs w:val="24"/>
                <w:lang w:val="en-US" w:eastAsia="zh-CN"/>
              </w:rPr>
              <w:t>30.4km</w:t>
            </w:r>
            <w:r>
              <w:rPr>
                <w:rFonts w:ascii="Times New Roman" w:hAnsi="Times New Roman" w:eastAsia="宋体" w:cs="Times New Roman"/>
                <w:sz w:val="24"/>
                <w:szCs w:val="24"/>
                <w:vertAlign w:val="superscript"/>
                <w:lang w:val="en-US" w:eastAsia="zh-CN"/>
              </w:rPr>
              <w:t>2</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rPr>
              <w:t>按照《富民工业园区总体规划修编（2015-2030）》，园区产业规划构建“两</w:t>
            </w:r>
            <w:r>
              <w:rPr>
                <w:rFonts w:ascii="Times New Roman" w:hAnsi="Times New Roman" w:eastAsia="宋体" w:cs="Times New Roman"/>
                <w:sz w:val="24"/>
                <w:szCs w:val="24"/>
                <w:lang w:eastAsia="zh-CN"/>
              </w:rPr>
              <w:t>轴</w:t>
            </w:r>
            <w:r>
              <w:rPr>
                <w:rFonts w:ascii="Times New Roman" w:hAnsi="Times New Roman" w:eastAsia="宋体" w:cs="Times New Roman"/>
                <w:sz w:val="24"/>
                <w:szCs w:val="24"/>
              </w:rPr>
              <w:t>三园六组团</w:t>
            </w:r>
            <w:r>
              <w:rPr>
                <w:rFonts w:ascii="Times New Roman" w:hAnsi="Times New Roman" w:eastAsia="宋体" w:cs="Times New Roman"/>
                <w:sz w:val="24"/>
                <w:szCs w:val="24"/>
                <w:lang w:val="zh-CN" w:eastAsia="zh-CN"/>
              </w:rPr>
              <w:t>”的</w:t>
            </w:r>
            <w:r>
              <w:rPr>
                <w:rFonts w:ascii="Times New Roman" w:hAnsi="Times New Roman" w:eastAsia="宋体" w:cs="Times New Roman"/>
                <w:sz w:val="24"/>
                <w:szCs w:val="24"/>
              </w:rPr>
              <w:t>产业空间布局结构。两轴为沿昆武高速公路和轿子山旅游专线形成两条产业发展轴线；三园为富民工业园区主要布局装备制造产业园、钛化工产业园和新材料产业园：六个产业组团为白石岩-哨</w:t>
            </w:r>
            <w:r>
              <w:rPr>
                <w:rFonts w:ascii="Times New Roman" w:hAnsi="Times New Roman" w:eastAsia="宋体" w:cs="Times New Roman"/>
                <w:sz w:val="24"/>
                <w:szCs w:val="24"/>
                <w:lang w:eastAsia="zh-CN"/>
              </w:rPr>
              <w:t>箐</w:t>
            </w:r>
            <w:r>
              <w:rPr>
                <w:rFonts w:ascii="Times New Roman" w:hAnsi="Times New Roman" w:eastAsia="宋体" w:cs="Times New Roman"/>
                <w:sz w:val="24"/>
                <w:szCs w:val="24"/>
              </w:rPr>
              <w:t>组团、大白坡组团、赤鹫组团、大营-茨塘组团、散旦组团和款庄-东村组团</w:t>
            </w:r>
            <w:r>
              <w:rPr>
                <w:rFonts w:ascii="Times New Roman" w:hAnsi="Times New Roman" w:eastAsia="宋体" w:cs="Times New Roman"/>
                <w:sz w:val="24"/>
                <w:szCs w:val="24"/>
                <w:lang w:eastAsia="zh-CN"/>
              </w:rPr>
              <w:t>。</w:t>
            </w:r>
          </w:p>
          <w:p>
            <w:pPr>
              <w:keepNext w:val="0"/>
              <w:keepLines w:val="0"/>
              <w:suppressLineNumbers w:val="0"/>
              <w:adjustRightInd w:val="0"/>
              <w:snapToGrid w:val="0"/>
              <w:spacing w:before="0" w:beforeAutospacing="0" w:after="0" w:afterAutospacing="0"/>
              <w:ind w:left="0" w:right="0" w:firstLine="480"/>
              <w:jc w:val="both"/>
            </w:pPr>
            <w:r>
              <w:t>根据《富民工业园区总体规划修编（2015-2030年）环境影响报告书》，富民工业园区定位为新型工业园区，以装备制造、钛化工和新材料三大产业为主导的产业基地，集生产、生活配套为一体的生态工业园。园区包括白石岩—大白坡、大营—茨塘、散旦、款庄—东村四个工业片区。园区总规划面积67.37km</w:t>
            </w:r>
            <w:r>
              <w:rPr>
                <w:vertAlign w:val="superscript"/>
              </w:rPr>
              <w:t>2</w:t>
            </w:r>
            <w:r>
              <w:t>，园区建设用地为30.4km</w:t>
            </w:r>
            <w:r>
              <w:rPr>
                <w:vertAlign w:val="superscript"/>
              </w:rPr>
              <w:t>2</w:t>
            </w:r>
            <w:r>
              <w:t>，园区规划总人口9.87万人，规划期为2015~2030年。</w:t>
            </w:r>
          </w:p>
          <w:p>
            <w:pPr>
              <w:keepNext w:val="0"/>
              <w:keepLines w:val="0"/>
              <w:suppressLineNumbers w:val="0"/>
              <w:adjustRightInd w:val="0"/>
              <w:snapToGrid w:val="0"/>
              <w:spacing w:before="0" w:beforeAutospacing="0" w:after="0" w:afterAutospacing="0"/>
              <w:ind w:left="0" w:right="0" w:firstLine="480"/>
              <w:jc w:val="both"/>
            </w:pPr>
            <w:r>
              <w:t>（2）片区规划产业结构</w:t>
            </w:r>
          </w:p>
          <w:p>
            <w:pPr>
              <w:keepNext w:val="0"/>
              <w:keepLines w:val="0"/>
              <w:suppressLineNumbers w:val="0"/>
              <w:adjustRightInd w:val="0"/>
              <w:snapToGrid w:val="0"/>
              <w:spacing w:before="0" w:beforeAutospacing="0" w:after="0" w:afterAutospacing="0"/>
              <w:ind w:left="0" w:right="0" w:firstLine="480"/>
              <w:jc w:val="both"/>
            </w:pPr>
            <w:r>
              <w:t>本项目位于白石岩—大白坡片区</w:t>
            </w:r>
            <w:r>
              <w:rPr>
                <w:lang w:val="zh-CN"/>
              </w:rPr>
              <w:t>哨箐组团</w:t>
            </w:r>
            <w:r>
              <w:t>，根据云南省环境保护厅关于《富民工业园区总体规划修编（2015—2030年）环境影响报吿书》审合意见的函（云环函[2016]10号），审合意见中白石岩一大白坡片区规划为钛产业、装备制造、精细化工产业区。白石岩—大白坡片区</w:t>
            </w:r>
            <w:r>
              <w:rPr>
                <w:lang w:val="zh-CN"/>
              </w:rPr>
              <w:t>哨箐</w:t>
            </w:r>
            <w:r>
              <w:t>机械加工园产业布局主要以装备制造和精细化工为主导。</w:t>
            </w:r>
          </w:p>
          <w:p>
            <w:pPr>
              <w:pStyle w:val="35"/>
              <w:keepNext w:val="0"/>
              <w:keepLines w:val="0"/>
              <w:suppressLineNumbers w:val="0"/>
              <w:spacing w:before="0" w:beforeAutospacing="0" w:after="0" w:afterAutospacing="0"/>
              <w:ind w:left="0" w:right="0" w:firstLine="480"/>
              <w:jc w:val="both"/>
              <w:rPr>
                <w:rFonts w:ascii="Times New Roman" w:hAnsi="Times New Roman"/>
              </w:rPr>
            </w:pPr>
            <w:r>
              <w:rPr>
                <w:rFonts w:ascii="Times New Roman" w:hAnsi="Times New Roman"/>
                <w:sz w:val="24"/>
                <w:szCs w:val="24"/>
              </w:rPr>
              <w:t>（3）园区规划环评</w:t>
            </w:r>
          </w:p>
          <w:p>
            <w:pPr>
              <w:keepNext w:val="0"/>
              <w:keepLines w:val="0"/>
              <w:suppressLineNumbers w:val="0"/>
              <w:adjustRightInd w:val="0"/>
              <w:snapToGrid w:val="0"/>
              <w:spacing w:before="0" w:beforeAutospacing="0" w:after="0" w:afterAutospacing="0"/>
              <w:ind w:left="0" w:right="0" w:firstLine="420" w:firstLineChars="175"/>
              <w:jc w:val="both"/>
            </w:pPr>
            <w:r>
              <w:t>云南大学于2010年对《昆明富民工业园区总体规划（2010-2030年）》环境影响报告书进行了编制；2015年，因重新对原规划进行了调整，云南大学于2015年10月编制完成了《富民工业园区总体规划修编（2015-2030年）环境影响报告书》并于2016年1月11日取得了云南省环保厅批复的“云南省环保厅关于《富民工业园区总体规划修编（2015-2030年）环境影响报告书》审查意见的函”（云环函〔2016〕10号）。</w:t>
            </w:r>
          </w:p>
          <w:p>
            <w:pPr>
              <w:keepNext w:val="0"/>
              <w:keepLines w:val="0"/>
              <w:suppressLineNumbers w:val="0"/>
              <w:spacing w:before="0" w:beforeAutospacing="0" w:after="0" w:afterAutospacing="0"/>
              <w:ind w:left="0" w:right="0" w:firstLine="480"/>
              <w:jc w:val="both"/>
            </w:pPr>
          </w:p>
          <w:bookmarkEnd w:id="9"/>
          <w:p>
            <w:pPr>
              <w:keepNext w:val="0"/>
              <w:keepLines w:val="0"/>
              <w:suppressLineNumbers w:val="0"/>
              <w:spacing w:before="0" w:beforeAutospacing="0" w:after="0" w:afterAutospacing="0"/>
              <w:ind w:left="0" w:right="0" w:firstLine="0" w:firstLineChars="0"/>
              <w:jc w:val="both"/>
            </w:pPr>
          </w:p>
        </w:tc>
      </w:tr>
    </w:tbl>
    <w:p>
      <w:pPr>
        <w:pStyle w:val="3"/>
        <w:jc w:val="both"/>
      </w:pPr>
      <w:bookmarkStart w:id="53" w:name="_Toc24559"/>
      <w:bookmarkStart w:id="54" w:name="_Toc422410458"/>
      <w:bookmarkStart w:id="55" w:name="_Toc423011457"/>
      <w:bookmarkStart w:id="56" w:name="_Toc9962"/>
      <w:bookmarkStart w:id="57" w:name="_Toc2477"/>
      <w:bookmarkStart w:id="58" w:name="_Toc4582"/>
      <w:bookmarkStart w:id="59" w:name="_Toc410312281"/>
      <w:bookmarkStart w:id="60" w:name="_Toc410312443"/>
      <w:bookmarkStart w:id="61" w:name="_Toc3641"/>
      <w:r>
        <w:t>表三环境质量状况</w:t>
      </w:r>
      <w:bookmarkEnd w:id="53"/>
      <w:bookmarkEnd w:id="54"/>
      <w:bookmarkEnd w:id="55"/>
      <w:bookmarkEnd w:id="56"/>
      <w:bookmarkEnd w:id="57"/>
      <w:bookmarkEnd w:id="58"/>
      <w:bookmarkEnd w:id="59"/>
      <w:bookmarkEnd w:id="60"/>
      <w:bookmarkEnd w:id="61"/>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ign w:val="center"/>
          </w:tcPr>
          <w:p>
            <w:pPr>
              <w:keepNext w:val="0"/>
              <w:keepLines w:val="0"/>
              <w:suppressLineNumbers w:val="0"/>
              <w:adjustRightInd w:val="0"/>
              <w:snapToGrid w:val="0"/>
              <w:spacing w:before="0" w:beforeAutospacing="0" w:after="0" w:afterAutospacing="0"/>
              <w:ind w:left="0" w:right="0" w:firstLine="0" w:firstLineChars="0"/>
              <w:jc w:val="both"/>
            </w:pPr>
            <w:bookmarkStart w:id="62" w:name="_Toc17884"/>
            <w:bookmarkStart w:id="63" w:name="_Toc19778"/>
            <w:bookmarkStart w:id="64" w:name="_Toc9167"/>
            <w:bookmarkStart w:id="65" w:name="_Toc15557"/>
            <w:r>
              <w:t>建设项目所在地区域环境质量现状及主要环境问题（环境空气、地面水、声环境、生态环境等）：</w:t>
            </w:r>
            <w:bookmarkEnd w:id="62"/>
            <w:bookmarkEnd w:id="63"/>
            <w:bookmarkEnd w:id="64"/>
            <w:bookmarkEnd w:id="65"/>
          </w:p>
          <w:p>
            <w:pPr>
              <w:keepNext w:val="0"/>
              <w:keepLines w:val="0"/>
              <w:suppressLineNumbers w:val="0"/>
              <w:adjustRightInd w:val="0"/>
              <w:snapToGrid w:val="0"/>
              <w:spacing w:before="0" w:beforeAutospacing="0" w:after="0" w:afterAutospacing="0"/>
              <w:ind w:left="0" w:right="113" w:rightChars="47" w:firstLine="480"/>
              <w:jc w:val="both"/>
            </w:pPr>
            <w:r>
              <w:t>1、环境空气质量现状</w:t>
            </w:r>
          </w:p>
          <w:p>
            <w:pPr>
              <w:keepNext w:val="0"/>
              <w:keepLines w:val="0"/>
              <w:suppressLineNumbers w:val="0"/>
              <w:spacing w:before="0" w:beforeAutospacing="0" w:after="0" w:afterAutospacing="0"/>
              <w:ind w:left="0" w:right="0" w:firstLine="480"/>
              <w:jc w:val="both"/>
            </w:pPr>
            <w:r>
              <w:rPr>
                <w:rFonts w:hint="eastAsia"/>
              </w:rPr>
              <w:t>本项目建设地点位于富民工业园区，属于规划工业园区，是环境空气质量二类区，区域环境空气执行《环境空气质量标准》（GB3095—2012）二级标准。</w:t>
            </w:r>
          </w:p>
          <w:p>
            <w:pPr>
              <w:keepNext w:val="0"/>
              <w:keepLines w:val="0"/>
              <w:suppressLineNumbers w:val="0"/>
              <w:spacing w:before="0" w:beforeAutospacing="0" w:after="0" w:afterAutospacing="0"/>
              <w:ind w:left="0" w:right="0" w:firstLine="360" w:firstLineChars="150"/>
              <w:jc w:val="both"/>
            </w:pPr>
            <w:r>
              <w:rPr>
                <w:rFonts w:hint="eastAsia"/>
              </w:rPr>
              <w:t>（1）区域达标判断</w:t>
            </w:r>
          </w:p>
          <w:p>
            <w:pPr>
              <w:keepNext w:val="0"/>
              <w:keepLines w:val="0"/>
              <w:suppressLineNumbers w:val="0"/>
              <w:spacing w:before="0" w:beforeAutospacing="0" w:after="0" w:afterAutospacing="0"/>
              <w:ind w:left="0" w:right="0" w:firstLine="480"/>
              <w:jc w:val="both"/>
            </w:pPr>
            <w:r>
              <w:rPr>
                <w:rFonts w:hint="eastAsia"/>
              </w:rPr>
              <w:t>根据富民县环境监测站提供的“富民县环境空气站点AQI日报（2018年）”，结合《环境空气质量标准》（GB3095-2012）二级标准、《环境空气质量评价技术规范（试行）》HJ663-2013、《环境影响评价技术导则 大气环境》HJ2.2-2018的相关规定，对富民县环境空气质量达标情况进行分析。</w:t>
            </w:r>
          </w:p>
          <w:p>
            <w:pPr>
              <w:pStyle w:val="25"/>
              <w:keepNext w:val="0"/>
              <w:keepLines w:val="0"/>
              <w:suppressLineNumbers w:val="0"/>
              <w:spacing w:before="0" w:beforeAutospacing="0" w:after="0" w:afterAutospacing="0" w:line="240" w:lineRule="auto"/>
              <w:ind w:left="0" w:right="0"/>
            </w:pPr>
            <w:r>
              <w:rPr>
                <w:rFonts w:hint="eastAsia"/>
              </w:rPr>
              <w:t>表3-1  富民县空气质量现状评价表</w:t>
            </w:r>
          </w:p>
          <w:tbl>
            <w:tblPr>
              <w:tblStyle w:val="1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09"/>
              <w:gridCol w:w="3246"/>
              <w:gridCol w:w="1616"/>
              <w:gridCol w:w="1212"/>
              <w:gridCol w:w="948"/>
              <w:gridCol w:w="54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noWrap/>
                  <w:vAlign w:val="center"/>
                </w:tcPr>
                <w:p>
                  <w:pPr>
                    <w:pStyle w:val="26"/>
                    <w:keepNext w:val="0"/>
                    <w:keepLines w:val="0"/>
                    <w:suppressLineNumbers w:val="0"/>
                    <w:spacing w:before="0" w:beforeAutospacing="0" w:after="0" w:afterAutospacing="0"/>
                    <w:ind w:left="0" w:right="0"/>
                    <w:rPr>
                      <w:color w:val="auto"/>
                    </w:rPr>
                  </w:pPr>
                  <w:r>
                    <w:rPr>
                      <w:rFonts w:hint="eastAsia"/>
                      <w:color w:val="auto"/>
                    </w:rPr>
                    <w:t>污染物</w:t>
                  </w:r>
                </w:p>
              </w:tc>
              <w:tc>
                <w:tcPr>
                  <w:tcW w:w="3254" w:type="dxa"/>
                  <w:noWrap/>
                  <w:vAlign w:val="center"/>
                </w:tcPr>
                <w:p>
                  <w:pPr>
                    <w:pStyle w:val="26"/>
                    <w:keepNext w:val="0"/>
                    <w:keepLines w:val="0"/>
                    <w:suppressLineNumbers w:val="0"/>
                    <w:spacing w:before="0" w:beforeAutospacing="0" w:after="0" w:afterAutospacing="0"/>
                    <w:ind w:left="0" w:right="0"/>
                    <w:rPr>
                      <w:color w:val="auto"/>
                    </w:rPr>
                  </w:pPr>
                  <w:r>
                    <w:rPr>
                      <w:rFonts w:hint="eastAsia"/>
                      <w:color w:val="auto"/>
                    </w:rPr>
                    <w:t>年评价指标</w:t>
                  </w:r>
                </w:p>
              </w:tc>
              <w:tc>
                <w:tcPr>
                  <w:tcW w:w="1620" w:type="dxa"/>
                  <w:noWrap/>
                  <w:vAlign w:val="center"/>
                </w:tcPr>
                <w:p>
                  <w:pPr>
                    <w:pStyle w:val="26"/>
                    <w:keepNext w:val="0"/>
                    <w:keepLines w:val="0"/>
                    <w:suppressLineNumbers w:val="0"/>
                    <w:spacing w:before="0" w:beforeAutospacing="0" w:after="0" w:afterAutospacing="0"/>
                    <w:ind w:left="0" w:right="0"/>
                    <w:rPr>
                      <w:color w:val="auto"/>
                    </w:rPr>
                  </w:pPr>
                  <w:r>
                    <w:rPr>
                      <w:rFonts w:hint="eastAsia"/>
                      <w:color w:val="auto"/>
                    </w:rPr>
                    <w:t>现状浓度（µg/m3）</w:t>
                  </w:r>
                </w:p>
              </w:tc>
              <w:tc>
                <w:tcPr>
                  <w:tcW w:w="732" w:type="pct"/>
                  <w:noWrap/>
                  <w:vAlign w:val="center"/>
                </w:tcPr>
                <w:p>
                  <w:pPr>
                    <w:pStyle w:val="26"/>
                    <w:keepNext w:val="0"/>
                    <w:keepLines w:val="0"/>
                    <w:suppressLineNumbers w:val="0"/>
                    <w:spacing w:before="0" w:beforeAutospacing="0" w:after="0" w:afterAutospacing="0"/>
                    <w:ind w:left="0" w:right="0"/>
                    <w:rPr>
                      <w:color w:val="auto"/>
                    </w:rPr>
                  </w:pPr>
                  <w:r>
                    <w:rPr>
                      <w:rFonts w:hint="eastAsia"/>
                      <w:color w:val="auto"/>
                    </w:rPr>
                    <w:t>标准值（µg/m3）</w:t>
                  </w:r>
                </w:p>
              </w:tc>
              <w:tc>
                <w:tcPr>
                  <w:tcW w:w="573" w:type="pct"/>
                  <w:noWrap/>
                  <w:vAlign w:val="center"/>
                </w:tcPr>
                <w:p>
                  <w:pPr>
                    <w:pStyle w:val="26"/>
                    <w:keepNext w:val="0"/>
                    <w:keepLines w:val="0"/>
                    <w:suppressLineNumbers w:val="0"/>
                    <w:spacing w:before="0" w:beforeAutospacing="0" w:after="0" w:afterAutospacing="0"/>
                    <w:ind w:left="0" w:right="0"/>
                    <w:rPr>
                      <w:color w:val="auto"/>
                    </w:rPr>
                  </w:pPr>
                  <w:r>
                    <w:rPr>
                      <w:rFonts w:hint="eastAsia"/>
                      <w:color w:val="auto"/>
                    </w:rPr>
                    <w:t>占标率</w:t>
                  </w:r>
                </w:p>
                <w:p>
                  <w:pPr>
                    <w:pStyle w:val="26"/>
                    <w:keepNext w:val="0"/>
                    <w:keepLines w:val="0"/>
                    <w:suppressLineNumbers w:val="0"/>
                    <w:spacing w:before="0" w:beforeAutospacing="0" w:after="0" w:afterAutospacing="0"/>
                    <w:ind w:left="0" w:right="0"/>
                    <w:rPr>
                      <w:color w:val="auto"/>
                    </w:rPr>
                  </w:pPr>
                  <w:r>
                    <w:rPr>
                      <w:rFonts w:hint="eastAsia"/>
                      <w:color w:val="auto"/>
                    </w:rPr>
                    <w:t>（%)</w:t>
                  </w:r>
                </w:p>
              </w:tc>
              <w:tc>
                <w:tcPr>
                  <w:tcW w:w="546" w:type="dxa"/>
                  <w:noWrap/>
                  <w:vAlign w:val="center"/>
                </w:tcPr>
                <w:p>
                  <w:pPr>
                    <w:pStyle w:val="26"/>
                    <w:keepNext w:val="0"/>
                    <w:keepLines w:val="0"/>
                    <w:suppressLineNumbers w:val="0"/>
                    <w:spacing w:before="0" w:beforeAutospacing="0" w:after="0" w:afterAutospacing="0"/>
                    <w:ind w:left="0" w:right="0"/>
                    <w:rPr>
                      <w:color w:val="auto"/>
                    </w:rPr>
                  </w:pPr>
                  <w:r>
                    <w:rPr>
                      <w:rFonts w:hint="eastAsia"/>
                      <w:color w:val="auto"/>
                    </w:rPr>
                    <w:t>达标</w:t>
                  </w:r>
                </w:p>
                <w:p>
                  <w:pPr>
                    <w:pStyle w:val="26"/>
                    <w:keepNext w:val="0"/>
                    <w:keepLines w:val="0"/>
                    <w:suppressLineNumbers w:val="0"/>
                    <w:spacing w:before="0" w:beforeAutospacing="0" w:after="0" w:afterAutospacing="0"/>
                    <w:ind w:left="0" w:right="0"/>
                    <w:rPr>
                      <w:color w:val="auto"/>
                    </w:rPr>
                  </w:pPr>
                  <w:r>
                    <w:rPr>
                      <w:rFonts w:hint="eastAsia"/>
                      <w:color w:val="auto"/>
                    </w:rPr>
                    <w:t>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SO2</w:t>
                  </w:r>
                </w:p>
              </w:tc>
              <w:tc>
                <w:tcPr>
                  <w:tcW w:w="3254"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年平均质量浓度</w:t>
                  </w:r>
                </w:p>
              </w:tc>
              <w:tc>
                <w:tcPr>
                  <w:tcW w:w="1620"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23</w:t>
                  </w:r>
                </w:p>
              </w:tc>
              <w:tc>
                <w:tcPr>
                  <w:tcW w:w="73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60</w:t>
                  </w:r>
                </w:p>
              </w:tc>
              <w:tc>
                <w:tcPr>
                  <w:tcW w:w="57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38.33</w:t>
                  </w:r>
                </w:p>
              </w:tc>
              <w:tc>
                <w:tcPr>
                  <w:tcW w:w="546"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3254"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24小时平均第98百分位数</w:t>
                  </w:r>
                </w:p>
              </w:tc>
              <w:tc>
                <w:tcPr>
                  <w:tcW w:w="1620"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111</w:t>
                  </w:r>
                </w:p>
              </w:tc>
              <w:tc>
                <w:tcPr>
                  <w:tcW w:w="73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150</w:t>
                  </w:r>
                </w:p>
              </w:tc>
              <w:tc>
                <w:tcPr>
                  <w:tcW w:w="57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74</w:t>
                  </w:r>
                </w:p>
              </w:tc>
              <w:tc>
                <w:tcPr>
                  <w:tcW w:w="546"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NO2</w:t>
                  </w:r>
                </w:p>
              </w:tc>
              <w:tc>
                <w:tcPr>
                  <w:tcW w:w="3254"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年平均质量浓度</w:t>
                  </w:r>
                </w:p>
              </w:tc>
              <w:tc>
                <w:tcPr>
                  <w:tcW w:w="1620"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14</w:t>
                  </w:r>
                </w:p>
              </w:tc>
              <w:tc>
                <w:tcPr>
                  <w:tcW w:w="73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40</w:t>
                  </w:r>
                </w:p>
              </w:tc>
              <w:tc>
                <w:tcPr>
                  <w:tcW w:w="57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35</w:t>
                  </w:r>
                </w:p>
              </w:tc>
              <w:tc>
                <w:tcPr>
                  <w:tcW w:w="546"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3254"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24小时平均第98百分位数</w:t>
                  </w:r>
                </w:p>
              </w:tc>
              <w:tc>
                <w:tcPr>
                  <w:tcW w:w="1620"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27</w:t>
                  </w:r>
                </w:p>
              </w:tc>
              <w:tc>
                <w:tcPr>
                  <w:tcW w:w="73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80</w:t>
                  </w:r>
                </w:p>
              </w:tc>
              <w:tc>
                <w:tcPr>
                  <w:tcW w:w="57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33.75</w:t>
                  </w:r>
                </w:p>
              </w:tc>
              <w:tc>
                <w:tcPr>
                  <w:tcW w:w="546"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PM10</w:t>
                  </w:r>
                </w:p>
              </w:tc>
              <w:tc>
                <w:tcPr>
                  <w:tcW w:w="3254"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年平均质量浓度</w:t>
                  </w:r>
                </w:p>
              </w:tc>
              <w:tc>
                <w:tcPr>
                  <w:tcW w:w="1620"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42</w:t>
                  </w:r>
                </w:p>
              </w:tc>
              <w:tc>
                <w:tcPr>
                  <w:tcW w:w="73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70</w:t>
                  </w:r>
                </w:p>
              </w:tc>
              <w:tc>
                <w:tcPr>
                  <w:tcW w:w="57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60</w:t>
                  </w:r>
                </w:p>
              </w:tc>
              <w:tc>
                <w:tcPr>
                  <w:tcW w:w="546"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3254"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24小时平均第95百分位数</w:t>
                  </w:r>
                </w:p>
              </w:tc>
              <w:tc>
                <w:tcPr>
                  <w:tcW w:w="1620"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70</w:t>
                  </w:r>
                </w:p>
              </w:tc>
              <w:tc>
                <w:tcPr>
                  <w:tcW w:w="73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150</w:t>
                  </w:r>
                </w:p>
              </w:tc>
              <w:tc>
                <w:tcPr>
                  <w:tcW w:w="57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46.67</w:t>
                  </w:r>
                </w:p>
              </w:tc>
              <w:tc>
                <w:tcPr>
                  <w:tcW w:w="546"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PM2.5</w:t>
                  </w:r>
                </w:p>
              </w:tc>
              <w:tc>
                <w:tcPr>
                  <w:tcW w:w="3254"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年平均质量浓度</w:t>
                  </w:r>
                </w:p>
              </w:tc>
              <w:tc>
                <w:tcPr>
                  <w:tcW w:w="1620"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20</w:t>
                  </w:r>
                </w:p>
              </w:tc>
              <w:tc>
                <w:tcPr>
                  <w:tcW w:w="73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35</w:t>
                  </w:r>
                </w:p>
              </w:tc>
              <w:tc>
                <w:tcPr>
                  <w:tcW w:w="57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57.14</w:t>
                  </w:r>
                </w:p>
              </w:tc>
              <w:tc>
                <w:tcPr>
                  <w:tcW w:w="546"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3254"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24小时平均第95百分位数</w:t>
                  </w:r>
                </w:p>
              </w:tc>
              <w:tc>
                <w:tcPr>
                  <w:tcW w:w="1620"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37</w:t>
                  </w:r>
                </w:p>
              </w:tc>
              <w:tc>
                <w:tcPr>
                  <w:tcW w:w="73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75</w:t>
                  </w:r>
                </w:p>
              </w:tc>
              <w:tc>
                <w:tcPr>
                  <w:tcW w:w="57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49.33</w:t>
                  </w:r>
                </w:p>
              </w:tc>
              <w:tc>
                <w:tcPr>
                  <w:tcW w:w="546"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CO</w:t>
                  </w:r>
                </w:p>
              </w:tc>
              <w:tc>
                <w:tcPr>
                  <w:tcW w:w="3254"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24小时平均第95百分位数</w:t>
                  </w:r>
                </w:p>
              </w:tc>
              <w:tc>
                <w:tcPr>
                  <w:tcW w:w="1620"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w:t>
                  </w:r>
                </w:p>
              </w:tc>
              <w:tc>
                <w:tcPr>
                  <w:tcW w:w="73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4000</w:t>
                  </w:r>
                </w:p>
              </w:tc>
              <w:tc>
                <w:tcPr>
                  <w:tcW w:w="57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0.03</w:t>
                  </w:r>
                </w:p>
              </w:tc>
              <w:tc>
                <w:tcPr>
                  <w:tcW w:w="546"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O3</w:t>
                  </w:r>
                </w:p>
              </w:tc>
              <w:tc>
                <w:tcPr>
                  <w:tcW w:w="3254"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日最大8小时滑动平均值的第90位百分数</w:t>
                  </w:r>
                </w:p>
              </w:tc>
              <w:tc>
                <w:tcPr>
                  <w:tcW w:w="1620"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113</w:t>
                  </w:r>
                </w:p>
              </w:tc>
              <w:tc>
                <w:tcPr>
                  <w:tcW w:w="73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160</w:t>
                  </w:r>
                </w:p>
              </w:tc>
              <w:tc>
                <w:tcPr>
                  <w:tcW w:w="57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70.63</w:t>
                  </w:r>
                </w:p>
              </w:tc>
              <w:tc>
                <w:tcPr>
                  <w:tcW w:w="546"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达标</w:t>
                  </w:r>
                </w:p>
              </w:tc>
            </w:tr>
          </w:tbl>
          <w:p>
            <w:pPr>
              <w:keepNext w:val="0"/>
              <w:keepLines w:val="0"/>
              <w:suppressLineNumbers w:val="0"/>
              <w:spacing w:before="0" w:beforeAutospacing="0" w:after="0" w:afterAutospacing="0"/>
              <w:ind w:left="0" w:right="0" w:firstLine="480"/>
              <w:jc w:val="both"/>
            </w:pPr>
            <w:r>
              <w:rPr>
                <w:rFonts w:hint="eastAsia"/>
              </w:rPr>
              <w:t>根据上表分析，富民县环境空气质量达到《环境空气质量标准》（GB3095—2012）二级标准，为环境空气质量达标区。</w:t>
            </w:r>
          </w:p>
          <w:p>
            <w:pPr>
              <w:keepNext w:val="0"/>
              <w:keepLines w:val="0"/>
              <w:suppressLineNumbers w:val="0"/>
              <w:spacing w:before="0" w:beforeAutospacing="0" w:after="0" w:afterAutospacing="0"/>
              <w:ind w:left="0" w:right="0" w:firstLine="360" w:firstLineChars="150"/>
              <w:jc w:val="both"/>
            </w:pPr>
            <w:r>
              <w:rPr>
                <w:rFonts w:hint="eastAsia"/>
              </w:rPr>
              <w:t>（2）项目区域环境质量</w:t>
            </w:r>
          </w:p>
          <w:p>
            <w:pPr>
              <w:keepNext w:val="0"/>
              <w:keepLines w:val="0"/>
              <w:suppressLineNumbers w:val="0"/>
              <w:spacing w:before="0" w:beforeAutospacing="0" w:after="0" w:afterAutospacing="0"/>
              <w:ind w:left="0" w:right="0" w:firstLine="480"/>
              <w:jc w:val="both"/>
            </w:pPr>
            <w:r>
              <w:rPr>
                <w:rFonts w:hint="eastAsia"/>
              </w:rPr>
              <w:t>根据本项目产污特点，为了解所在区域环境空气质量现状中TVOC现状情况，环评期间委托云南中科检测技术有限公司</w:t>
            </w:r>
            <w:r>
              <w:t>进行的环境空气质量现状监测结果，对区域环境空气质量现状</w:t>
            </w:r>
            <w:r>
              <w:rPr>
                <w:rFonts w:hint="eastAsia"/>
              </w:rPr>
              <w:t>中TVOC进行监测</w:t>
            </w:r>
            <w:r>
              <w:t>，统计结果见下表</w:t>
            </w:r>
            <w:r>
              <w:rPr>
                <w:rFonts w:hint="eastAsia"/>
              </w:rPr>
              <w:t>3-2，检测报告、监测点位见附件5</w:t>
            </w:r>
            <w:r>
              <w:t>。</w:t>
            </w:r>
          </w:p>
          <w:p>
            <w:pPr>
              <w:pStyle w:val="25"/>
              <w:keepNext w:val="0"/>
              <w:keepLines w:val="0"/>
              <w:suppressLineNumbers w:val="0"/>
              <w:spacing w:before="0" w:beforeAutospacing="0" w:after="0" w:afterAutospacing="0" w:line="240" w:lineRule="auto"/>
              <w:ind w:left="0" w:right="0"/>
            </w:pPr>
            <w:r>
              <w:rPr>
                <w:rFonts w:hint="eastAsia"/>
              </w:rPr>
              <w:t>表3-2环境空气检测结果</w:t>
            </w:r>
          </w:p>
          <w:tbl>
            <w:tblPr>
              <w:tblStyle w:val="18"/>
              <w:tblW w:w="8297"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817"/>
              <w:gridCol w:w="1555"/>
              <w:gridCol w:w="1663"/>
              <w:gridCol w:w="226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restart"/>
                  <w:noWrap/>
                  <w:vAlign w:val="center"/>
                </w:tcPr>
                <w:p>
                  <w:pPr>
                    <w:pStyle w:val="26"/>
                    <w:keepNext w:val="0"/>
                    <w:keepLines w:val="0"/>
                    <w:suppressLineNumbers w:val="0"/>
                    <w:spacing w:before="0" w:beforeAutospacing="0" w:after="0" w:afterAutospacing="0"/>
                    <w:ind w:left="0" w:right="0"/>
                    <w:rPr>
                      <w:color w:val="auto"/>
                    </w:rPr>
                  </w:pPr>
                  <w:r>
                    <w:rPr>
                      <w:color w:val="auto"/>
                    </w:rPr>
                    <w:t>采样点位</w:t>
                  </w:r>
                </w:p>
              </w:tc>
              <w:tc>
                <w:tcPr>
                  <w:tcW w:w="937" w:type="pct"/>
                  <w:vMerge w:val="restart"/>
                  <w:noWrap/>
                  <w:vAlign w:val="center"/>
                </w:tcPr>
                <w:p>
                  <w:pPr>
                    <w:pStyle w:val="26"/>
                    <w:keepNext w:val="0"/>
                    <w:keepLines w:val="0"/>
                    <w:suppressLineNumbers w:val="0"/>
                    <w:spacing w:before="0" w:beforeAutospacing="0" w:after="0" w:afterAutospacing="0"/>
                    <w:ind w:left="0" w:right="0"/>
                    <w:rPr>
                      <w:color w:val="auto"/>
                    </w:rPr>
                  </w:pPr>
                  <w:r>
                    <w:rPr>
                      <w:rFonts w:hint="eastAsia"/>
                      <w:color w:val="auto"/>
                    </w:rPr>
                    <w:t>采样日期</w:t>
                  </w:r>
                </w:p>
              </w:tc>
              <w:tc>
                <w:tcPr>
                  <w:tcW w:w="1002" w:type="pct"/>
                  <w:vMerge w:val="restart"/>
                  <w:noWrap/>
                  <w:vAlign w:val="center"/>
                </w:tcPr>
                <w:p>
                  <w:pPr>
                    <w:pStyle w:val="26"/>
                    <w:keepNext w:val="0"/>
                    <w:keepLines w:val="0"/>
                    <w:suppressLineNumbers w:val="0"/>
                    <w:spacing w:before="0" w:beforeAutospacing="0" w:after="0" w:afterAutospacing="0"/>
                    <w:ind w:left="0" w:right="0"/>
                    <w:rPr>
                      <w:color w:val="auto"/>
                    </w:rPr>
                  </w:pPr>
                  <w:r>
                    <w:rPr>
                      <w:color w:val="auto"/>
                    </w:rPr>
                    <w:t>采样时间</w:t>
                  </w:r>
                </w:p>
              </w:tc>
              <w:tc>
                <w:tcPr>
                  <w:tcW w:w="1363" w:type="pct"/>
                  <w:noWrap/>
                  <w:vAlign w:val="center"/>
                </w:tcPr>
                <w:p>
                  <w:pPr>
                    <w:pStyle w:val="26"/>
                    <w:keepNext w:val="0"/>
                    <w:keepLines w:val="0"/>
                    <w:suppressLineNumbers w:val="0"/>
                    <w:spacing w:before="0" w:beforeAutospacing="0" w:after="0" w:afterAutospacing="0"/>
                    <w:ind w:left="0" w:right="0"/>
                    <w:rPr>
                      <w:color w:val="auto"/>
                    </w:rPr>
                  </w:pPr>
                  <w:r>
                    <w:rPr>
                      <w:color w:val="auto"/>
                    </w:rPr>
                    <w:t>检测项目</w:t>
                  </w:r>
                </w:p>
                <w:p>
                  <w:pPr>
                    <w:pStyle w:val="26"/>
                    <w:keepNext w:val="0"/>
                    <w:keepLines w:val="0"/>
                    <w:suppressLineNumbers w:val="0"/>
                    <w:spacing w:before="0" w:beforeAutospacing="0" w:after="0" w:afterAutospacing="0"/>
                    <w:ind w:left="0" w:right="0"/>
                    <w:rPr>
                      <w:color w:val="auto"/>
                    </w:rPr>
                  </w:pPr>
                  <w:r>
                    <w:rPr>
                      <w:color w:val="auto"/>
                    </w:rPr>
                    <w:t>(单位：μg/m3)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keepNext w:val="0"/>
                    <w:keepLines w:val="0"/>
                    <w:suppressLineNumbers w:val="0"/>
                    <w:spacing w:before="0" w:beforeAutospacing="0" w:after="0" w:afterAutospacing="0"/>
                    <w:ind w:left="0" w:right="0"/>
                    <w:rPr>
                      <w:color w:val="auto"/>
                    </w:rPr>
                  </w:pPr>
                </w:p>
              </w:tc>
              <w:tc>
                <w:tcPr>
                  <w:tcW w:w="937" w:type="pct"/>
                  <w:vMerge w:val="continue"/>
                  <w:noWrap/>
                  <w:vAlign w:val="center"/>
                </w:tcPr>
                <w:p>
                  <w:pPr>
                    <w:pStyle w:val="26"/>
                    <w:keepNext w:val="0"/>
                    <w:keepLines w:val="0"/>
                    <w:suppressLineNumbers w:val="0"/>
                    <w:spacing w:before="0" w:beforeAutospacing="0" w:after="0" w:afterAutospacing="0"/>
                    <w:ind w:left="0" w:right="0"/>
                    <w:rPr>
                      <w:color w:val="auto"/>
                    </w:rPr>
                  </w:pPr>
                </w:p>
              </w:tc>
              <w:tc>
                <w:tcPr>
                  <w:tcW w:w="1002" w:type="pct"/>
                  <w:vMerge w:val="continue"/>
                  <w:noWrap/>
                  <w:vAlign w:val="center"/>
                </w:tcPr>
                <w:p>
                  <w:pPr>
                    <w:pStyle w:val="26"/>
                    <w:keepNext w:val="0"/>
                    <w:keepLines w:val="0"/>
                    <w:suppressLineNumbers w:val="0"/>
                    <w:spacing w:before="0" w:beforeAutospacing="0" w:after="0" w:afterAutospacing="0"/>
                    <w:ind w:left="0" w:right="0"/>
                    <w:rPr>
                      <w:color w:val="auto"/>
                    </w:rPr>
                  </w:pPr>
                </w:p>
              </w:tc>
              <w:tc>
                <w:tcPr>
                  <w:tcW w:w="1363" w:type="pct"/>
                  <w:noWrap/>
                  <w:vAlign w:val="center"/>
                </w:tcPr>
                <w:p>
                  <w:pPr>
                    <w:pStyle w:val="26"/>
                    <w:keepNext w:val="0"/>
                    <w:keepLines w:val="0"/>
                    <w:suppressLineNumbers w:val="0"/>
                    <w:spacing w:before="0" w:beforeAutospacing="0" w:after="0" w:afterAutospacing="0"/>
                    <w:ind w:left="0" w:right="0"/>
                    <w:rPr>
                      <w:color w:val="auto"/>
                    </w:rPr>
                  </w:pPr>
                  <w:r>
                    <w:rPr>
                      <w:rFonts w:hint="eastAsia"/>
                      <w:color w:val="auto"/>
                    </w:rPr>
                    <w:t>总挥发性有机物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厂区下风向G1</w:t>
                  </w:r>
                </w:p>
              </w:tc>
              <w:tc>
                <w:tcPr>
                  <w:tcW w:w="937" w:type="pct"/>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2020.10.04</w:t>
                  </w:r>
                </w:p>
              </w:tc>
              <w:tc>
                <w:tcPr>
                  <w:tcW w:w="10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09</w:t>
                  </w:r>
                  <w:r>
                    <w:rPr>
                      <w:b w:val="0"/>
                      <w:bCs w:val="0"/>
                      <w:color w:val="auto"/>
                    </w:rPr>
                    <w:t>:</w:t>
                  </w:r>
                  <w:r>
                    <w:rPr>
                      <w:rFonts w:hint="eastAsia"/>
                      <w:b w:val="0"/>
                      <w:bCs w:val="0"/>
                      <w:color w:val="auto"/>
                    </w:rPr>
                    <w:t>00-09:50</w:t>
                  </w:r>
                </w:p>
              </w:tc>
              <w:tc>
                <w:tcPr>
                  <w:tcW w:w="136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937"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0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10</w:t>
                  </w:r>
                  <w:r>
                    <w:rPr>
                      <w:b w:val="0"/>
                      <w:bCs w:val="0"/>
                      <w:color w:val="auto"/>
                    </w:rPr>
                    <w:t>:</w:t>
                  </w:r>
                  <w:r>
                    <w:rPr>
                      <w:rFonts w:hint="eastAsia"/>
                      <w:b w:val="0"/>
                      <w:bCs w:val="0"/>
                      <w:color w:val="auto"/>
                    </w:rPr>
                    <w:t>00-10:50</w:t>
                  </w:r>
                </w:p>
              </w:tc>
              <w:tc>
                <w:tcPr>
                  <w:tcW w:w="136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937"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0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11</w:t>
                  </w:r>
                  <w:r>
                    <w:rPr>
                      <w:b w:val="0"/>
                      <w:bCs w:val="0"/>
                      <w:color w:val="auto"/>
                    </w:rPr>
                    <w:t>:</w:t>
                  </w:r>
                  <w:r>
                    <w:rPr>
                      <w:rFonts w:hint="eastAsia"/>
                      <w:b w:val="0"/>
                      <w:bCs w:val="0"/>
                      <w:color w:val="auto"/>
                    </w:rPr>
                    <w:t>00-11:50</w:t>
                  </w:r>
                </w:p>
              </w:tc>
              <w:tc>
                <w:tcPr>
                  <w:tcW w:w="136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937"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0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12</w:t>
                  </w:r>
                  <w:r>
                    <w:rPr>
                      <w:b w:val="0"/>
                      <w:bCs w:val="0"/>
                      <w:color w:val="auto"/>
                    </w:rPr>
                    <w:t>:</w:t>
                  </w:r>
                  <w:r>
                    <w:rPr>
                      <w:rFonts w:hint="eastAsia"/>
                      <w:b w:val="0"/>
                      <w:bCs w:val="0"/>
                      <w:color w:val="auto"/>
                    </w:rPr>
                    <w:t>00-12:50</w:t>
                  </w:r>
                </w:p>
              </w:tc>
              <w:tc>
                <w:tcPr>
                  <w:tcW w:w="136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41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937"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0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13</w:t>
                  </w:r>
                  <w:r>
                    <w:rPr>
                      <w:b w:val="0"/>
                      <w:bCs w:val="0"/>
                      <w:color w:val="auto"/>
                    </w:rPr>
                    <w:t>:</w:t>
                  </w:r>
                  <w:r>
                    <w:rPr>
                      <w:rFonts w:hint="eastAsia"/>
                      <w:b w:val="0"/>
                      <w:bCs w:val="0"/>
                      <w:color w:val="auto"/>
                    </w:rPr>
                    <w:t>00-13:50</w:t>
                  </w:r>
                </w:p>
              </w:tc>
              <w:tc>
                <w:tcPr>
                  <w:tcW w:w="136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40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937"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0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14</w:t>
                  </w:r>
                  <w:r>
                    <w:rPr>
                      <w:b w:val="0"/>
                      <w:bCs w:val="0"/>
                      <w:color w:val="auto"/>
                    </w:rPr>
                    <w:t>:</w:t>
                  </w:r>
                  <w:r>
                    <w:rPr>
                      <w:rFonts w:hint="eastAsia"/>
                      <w:b w:val="0"/>
                      <w:bCs w:val="0"/>
                      <w:color w:val="auto"/>
                    </w:rPr>
                    <w:t>00-14:50</w:t>
                  </w:r>
                </w:p>
              </w:tc>
              <w:tc>
                <w:tcPr>
                  <w:tcW w:w="136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937"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0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15</w:t>
                  </w:r>
                  <w:r>
                    <w:rPr>
                      <w:b w:val="0"/>
                      <w:bCs w:val="0"/>
                      <w:color w:val="auto"/>
                    </w:rPr>
                    <w:t>:</w:t>
                  </w:r>
                  <w:r>
                    <w:rPr>
                      <w:rFonts w:hint="eastAsia"/>
                      <w:b w:val="0"/>
                      <w:bCs w:val="0"/>
                      <w:color w:val="auto"/>
                    </w:rPr>
                    <w:t>00-15:50</w:t>
                  </w:r>
                </w:p>
              </w:tc>
              <w:tc>
                <w:tcPr>
                  <w:tcW w:w="136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937"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0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16</w:t>
                  </w:r>
                  <w:r>
                    <w:rPr>
                      <w:b w:val="0"/>
                      <w:bCs w:val="0"/>
                      <w:color w:val="auto"/>
                    </w:rPr>
                    <w:t>:</w:t>
                  </w:r>
                  <w:r>
                    <w:rPr>
                      <w:rFonts w:hint="eastAsia"/>
                      <w:b w:val="0"/>
                      <w:bCs w:val="0"/>
                      <w:color w:val="auto"/>
                    </w:rPr>
                    <w:t>00-16:50</w:t>
                  </w:r>
                </w:p>
              </w:tc>
              <w:tc>
                <w:tcPr>
                  <w:tcW w:w="136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937"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0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8小时平均</w:t>
                  </w:r>
                </w:p>
              </w:tc>
              <w:tc>
                <w:tcPr>
                  <w:tcW w:w="136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厂区下风向G1</w:t>
                  </w:r>
                </w:p>
              </w:tc>
              <w:tc>
                <w:tcPr>
                  <w:tcW w:w="937" w:type="pct"/>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2020.10.05</w:t>
                  </w:r>
                </w:p>
              </w:tc>
              <w:tc>
                <w:tcPr>
                  <w:tcW w:w="10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09</w:t>
                  </w:r>
                  <w:r>
                    <w:rPr>
                      <w:b w:val="0"/>
                      <w:bCs w:val="0"/>
                      <w:color w:val="auto"/>
                    </w:rPr>
                    <w:t>:</w:t>
                  </w:r>
                  <w:r>
                    <w:rPr>
                      <w:rFonts w:hint="eastAsia"/>
                      <w:b w:val="0"/>
                      <w:bCs w:val="0"/>
                      <w:color w:val="auto"/>
                    </w:rPr>
                    <w:t>00-09:50</w:t>
                  </w:r>
                </w:p>
              </w:tc>
              <w:tc>
                <w:tcPr>
                  <w:tcW w:w="136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937"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0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10</w:t>
                  </w:r>
                  <w:r>
                    <w:rPr>
                      <w:b w:val="0"/>
                      <w:bCs w:val="0"/>
                      <w:color w:val="auto"/>
                    </w:rPr>
                    <w:t>:</w:t>
                  </w:r>
                  <w:r>
                    <w:rPr>
                      <w:rFonts w:hint="eastAsia"/>
                      <w:b w:val="0"/>
                      <w:bCs w:val="0"/>
                      <w:color w:val="auto"/>
                    </w:rPr>
                    <w:t>00-10:50</w:t>
                  </w:r>
                </w:p>
              </w:tc>
              <w:tc>
                <w:tcPr>
                  <w:tcW w:w="136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937"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0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11</w:t>
                  </w:r>
                  <w:r>
                    <w:rPr>
                      <w:b w:val="0"/>
                      <w:bCs w:val="0"/>
                      <w:color w:val="auto"/>
                    </w:rPr>
                    <w:t>:</w:t>
                  </w:r>
                  <w:r>
                    <w:rPr>
                      <w:rFonts w:hint="eastAsia"/>
                      <w:b w:val="0"/>
                      <w:bCs w:val="0"/>
                      <w:color w:val="auto"/>
                    </w:rPr>
                    <w:t>00-11:50</w:t>
                  </w:r>
                </w:p>
              </w:tc>
              <w:tc>
                <w:tcPr>
                  <w:tcW w:w="136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937"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0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12</w:t>
                  </w:r>
                  <w:r>
                    <w:rPr>
                      <w:b w:val="0"/>
                      <w:bCs w:val="0"/>
                      <w:color w:val="auto"/>
                    </w:rPr>
                    <w:t>:</w:t>
                  </w:r>
                  <w:r>
                    <w:rPr>
                      <w:rFonts w:hint="eastAsia"/>
                      <w:b w:val="0"/>
                      <w:bCs w:val="0"/>
                      <w:color w:val="auto"/>
                    </w:rPr>
                    <w:t>00-12:50</w:t>
                  </w:r>
                </w:p>
              </w:tc>
              <w:tc>
                <w:tcPr>
                  <w:tcW w:w="136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937"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0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13</w:t>
                  </w:r>
                  <w:r>
                    <w:rPr>
                      <w:b w:val="0"/>
                      <w:bCs w:val="0"/>
                      <w:color w:val="auto"/>
                    </w:rPr>
                    <w:t>:</w:t>
                  </w:r>
                  <w:r>
                    <w:rPr>
                      <w:rFonts w:hint="eastAsia"/>
                      <w:b w:val="0"/>
                      <w:bCs w:val="0"/>
                      <w:color w:val="auto"/>
                    </w:rPr>
                    <w:t>00-13:50</w:t>
                  </w:r>
                </w:p>
              </w:tc>
              <w:tc>
                <w:tcPr>
                  <w:tcW w:w="136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937"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0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14</w:t>
                  </w:r>
                  <w:r>
                    <w:rPr>
                      <w:b w:val="0"/>
                      <w:bCs w:val="0"/>
                      <w:color w:val="auto"/>
                    </w:rPr>
                    <w:t>:</w:t>
                  </w:r>
                  <w:r>
                    <w:rPr>
                      <w:rFonts w:hint="eastAsia"/>
                      <w:b w:val="0"/>
                      <w:bCs w:val="0"/>
                      <w:color w:val="auto"/>
                    </w:rPr>
                    <w:t>00-14:50</w:t>
                  </w:r>
                </w:p>
              </w:tc>
              <w:tc>
                <w:tcPr>
                  <w:tcW w:w="136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169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937"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0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15</w:t>
                  </w:r>
                  <w:r>
                    <w:rPr>
                      <w:b w:val="0"/>
                      <w:bCs w:val="0"/>
                      <w:color w:val="auto"/>
                    </w:rPr>
                    <w:t>:</w:t>
                  </w:r>
                  <w:r>
                    <w:rPr>
                      <w:rFonts w:hint="eastAsia"/>
                      <w:b w:val="0"/>
                      <w:bCs w:val="0"/>
                      <w:color w:val="auto"/>
                    </w:rPr>
                    <w:t>00-15:50</w:t>
                  </w:r>
                </w:p>
              </w:tc>
              <w:tc>
                <w:tcPr>
                  <w:tcW w:w="136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937"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0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16</w:t>
                  </w:r>
                  <w:r>
                    <w:rPr>
                      <w:b w:val="0"/>
                      <w:bCs w:val="0"/>
                      <w:color w:val="auto"/>
                    </w:rPr>
                    <w:t>:</w:t>
                  </w:r>
                  <w:r>
                    <w:rPr>
                      <w:rFonts w:hint="eastAsia"/>
                      <w:b w:val="0"/>
                      <w:bCs w:val="0"/>
                      <w:color w:val="auto"/>
                    </w:rPr>
                    <w:t>00-16:50</w:t>
                  </w:r>
                </w:p>
              </w:tc>
              <w:tc>
                <w:tcPr>
                  <w:tcW w:w="136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937"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0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8小时平均</w:t>
                  </w:r>
                </w:p>
              </w:tc>
              <w:tc>
                <w:tcPr>
                  <w:tcW w:w="136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厂区下风向G1</w:t>
                  </w:r>
                </w:p>
              </w:tc>
              <w:tc>
                <w:tcPr>
                  <w:tcW w:w="937" w:type="pct"/>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2020.10.05</w:t>
                  </w:r>
                </w:p>
              </w:tc>
              <w:tc>
                <w:tcPr>
                  <w:tcW w:w="10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09</w:t>
                  </w:r>
                  <w:r>
                    <w:rPr>
                      <w:b w:val="0"/>
                      <w:bCs w:val="0"/>
                      <w:color w:val="auto"/>
                    </w:rPr>
                    <w:t>:</w:t>
                  </w:r>
                  <w:r>
                    <w:rPr>
                      <w:rFonts w:hint="eastAsia"/>
                      <w:b w:val="0"/>
                      <w:bCs w:val="0"/>
                      <w:color w:val="auto"/>
                    </w:rPr>
                    <w:t>00-09:50</w:t>
                  </w:r>
                </w:p>
              </w:tc>
              <w:tc>
                <w:tcPr>
                  <w:tcW w:w="136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937"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0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10</w:t>
                  </w:r>
                  <w:r>
                    <w:rPr>
                      <w:b w:val="0"/>
                      <w:bCs w:val="0"/>
                      <w:color w:val="auto"/>
                    </w:rPr>
                    <w:t>:</w:t>
                  </w:r>
                  <w:r>
                    <w:rPr>
                      <w:rFonts w:hint="eastAsia"/>
                      <w:b w:val="0"/>
                      <w:bCs w:val="0"/>
                      <w:color w:val="auto"/>
                    </w:rPr>
                    <w:t>00-10:50</w:t>
                  </w:r>
                </w:p>
              </w:tc>
              <w:tc>
                <w:tcPr>
                  <w:tcW w:w="136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937"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0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11</w:t>
                  </w:r>
                  <w:r>
                    <w:rPr>
                      <w:b w:val="0"/>
                      <w:bCs w:val="0"/>
                      <w:color w:val="auto"/>
                    </w:rPr>
                    <w:t>:</w:t>
                  </w:r>
                  <w:r>
                    <w:rPr>
                      <w:rFonts w:hint="eastAsia"/>
                      <w:b w:val="0"/>
                      <w:bCs w:val="0"/>
                      <w:color w:val="auto"/>
                    </w:rPr>
                    <w:t>00-11:50</w:t>
                  </w:r>
                </w:p>
              </w:tc>
              <w:tc>
                <w:tcPr>
                  <w:tcW w:w="136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937"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0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12</w:t>
                  </w:r>
                  <w:r>
                    <w:rPr>
                      <w:b w:val="0"/>
                      <w:bCs w:val="0"/>
                      <w:color w:val="auto"/>
                    </w:rPr>
                    <w:t>:</w:t>
                  </w:r>
                  <w:r>
                    <w:rPr>
                      <w:rFonts w:hint="eastAsia"/>
                      <w:b w:val="0"/>
                      <w:bCs w:val="0"/>
                      <w:color w:val="auto"/>
                    </w:rPr>
                    <w:t>00-12:50</w:t>
                  </w:r>
                </w:p>
              </w:tc>
              <w:tc>
                <w:tcPr>
                  <w:tcW w:w="136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937"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0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13</w:t>
                  </w:r>
                  <w:r>
                    <w:rPr>
                      <w:b w:val="0"/>
                      <w:bCs w:val="0"/>
                      <w:color w:val="auto"/>
                    </w:rPr>
                    <w:t>:</w:t>
                  </w:r>
                  <w:r>
                    <w:rPr>
                      <w:rFonts w:hint="eastAsia"/>
                      <w:b w:val="0"/>
                      <w:bCs w:val="0"/>
                      <w:color w:val="auto"/>
                    </w:rPr>
                    <w:t>00-13:50</w:t>
                  </w:r>
                </w:p>
              </w:tc>
              <w:tc>
                <w:tcPr>
                  <w:tcW w:w="136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937"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0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14</w:t>
                  </w:r>
                  <w:r>
                    <w:rPr>
                      <w:b w:val="0"/>
                      <w:bCs w:val="0"/>
                      <w:color w:val="auto"/>
                    </w:rPr>
                    <w:t>:</w:t>
                  </w:r>
                  <w:r>
                    <w:rPr>
                      <w:rFonts w:hint="eastAsia"/>
                      <w:b w:val="0"/>
                      <w:bCs w:val="0"/>
                      <w:color w:val="auto"/>
                    </w:rPr>
                    <w:t>00-14:50</w:t>
                  </w:r>
                </w:p>
              </w:tc>
              <w:tc>
                <w:tcPr>
                  <w:tcW w:w="136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937"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0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15</w:t>
                  </w:r>
                  <w:r>
                    <w:rPr>
                      <w:b w:val="0"/>
                      <w:bCs w:val="0"/>
                      <w:color w:val="auto"/>
                    </w:rPr>
                    <w:t>:</w:t>
                  </w:r>
                  <w:r>
                    <w:rPr>
                      <w:rFonts w:hint="eastAsia"/>
                      <w:b w:val="0"/>
                      <w:bCs w:val="0"/>
                      <w:color w:val="auto"/>
                    </w:rPr>
                    <w:t>00-15:50</w:t>
                  </w:r>
                </w:p>
              </w:tc>
              <w:tc>
                <w:tcPr>
                  <w:tcW w:w="136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937"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0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16</w:t>
                  </w:r>
                  <w:r>
                    <w:rPr>
                      <w:b w:val="0"/>
                      <w:bCs w:val="0"/>
                      <w:color w:val="auto"/>
                    </w:rPr>
                    <w:t>:</w:t>
                  </w:r>
                  <w:r>
                    <w:rPr>
                      <w:rFonts w:hint="eastAsia"/>
                      <w:b w:val="0"/>
                      <w:bCs w:val="0"/>
                      <w:color w:val="auto"/>
                    </w:rPr>
                    <w:t>00-16:50</w:t>
                  </w:r>
                </w:p>
              </w:tc>
              <w:tc>
                <w:tcPr>
                  <w:tcW w:w="136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937"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0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8小时平均</w:t>
                  </w:r>
                </w:p>
              </w:tc>
              <w:tc>
                <w:tcPr>
                  <w:tcW w:w="136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27</w:t>
                  </w:r>
                </w:p>
              </w:tc>
            </w:tr>
          </w:tbl>
          <w:p>
            <w:pPr>
              <w:pStyle w:val="2"/>
              <w:keepNext w:val="0"/>
              <w:keepLines w:val="0"/>
              <w:suppressLineNumbers w:val="0"/>
              <w:spacing w:before="0" w:beforeAutospacing="0" w:after="0" w:afterAutospacing="0"/>
              <w:ind w:left="0" w:right="0" w:firstLine="480"/>
              <w:jc w:val="both"/>
            </w:pPr>
            <w:r>
              <w:rPr>
                <w:rFonts w:hint="eastAsia"/>
              </w:rPr>
              <w:t>根据监测结果，本项目所在区域监测期间TVOC厂区下风向8小时平均浓度均未超标，环境空气质量达到《环境空气质量标准》（GB3095—2012）二级标准。</w:t>
            </w:r>
          </w:p>
          <w:p>
            <w:pPr>
              <w:keepNext w:val="0"/>
              <w:keepLines w:val="0"/>
              <w:suppressLineNumbers w:val="0"/>
              <w:spacing w:before="0" w:beforeAutospacing="0" w:after="0" w:afterAutospacing="0"/>
              <w:ind w:left="0" w:right="0" w:firstLine="480"/>
              <w:jc w:val="both"/>
            </w:pPr>
            <w:r>
              <w:t>2、地表水环境质量现状</w:t>
            </w:r>
          </w:p>
          <w:p>
            <w:pPr>
              <w:keepNext w:val="0"/>
              <w:keepLines w:val="0"/>
              <w:suppressLineNumbers w:val="0"/>
              <w:spacing w:before="0" w:beforeAutospacing="0" w:after="0" w:afterAutospacing="0"/>
              <w:ind w:left="0" w:right="0" w:firstLine="480"/>
              <w:jc w:val="both"/>
            </w:pPr>
            <w:r>
              <w:rPr>
                <w:rFonts w:hint="eastAsia"/>
              </w:rPr>
              <w:t>本项目有关的地表水体主要为螳螂川。螳螂川位于项目东侧1250m。</w:t>
            </w:r>
            <w:r>
              <w:t>项目所涉及螳螂川河段为“富民大桥~普渡河桥”，根据《云南省地表水水环境功能区划（2010-2020）》，“富民大桥~普渡河桥”河段水体功能为工业用水，水质类别是Ⅳ类，执行《地表水环境质量标准》（GB3838-2002）Ⅳ类水质标准。</w:t>
            </w:r>
            <w:r>
              <w:rPr>
                <w:rFonts w:hint="eastAsia"/>
              </w:rPr>
              <w:t>本项目生活污水进入园区污水处理厂处理后排入螳螂川，排放口位于赤鹫断面上游8.2km处，位于富民大桥断面下游7.3km。</w:t>
            </w:r>
          </w:p>
          <w:p>
            <w:pPr>
              <w:pStyle w:val="2"/>
              <w:keepNext w:val="0"/>
              <w:keepLines w:val="0"/>
              <w:suppressLineNumbers w:val="0"/>
              <w:adjustRightInd w:val="0"/>
              <w:snapToGrid w:val="0"/>
              <w:spacing w:before="0" w:beforeAutospacing="0" w:after="0" w:afterAutospacing="0"/>
              <w:ind w:left="0" w:right="0" w:firstLine="480"/>
              <w:jc w:val="both"/>
            </w:pPr>
            <w:r>
              <w:t>根据富民县环境监测站2018年1~12月螳螂川富民大桥断面、赤鹫大桥断面每月水质例行监测数据，检测结果统计见表3-</w:t>
            </w:r>
            <w:r>
              <w:rPr>
                <w:rFonts w:hint="eastAsia"/>
              </w:rPr>
              <w:t>3</w:t>
            </w:r>
            <w:r>
              <w:t>。</w:t>
            </w:r>
          </w:p>
          <w:p>
            <w:pPr>
              <w:pStyle w:val="2"/>
              <w:keepNext w:val="0"/>
              <w:keepLines w:val="0"/>
              <w:suppressLineNumbers w:val="0"/>
              <w:adjustRightInd w:val="0"/>
              <w:snapToGrid w:val="0"/>
              <w:spacing w:before="0" w:beforeAutospacing="0" w:after="0" w:afterAutospacing="0" w:line="240" w:lineRule="auto"/>
              <w:ind w:left="0" w:right="0" w:firstLine="0" w:firstLineChars="0"/>
              <w:jc w:val="center"/>
            </w:pPr>
            <w:r>
              <w:t>表3-</w:t>
            </w:r>
            <w:r>
              <w:rPr>
                <w:rFonts w:hint="eastAsia"/>
              </w:rPr>
              <w:t>3</w:t>
            </w:r>
            <w:r>
              <w:t xml:space="preserve">  螳螂川2018年水环境现状评价表</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1"/>
              <w:gridCol w:w="1701"/>
              <w:gridCol w:w="964"/>
              <w:gridCol w:w="1395"/>
              <w:gridCol w:w="1035"/>
              <w:gridCol w:w="1125"/>
              <w:gridCol w:w="105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jc w:val="center"/>
              </w:trPr>
              <w:tc>
                <w:tcPr>
                  <w:tcW w:w="95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污染物</w:t>
                  </w:r>
                </w:p>
              </w:tc>
              <w:tc>
                <w:tcPr>
                  <w:tcW w:w="170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浓度范围（µg/m3）</w:t>
                  </w:r>
                </w:p>
              </w:tc>
              <w:tc>
                <w:tcPr>
                  <w:tcW w:w="964"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平均值（µg/m3）</w:t>
                  </w:r>
                </w:p>
              </w:tc>
              <w:tc>
                <w:tcPr>
                  <w:tcW w:w="139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标准值（µg/m3）</w:t>
                  </w:r>
                </w:p>
              </w:tc>
              <w:tc>
                <w:tcPr>
                  <w:tcW w:w="103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超标率%</w:t>
                  </w:r>
                </w:p>
              </w:tc>
              <w:tc>
                <w:tcPr>
                  <w:tcW w:w="112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最大超标倍数</w:t>
                  </w:r>
                </w:p>
              </w:tc>
              <w:tc>
                <w:tcPr>
                  <w:tcW w:w="1050"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达标</w:t>
                  </w:r>
                </w:p>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21" w:type="dxa"/>
                  <w:gridSpan w:val="7"/>
                  <w:vAlign w:val="center"/>
                </w:tcPr>
                <w:p>
                  <w:pPr>
                    <w:keepNext w:val="0"/>
                    <w:keepLines w:val="0"/>
                    <w:widowControl/>
                    <w:suppressLineNumbers w:val="0"/>
                    <w:adjustRightInd w:val="0"/>
                    <w:snapToGrid w:val="0"/>
                    <w:spacing w:before="0" w:beforeAutospacing="0" w:after="0" w:afterAutospacing="0" w:line="240" w:lineRule="auto"/>
                    <w:ind w:left="0" w:right="0" w:firstLine="480"/>
                    <w:jc w:val="center"/>
                  </w:pPr>
                  <w:r>
                    <w:t>富民大桥断面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pH</w:t>
                  </w:r>
                </w:p>
              </w:tc>
              <w:tc>
                <w:tcPr>
                  <w:tcW w:w="170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7.47~8.11</w:t>
                  </w:r>
                </w:p>
              </w:tc>
              <w:tc>
                <w:tcPr>
                  <w:tcW w:w="964"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7.89</w:t>
                  </w:r>
                </w:p>
              </w:tc>
              <w:tc>
                <w:tcPr>
                  <w:tcW w:w="139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6~9</w:t>
                  </w:r>
                </w:p>
              </w:tc>
              <w:tc>
                <w:tcPr>
                  <w:tcW w:w="103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w:t>
                  </w:r>
                </w:p>
              </w:tc>
              <w:tc>
                <w:tcPr>
                  <w:tcW w:w="112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w:t>
                  </w:r>
                </w:p>
              </w:tc>
              <w:tc>
                <w:tcPr>
                  <w:tcW w:w="1050"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溶解氧</w:t>
                  </w:r>
                </w:p>
              </w:tc>
              <w:tc>
                <w:tcPr>
                  <w:tcW w:w="170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6~8.9</w:t>
                  </w:r>
                </w:p>
              </w:tc>
              <w:tc>
                <w:tcPr>
                  <w:tcW w:w="964"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6.8</w:t>
                  </w:r>
                </w:p>
              </w:tc>
              <w:tc>
                <w:tcPr>
                  <w:tcW w:w="139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3</w:t>
                  </w:r>
                </w:p>
              </w:tc>
              <w:tc>
                <w:tcPr>
                  <w:tcW w:w="103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w:t>
                  </w:r>
                </w:p>
              </w:tc>
              <w:tc>
                <w:tcPr>
                  <w:tcW w:w="112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w:t>
                  </w:r>
                </w:p>
              </w:tc>
              <w:tc>
                <w:tcPr>
                  <w:tcW w:w="1050"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COD</w:t>
                  </w:r>
                </w:p>
              </w:tc>
              <w:tc>
                <w:tcPr>
                  <w:tcW w:w="170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16~43</w:t>
                  </w:r>
                </w:p>
              </w:tc>
              <w:tc>
                <w:tcPr>
                  <w:tcW w:w="964"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26.75</w:t>
                  </w:r>
                </w:p>
              </w:tc>
              <w:tc>
                <w:tcPr>
                  <w:tcW w:w="139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30</w:t>
                  </w:r>
                </w:p>
              </w:tc>
              <w:tc>
                <w:tcPr>
                  <w:tcW w:w="103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33.33</w:t>
                  </w:r>
                </w:p>
              </w:tc>
              <w:tc>
                <w:tcPr>
                  <w:tcW w:w="112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0.43</w:t>
                  </w:r>
                </w:p>
              </w:tc>
              <w:tc>
                <w:tcPr>
                  <w:tcW w:w="1050"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超标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BOD5</w:t>
                  </w:r>
                </w:p>
              </w:tc>
              <w:tc>
                <w:tcPr>
                  <w:tcW w:w="170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2.4~26</w:t>
                  </w:r>
                </w:p>
              </w:tc>
              <w:tc>
                <w:tcPr>
                  <w:tcW w:w="964"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7.61</w:t>
                  </w:r>
                </w:p>
              </w:tc>
              <w:tc>
                <w:tcPr>
                  <w:tcW w:w="139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6</w:t>
                  </w:r>
                </w:p>
              </w:tc>
              <w:tc>
                <w:tcPr>
                  <w:tcW w:w="103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16.67</w:t>
                  </w:r>
                </w:p>
              </w:tc>
              <w:tc>
                <w:tcPr>
                  <w:tcW w:w="112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3.33</w:t>
                  </w:r>
                </w:p>
              </w:tc>
              <w:tc>
                <w:tcPr>
                  <w:tcW w:w="1050"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超标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氨氮</w:t>
                  </w:r>
                </w:p>
              </w:tc>
              <w:tc>
                <w:tcPr>
                  <w:tcW w:w="170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0.06~2.01</w:t>
                  </w:r>
                </w:p>
              </w:tc>
              <w:tc>
                <w:tcPr>
                  <w:tcW w:w="964"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0.74</w:t>
                  </w:r>
                </w:p>
              </w:tc>
              <w:tc>
                <w:tcPr>
                  <w:tcW w:w="139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1.5</w:t>
                  </w:r>
                </w:p>
              </w:tc>
              <w:tc>
                <w:tcPr>
                  <w:tcW w:w="103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16.67</w:t>
                  </w:r>
                </w:p>
              </w:tc>
              <w:tc>
                <w:tcPr>
                  <w:tcW w:w="112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0.34</w:t>
                  </w:r>
                </w:p>
              </w:tc>
              <w:tc>
                <w:tcPr>
                  <w:tcW w:w="1050"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超标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总磷</w:t>
                  </w:r>
                </w:p>
              </w:tc>
              <w:tc>
                <w:tcPr>
                  <w:tcW w:w="170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0.32~6.53</w:t>
                  </w:r>
                </w:p>
              </w:tc>
              <w:tc>
                <w:tcPr>
                  <w:tcW w:w="964"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1.10</w:t>
                  </w:r>
                </w:p>
              </w:tc>
              <w:tc>
                <w:tcPr>
                  <w:tcW w:w="1395" w:type="dxa"/>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pPr>
                  <w:r>
                    <w:t>0.3</w:t>
                  </w:r>
                </w:p>
              </w:tc>
              <w:tc>
                <w:tcPr>
                  <w:tcW w:w="103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100</w:t>
                  </w:r>
                </w:p>
              </w:tc>
              <w:tc>
                <w:tcPr>
                  <w:tcW w:w="112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20.77</w:t>
                  </w:r>
                </w:p>
              </w:tc>
              <w:tc>
                <w:tcPr>
                  <w:tcW w:w="1050"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超标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pPr>
                  <w:r>
                    <w:t>石油类</w:t>
                  </w:r>
                </w:p>
              </w:tc>
              <w:tc>
                <w:tcPr>
                  <w:tcW w:w="170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0.01L~0.01L</w:t>
                  </w:r>
                </w:p>
              </w:tc>
              <w:tc>
                <w:tcPr>
                  <w:tcW w:w="964"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0.01L</w:t>
                  </w:r>
                </w:p>
              </w:tc>
              <w:tc>
                <w:tcPr>
                  <w:tcW w:w="139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0.5</w:t>
                  </w:r>
                </w:p>
              </w:tc>
              <w:tc>
                <w:tcPr>
                  <w:tcW w:w="103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w:t>
                  </w:r>
                </w:p>
              </w:tc>
              <w:tc>
                <w:tcPr>
                  <w:tcW w:w="112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w:t>
                  </w:r>
                </w:p>
              </w:tc>
              <w:tc>
                <w:tcPr>
                  <w:tcW w:w="1050"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21" w:type="dxa"/>
                  <w:gridSpan w:val="7"/>
                  <w:vAlign w:val="center"/>
                </w:tcPr>
                <w:p>
                  <w:pPr>
                    <w:keepNext w:val="0"/>
                    <w:keepLines w:val="0"/>
                    <w:widowControl/>
                    <w:suppressLineNumbers w:val="0"/>
                    <w:adjustRightInd w:val="0"/>
                    <w:snapToGrid w:val="0"/>
                    <w:spacing w:before="0" w:beforeAutospacing="0" w:after="0" w:afterAutospacing="0" w:line="240" w:lineRule="auto"/>
                    <w:ind w:left="0" w:right="0" w:firstLine="480"/>
                    <w:jc w:val="center"/>
                  </w:pPr>
                  <w:r>
                    <w:t>赤鹫大桥断面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pH</w:t>
                  </w:r>
                </w:p>
              </w:tc>
              <w:tc>
                <w:tcPr>
                  <w:tcW w:w="170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6.93~8.22</w:t>
                  </w:r>
                </w:p>
              </w:tc>
              <w:tc>
                <w:tcPr>
                  <w:tcW w:w="964"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7.60</w:t>
                  </w:r>
                </w:p>
              </w:tc>
              <w:tc>
                <w:tcPr>
                  <w:tcW w:w="139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6~9</w:t>
                  </w:r>
                </w:p>
              </w:tc>
              <w:tc>
                <w:tcPr>
                  <w:tcW w:w="103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w:t>
                  </w:r>
                </w:p>
              </w:tc>
              <w:tc>
                <w:tcPr>
                  <w:tcW w:w="112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w:t>
                  </w:r>
                </w:p>
              </w:tc>
              <w:tc>
                <w:tcPr>
                  <w:tcW w:w="1050"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溶解氧</w:t>
                  </w:r>
                </w:p>
              </w:tc>
              <w:tc>
                <w:tcPr>
                  <w:tcW w:w="170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5.5~9.1</w:t>
                  </w:r>
                </w:p>
              </w:tc>
              <w:tc>
                <w:tcPr>
                  <w:tcW w:w="964"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6.8</w:t>
                  </w:r>
                </w:p>
              </w:tc>
              <w:tc>
                <w:tcPr>
                  <w:tcW w:w="139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3</w:t>
                  </w:r>
                </w:p>
              </w:tc>
              <w:tc>
                <w:tcPr>
                  <w:tcW w:w="103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w:t>
                  </w:r>
                </w:p>
              </w:tc>
              <w:tc>
                <w:tcPr>
                  <w:tcW w:w="112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w:t>
                  </w:r>
                </w:p>
              </w:tc>
              <w:tc>
                <w:tcPr>
                  <w:tcW w:w="1050"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COD</w:t>
                  </w:r>
                </w:p>
              </w:tc>
              <w:tc>
                <w:tcPr>
                  <w:tcW w:w="170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23~50</w:t>
                  </w:r>
                </w:p>
              </w:tc>
              <w:tc>
                <w:tcPr>
                  <w:tcW w:w="964"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31.42</w:t>
                  </w:r>
                </w:p>
              </w:tc>
              <w:tc>
                <w:tcPr>
                  <w:tcW w:w="139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30</w:t>
                  </w:r>
                </w:p>
              </w:tc>
              <w:tc>
                <w:tcPr>
                  <w:tcW w:w="103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50</w:t>
                  </w:r>
                </w:p>
              </w:tc>
              <w:tc>
                <w:tcPr>
                  <w:tcW w:w="112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0.67</w:t>
                  </w:r>
                </w:p>
              </w:tc>
              <w:tc>
                <w:tcPr>
                  <w:tcW w:w="1050"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超标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BOD5</w:t>
                  </w:r>
                </w:p>
              </w:tc>
              <w:tc>
                <w:tcPr>
                  <w:tcW w:w="170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3.4~9</w:t>
                  </w:r>
                </w:p>
              </w:tc>
              <w:tc>
                <w:tcPr>
                  <w:tcW w:w="964"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5.47</w:t>
                  </w:r>
                </w:p>
              </w:tc>
              <w:tc>
                <w:tcPr>
                  <w:tcW w:w="139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6</w:t>
                  </w:r>
                </w:p>
              </w:tc>
              <w:tc>
                <w:tcPr>
                  <w:tcW w:w="103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33.33</w:t>
                  </w:r>
                </w:p>
              </w:tc>
              <w:tc>
                <w:tcPr>
                  <w:tcW w:w="112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0.50</w:t>
                  </w:r>
                </w:p>
              </w:tc>
              <w:tc>
                <w:tcPr>
                  <w:tcW w:w="1050"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超标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氨氮</w:t>
                  </w:r>
                </w:p>
              </w:tc>
              <w:tc>
                <w:tcPr>
                  <w:tcW w:w="170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0.15~1.344</w:t>
                  </w:r>
                </w:p>
              </w:tc>
              <w:tc>
                <w:tcPr>
                  <w:tcW w:w="964"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0.71</w:t>
                  </w:r>
                </w:p>
              </w:tc>
              <w:tc>
                <w:tcPr>
                  <w:tcW w:w="139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1.5</w:t>
                  </w:r>
                </w:p>
              </w:tc>
              <w:tc>
                <w:tcPr>
                  <w:tcW w:w="103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w:t>
                  </w:r>
                </w:p>
              </w:tc>
              <w:tc>
                <w:tcPr>
                  <w:tcW w:w="112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w:t>
                  </w:r>
                </w:p>
              </w:tc>
              <w:tc>
                <w:tcPr>
                  <w:tcW w:w="1050"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总磷</w:t>
                  </w:r>
                </w:p>
              </w:tc>
              <w:tc>
                <w:tcPr>
                  <w:tcW w:w="170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0.42~1.48</w:t>
                  </w:r>
                </w:p>
              </w:tc>
              <w:tc>
                <w:tcPr>
                  <w:tcW w:w="964"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0.65</w:t>
                  </w:r>
                </w:p>
              </w:tc>
              <w:tc>
                <w:tcPr>
                  <w:tcW w:w="1395" w:type="dxa"/>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pPr>
                  <w:r>
                    <w:t>0.3</w:t>
                  </w:r>
                </w:p>
              </w:tc>
              <w:tc>
                <w:tcPr>
                  <w:tcW w:w="103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100</w:t>
                  </w:r>
                </w:p>
              </w:tc>
              <w:tc>
                <w:tcPr>
                  <w:tcW w:w="112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3.93</w:t>
                  </w:r>
                </w:p>
              </w:tc>
              <w:tc>
                <w:tcPr>
                  <w:tcW w:w="1050"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超标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pPr>
                  <w:r>
                    <w:t>石油类</w:t>
                  </w:r>
                </w:p>
              </w:tc>
              <w:tc>
                <w:tcPr>
                  <w:tcW w:w="1701"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0.02~0.35</w:t>
                  </w:r>
                </w:p>
              </w:tc>
              <w:tc>
                <w:tcPr>
                  <w:tcW w:w="964"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0.17</w:t>
                  </w:r>
                </w:p>
              </w:tc>
              <w:tc>
                <w:tcPr>
                  <w:tcW w:w="139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0.5</w:t>
                  </w:r>
                </w:p>
              </w:tc>
              <w:tc>
                <w:tcPr>
                  <w:tcW w:w="103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w:t>
                  </w:r>
                </w:p>
              </w:tc>
              <w:tc>
                <w:tcPr>
                  <w:tcW w:w="1125"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0</w:t>
                  </w:r>
                </w:p>
              </w:tc>
              <w:tc>
                <w:tcPr>
                  <w:tcW w:w="1050" w:type="dxa"/>
                  <w:vAlign w:val="center"/>
                </w:tcPr>
                <w:p>
                  <w:pPr>
                    <w:keepNext w:val="0"/>
                    <w:keepLines w:val="0"/>
                    <w:widowControl/>
                    <w:suppressLineNumbers w:val="0"/>
                    <w:adjustRightInd w:val="0"/>
                    <w:snapToGrid w:val="0"/>
                    <w:spacing w:before="0" w:beforeAutospacing="0" w:after="0" w:afterAutospacing="0" w:line="240" w:lineRule="auto"/>
                    <w:ind w:left="0" w:right="0" w:firstLine="0" w:firstLineChars="0"/>
                    <w:jc w:val="center"/>
                  </w:pPr>
                  <w:r>
                    <w:t>达标</w:t>
                  </w:r>
                </w:p>
              </w:tc>
            </w:tr>
          </w:tbl>
          <w:p>
            <w:pPr>
              <w:keepNext w:val="0"/>
              <w:keepLines w:val="0"/>
              <w:suppressLineNumbers w:val="0"/>
              <w:adjustRightInd w:val="0"/>
              <w:snapToGrid w:val="0"/>
              <w:spacing w:before="0" w:beforeAutospacing="0" w:after="0" w:afterAutospacing="0"/>
              <w:ind w:left="0" w:right="0" w:firstLine="480"/>
              <w:jc w:val="both"/>
            </w:pPr>
            <w:r>
              <w:t>由上表可以看出，螳螂川水质不能达到GB3838-2002《地表水环境质量标准》IV类水标准要求，超标污染物为COD、BOD5、氨氮、总磷，项目区域地表水体属于不达标区域，超标成因是由于螳螂川流域上游企业及居民污水造成的入境断面超标。</w:t>
            </w:r>
          </w:p>
          <w:p>
            <w:pPr>
              <w:keepNext w:val="0"/>
              <w:keepLines w:val="0"/>
              <w:suppressLineNumbers w:val="0"/>
              <w:adjustRightInd w:val="0"/>
              <w:snapToGrid w:val="0"/>
              <w:spacing w:before="0" w:beforeAutospacing="0" w:after="0" w:afterAutospacing="0"/>
              <w:ind w:left="0" w:right="113" w:rightChars="47" w:firstLine="480"/>
              <w:jc w:val="both"/>
            </w:pPr>
            <w:r>
              <w:rPr>
                <w:rFonts w:hint="eastAsia"/>
              </w:rPr>
              <w:t>3、地下水环境</w:t>
            </w:r>
          </w:p>
          <w:p>
            <w:pPr>
              <w:pStyle w:val="2"/>
              <w:keepNext w:val="0"/>
              <w:keepLines w:val="0"/>
              <w:suppressLineNumbers w:val="0"/>
              <w:spacing w:before="0" w:beforeAutospacing="0" w:after="0" w:afterAutospacing="0"/>
              <w:ind w:left="0" w:right="0" w:firstLine="480"/>
              <w:jc w:val="both"/>
            </w:pPr>
            <w:r>
              <w:t>本项目为《环境影响评价技术导则地下水环境》（HJ610-2016）中的规定的IV类建设项目，不开展地下水环境影响评价。</w:t>
            </w:r>
          </w:p>
          <w:p>
            <w:pPr>
              <w:keepNext w:val="0"/>
              <w:keepLines w:val="0"/>
              <w:suppressLineNumbers w:val="0"/>
              <w:adjustRightInd w:val="0"/>
              <w:snapToGrid w:val="0"/>
              <w:spacing w:before="0" w:beforeAutospacing="0" w:after="0" w:afterAutospacing="0"/>
              <w:ind w:left="0" w:right="113" w:rightChars="47" w:firstLine="480"/>
              <w:jc w:val="both"/>
            </w:pPr>
            <w:r>
              <w:rPr>
                <w:rFonts w:hint="eastAsia"/>
              </w:rPr>
              <w:t>4</w:t>
            </w:r>
            <w:r>
              <w:t>、声环境质量现状</w:t>
            </w:r>
          </w:p>
          <w:p>
            <w:pPr>
              <w:keepNext w:val="0"/>
              <w:keepLines w:val="0"/>
              <w:suppressLineNumbers w:val="0"/>
              <w:spacing w:before="0" w:beforeAutospacing="0" w:after="0" w:afterAutospacing="0"/>
              <w:ind w:left="0" w:right="0" w:firstLine="480"/>
              <w:jc w:val="both"/>
            </w:pPr>
            <w:bookmarkStart w:id="66" w:name="OLE_LINK36"/>
            <w:r>
              <w:t>项目地处富民县工业园区，属规划工业园区，执行《声环境质量标准》（GB3096-2008）3类标准</w:t>
            </w:r>
            <w:r>
              <w:rPr>
                <w:rFonts w:hint="eastAsia"/>
              </w:rPr>
              <w:t>，</w:t>
            </w:r>
            <w:r>
              <w:t>即昼间≤65dB（A）、夜间≤55dB（A），</w:t>
            </w:r>
            <w:r>
              <w:rPr>
                <w:rFonts w:hint="eastAsia"/>
              </w:rPr>
              <w:t>项目</w:t>
            </w:r>
            <w:r>
              <w:t>东厂界距离</w:t>
            </w:r>
            <w:r>
              <w:rPr>
                <w:rFonts w:hint="eastAsia"/>
              </w:rPr>
              <w:t>108国道5m，执行4a类标准。为了解项目区声环境质量现状，建设单位委托云南中科检测技术有限公司于2020年10月4日至15日对项目区厂界噪声进行监测</w:t>
            </w:r>
            <w:r>
              <w:t>。</w:t>
            </w:r>
          </w:p>
          <w:p>
            <w:pPr>
              <w:keepNext w:val="0"/>
              <w:keepLines w:val="0"/>
              <w:suppressLineNumbers w:val="0"/>
              <w:spacing w:before="0" w:beforeAutospacing="0" w:after="0" w:afterAutospacing="0"/>
              <w:ind w:left="0" w:right="0" w:firstLine="480"/>
              <w:jc w:val="both"/>
            </w:pPr>
            <w:r>
              <w:rPr>
                <w:rFonts w:hint="eastAsia"/>
              </w:rPr>
              <w:t>监测项目：等效连续A声级（LAeq）；</w:t>
            </w:r>
          </w:p>
          <w:p>
            <w:pPr>
              <w:keepNext w:val="0"/>
              <w:keepLines w:val="0"/>
              <w:suppressLineNumbers w:val="0"/>
              <w:spacing w:before="0" w:beforeAutospacing="0" w:after="0" w:afterAutospacing="0"/>
              <w:ind w:left="0" w:right="0" w:firstLine="480"/>
              <w:jc w:val="both"/>
            </w:pPr>
            <w:r>
              <w:rPr>
                <w:rFonts w:hint="eastAsia"/>
              </w:rPr>
              <w:t>监测时间及频率：有效监测天数两天，昼间、夜间各一次；</w:t>
            </w:r>
          </w:p>
          <w:p>
            <w:pPr>
              <w:keepNext w:val="0"/>
              <w:keepLines w:val="0"/>
              <w:suppressLineNumbers w:val="0"/>
              <w:spacing w:before="0" w:beforeAutospacing="0" w:after="0" w:afterAutospacing="0"/>
              <w:ind w:left="0" w:right="0" w:firstLine="480"/>
              <w:jc w:val="both"/>
            </w:pPr>
            <w:r>
              <w:rPr>
                <w:rFonts w:hint="eastAsia"/>
              </w:rPr>
              <w:t>监测布点：本项目东、南、西、北厂界个设置一个监测点；</w:t>
            </w:r>
          </w:p>
          <w:p>
            <w:pPr>
              <w:keepNext w:val="0"/>
              <w:keepLines w:val="0"/>
              <w:suppressLineNumbers w:val="0"/>
              <w:spacing w:before="0" w:beforeAutospacing="0" w:after="0" w:afterAutospacing="0"/>
              <w:ind w:left="0" w:right="0" w:firstLine="480"/>
              <w:jc w:val="both"/>
            </w:pPr>
            <w:r>
              <w:rPr>
                <w:rFonts w:hint="eastAsia"/>
              </w:rPr>
              <w:t>监测结果见表3-4，检测报告及监测点位见附件4；</w:t>
            </w:r>
          </w:p>
          <w:p>
            <w:pPr>
              <w:pStyle w:val="25"/>
              <w:keepNext w:val="0"/>
              <w:keepLines w:val="0"/>
              <w:suppressLineNumbers w:val="0"/>
              <w:spacing w:before="0" w:beforeAutospacing="0" w:after="0" w:afterAutospacing="0" w:line="240" w:lineRule="auto"/>
              <w:ind w:left="0" w:right="0"/>
            </w:pPr>
            <w:r>
              <w:rPr>
                <w:rFonts w:hint="eastAsia"/>
              </w:rPr>
              <w:t>表3-4 噪声检测结果  单位：</w:t>
            </w:r>
            <w:r>
              <w:t>(dB（A）)</w:t>
            </w:r>
          </w:p>
          <w:tbl>
            <w:tblPr>
              <w:tblStyle w:val="18"/>
              <w:tblW w:w="4995"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93"/>
              <w:gridCol w:w="1162"/>
              <w:gridCol w:w="1167"/>
              <w:gridCol w:w="1065"/>
              <w:gridCol w:w="1766"/>
              <w:gridCol w:w="141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4" w:hRule="atLeast"/>
              </w:trPr>
              <w:tc>
                <w:tcPr>
                  <w:tcW w:w="1023" w:type="pct"/>
                  <w:vMerge w:val="restart"/>
                  <w:noWrap/>
                  <w:vAlign w:val="center"/>
                </w:tcPr>
                <w:p>
                  <w:pPr>
                    <w:pStyle w:val="26"/>
                    <w:keepNext w:val="0"/>
                    <w:keepLines w:val="0"/>
                    <w:suppressLineNumbers w:val="0"/>
                    <w:spacing w:before="0" w:beforeAutospacing="0" w:after="0" w:afterAutospacing="0"/>
                    <w:ind w:left="0" w:right="0"/>
                    <w:rPr>
                      <w:color w:val="auto"/>
                    </w:rPr>
                  </w:pPr>
                  <w:r>
                    <w:rPr>
                      <w:color w:val="auto"/>
                    </w:rPr>
                    <w:t>检测点位</w:t>
                  </w:r>
                </w:p>
              </w:tc>
              <w:tc>
                <w:tcPr>
                  <w:tcW w:w="703" w:type="pct"/>
                  <w:vMerge w:val="restart"/>
                  <w:noWrap/>
                  <w:vAlign w:val="center"/>
                </w:tcPr>
                <w:p>
                  <w:pPr>
                    <w:pStyle w:val="26"/>
                    <w:keepNext w:val="0"/>
                    <w:keepLines w:val="0"/>
                    <w:suppressLineNumbers w:val="0"/>
                    <w:spacing w:before="0" w:beforeAutospacing="0" w:after="0" w:afterAutospacing="0"/>
                    <w:ind w:left="0" w:right="0"/>
                    <w:rPr>
                      <w:color w:val="auto"/>
                    </w:rPr>
                  </w:pPr>
                  <w:r>
                    <w:rPr>
                      <w:color w:val="auto"/>
                    </w:rPr>
                    <w:t>检测日期</w:t>
                  </w:r>
                </w:p>
              </w:tc>
              <w:tc>
                <w:tcPr>
                  <w:tcW w:w="706" w:type="pct"/>
                  <w:noWrap/>
                  <w:vAlign w:val="center"/>
                </w:tcPr>
                <w:p>
                  <w:pPr>
                    <w:pStyle w:val="26"/>
                    <w:keepNext w:val="0"/>
                    <w:keepLines w:val="0"/>
                    <w:suppressLineNumbers w:val="0"/>
                    <w:spacing w:before="0" w:beforeAutospacing="0" w:after="0" w:afterAutospacing="0"/>
                    <w:ind w:left="0" w:right="0"/>
                    <w:rPr>
                      <w:color w:val="auto"/>
                    </w:rPr>
                  </w:pPr>
                  <w:r>
                    <w:rPr>
                      <w:color w:val="auto"/>
                    </w:rPr>
                    <w:t>检测</w:t>
                  </w:r>
                  <w:r>
                    <w:rPr>
                      <w:rFonts w:hint="eastAsia"/>
                      <w:color w:val="auto"/>
                    </w:rPr>
                    <w:t>时段</w:t>
                  </w:r>
                </w:p>
              </w:tc>
              <w:tc>
                <w:tcPr>
                  <w:tcW w:w="644" w:type="pct"/>
                  <w:noWrap/>
                  <w:vAlign w:val="center"/>
                </w:tcPr>
                <w:p>
                  <w:pPr>
                    <w:pStyle w:val="26"/>
                    <w:keepNext w:val="0"/>
                    <w:keepLines w:val="0"/>
                    <w:suppressLineNumbers w:val="0"/>
                    <w:spacing w:before="0" w:beforeAutospacing="0" w:after="0" w:afterAutospacing="0"/>
                    <w:ind w:left="0" w:right="0"/>
                    <w:rPr>
                      <w:color w:val="auto"/>
                    </w:rPr>
                  </w:pPr>
                  <w:r>
                    <w:rPr>
                      <w:color w:val="auto"/>
                    </w:rPr>
                    <w:t>检测</w:t>
                  </w:r>
                  <w:r>
                    <w:rPr>
                      <w:rFonts w:hint="eastAsia"/>
                      <w:color w:val="auto"/>
                    </w:rPr>
                    <w:t>结果</w:t>
                  </w:r>
                </w:p>
              </w:tc>
              <w:tc>
                <w:tcPr>
                  <w:tcW w:w="1068" w:type="pct"/>
                  <w:noWrap/>
                  <w:vAlign w:val="center"/>
                </w:tcPr>
                <w:p>
                  <w:pPr>
                    <w:pStyle w:val="26"/>
                    <w:keepNext w:val="0"/>
                    <w:keepLines w:val="0"/>
                    <w:suppressLineNumbers w:val="0"/>
                    <w:spacing w:before="0" w:beforeAutospacing="0" w:after="0" w:afterAutospacing="0"/>
                    <w:ind w:left="0" w:right="0"/>
                    <w:rPr>
                      <w:color w:val="auto"/>
                    </w:rPr>
                  </w:pPr>
                  <w:r>
                    <w:rPr>
                      <w:rFonts w:hint="eastAsia"/>
                      <w:color w:val="auto"/>
                    </w:rPr>
                    <w:t>标准值</w:t>
                  </w:r>
                </w:p>
              </w:tc>
              <w:tc>
                <w:tcPr>
                  <w:tcW w:w="856" w:type="pct"/>
                  <w:noWrap/>
                  <w:vAlign w:val="center"/>
                </w:tcPr>
                <w:p>
                  <w:pPr>
                    <w:pStyle w:val="26"/>
                    <w:keepNext w:val="0"/>
                    <w:keepLines w:val="0"/>
                    <w:suppressLineNumbers w:val="0"/>
                    <w:spacing w:before="0" w:beforeAutospacing="0" w:after="0" w:afterAutospacing="0"/>
                    <w:ind w:left="0" w:right="0"/>
                    <w:rPr>
                      <w:color w:val="auto"/>
                    </w:rPr>
                  </w:pPr>
                  <w:r>
                    <w:rPr>
                      <w:rFonts w:hint="eastAsia"/>
                      <w:color w:val="auto"/>
                    </w:rPr>
                    <w:t>达标情况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2" w:hRule="atLeast"/>
              </w:trPr>
              <w:tc>
                <w:tcPr>
                  <w:tcW w:w="1023" w:type="pct"/>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厂界东</w:t>
                  </w:r>
                </w:p>
              </w:tc>
              <w:tc>
                <w:tcPr>
                  <w:tcW w:w="703" w:type="pct"/>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2020.10.4</w:t>
                  </w:r>
                </w:p>
              </w:tc>
              <w:tc>
                <w:tcPr>
                  <w:tcW w:w="70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昼间</w:t>
                  </w:r>
                </w:p>
              </w:tc>
              <w:tc>
                <w:tcPr>
                  <w:tcW w:w="644"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62.9</w:t>
                  </w:r>
                </w:p>
              </w:tc>
              <w:tc>
                <w:tcPr>
                  <w:tcW w:w="1068" w:type="pct"/>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厂界西、南、北：</w:t>
                  </w:r>
                </w:p>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昼间：65</w:t>
                  </w:r>
                </w:p>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夜间：55</w:t>
                  </w:r>
                </w:p>
                <w:p>
                  <w:pPr>
                    <w:keepNext w:val="0"/>
                    <w:keepLines w:val="0"/>
                    <w:suppressLineNumbers w:val="0"/>
                    <w:spacing w:before="0" w:beforeAutospacing="0" w:after="0" w:afterAutospacing="0" w:line="240" w:lineRule="auto"/>
                    <w:ind w:left="0" w:right="0" w:firstLine="480"/>
                    <w:jc w:val="center"/>
                  </w:pPr>
                </w:p>
                <w:p>
                  <w:pPr>
                    <w:keepNext w:val="0"/>
                    <w:keepLines w:val="0"/>
                    <w:suppressLineNumbers w:val="0"/>
                    <w:spacing w:before="0" w:beforeAutospacing="0" w:after="0" w:afterAutospacing="0" w:line="240" w:lineRule="auto"/>
                    <w:ind w:left="0" w:right="0" w:firstLine="480"/>
                    <w:jc w:val="center"/>
                  </w:pPr>
                  <w:r>
                    <w:t>厂界东</w:t>
                  </w:r>
                  <w:r>
                    <w:rPr>
                      <w:rFonts w:hint="eastAsia"/>
                    </w:rPr>
                    <w:t>：</w:t>
                  </w:r>
                </w:p>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昼间：70</w:t>
                  </w:r>
                </w:p>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夜间：55</w:t>
                  </w:r>
                </w:p>
                <w:p>
                  <w:pPr>
                    <w:pStyle w:val="2"/>
                    <w:keepNext w:val="0"/>
                    <w:keepLines w:val="0"/>
                    <w:suppressLineNumbers w:val="0"/>
                    <w:spacing w:before="0" w:beforeAutospacing="0" w:after="0" w:afterAutospacing="0" w:line="240" w:lineRule="auto"/>
                    <w:ind w:left="0" w:right="0" w:firstLine="480"/>
                    <w:jc w:val="center"/>
                  </w:pPr>
                </w:p>
              </w:tc>
              <w:tc>
                <w:tcPr>
                  <w:tcW w:w="85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023"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703"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70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夜间</w:t>
                  </w:r>
                </w:p>
              </w:tc>
              <w:tc>
                <w:tcPr>
                  <w:tcW w:w="644"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53.6</w:t>
                  </w:r>
                </w:p>
              </w:tc>
              <w:tc>
                <w:tcPr>
                  <w:tcW w:w="106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23" w:type="pct"/>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厂界南</w:t>
                  </w:r>
                </w:p>
              </w:tc>
              <w:tc>
                <w:tcPr>
                  <w:tcW w:w="703"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70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昼间</w:t>
                  </w:r>
                </w:p>
              </w:tc>
              <w:tc>
                <w:tcPr>
                  <w:tcW w:w="644"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54.1</w:t>
                  </w:r>
                </w:p>
              </w:tc>
              <w:tc>
                <w:tcPr>
                  <w:tcW w:w="106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23"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703"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70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夜间</w:t>
                  </w:r>
                </w:p>
              </w:tc>
              <w:tc>
                <w:tcPr>
                  <w:tcW w:w="644"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46.1</w:t>
                  </w:r>
                </w:p>
              </w:tc>
              <w:tc>
                <w:tcPr>
                  <w:tcW w:w="106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23" w:type="pct"/>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厂界西</w:t>
                  </w:r>
                </w:p>
              </w:tc>
              <w:tc>
                <w:tcPr>
                  <w:tcW w:w="703"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70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昼间</w:t>
                  </w:r>
                </w:p>
              </w:tc>
              <w:tc>
                <w:tcPr>
                  <w:tcW w:w="644"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52.0</w:t>
                  </w:r>
                </w:p>
              </w:tc>
              <w:tc>
                <w:tcPr>
                  <w:tcW w:w="106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23"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703"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70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夜间</w:t>
                  </w:r>
                </w:p>
              </w:tc>
              <w:tc>
                <w:tcPr>
                  <w:tcW w:w="644"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44.7</w:t>
                  </w:r>
                </w:p>
              </w:tc>
              <w:tc>
                <w:tcPr>
                  <w:tcW w:w="106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23" w:type="pct"/>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厂界北</w:t>
                  </w:r>
                </w:p>
              </w:tc>
              <w:tc>
                <w:tcPr>
                  <w:tcW w:w="703"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70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昼间</w:t>
                  </w:r>
                </w:p>
              </w:tc>
              <w:tc>
                <w:tcPr>
                  <w:tcW w:w="644"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56.2</w:t>
                  </w:r>
                </w:p>
              </w:tc>
              <w:tc>
                <w:tcPr>
                  <w:tcW w:w="106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23"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703"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70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夜间</w:t>
                  </w:r>
                </w:p>
              </w:tc>
              <w:tc>
                <w:tcPr>
                  <w:tcW w:w="644"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45.5</w:t>
                  </w:r>
                </w:p>
              </w:tc>
              <w:tc>
                <w:tcPr>
                  <w:tcW w:w="106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23" w:type="pct"/>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厂界东</w:t>
                  </w:r>
                </w:p>
              </w:tc>
              <w:tc>
                <w:tcPr>
                  <w:tcW w:w="703" w:type="pct"/>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2020.10.5</w:t>
                  </w:r>
                </w:p>
              </w:tc>
              <w:tc>
                <w:tcPr>
                  <w:tcW w:w="70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昼间</w:t>
                  </w:r>
                </w:p>
              </w:tc>
              <w:tc>
                <w:tcPr>
                  <w:tcW w:w="644"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61.4</w:t>
                  </w:r>
                </w:p>
              </w:tc>
              <w:tc>
                <w:tcPr>
                  <w:tcW w:w="106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23"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703"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70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夜间</w:t>
                  </w:r>
                </w:p>
              </w:tc>
              <w:tc>
                <w:tcPr>
                  <w:tcW w:w="644"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51.5</w:t>
                  </w:r>
                </w:p>
              </w:tc>
              <w:tc>
                <w:tcPr>
                  <w:tcW w:w="106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23" w:type="pct"/>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厂界南</w:t>
                  </w:r>
                </w:p>
              </w:tc>
              <w:tc>
                <w:tcPr>
                  <w:tcW w:w="703"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70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昼间</w:t>
                  </w:r>
                </w:p>
              </w:tc>
              <w:tc>
                <w:tcPr>
                  <w:tcW w:w="644"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54.9</w:t>
                  </w:r>
                </w:p>
              </w:tc>
              <w:tc>
                <w:tcPr>
                  <w:tcW w:w="106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23"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703"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70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夜间</w:t>
                  </w:r>
                </w:p>
              </w:tc>
              <w:tc>
                <w:tcPr>
                  <w:tcW w:w="644"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44.5</w:t>
                  </w:r>
                </w:p>
              </w:tc>
              <w:tc>
                <w:tcPr>
                  <w:tcW w:w="106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23" w:type="pct"/>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厂界西</w:t>
                  </w:r>
                </w:p>
              </w:tc>
              <w:tc>
                <w:tcPr>
                  <w:tcW w:w="703"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70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昼间</w:t>
                  </w:r>
                </w:p>
              </w:tc>
              <w:tc>
                <w:tcPr>
                  <w:tcW w:w="644"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53.1</w:t>
                  </w:r>
                </w:p>
              </w:tc>
              <w:tc>
                <w:tcPr>
                  <w:tcW w:w="106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23"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703"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70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夜间</w:t>
                  </w:r>
                </w:p>
              </w:tc>
              <w:tc>
                <w:tcPr>
                  <w:tcW w:w="644"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43.3</w:t>
                  </w:r>
                </w:p>
              </w:tc>
              <w:tc>
                <w:tcPr>
                  <w:tcW w:w="106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23" w:type="pct"/>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厂界北</w:t>
                  </w:r>
                </w:p>
              </w:tc>
              <w:tc>
                <w:tcPr>
                  <w:tcW w:w="703"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70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昼间</w:t>
                  </w:r>
                </w:p>
              </w:tc>
              <w:tc>
                <w:tcPr>
                  <w:tcW w:w="644"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57.7</w:t>
                  </w:r>
                </w:p>
              </w:tc>
              <w:tc>
                <w:tcPr>
                  <w:tcW w:w="106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23"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703"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70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夜间</w:t>
                  </w:r>
                </w:p>
              </w:tc>
              <w:tc>
                <w:tcPr>
                  <w:tcW w:w="644"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46.6</w:t>
                  </w:r>
                </w:p>
              </w:tc>
              <w:tc>
                <w:tcPr>
                  <w:tcW w:w="1068"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85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达标</w:t>
                  </w:r>
                </w:p>
              </w:tc>
            </w:tr>
            <w:bookmarkEnd w:id="66"/>
          </w:tbl>
          <w:p>
            <w:pPr>
              <w:keepNext w:val="0"/>
              <w:keepLines w:val="0"/>
              <w:widowControl/>
              <w:suppressLineNumbers w:val="0"/>
              <w:adjustRightInd w:val="0"/>
              <w:snapToGrid w:val="0"/>
              <w:spacing w:before="240" w:beforeAutospacing="0" w:after="0" w:afterAutospacing="0"/>
              <w:ind w:left="0" w:right="0" w:firstLine="480"/>
              <w:jc w:val="both"/>
            </w:pPr>
            <w:r>
              <w:rPr>
                <w:rFonts w:hint="eastAsia"/>
              </w:rPr>
              <w:t>根据检测结果，</w:t>
            </w:r>
            <w:r>
              <w:rPr>
                <w:lang w:val="sq-AL"/>
              </w:rPr>
              <w:t>项目西</w:t>
            </w:r>
            <w:r>
              <w:rPr>
                <w:rFonts w:hint="eastAsia"/>
                <w:lang w:val="sq-AL"/>
              </w:rPr>
              <w:t>、</w:t>
            </w:r>
            <w:r>
              <w:rPr>
                <w:lang w:val="sq-AL"/>
              </w:rPr>
              <w:t>北</w:t>
            </w:r>
            <w:r>
              <w:rPr>
                <w:rFonts w:hint="eastAsia"/>
                <w:lang w:val="sq-AL"/>
              </w:rPr>
              <w:t>、</w:t>
            </w:r>
            <w:r>
              <w:rPr>
                <w:lang w:val="sq-AL"/>
              </w:rPr>
              <w:t>南厂界声环境现状质量可以满足</w:t>
            </w:r>
            <w:r>
              <w:t>《声环境质量标准》（GB3096-2008）3类标准</w:t>
            </w:r>
            <w:r>
              <w:rPr>
                <w:rFonts w:hint="eastAsia"/>
              </w:rPr>
              <w:t>，</w:t>
            </w:r>
            <w:r>
              <w:t>东厂界可以满足《声环境质量标准》（GB3096-2008）</w:t>
            </w:r>
            <w:r>
              <w:rPr>
                <w:rFonts w:hint="eastAsia"/>
              </w:rPr>
              <w:t>4a</w:t>
            </w:r>
            <w:r>
              <w:t>类标准。</w:t>
            </w:r>
          </w:p>
          <w:p>
            <w:pPr>
              <w:keepNext w:val="0"/>
              <w:keepLines w:val="0"/>
              <w:suppressLineNumbers w:val="0"/>
              <w:adjustRightInd w:val="0"/>
              <w:snapToGrid w:val="0"/>
              <w:spacing w:before="0" w:beforeAutospacing="0" w:after="0" w:afterAutospacing="0"/>
              <w:ind w:left="0" w:right="0" w:firstLine="480"/>
              <w:jc w:val="both"/>
            </w:pPr>
            <w:r>
              <w:rPr>
                <w:rFonts w:hint="eastAsia"/>
              </w:rPr>
              <w:t>5</w:t>
            </w:r>
            <w:r>
              <w:t>、生态环境现状</w:t>
            </w:r>
          </w:p>
          <w:p>
            <w:pPr>
              <w:keepNext w:val="0"/>
              <w:keepLines w:val="0"/>
              <w:suppressLineNumbers w:val="0"/>
              <w:spacing w:before="0" w:beforeAutospacing="0" w:after="0" w:afterAutospacing="0"/>
              <w:ind w:left="0" w:right="0" w:firstLine="480"/>
              <w:jc w:val="both"/>
              <w:rPr>
                <w:lang w:val="zh-CN"/>
              </w:rPr>
            </w:pPr>
            <w:bookmarkStart w:id="67" w:name="OLE_LINK37"/>
            <w:r>
              <w:rPr>
                <w:lang w:val="zh-CN"/>
              </w:rPr>
              <w:t>项目位于富民工业园区，由于受人为活动影响，已无原生植被</w:t>
            </w:r>
            <w:bookmarkEnd w:id="67"/>
            <w:r>
              <w:rPr>
                <w:lang w:val="zh-CN"/>
              </w:rPr>
              <w:t>。</w:t>
            </w:r>
          </w:p>
          <w:p>
            <w:pPr>
              <w:pStyle w:val="2"/>
              <w:keepNext w:val="0"/>
              <w:keepLines w:val="0"/>
              <w:suppressLineNumbers w:val="0"/>
              <w:spacing w:before="0" w:beforeAutospacing="0" w:after="0" w:afterAutospacing="0"/>
              <w:ind w:left="0" w:right="0" w:firstLine="480"/>
              <w:jc w:val="both"/>
              <w:rPr>
                <w:lang w:val="zh-CN"/>
              </w:rPr>
            </w:pPr>
            <w:r>
              <w:rPr>
                <w:rFonts w:hint="eastAsia"/>
                <w:lang w:val="zh-CN"/>
              </w:rPr>
              <w:t>6、土壤环境</w:t>
            </w:r>
          </w:p>
          <w:p>
            <w:pPr>
              <w:keepNext w:val="0"/>
              <w:keepLines w:val="0"/>
              <w:suppressLineNumbers w:val="0"/>
              <w:spacing w:before="0" w:beforeAutospacing="0" w:after="0" w:afterAutospacing="0"/>
              <w:ind w:left="0" w:right="0" w:firstLine="480"/>
              <w:jc w:val="both"/>
              <w:rPr>
                <w:lang w:val="zh-CN"/>
              </w:rPr>
            </w:pPr>
            <w:r>
              <w:t>本项目为污染影响型项目</w:t>
            </w:r>
            <w:r>
              <w:rPr>
                <w:rFonts w:hint="eastAsia"/>
              </w:rPr>
              <w:t>，</w:t>
            </w:r>
            <w:r>
              <w:t>《环境影响技术导则 土壤环境2018（试行）》表A.1中</w:t>
            </w:r>
            <w:r>
              <w:fldChar w:fldCharType="begin"/>
            </w:r>
            <w:r>
              <w:instrText xml:space="preserve"> = 3 \* ROMAN </w:instrText>
            </w:r>
            <w:r>
              <w:fldChar w:fldCharType="separate"/>
            </w:r>
            <w:r>
              <w:t>III</w:t>
            </w:r>
            <w:r>
              <w:fldChar w:fldCharType="end"/>
            </w:r>
            <w:r>
              <w:t>类项目</w:t>
            </w:r>
            <w:r>
              <w:rPr>
                <w:rFonts w:hint="eastAsia"/>
              </w:rPr>
              <w:t>，</w:t>
            </w:r>
            <w:r>
              <w:t>占地规模为小型</w:t>
            </w:r>
            <w:r>
              <w:rPr>
                <w:rFonts w:hint="eastAsia"/>
              </w:rPr>
              <w:t>，土壤环境敏感程度为不敏感，根据导则评价等级划分情况，本项目可不开展土壤环境评价。</w:t>
            </w:r>
          </w:p>
          <w:p>
            <w:pPr>
              <w:keepNext w:val="0"/>
              <w:keepLines w:val="0"/>
              <w:suppressLineNumbers w:val="0"/>
              <w:spacing w:before="0" w:beforeAutospacing="0" w:after="0" w:afterAutospacing="0"/>
              <w:ind w:left="0" w:right="0" w:firstLine="480"/>
              <w:jc w:val="both"/>
            </w:pPr>
            <w:r>
              <w:rPr>
                <w:rFonts w:hint="eastAsia"/>
              </w:rPr>
              <w:t>7</w:t>
            </w:r>
            <w:r>
              <w:t>、主要环境保护目标（列出名单及保护级别）：</w:t>
            </w:r>
          </w:p>
          <w:p>
            <w:pPr>
              <w:keepNext w:val="0"/>
              <w:keepLines w:val="0"/>
              <w:suppressLineNumbers w:val="0"/>
              <w:spacing w:before="0" w:beforeAutospacing="0" w:after="0" w:afterAutospacing="0"/>
              <w:ind w:left="0" w:right="0" w:firstLine="480"/>
              <w:jc w:val="both"/>
            </w:pPr>
            <w:r>
              <w:t>项目位于富民工业园区</w:t>
            </w:r>
            <w:r>
              <w:rPr>
                <w:rFonts w:hint="eastAsia"/>
              </w:rPr>
              <w:t>哨菁机械加工园</w:t>
            </w:r>
            <w:r>
              <w:t>，周围主要大气和水环境保护目见表3-</w:t>
            </w:r>
            <w:r>
              <w:rPr>
                <w:rFonts w:hint="eastAsia"/>
              </w:rPr>
              <w:t>5</w:t>
            </w:r>
            <w:r>
              <w:t>。</w:t>
            </w:r>
          </w:p>
          <w:p>
            <w:pPr>
              <w:pStyle w:val="25"/>
              <w:keepNext w:val="0"/>
              <w:keepLines w:val="0"/>
              <w:suppressLineNumbers w:val="0"/>
              <w:spacing w:before="0" w:beforeAutospacing="0" w:after="0" w:afterAutospacing="0" w:line="240" w:lineRule="auto"/>
              <w:ind w:left="0" w:right="0"/>
            </w:pPr>
            <w:r>
              <w:t>表3-</w:t>
            </w:r>
            <w:r>
              <w:rPr>
                <w:rFonts w:hint="eastAsia"/>
              </w:rPr>
              <w:t>5</w:t>
            </w:r>
            <w:r>
              <w:t xml:space="preserve">  项目周围环境保护目标一览表</w:t>
            </w:r>
          </w:p>
          <w:tbl>
            <w:tblPr>
              <w:tblStyle w:val="1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544"/>
              <w:gridCol w:w="804"/>
              <w:gridCol w:w="874"/>
              <w:gridCol w:w="414"/>
              <w:gridCol w:w="1174"/>
              <w:gridCol w:w="1419"/>
              <w:gridCol w:w="568"/>
              <w:gridCol w:w="247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8" w:hRule="atLeast"/>
                <w:jc w:val="center"/>
              </w:trPr>
              <w:tc>
                <w:tcPr>
                  <w:tcW w:w="328" w:type="pct"/>
                  <w:vMerge w:val="restar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类别</w:t>
                  </w:r>
                </w:p>
              </w:tc>
              <w:tc>
                <w:tcPr>
                  <w:tcW w:w="486" w:type="pct"/>
                  <w:vMerge w:val="restar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环境保护目标</w:t>
                  </w:r>
                </w:p>
              </w:tc>
              <w:tc>
                <w:tcPr>
                  <w:tcW w:w="528" w:type="pct"/>
                  <w:vMerge w:val="restar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环境特征</w:t>
                  </w:r>
                </w:p>
              </w:tc>
              <w:tc>
                <w:tcPr>
                  <w:tcW w:w="250" w:type="pct"/>
                  <w:vMerge w:val="restar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方位</w:t>
                  </w:r>
                </w:p>
              </w:tc>
              <w:tc>
                <w:tcPr>
                  <w:tcW w:w="709" w:type="pct"/>
                  <w:vMerge w:val="restar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与项目的距离（m）</w:t>
                  </w:r>
                </w:p>
              </w:tc>
              <w:tc>
                <w:tcPr>
                  <w:tcW w:w="856" w:type="pct"/>
                  <w:vMerge w:val="restar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经纬度</w:t>
                  </w:r>
                </w:p>
              </w:tc>
              <w:tc>
                <w:tcPr>
                  <w:tcW w:w="343" w:type="pct"/>
                  <w:vMerge w:val="restar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性质</w:t>
                  </w:r>
                </w:p>
              </w:tc>
              <w:tc>
                <w:tcPr>
                  <w:tcW w:w="1497" w:type="pct"/>
                  <w:vMerge w:val="restar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保护级别</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8" w:hRule="atLeast"/>
                <w:jc w:val="center"/>
              </w:trPr>
              <w:tc>
                <w:tcPr>
                  <w:tcW w:w="328"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486"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528"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250"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709"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856"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343"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1497"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8" w:hRule="atLeast"/>
                <w:jc w:val="center"/>
              </w:trPr>
              <w:tc>
                <w:tcPr>
                  <w:tcW w:w="328" w:type="pct"/>
                  <w:vMerge w:val="restar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声环境、大气环境</w:t>
                  </w:r>
                </w:p>
                <w:p>
                  <w:pPr>
                    <w:keepNext w:val="0"/>
                    <w:keepLines w:val="0"/>
                    <w:suppressLineNumbers w:val="0"/>
                    <w:spacing w:before="0" w:beforeAutospacing="0" w:after="0" w:afterAutospacing="0"/>
                    <w:ind w:left="0" w:right="0" w:firstLine="0" w:firstLineChars="0"/>
                    <w:rPr>
                      <w:sz w:val="21"/>
                      <w:szCs w:val="21"/>
                    </w:rPr>
                  </w:pPr>
                  <w:r>
                    <w:rPr>
                      <w:sz w:val="21"/>
                      <w:szCs w:val="21"/>
                    </w:rPr>
                    <w:t>大气环境</w:t>
                  </w:r>
                </w:p>
              </w:tc>
              <w:tc>
                <w:tcPr>
                  <w:tcW w:w="48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昆明银华工贸有限公司路桥分公司办公楼</w:t>
                  </w:r>
                </w:p>
              </w:tc>
              <w:tc>
                <w:tcPr>
                  <w:tcW w:w="528"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约30人</w:t>
                  </w:r>
                </w:p>
              </w:tc>
              <w:tc>
                <w:tcPr>
                  <w:tcW w:w="250"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南</w:t>
                  </w:r>
                </w:p>
              </w:tc>
              <w:tc>
                <w:tcPr>
                  <w:tcW w:w="709"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60</w:t>
                  </w:r>
                </w:p>
              </w:tc>
              <w:tc>
                <w:tcPr>
                  <w:tcW w:w="85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N 25°15′43.52″</w:t>
                  </w:r>
                </w:p>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E 102°28′1.32″</w:t>
                  </w:r>
                </w:p>
              </w:tc>
              <w:tc>
                <w:tcPr>
                  <w:tcW w:w="343"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w:t>
                  </w:r>
                </w:p>
              </w:tc>
              <w:tc>
                <w:tcPr>
                  <w:tcW w:w="1497" w:type="pct"/>
                  <w:vMerge w:val="restar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《声环境质量标准》（GB 3096-2008）3类；</w:t>
                  </w:r>
                </w:p>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《环境空气质量标准》（GB3095-1996）中二级标准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8" w:hRule="atLeast"/>
                <w:jc w:val="center"/>
              </w:trPr>
              <w:tc>
                <w:tcPr>
                  <w:tcW w:w="328" w:type="pct"/>
                  <w:vMerge w:val="continue"/>
                  <w:noWrap/>
                  <w:vAlign w:val="center"/>
                </w:tcPr>
                <w:p>
                  <w:pPr>
                    <w:keepNext w:val="0"/>
                    <w:keepLines w:val="0"/>
                    <w:suppressLineNumbers w:val="0"/>
                    <w:spacing w:before="0" w:beforeAutospacing="0" w:after="0" w:afterAutospacing="0"/>
                    <w:ind w:left="0" w:right="0" w:firstLine="420"/>
                    <w:jc w:val="center"/>
                    <w:rPr>
                      <w:sz w:val="21"/>
                      <w:szCs w:val="21"/>
                    </w:rPr>
                  </w:pPr>
                </w:p>
              </w:tc>
              <w:tc>
                <w:tcPr>
                  <w:tcW w:w="48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云南联达钢结构制造有限公司办公楼</w:t>
                  </w:r>
                </w:p>
              </w:tc>
              <w:tc>
                <w:tcPr>
                  <w:tcW w:w="528"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约25人</w:t>
                  </w:r>
                </w:p>
              </w:tc>
              <w:tc>
                <w:tcPr>
                  <w:tcW w:w="250"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东</w:t>
                  </w:r>
                </w:p>
              </w:tc>
              <w:tc>
                <w:tcPr>
                  <w:tcW w:w="709"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10</w:t>
                  </w:r>
                </w:p>
              </w:tc>
              <w:tc>
                <w:tcPr>
                  <w:tcW w:w="85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N 25°15′48.49″</w:t>
                  </w:r>
                </w:p>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E102°28′1.63″</w:t>
                  </w:r>
                </w:p>
              </w:tc>
              <w:tc>
                <w:tcPr>
                  <w:tcW w:w="343"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w:t>
                  </w:r>
                </w:p>
              </w:tc>
              <w:tc>
                <w:tcPr>
                  <w:tcW w:w="1497" w:type="pct"/>
                  <w:vMerge w:val="continue"/>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8" w:hRule="atLeast"/>
                <w:jc w:val="center"/>
              </w:trPr>
              <w:tc>
                <w:tcPr>
                  <w:tcW w:w="328" w:type="pct"/>
                  <w:vMerge w:val="continue"/>
                  <w:noWrap/>
                  <w:vAlign w:val="center"/>
                </w:tcPr>
                <w:p>
                  <w:pPr>
                    <w:keepNext w:val="0"/>
                    <w:keepLines w:val="0"/>
                    <w:suppressLineNumbers w:val="0"/>
                    <w:spacing w:before="0" w:beforeAutospacing="0" w:after="0" w:afterAutospacing="0"/>
                    <w:ind w:left="0" w:right="0" w:firstLine="420"/>
                    <w:jc w:val="center"/>
                    <w:rPr>
                      <w:sz w:val="21"/>
                      <w:szCs w:val="21"/>
                    </w:rPr>
                  </w:pPr>
                </w:p>
              </w:tc>
              <w:tc>
                <w:tcPr>
                  <w:tcW w:w="48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哨菁居民点</w:t>
                  </w:r>
                  <w:r>
                    <w:rPr>
                      <w:sz w:val="21"/>
                      <w:szCs w:val="21"/>
                    </w:rPr>
                    <w:t>1</w:t>
                  </w:r>
                </w:p>
              </w:tc>
              <w:tc>
                <w:tcPr>
                  <w:tcW w:w="528"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约40人</w:t>
                  </w:r>
                </w:p>
              </w:tc>
              <w:tc>
                <w:tcPr>
                  <w:tcW w:w="250"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东北</w:t>
                  </w:r>
                </w:p>
              </w:tc>
              <w:tc>
                <w:tcPr>
                  <w:tcW w:w="709"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135</w:t>
                  </w:r>
                </w:p>
              </w:tc>
              <w:tc>
                <w:tcPr>
                  <w:tcW w:w="85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N 25°15′15.63″</w:t>
                  </w:r>
                </w:p>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E102°28′2.38″</w:t>
                  </w:r>
                </w:p>
              </w:tc>
              <w:tc>
                <w:tcPr>
                  <w:tcW w:w="343" w:type="pct"/>
                  <w:vMerge w:val="restart"/>
                  <w:noWrap/>
                  <w:vAlign w:val="center"/>
                </w:tcPr>
                <w:p>
                  <w:pPr>
                    <w:keepNext w:val="0"/>
                    <w:keepLines w:val="0"/>
                    <w:suppressLineNumbers w:val="0"/>
                    <w:spacing w:before="0" w:beforeAutospacing="0" w:after="0" w:afterAutospacing="0"/>
                    <w:ind w:left="0" w:right="0" w:firstLine="0" w:firstLineChars="0"/>
                    <w:jc w:val="center"/>
                    <w:rPr>
                      <w:sz w:val="21"/>
                      <w:szCs w:val="21"/>
                    </w:rPr>
                  </w:pPr>
                  <w:r>
                    <w:rPr>
                      <w:rFonts w:hint="eastAsia"/>
                      <w:sz w:val="21"/>
                      <w:szCs w:val="21"/>
                    </w:rPr>
                    <w:t>居住区</w:t>
                  </w:r>
                </w:p>
              </w:tc>
              <w:tc>
                <w:tcPr>
                  <w:tcW w:w="1497" w:type="pct"/>
                  <w:vMerge w:val="restar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《声环境质量标准》（GB 3096-2008）2类；</w:t>
                  </w:r>
                </w:p>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《环境空气质量标准》（GB3095-1996）中二级标准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8" w:hRule="atLeast"/>
                <w:jc w:val="center"/>
              </w:trPr>
              <w:tc>
                <w:tcPr>
                  <w:tcW w:w="328" w:type="pct"/>
                  <w:vMerge w:val="continue"/>
                  <w:noWrap/>
                  <w:vAlign w:val="center"/>
                </w:tcPr>
                <w:p>
                  <w:pPr>
                    <w:keepNext w:val="0"/>
                    <w:keepLines w:val="0"/>
                    <w:suppressLineNumbers w:val="0"/>
                    <w:spacing w:before="0" w:beforeAutospacing="0" w:after="0" w:afterAutospacing="0"/>
                    <w:ind w:left="0" w:right="0" w:firstLine="420"/>
                    <w:jc w:val="center"/>
                    <w:rPr>
                      <w:sz w:val="21"/>
                      <w:szCs w:val="21"/>
                    </w:rPr>
                  </w:pPr>
                </w:p>
              </w:tc>
              <w:tc>
                <w:tcPr>
                  <w:tcW w:w="486" w:type="pct"/>
                  <w:noWrap/>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哨菁居民点</w:t>
                  </w:r>
                  <w:r>
                    <w:rPr>
                      <w:sz w:val="21"/>
                      <w:szCs w:val="21"/>
                    </w:rPr>
                    <w:t>2</w:t>
                  </w:r>
                </w:p>
              </w:tc>
              <w:tc>
                <w:tcPr>
                  <w:tcW w:w="528" w:type="pct"/>
                  <w:noWrap/>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约100人</w:t>
                  </w:r>
                </w:p>
              </w:tc>
              <w:tc>
                <w:tcPr>
                  <w:tcW w:w="250" w:type="pct"/>
                  <w:noWrap/>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西北</w:t>
                  </w:r>
                </w:p>
              </w:tc>
              <w:tc>
                <w:tcPr>
                  <w:tcW w:w="709" w:type="pct"/>
                  <w:noWrap/>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141</w:t>
                  </w:r>
                </w:p>
              </w:tc>
              <w:tc>
                <w:tcPr>
                  <w:tcW w:w="85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N 25°15′23.42″</w:t>
                  </w:r>
                </w:p>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E102°283.48″</w:t>
                  </w:r>
                </w:p>
              </w:tc>
              <w:tc>
                <w:tcPr>
                  <w:tcW w:w="343" w:type="pct"/>
                  <w:vMerge w:val="continue"/>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p>
              </w:tc>
              <w:tc>
                <w:tcPr>
                  <w:tcW w:w="1497" w:type="pct"/>
                  <w:vMerge w:val="continue"/>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8" w:hRule="atLeast"/>
                <w:jc w:val="center"/>
              </w:trPr>
              <w:tc>
                <w:tcPr>
                  <w:tcW w:w="328" w:type="pct"/>
                  <w:vMerge w:val="continue"/>
                  <w:noWrap/>
                  <w:vAlign w:val="center"/>
                </w:tcPr>
                <w:p>
                  <w:pPr>
                    <w:keepNext w:val="0"/>
                    <w:keepLines w:val="0"/>
                    <w:suppressLineNumbers w:val="0"/>
                    <w:spacing w:before="0" w:beforeAutospacing="0" w:after="0" w:afterAutospacing="0"/>
                    <w:ind w:left="0" w:right="0" w:firstLine="420"/>
                    <w:jc w:val="center"/>
                    <w:rPr>
                      <w:sz w:val="21"/>
                      <w:szCs w:val="21"/>
                    </w:rPr>
                  </w:pPr>
                </w:p>
              </w:tc>
              <w:tc>
                <w:tcPr>
                  <w:tcW w:w="486" w:type="pct"/>
                  <w:noWrap/>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哨菁安置小区</w:t>
                  </w:r>
                </w:p>
              </w:tc>
              <w:tc>
                <w:tcPr>
                  <w:tcW w:w="528" w:type="pct"/>
                  <w:noWrap/>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约250人</w:t>
                  </w:r>
                </w:p>
              </w:tc>
              <w:tc>
                <w:tcPr>
                  <w:tcW w:w="250" w:type="pct"/>
                  <w:noWrap/>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北</w:t>
                  </w:r>
                </w:p>
              </w:tc>
              <w:tc>
                <w:tcPr>
                  <w:tcW w:w="709" w:type="pct"/>
                  <w:noWrap/>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95</w:t>
                  </w:r>
                </w:p>
              </w:tc>
              <w:tc>
                <w:tcPr>
                  <w:tcW w:w="85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N 25°15′23.12″</w:t>
                  </w:r>
                </w:p>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E102°283.23″</w:t>
                  </w:r>
                </w:p>
              </w:tc>
              <w:tc>
                <w:tcPr>
                  <w:tcW w:w="343" w:type="pct"/>
                  <w:vMerge w:val="continue"/>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p>
              </w:tc>
              <w:tc>
                <w:tcPr>
                  <w:tcW w:w="1497" w:type="pct"/>
                  <w:vMerge w:val="continue"/>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328" w:type="pct"/>
                  <w:vMerge w:val="continue"/>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p>
              </w:tc>
              <w:tc>
                <w:tcPr>
                  <w:tcW w:w="48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豹子菁</w:t>
                  </w:r>
                </w:p>
              </w:tc>
              <w:tc>
                <w:tcPr>
                  <w:tcW w:w="528"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约300人</w:t>
                  </w:r>
                </w:p>
              </w:tc>
              <w:tc>
                <w:tcPr>
                  <w:tcW w:w="250"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南</w:t>
                  </w:r>
                </w:p>
              </w:tc>
              <w:tc>
                <w:tcPr>
                  <w:tcW w:w="709"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790</w:t>
                  </w:r>
                </w:p>
              </w:tc>
              <w:tc>
                <w:tcPr>
                  <w:tcW w:w="85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N 25°15′59.28″</w:t>
                  </w:r>
                </w:p>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E 102°28′46.87″</w:t>
                  </w:r>
                </w:p>
              </w:tc>
              <w:tc>
                <w:tcPr>
                  <w:tcW w:w="343" w:type="pct"/>
                  <w:vMerge w:val="restar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居住区</w:t>
                  </w:r>
                </w:p>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1497" w:type="pct"/>
                  <w:vMerge w:val="restart"/>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r>
                    <w:rPr>
                      <w:sz w:val="21"/>
                      <w:szCs w:val="21"/>
                    </w:rPr>
                    <w:t>《环境空气质量标准》（GB3095-1996）中二级标准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jc w:val="center"/>
              </w:trPr>
              <w:tc>
                <w:tcPr>
                  <w:tcW w:w="328"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48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南冲</w:t>
                  </w:r>
                </w:p>
              </w:tc>
              <w:tc>
                <w:tcPr>
                  <w:tcW w:w="528"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约1000人</w:t>
                  </w:r>
                </w:p>
              </w:tc>
              <w:tc>
                <w:tcPr>
                  <w:tcW w:w="250"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北面</w:t>
                  </w:r>
                </w:p>
              </w:tc>
              <w:tc>
                <w:tcPr>
                  <w:tcW w:w="709"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980</w:t>
                  </w:r>
                </w:p>
              </w:tc>
              <w:tc>
                <w:tcPr>
                  <w:tcW w:w="85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N 25°15′26.87″</w:t>
                  </w:r>
                </w:p>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E 102°28′42.81″</w:t>
                  </w:r>
                </w:p>
              </w:tc>
              <w:tc>
                <w:tcPr>
                  <w:tcW w:w="343"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1497"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jc w:val="center"/>
              </w:trPr>
              <w:tc>
                <w:tcPr>
                  <w:tcW w:w="328"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48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大三竜</w:t>
                  </w:r>
                </w:p>
              </w:tc>
              <w:tc>
                <w:tcPr>
                  <w:tcW w:w="528"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约180人</w:t>
                  </w:r>
                </w:p>
              </w:tc>
              <w:tc>
                <w:tcPr>
                  <w:tcW w:w="250"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东北</w:t>
                  </w:r>
                  <w:r>
                    <w:rPr>
                      <w:sz w:val="21"/>
                      <w:szCs w:val="21"/>
                    </w:rPr>
                    <w:t>面</w:t>
                  </w:r>
                </w:p>
              </w:tc>
              <w:tc>
                <w:tcPr>
                  <w:tcW w:w="709"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1795</w:t>
                  </w:r>
                </w:p>
              </w:tc>
              <w:tc>
                <w:tcPr>
                  <w:tcW w:w="85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N25°16'53.49"</w:t>
                  </w:r>
                </w:p>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E102°28'29.26"</w:t>
                  </w:r>
                </w:p>
              </w:tc>
              <w:tc>
                <w:tcPr>
                  <w:tcW w:w="343"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1497"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jc w:val="center"/>
              </w:trPr>
              <w:tc>
                <w:tcPr>
                  <w:tcW w:w="328"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48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大坝</w:t>
                  </w:r>
                </w:p>
              </w:tc>
              <w:tc>
                <w:tcPr>
                  <w:tcW w:w="528"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约</w:t>
                  </w:r>
                  <w:r>
                    <w:rPr>
                      <w:b w:val="0"/>
                      <w:bCs w:val="0"/>
                      <w:color w:val="auto"/>
                    </w:rPr>
                    <w:t>1</w:t>
                  </w:r>
                  <w:r>
                    <w:rPr>
                      <w:rFonts w:hint="eastAsia"/>
                      <w:b w:val="0"/>
                      <w:bCs w:val="0"/>
                      <w:color w:val="auto"/>
                    </w:rPr>
                    <w:t>00人</w:t>
                  </w:r>
                </w:p>
              </w:tc>
              <w:tc>
                <w:tcPr>
                  <w:tcW w:w="25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东</w:t>
                  </w:r>
                  <w:r>
                    <w:rPr>
                      <w:b w:val="0"/>
                      <w:bCs w:val="0"/>
                      <w:color w:val="auto"/>
                    </w:rPr>
                    <w:t>面</w:t>
                  </w:r>
                </w:p>
              </w:tc>
              <w:tc>
                <w:tcPr>
                  <w:tcW w:w="70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1454</w:t>
                  </w:r>
                </w:p>
              </w:tc>
              <w:tc>
                <w:tcPr>
                  <w:tcW w:w="85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N25°1</w:t>
                  </w:r>
                  <w:r>
                    <w:rPr>
                      <w:rFonts w:hint="eastAsia"/>
                      <w:sz w:val="21"/>
                      <w:szCs w:val="21"/>
                    </w:rPr>
                    <w:t>5</w:t>
                  </w:r>
                  <w:r>
                    <w:rPr>
                      <w:sz w:val="21"/>
                      <w:szCs w:val="21"/>
                    </w:rPr>
                    <w:t>'5</w:t>
                  </w:r>
                  <w:r>
                    <w:rPr>
                      <w:rFonts w:hint="eastAsia"/>
                      <w:sz w:val="21"/>
                      <w:szCs w:val="21"/>
                    </w:rPr>
                    <w:t>7</w:t>
                  </w:r>
                  <w:r>
                    <w:rPr>
                      <w:sz w:val="21"/>
                      <w:szCs w:val="21"/>
                    </w:rPr>
                    <w:t>.49"</w:t>
                  </w:r>
                </w:p>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E102°28'</w:t>
                  </w:r>
                  <w:r>
                    <w:rPr>
                      <w:rFonts w:hint="eastAsia"/>
                      <w:sz w:val="21"/>
                      <w:szCs w:val="21"/>
                    </w:rPr>
                    <w:t>45.89</w:t>
                  </w:r>
                </w:p>
              </w:tc>
              <w:tc>
                <w:tcPr>
                  <w:tcW w:w="343"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1497"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jc w:val="center"/>
              </w:trPr>
              <w:tc>
                <w:tcPr>
                  <w:tcW w:w="328"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48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西冲</w:t>
                  </w:r>
                </w:p>
              </w:tc>
              <w:tc>
                <w:tcPr>
                  <w:tcW w:w="528"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约500人</w:t>
                  </w:r>
                </w:p>
              </w:tc>
              <w:tc>
                <w:tcPr>
                  <w:tcW w:w="25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西北面</w:t>
                  </w:r>
                </w:p>
              </w:tc>
              <w:tc>
                <w:tcPr>
                  <w:tcW w:w="70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1445</w:t>
                  </w:r>
                </w:p>
              </w:tc>
              <w:tc>
                <w:tcPr>
                  <w:tcW w:w="85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N 25°</w:t>
                  </w:r>
                  <w:r>
                    <w:rPr>
                      <w:rFonts w:hint="eastAsia"/>
                      <w:sz w:val="21"/>
                      <w:szCs w:val="21"/>
                    </w:rPr>
                    <w:t>16</w:t>
                  </w:r>
                  <w:r>
                    <w:rPr>
                      <w:sz w:val="21"/>
                      <w:szCs w:val="21"/>
                    </w:rPr>
                    <w:t>′</w:t>
                  </w:r>
                  <w:r>
                    <w:rPr>
                      <w:rFonts w:hint="eastAsia"/>
                      <w:sz w:val="21"/>
                      <w:szCs w:val="21"/>
                    </w:rPr>
                    <w:t>38.16</w:t>
                  </w:r>
                  <w:r>
                    <w:rPr>
                      <w:sz w:val="21"/>
                      <w:szCs w:val="21"/>
                    </w:rPr>
                    <w:t>″</w:t>
                  </w:r>
                </w:p>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E102°2</w:t>
                  </w:r>
                  <w:r>
                    <w:rPr>
                      <w:rFonts w:hint="eastAsia"/>
                      <w:sz w:val="21"/>
                      <w:szCs w:val="21"/>
                    </w:rPr>
                    <w:t>7</w:t>
                  </w:r>
                  <w:r>
                    <w:rPr>
                      <w:sz w:val="21"/>
                      <w:szCs w:val="21"/>
                    </w:rPr>
                    <w:t>′</w:t>
                  </w:r>
                  <w:r>
                    <w:rPr>
                      <w:rFonts w:hint="eastAsia"/>
                      <w:sz w:val="21"/>
                      <w:szCs w:val="21"/>
                    </w:rPr>
                    <w:t>20.92</w:t>
                  </w:r>
                  <w:r>
                    <w:rPr>
                      <w:sz w:val="21"/>
                      <w:szCs w:val="21"/>
                    </w:rPr>
                    <w:t>″</w:t>
                  </w:r>
                </w:p>
              </w:tc>
              <w:tc>
                <w:tcPr>
                  <w:tcW w:w="343"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1497"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jc w:val="center"/>
              </w:trPr>
              <w:tc>
                <w:tcPr>
                  <w:tcW w:w="328"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48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庄房</w:t>
                  </w:r>
                </w:p>
              </w:tc>
              <w:tc>
                <w:tcPr>
                  <w:tcW w:w="528" w:type="pc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约</w:t>
                  </w:r>
                  <w:r>
                    <w:rPr>
                      <w:rFonts w:hint="eastAsia"/>
                      <w:b w:val="0"/>
                      <w:bCs w:val="0"/>
                      <w:color w:val="auto"/>
                    </w:rPr>
                    <w:t>200</w:t>
                  </w:r>
                  <w:r>
                    <w:rPr>
                      <w:b w:val="0"/>
                      <w:bCs w:val="0"/>
                      <w:color w:val="auto"/>
                    </w:rPr>
                    <w:t>人</w:t>
                  </w:r>
                </w:p>
              </w:tc>
              <w:tc>
                <w:tcPr>
                  <w:tcW w:w="25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东北面</w:t>
                  </w:r>
                </w:p>
              </w:tc>
              <w:tc>
                <w:tcPr>
                  <w:tcW w:w="70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1543</w:t>
                  </w:r>
                </w:p>
              </w:tc>
              <w:tc>
                <w:tcPr>
                  <w:tcW w:w="85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N 25°1</w:t>
                  </w:r>
                  <w:r>
                    <w:rPr>
                      <w:rFonts w:hint="eastAsia"/>
                      <w:sz w:val="21"/>
                      <w:szCs w:val="21"/>
                    </w:rPr>
                    <w:t>6</w:t>
                  </w:r>
                  <w:r>
                    <w:rPr>
                      <w:sz w:val="21"/>
                      <w:szCs w:val="21"/>
                    </w:rPr>
                    <w:t>′</w:t>
                  </w:r>
                  <w:r>
                    <w:rPr>
                      <w:rFonts w:hint="eastAsia"/>
                      <w:sz w:val="21"/>
                      <w:szCs w:val="21"/>
                    </w:rPr>
                    <w:t>12.77</w:t>
                  </w:r>
                  <w:r>
                    <w:rPr>
                      <w:sz w:val="21"/>
                      <w:szCs w:val="21"/>
                    </w:rPr>
                    <w:t>″</w:t>
                  </w:r>
                </w:p>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E102°28′</w:t>
                  </w:r>
                  <w:r>
                    <w:rPr>
                      <w:rFonts w:hint="eastAsia"/>
                      <w:sz w:val="21"/>
                      <w:szCs w:val="21"/>
                    </w:rPr>
                    <w:t>46.35</w:t>
                  </w:r>
                  <w:r>
                    <w:rPr>
                      <w:sz w:val="21"/>
                      <w:szCs w:val="21"/>
                    </w:rPr>
                    <w:t>″</w:t>
                  </w:r>
                </w:p>
              </w:tc>
              <w:tc>
                <w:tcPr>
                  <w:tcW w:w="343"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1497"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jc w:val="center"/>
              </w:trPr>
              <w:tc>
                <w:tcPr>
                  <w:tcW w:w="328"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48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龙洞</w:t>
                  </w:r>
                </w:p>
              </w:tc>
              <w:tc>
                <w:tcPr>
                  <w:tcW w:w="528"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约100</w:t>
                  </w:r>
                  <w:r>
                    <w:rPr>
                      <w:b w:val="0"/>
                      <w:bCs w:val="0"/>
                      <w:color w:val="auto"/>
                    </w:rPr>
                    <w:t>人</w:t>
                  </w:r>
                </w:p>
              </w:tc>
              <w:tc>
                <w:tcPr>
                  <w:tcW w:w="25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东北面</w:t>
                  </w:r>
                </w:p>
              </w:tc>
              <w:tc>
                <w:tcPr>
                  <w:tcW w:w="70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1565</w:t>
                  </w:r>
                </w:p>
              </w:tc>
              <w:tc>
                <w:tcPr>
                  <w:tcW w:w="85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N 25°1</w:t>
                  </w:r>
                  <w:r>
                    <w:rPr>
                      <w:rFonts w:hint="eastAsia"/>
                      <w:sz w:val="21"/>
                      <w:szCs w:val="21"/>
                    </w:rPr>
                    <w:t>6</w:t>
                  </w:r>
                  <w:r>
                    <w:rPr>
                      <w:sz w:val="21"/>
                      <w:szCs w:val="21"/>
                    </w:rPr>
                    <w:t>′</w:t>
                  </w:r>
                  <w:r>
                    <w:rPr>
                      <w:rFonts w:hint="eastAsia"/>
                      <w:sz w:val="21"/>
                      <w:szCs w:val="21"/>
                    </w:rPr>
                    <w:t>28.84</w:t>
                  </w:r>
                  <w:r>
                    <w:rPr>
                      <w:sz w:val="21"/>
                      <w:szCs w:val="21"/>
                    </w:rPr>
                    <w:t>″</w:t>
                  </w:r>
                </w:p>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E 102°</w:t>
                  </w:r>
                  <w:r>
                    <w:rPr>
                      <w:rFonts w:hint="eastAsia"/>
                      <w:sz w:val="21"/>
                      <w:szCs w:val="21"/>
                    </w:rPr>
                    <w:t>28</w:t>
                  </w:r>
                  <w:r>
                    <w:rPr>
                      <w:sz w:val="21"/>
                      <w:szCs w:val="21"/>
                    </w:rPr>
                    <w:t>′</w:t>
                  </w:r>
                  <w:r>
                    <w:rPr>
                      <w:rFonts w:hint="eastAsia"/>
                      <w:sz w:val="21"/>
                      <w:szCs w:val="21"/>
                    </w:rPr>
                    <w:t>42.29</w:t>
                  </w:r>
                  <w:r>
                    <w:rPr>
                      <w:sz w:val="21"/>
                      <w:szCs w:val="21"/>
                    </w:rPr>
                    <w:t>″</w:t>
                  </w:r>
                </w:p>
              </w:tc>
              <w:tc>
                <w:tcPr>
                  <w:tcW w:w="343"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1497"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jc w:val="center"/>
              </w:trPr>
              <w:tc>
                <w:tcPr>
                  <w:tcW w:w="328"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48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南营村</w:t>
                  </w:r>
                </w:p>
              </w:tc>
              <w:tc>
                <w:tcPr>
                  <w:tcW w:w="528"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约2000人</w:t>
                  </w:r>
                </w:p>
              </w:tc>
              <w:tc>
                <w:tcPr>
                  <w:tcW w:w="25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西北</w:t>
                  </w:r>
                  <w:r>
                    <w:rPr>
                      <w:b w:val="0"/>
                      <w:bCs w:val="0"/>
                      <w:color w:val="auto"/>
                    </w:rPr>
                    <w:t>面</w:t>
                  </w:r>
                </w:p>
              </w:tc>
              <w:tc>
                <w:tcPr>
                  <w:tcW w:w="70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1596</w:t>
                  </w:r>
                </w:p>
              </w:tc>
              <w:tc>
                <w:tcPr>
                  <w:tcW w:w="85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N 25°1</w:t>
                  </w:r>
                  <w:r>
                    <w:rPr>
                      <w:rFonts w:hint="eastAsia"/>
                      <w:sz w:val="21"/>
                      <w:szCs w:val="21"/>
                    </w:rPr>
                    <w:t>6</w:t>
                  </w:r>
                  <w:r>
                    <w:rPr>
                      <w:sz w:val="21"/>
                      <w:szCs w:val="21"/>
                    </w:rPr>
                    <w:t>′</w:t>
                  </w:r>
                  <w:r>
                    <w:rPr>
                      <w:rFonts w:hint="eastAsia"/>
                      <w:sz w:val="21"/>
                      <w:szCs w:val="21"/>
                    </w:rPr>
                    <w:t>54.33</w:t>
                  </w:r>
                  <w:r>
                    <w:rPr>
                      <w:sz w:val="21"/>
                      <w:szCs w:val="21"/>
                    </w:rPr>
                    <w:t>″</w:t>
                  </w:r>
                </w:p>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E 102°2</w:t>
                  </w:r>
                  <w:r>
                    <w:rPr>
                      <w:rFonts w:hint="eastAsia"/>
                      <w:sz w:val="21"/>
                      <w:szCs w:val="21"/>
                    </w:rPr>
                    <w:t>7</w:t>
                  </w:r>
                  <w:r>
                    <w:rPr>
                      <w:sz w:val="21"/>
                      <w:szCs w:val="21"/>
                    </w:rPr>
                    <w:t>′4</w:t>
                  </w:r>
                  <w:r>
                    <w:rPr>
                      <w:rFonts w:hint="eastAsia"/>
                      <w:sz w:val="21"/>
                      <w:szCs w:val="21"/>
                    </w:rPr>
                    <w:t>1.31</w:t>
                  </w:r>
                  <w:r>
                    <w:rPr>
                      <w:sz w:val="21"/>
                      <w:szCs w:val="21"/>
                    </w:rPr>
                    <w:t>″</w:t>
                  </w:r>
                </w:p>
              </w:tc>
              <w:tc>
                <w:tcPr>
                  <w:tcW w:w="343"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1497"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jc w:val="center"/>
              </w:trPr>
              <w:tc>
                <w:tcPr>
                  <w:tcW w:w="328"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48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小三</w:t>
                  </w:r>
                  <w:r>
                    <w:rPr>
                      <w:b w:val="0"/>
                      <w:bCs w:val="0"/>
                      <w:color w:val="auto"/>
                    </w:rPr>
                    <w:t>竜</w:t>
                  </w:r>
                </w:p>
              </w:tc>
              <w:tc>
                <w:tcPr>
                  <w:tcW w:w="528"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约200人</w:t>
                  </w:r>
                </w:p>
              </w:tc>
              <w:tc>
                <w:tcPr>
                  <w:tcW w:w="25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东北</w:t>
                  </w:r>
                  <w:r>
                    <w:rPr>
                      <w:b w:val="0"/>
                      <w:bCs w:val="0"/>
                      <w:color w:val="auto"/>
                    </w:rPr>
                    <w:t>面</w:t>
                  </w:r>
                </w:p>
              </w:tc>
              <w:tc>
                <w:tcPr>
                  <w:tcW w:w="70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1790</w:t>
                  </w:r>
                </w:p>
              </w:tc>
              <w:tc>
                <w:tcPr>
                  <w:tcW w:w="85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N25°16'5</w:t>
                  </w:r>
                  <w:r>
                    <w:rPr>
                      <w:rFonts w:hint="eastAsia"/>
                      <w:sz w:val="21"/>
                      <w:szCs w:val="21"/>
                    </w:rPr>
                    <w:t>8.97</w:t>
                  </w:r>
                  <w:r>
                    <w:rPr>
                      <w:sz w:val="21"/>
                      <w:szCs w:val="21"/>
                    </w:rPr>
                    <w:t>"</w:t>
                  </w:r>
                </w:p>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E102°28'</w:t>
                  </w:r>
                  <w:r>
                    <w:rPr>
                      <w:rFonts w:hint="eastAsia"/>
                      <w:sz w:val="21"/>
                      <w:szCs w:val="21"/>
                    </w:rPr>
                    <w:t>12.21</w:t>
                  </w:r>
                  <w:r>
                    <w:rPr>
                      <w:sz w:val="21"/>
                      <w:szCs w:val="21"/>
                    </w:rPr>
                    <w:t>"</w:t>
                  </w:r>
                </w:p>
              </w:tc>
              <w:tc>
                <w:tcPr>
                  <w:tcW w:w="343"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1497"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jc w:val="center"/>
              </w:trPr>
              <w:tc>
                <w:tcPr>
                  <w:tcW w:w="328"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48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牧羊场</w:t>
                  </w:r>
                </w:p>
              </w:tc>
              <w:tc>
                <w:tcPr>
                  <w:tcW w:w="528"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约600</w:t>
                  </w:r>
                  <w:r>
                    <w:rPr>
                      <w:b w:val="0"/>
                      <w:bCs w:val="0"/>
                      <w:color w:val="auto"/>
                    </w:rPr>
                    <w:t>人</w:t>
                  </w:r>
                </w:p>
              </w:tc>
              <w:tc>
                <w:tcPr>
                  <w:tcW w:w="25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东南面</w:t>
                  </w:r>
                </w:p>
              </w:tc>
              <w:tc>
                <w:tcPr>
                  <w:tcW w:w="70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1986</w:t>
                  </w:r>
                </w:p>
              </w:tc>
              <w:tc>
                <w:tcPr>
                  <w:tcW w:w="85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N 25°15′23.42″</w:t>
                  </w:r>
                </w:p>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E102°28′</w:t>
                  </w:r>
                  <w:r>
                    <w:rPr>
                      <w:rFonts w:hint="eastAsia"/>
                      <w:sz w:val="21"/>
                      <w:szCs w:val="21"/>
                    </w:rPr>
                    <w:t>52.22</w:t>
                  </w:r>
                  <w:r>
                    <w:rPr>
                      <w:sz w:val="21"/>
                      <w:szCs w:val="21"/>
                    </w:rPr>
                    <w:t>″</w:t>
                  </w:r>
                </w:p>
              </w:tc>
              <w:tc>
                <w:tcPr>
                  <w:tcW w:w="343"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1497"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jc w:val="center"/>
              </w:trPr>
              <w:tc>
                <w:tcPr>
                  <w:tcW w:w="328"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48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大村</w:t>
                  </w:r>
                </w:p>
              </w:tc>
              <w:tc>
                <w:tcPr>
                  <w:tcW w:w="528"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约</w:t>
                  </w:r>
                  <w:r>
                    <w:rPr>
                      <w:b w:val="0"/>
                      <w:bCs w:val="0"/>
                      <w:color w:val="auto"/>
                    </w:rPr>
                    <w:t>1</w:t>
                  </w:r>
                  <w:r>
                    <w:rPr>
                      <w:rFonts w:hint="eastAsia"/>
                      <w:b w:val="0"/>
                      <w:bCs w:val="0"/>
                      <w:color w:val="auto"/>
                    </w:rPr>
                    <w:t>500人</w:t>
                  </w:r>
                </w:p>
              </w:tc>
              <w:tc>
                <w:tcPr>
                  <w:tcW w:w="25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西北面</w:t>
                  </w:r>
                </w:p>
              </w:tc>
              <w:tc>
                <w:tcPr>
                  <w:tcW w:w="70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2006</w:t>
                  </w:r>
                </w:p>
              </w:tc>
              <w:tc>
                <w:tcPr>
                  <w:tcW w:w="85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N 25°1</w:t>
                  </w:r>
                  <w:r>
                    <w:rPr>
                      <w:rFonts w:hint="eastAsia"/>
                      <w:sz w:val="21"/>
                      <w:szCs w:val="21"/>
                    </w:rPr>
                    <w:t>7</w:t>
                  </w:r>
                  <w:r>
                    <w:rPr>
                      <w:sz w:val="21"/>
                      <w:szCs w:val="21"/>
                    </w:rPr>
                    <w:t>′</w:t>
                  </w:r>
                  <w:r>
                    <w:rPr>
                      <w:rFonts w:hint="eastAsia"/>
                      <w:sz w:val="21"/>
                      <w:szCs w:val="21"/>
                    </w:rPr>
                    <w:t>1.28</w:t>
                  </w:r>
                  <w:r>
                    <w:rPr>
                      <w:sz w:val="21"/>
                      <w:szCs w:val="21"/>
                    </w:rPr>
                    <w:t>″</w:t>
                  </w:r>
                </w:p>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E102°</w:t>
                  </w:r>
                  <w:r>
                    <w:rPr>
                      <w:rFonts w:hint="eastAsia"/>
                      <w:sz w:val="21"/>
                      <w:szCs w:val="21"/>
                    </w:rPr>
                    <w:t>27</w:t>
                  </w:r>
                  <w:r>
                    <w:rPr>
                      <w:sz w:val="21"/>
                      <w:szCs w:val="21"/>
                    </w:rPr>
                    <w:t>'</w:t>
                  </w:r>
                  <w:r>
                    <w:rPr>
                      <w:rFonts w:hint="eastAsia"/>
                      <w:sz w:val="21"/>
                      <w:szCs w:val="21"/>
                    </w:rPr>
                    <w:t>26.48</w:t>
                  </w:r>
                  <w:r>
                    <w:rPr>
                      <w:sz w:val="21"/>
                      <w:szCs w:val="21"/>
                    </w:rPr>
                    <w:t>″</w:t>
                  </w:r>
                </w:p>
              </w:tc>
              <w:tc>
                <w:tcPr>
                  <w:tcW w:w="343"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1497"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jc w:val="center"/>
              </w:trPr>
              <w:tc>
                <w:tcPr>
                  <w:tcW w:w="328"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48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下白泥塘</w:t>
                  </w:r>
                </w:p>
              </w:tc>
              <w:tc>
                <w:tcPr>
                  <w:tcW w:w="528"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约100人</w:t>
                  </w:r>
                </w:p>
              </w:tc>
              <w:tc>
                <w:tcPr>
                  <w:tcW w:w="25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西面</w:t>
                  </w:r>
                </w:p>
              </w:tc>
              <w:tc>
                <w:tcPr>
                  <w:tcW w:w="70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2240</w:t>
                  </w:r>
                </w:p>
              </w:tc>
              <w:tc>
                <w:tcPr>
                  <w:tcW w:w="85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N 25°15′</w:t>
                  </w:r>
                  <w:r>
                    <w:rPr>
                      <w:rFonts w:hint="eastAsia"/>
                      <w:sz w:val="21"/>
                      <w:szCs w:val="21"/>
                    </w:rPr>
                    <w:t>29.05</w:t>
                  </w:r>
                  <w:r>
                    <w:rPr>
                      <w:sz w:val="21"/>
                      <w:szCs w:val="21"/>
                    </w:rPr>
                    <w:t>″</w:t>
                  </w:r>
                </w:p>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E 102°2</w:t>
                  </w:r>
                  <w:r>
                    <w:rPr>
                      <w:rFonts w:hint="eastAsia"/>
                      <w:sz w:val="21"/>
                      <w:szCs w:val="21"/>
                    </w:rPr>
                    <w:t>6</w:t>
                  </w:r>
                  <w:r>
                    <w:rPr>
                      <w:sz w:val="21"/>
                      <w:szCs w:val="21"/>
                    </w:rPr>
                    <w:t>′</w:t>
                  </w:r>
                  <w:r>
                    <w:rPr>
                      <w:rFonts w:hint="eastAsia"/>
                      <w:sz w:val="21"/>
                      <w:szCs w:val="21"/>
                    </w:rPr>
                    <w:t>35.50</w:t>
                  </w:r>
                  <w:r>
                    <w:rPr>
                      <w:sz w:val="21"/>
                      <w:szCs w:val="21"/>
                    </w:rPr>
                    <w:t>″</w:t>
                  </w:r>
                </w:p>
              </w:tc>
              <w:tc>
                <w:tcPr>
                  <w:tcW w:w="343"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1497"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jc w:val="center"/>
              </w:trPr>
              <w:tc>
                <w:tcPr>
                  <w:tcW w:w="328"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486"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双龙湾</w:t>
                  </w:r>
                </w:p>
              </w:tc>
              <w:tc>
                <w:tcPr>
                  <w:tcW w:w="528" w:type="pc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约</w:t>
                  </w:r>
                  <w:r>
                    <w:rPr>
                      <w:rFonts w:hint="eastAsia"/>
                      <w:b w:val="0"/>
                      <w:bCs w:val="0"/>
                      <w:color w:val="auto"/>
                    </w:rPr>
                    <w:t>200</w:t>
                  </w:r>
                  <w:r>
                    <w:rPr>
                      <w:b w:val="0"/>
                      <w:bCs w:val="0"/>
                      <w:color w:val="auto"/>
                    </w:rPr>
                    <w:t>人</w:t>
                  </w:r>
                </w:p>
              </w:tc>
              <w:tc>
                <w:tcPr>
                  <w:tcW w:w="25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东北面</w:t>
                  </w:r>
                </w:p>
              </w:tc>
              <w:tc>
                <w:tcPr>
                  <w:tcW w:w="70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2280</w:t>
                  </w:r>
                </w:p>
              </w:tc>
              <w:tc>
                <w:tcPr>
                  <w:tcW w:w="85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N 25°15′26.87″</w:t>
                  </w:r>
                </w:p>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E 102°28′42.81″</w:t>
                  </w:r>
                </w:p>
              </w:tc>
              <w:tc>
                <w:tcPr>
                  <w:tcW w:w="343"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1497"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76" w:hRule="atLeast"/>
                <w:jc w:val="center"/>
              </w:trPr>
              <w:tc>
                <w:tcPr>
                  <w:tcW w:w="328"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48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马拉村</w:t>
                  </w:r>
                </w:p>
              </w:tc>
              <w:tc>
                <w:tcPr>
                  <w:tcW w:w="528"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约300人</w:t>
                  </w:r>
                </w:p>
              </w:tc>
              <w:tc>
                <w:tcPr>
                  <w:tcW w:w="250"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西北</w:t>
                  </w:r>
                </w:p>
              </w:tc>
              <w:tc>
                <w:tcPr>
                  <w:tcW w:w="709"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2218</w:t>
                  </w:r>
                </w:p>
              </w:tc>
              <w:tc>
                <w:tcPr>
                  <w:tcW w:w="85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N 25°1</w:t>
                  </w:r>
                  <w:r>
                    <w:rPr>
                      <w:rFonts w:hint="eastAsia"/>
                      <w:sz w:val="21"/>
                      <w:szCs w:val="21"/>
                    </w:rPr>
                    <w:t>6</w:t>
                  </w:r>
                  <w:r>
                    <w:rPr>
                      <w:sz w:val="21"/>
                      <w:szCs w:val="21"/>
                    </w:rPr>
                    <w:t>′</w:t>
                  </w:r>
                  <w:r>
                    <w:rPr>
                      <w:rFonts w:hint="eastAsia"/>
                      <w:sz w:val="21"/>
                      <w:szCs w:val="21"/>
                    </w:rPr>
                    <w:t>41.67</w:t>
                  </w:r>
                  <w:r>
                    <w:rPr>
                      <w:sz w:val="21"/>
                      <w:szCs w:val="21"/>
                    </w:rPr>
                    <w:t>″</w:t>
                  </w:r>
                </w:p>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E 102°2</w:t>
                  </w:r>
                  <w:r>
                    <w:rPr>
                      <w:rFonts w:hint="eastAsia"/>
                      <w:sz w:val="21"/>
                      <w:szCs w:val="21"/>
                    </w:rPr>
                    <w:t>6</w:t>
                  </w:r>
                  <w:r>
                    <w:rPr>
                      <w:sz w:val="21"/>
                      <w:szCs w:val="21"/>
                    </w:rPr>
                    <w:t>'</w:t>
                  </w:r>
                  <w:r>
                    <w:rPr>
                      <w:rFonts w:hint="eastAsia"/>
                      <w:sz w:val="21"/>
                      <w:szCs w:val="21"/>
                    </w:rPr>
                    <w:t>46.00</w:t>
                  </w:r>
                  <w:r>
                    <w:rPr>
                      <w:sz w:val="21"/>
                      <w:szCs w:val="21"/>
                    </w:rPr>
                    <w:t>″</w:t>
                  </w:r>
                </w:p>
              </w:tc>
              <w:tc>
                <w:tcPr>
                  <w:tcW w:w="343"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1497"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jc w:val="center"/>
              </w:trPr>
              <w:tc>
                <w:tcPr>
                  <w:tcW w:w="328"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48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大刺棵</w:t>
                  </w:r>
                </w:p>
              </w:tc>
              <w:tc>
                <w:tcPr>
                  <w:tcW w:w="528"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约1100人</w:t>
                  </w:r>
                </w:p>
              </w:tc>
              <w:tc>
                <w:tcPr>
                  <w:tcW w:w="250"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北</w:t>
                  </w:r>
                </w:p>
              </w:tc>
              <w:tc>
                <w:tcPr>
                  <w:tcW w:w="709"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1280</w:t>
                  </w:r>
                </w:p>
              </w:tc>
              <w:tc>
                <w:tcPr>
                  <w:tcW w:w="85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N 25°15'37.32"</w:t>
                  </w:r>
                </w:p>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E 102°30'7.98"</w:t>
                  </w:r>
                </w:p>
              </w:tc>
              <w:tc>
                <w:tcPr>
                  <w:tcW w:w="343"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1497" w:type="pct"/>
                  <w:vMerge w:val="continue"/>
                  <w:noWrap/>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37" w:hRule="atLeast"/>
                <w:jc w:val="center"/>
              </w:trPr>
              <w:tc>
                <w:tcPr>
                  <w:tcW w:w="328"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水环境</w:t>
                  </w:r>
                </w:p>
              </w:tc>
              <w:tc>
                <w:tcPr>
                  <w:tcW w:w="48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螳螂川</w:t>
                  </w:r>
                </w:p>
              </w:tc>
              <w:tc>
                <w:tcPr>
                  <w:tcW w:w="528"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w:t>
                  </w:r>
                </w:p>
              </w:tc>
              <w:tc>
                <w:tcPr>
                  <w:tcW w:w="250"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东</w:t>
                  </w:r>
                </w:p>
              </w:tc>
              <w:tc>
                <w:tcPr>
                  <w:tcW w:w="709"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1250</w:t>
                  </w:r>
                </w:p>
              </w:tc>
              <w:tc>
                <w:tcPr>
                  <w:tcW w:w="856"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w:t>
                  </w:r>
                </w:p>
              </w:tc>
              <w:tc>
                <w:tcPr>
                  <w:tcW w:w="343"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地表水</w:t>
                  </w:r>
                </w:p>
              </w:tc>
              <w:tc>
                <w:tcPr>
                  <w:tcW w:w="1497" w:type="pct"/>
                  <w:noWrap/>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《地表水环境质量标准》（GB3838-2002）中Ⅳ类标准</w:t>
                  </w:r>
                </w:p>
              </w:tc>
            </w:tr>
          </w:tbl>
          <w:p>
            <w:pPr>
              <w:pStyle w:val="11"/>
              <w:keepNext w:val="0"/>
              <w:keepLines w:val="0"/>
              <w:suppressLineNumbers w:val="0"/>
              <w:spacing w:before="0" w:beforeAutospacing="0" w:after="0" w:afterAutospacing="0"/>
              <w:ind w:left="0" w:right="0" w:firstLine="0" w:firstLineChars="0"/>
            </w:pPr>
          </w:p>
          <w:p>
            <w:pPr>
              <w:keepNext w:val="0"/>
              <w:keepLines w:val="0"/>
              <w:suppressLineNumbers w:val="0"/>
              <w:spacing w:before="0" w:beforeAutospacing="0" w:after="0" w:afterAutospacing="0"/>
              <w:ind w:left="0" w:right="0" w:firstLine="0" w:firstLineChars="0"/>
            </w:pPr>
          </w:p>
          <w:p>
            <w:pPr>
              <w:pStyle w:val="11"/>
              <w:keepNext w:val="0"/>
              <w:keepLines w:val="0"/>
              <w:suppressLineNumbers w:val="0"/>
              <w:spacing w:before="0" w:beforeAutospacing="0" w:after="0" w:afterAutospacing="0"/>
              <w:ind w:left="0" w:right="0" w:firstLine="480"/>
            </w:pPr>
          </w:p>
          <w:p>
            <w:pPr>
              <w:keepNext w:val="0"/>
              <w:keepLines w:val="0"/>
              <w:suppressLineNumbers w:val="0"/>
              <w:spacing w:before="0" w:beforeAutospacing="0" w:after="0" w:afterAutospacing="0"/>
              <w:ind w:left="0" w:right="0" w:firstLine="0" w:firstLineChars="0"/>
            </w:pPr>
          </w:p>
        </w:tc>
      </w:tr>
    </w:tbl>
    <w:p>
      <w:pPr>
        <w:pStyle w:val="3"/>
        <w:jc w:val="both"/>
      </w:pPr>
      <w:bookmarkStart w:id="68" w:name="_Toc29438"/>
      <w:bookmarkStart w:id="69" w:name="_Toc31320"/>
      <w:bookmarkStart w:id="70" w:name="_Toc31821_WPSOffice_Level1"/>
      <w:bookmarkStart w:id="71" w:name="_Toc433209267"/>
      <w:bookmarkStart w:id="72" w:name="_Toc17101"/>
      <w:bookmarkStart w:id="73" w:name="_Toc8438"/>
      <w:bookmarkStart w:id="74" w:name="_Toc19011"/>
      <w:r>
        <w:t>表四评价适用标准</w:t>
      </w:r>
      <w:bookmarkEnd w:id="68"/>
      <w:bookmarkEnd w:id="69"/>
      <w:bookmarkEnd w:id="70"/>
      <w:bookmarkEnd w:id="71"/>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6"/>
        <w:gridCol w:w="80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jc w:val="center"/>
        </w:trPr>
        <w:tc>
          <w:tcPr>
            <w:tcW w:w="457" w:type="dxa"/>
            <w:tcBorders>
              <w:left w:val="single" w:color="auto" w:sz="4" w:space="0"/>
              <w:right w:val="single" w:color="auto" w:sz="4" w:space="0"/>
            </w:tcBorders>
            <w:noWrap/>
            <w:vAlign w:val="center"/>
          </w:tcPr>
          <w:p>
            <w:pPr>
              <w:keepNext w:val="0"/>
              <w:keepLines w:val="0"/>
              <w:suppressLineNumbers w:val="0"/>
              <w:spacing w:before="0" w:beforeAutospacing="0" w:after="0" w:afterAutospacing="0"/>
              <w:ind w:left="0" w:right="0" w:firstLine="0" w:firstLineChars="0"/>
              <w:jc w:val="both"/>
              <w:rPr>
                <w:b/>
                <w:bCs/>
              </w:rPr>
            </w:pPr>
            <w:r>
              <w:rPr>
                <w:b/>
                <w:bCs/>
              </w:rPr>
              <w:t>环</w:t>
            </w:r>
          </w:p>
          <w:p>
            <w:pPr>
              <w:keepNext w:val="0"/>
              <w:keepLines w:val="0"/>
              <w:suppressLineNumbers w:val="0"/>
              <w:spacing w:before="0" w:beforeAutospacing="0" w:after="0" w:afterAutospacing="0"/>
              <w:ind w:left="0" w:right="0" w:firstLine="0" w:firstLineChars="0"/>
              <w:jc w:val="both"/>
              <w:rPr>
                <w:b/>
                <w:bCs/>
              </w:rPr>
            </w:pPr>
            <w:r>
              <w:rPr>
                <w:b/>
                <w:bCs/>
              </w:rPr>
              <w:t>境</w:t>
            </w:r>
          </w:p>
          <w:p>
            <w:pPr>
              <w:keepNext w:val="0"/>
              <w:keepLines w:val="0"/>
              <w:suppressLineNumbers w:val="0"/>
              <w:spacing w:before="0" w:beforeAutospacing="0" w:after="0" w:afterAutospacing="0"/>
              <w:ind w:left="0" w:right="0" w:firstLine="0" w:firstLineChars="0"/>
              <w:jc w:val="both"/>
              <w:rPr>
                <w:b/>
                <w:bCs/>
              </w:rPr>
            </w:pPr>
            <w:r>
              <w:rPr>
                <w:b/>
                <w:bCs/>
              </w:rPr>
              <w:t>质</w:t>
            </w:r>
          </w:p>
          <w:p>
            <w:pPr>
              <w:keepNext w:val="0"/>
              <w:keepLines w:val="0"/>
              <w:suppressLineNumbers w:val="0"/>
              <w:spacing w:before="0" w:beforeAutospacing="0" w:after="0" w:afterAutospacing="0"/>
              <w:ind w:left="0" w:right="0" w:firstLine="0" w:firstLineChars="0"/>
              <w:jc w:val="both"/>
              <w:rPr>
                <w:b/>
                <w:bCs/>
              </w:rPr>
            </w:pPr>
            <w:r>
              <w:rPr>
                <w:b/>
                <w:bCs/>
              </w:rPr>
              <w:t>量</w:t>
            </w:r>
          </w:p>
          <w:p>
            <w:pPr>
              <w:keepNext w:val="0"/>
              <w:keepLines w:val="0"/>
              <w:suppressLineNumbers w:val="0"/>
              <w:spacing w:before="0" w:beforeAutospacing="0" w:after="0" w:afterAutospacing="0"/>
              <w:ind w:left="0" w:right="0" w:firstLine="0" w:firstLineChars="0"/>
              <w:jc w:val="both"/>
              <w:rPr>
                <w:b/>
                <w:bCs/>
              </w:rPr>
            </w:pPr>
            <w:r>
              <w:rPr>
                <w:b/>
                <w:bCs/>
              </w:rPr>
              <w:t>标</w:t>
            </w:r>
          </w:p>
          <w:p>
            <w:pPr>
              <w:keepNext w:val="0"/>
              <w:keepLines w:val="0"/>
              <w:suppressLineNumbers w:val="0"/>
              <w:spacing w:before="0" w:beforeAutospacing="0" w:after="0" w:afterAutospacing="0"/>
              <w:ind w:left="0" w:right="0" w:firstLine="0" w:firstLineChars="0"/>
              <w:jc w:val="both"/>
            </w:pPr>
            <w:r>
              <w:rPr>
                <w:b/>
                <w:bCs/>
              </w:rPr>
              <w:t>准</w:t>
            </w:r>
          </w:p>
        </w:tc>
        <w:tc>
          <w:tcPr>
            <w:tcW w:w="8065" w:type="dxa"/>
            <w:tcBorders>
              <w:left w:val="single" w:color="auto" w:sz="4" w:space="0"/>
            </w:tcBorders>
            <w:noWrap/>
            <w:vAlign w:val="center"/>
          </w:tcPr>
          <w:p>
            <w:pPr>
              <w:keepNext w:val="0"/>
              <w:keepLines w:val="0"/>
              <w:widowControl/>
              <w:suppressLineNumbers w:val="0"/>
              <w:spacing w:before="0" w:beforeAutospacing="0" w:after="0" w:afterAutospacing="0"/>
              <w:ind w:left="0" w:right="0" w:firstLine="482"/>
              <w:jc w:val="both"/>
              <w:rPr>
                <w:b/>
                <w:bCs/>
              </w:rPr>
            </w:pPr>
            <w:r>
              <w:rPr>
                <w:b/>
                <w:bCs/>
              </w:rPr>
              <w:t>环境质量标准：</w:t>
            </w:r>
          </w:p>
          <w:p>
            <w:pPr>
              <w:keepNext w:val="0"/>
              <w:keepLines w:val="0"/>
              <w:widowControl/>
              <w:suppressLineNumbers w:val="0"/>
              <w:spacing w:before="0" w:beforeAutospacing="0" w:after="0" w:afterAutospacing="0"/>
              <w:ind w:left="0" w:right="0" w:firstLine="482"/>
              <w:jc w:val="both"/>
              <w:rPr>
                <w:b/>
                <w:bCs/>
              </w:rPr>
            </w:pPr>
            <w:r>
              <w:rPr>
                <w:b/>
                <w:bCs/>
              </w:rPr>
              <w:t>1、环境空气质量</w:t>
            </w:r>
          </w:p>
          <w:p>
            <w:pPr>
              <w:keepNext w:val="0"/>
              <w:keepLines w:val="0"/>
              <w:suppressLineNumbers w:val="0"/>
              <w:adjustRightInd w:val="0"/>
              <w:snapToGrid w:val="0"/>
              <w:spacing w:before="0" w:beforeAutospacing="0" w:after="0" w:afterAutospacing="0"/>
              <w:ind w:left="0" w:right="0" w:firstLine="480"/>
              <w:jc w:val="both"/>
            </w:pPr>
            <w:r>
              <w:rPr>
                <w:kern w:val="0"/>
              </w:rPr>
              <w:t>本项目建设地点位于</w:t>
            </w:r>
            <w:r>
              <w:t>富民工业园区，属于规划工业园区</w:t>
            </w:r>
            <w:r>
              <w:rPr>
                <w:bCs/>
              </w:rPr>
              <w:t>，</w:t>
            </w:r>
            <w:r>
              <w:t>所在区域环境空气质量功能区划为二类区，环境空气质量执行GB3095-2012《环境空气质量标准》二级浓度限值。</w:t>
            </w:r>
          </w:p>
          <w:p>
            <w:pPr>
              <w:pStyle w:val="2"/>
              <w:keepNext w:val="0"/>
              <w:keepLines w:val="0"/>
              <w:suppressLineNumbers w:val="0"/>
              <w:spacing w:before="0" w:beforeAutospacing="0" w:after="0" w:afterAutospacing="0" w:line="240" w:lineRule="auto"/>
              <w:ind w:left="0" w:right="-17" w:firstLine="0" w:firstLineChars="0"/>
              <w:jc w:val="center"/>
              <w:rPr>
                <w:b/>
                <w:sz w:val="21"/>
                <w:szCs w:val="21"/>
              </w:rPr>
            </w:pPr>
            <w:r>
              <w:rPr>
                <w:b/>
                <w:position w:val="2"/>
                <w:sz w:val="21"/>
                <w:szCs w:val="21"/>
              </w:rPr>
              <w:t>表4-1《环境空气质量标准》（</w:t>
            </w:r>
            <w:r>
              <w:rPr>
                <w:rFonts w:eastAsia="Times New Roman"/>
                <w:b/>
                <w:position w:val="2"/>
                <w:sz w:val="21"/>
                <w:szCs w:val="21"/>
              </w:rPr>
              <w:t>GB3095-2012</w:t>
            </w:r>
            <w:r>
              <w:rPr>
                <w:b/>
                <w:position w:val="2"/>
                <w:sz w:val="21"/>
                <w:szCs w:val="21"/>
              </w:rPr>
              <w:t>）二级标准</w:t>
            </w:r>
          </w:p>
          <w:tbl>
            <w:tblPr>
              <w:tblStyle w:val="18"/>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957"/>
              <w:gridCol w:w="1923"/>
              <w:gridCol w:w="1798"/>
              <w:gridCol w:w="1985"/>
              <w:gridCol w:w="115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gridSpan w:val="2"/>
                  <w:vMerge w:val="restart"/>
                  <w:vAlign w:val="center"/>
                </w:tcPr>
                <w:p>
                  <w:pPr>
                    <w:keepNext w:val="0"/>
                    <w:keepLines w:val="0"/>
                    <w:suppressLineNumbers w:val="0"/>
                    <w:spacing w:before="49" w:beforeAutospacing="0" w:after="0" w:afterAutospacing="0"/>
                    <w:ind w:left="524" w:right="0" w:firstLine="482"/>
                    <w:jc w:val="center"/>
                    <w:rPr>
                      <w:b/>
                      <w:szCs w:val="21"/>
                    </w:rPr>
                  </w:pPr>
                  <w:r>
                    <w:rPr>
                      <w:b/>
                      <w:szCs w:val="21"/>
                    </w:rPr>
                    <w:pict>
                      <v:shape id="_x0000_s1033" o:spid="_x0000_s1033" o:spt="32" type="#_x0000_t32" style="position:absolute;left:0pt;margin-left:-1.1pt;margin-top:0.1pt;height:52.5pt;width:155.25pt;z-index:251658240;mso-width-relative:page;mso-height-relative:page;" o:connectortype="straight" filled="f" coordsize="21600,21600">
                        <v:path arrowok="t"/>
                        <v:fill on="f" focussize="0,0"/>
                        <v:stroke/>
                        <v:imagedata o:title=""/>
                        <o:lock v:ext="edit"/>
                      </v:shape>
                    </w:pict>
                  </w:r>
                  <w:r>
                    <w:rPr>
                      <w:b/>
                      <w:szCs w:val="21"/>
                    </w:rPr>
                    <w:t>浓度</w:t>
                  </w:r>
                </w:p>
                <w:p>
                  <w:pPr>
                    <w:keepNext w:val="0"/>
                    <w:keepLines w:val="0"/>
                    <w:suppressLineNumbers w:val="0"/>
                    <w:spacing w:before="85" w:beforeAutospacing="0" w:after="0" w:afterAutospacing="0"/>
                    <w:ind w:left="0" w:right="0" w:firstLine="0" w:firstLineChars="0"/>
                    <w:jc w:val="center"/>
                    <w:rPr>
                      <w:b/>
                      <w:szCs w:val="21"/>
                    </w:rPr>
                  </w:pPr>
                  <w:r>
                    <w:rPr>
                      <w:b/>
                      <w:szCs w:val="21"/>
                    </w:rPr>
                    <w:t>污染物</w:t>
                  </w:r>
                </w:p>
              </w:tc>
              <w:tc>
                <w:tcPr>
                  <w:tcW w:w="0" w:type="auto"/>
                  <w:gridSpan w:val="3"/>
                  <w:vAlign w:val="center"/>
                </w:tcPr>
                <w:p>
                  <w:pPr>
                    <w:keepNext w:val="0"/>
                    <w:keepLines w:val="0"/>
                    <w:suppressLineNumbers w:val="0"/>
                    <w:spacing w:before="44" w:beforeAutospacing="0" w:after="0" w:afterAutospacing="0"/>
                    <w:ind w:left="0" w:right="0" w:firstLine="0" w:firstLineChars="0"/>
                    <w:jc w:val="center"/>
                    <w:rPr>
                      <w:b/>
                      <w:szCs w:val="21"/>
                    </w:rPr>
                  </w:pPr>
                  <w:r>
                    <w:rPr>
                      <w:b/>
                      <w:szCs w:val="21"/>
                    </w:rPr>
                    <w:t>浓度限值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gridSpan w:val="2"/>
                  <w:vMerge w:val="continue"/>
                  <w:vAlign w:val="center"/>
                </w:tcPr>
                <w:p>
                  <w:pPr>
                    <w:keepNext w:val="0"/>
                    <w:keepLines w:val="0"/>
                    <w:suppressLineNumbers w:val="0"/>
                    <w:spacing w:before="0" w:beforeAutospacing="0" w:after="0" w:afterAutospacing="0"/>
                    <w:ind w:left="0" w:right="0" w:firstLine="482"/>
                    <w:jc w:val="center"/>
                    <w:rPr>
                      <w:b/>
                    </w:rPr>
                  </w:pPr>
                </w:p>
              </w:tc>
              <w:tc>
                <w:tcPr>
                  <w:tcW w:w="0" w:type="auto"/>
                  <w:vAlign w:val="center"/>
                </w:tcPr>
                <w:p>
                  <w:pPr>
                    <w:keepNext w:val="0"/>
                    <w:keepLines w:val="0"/>
                    <w:suppressLineNumbers w:val="0"/>
                    <w:spacing w:before="43" w:beforeAutospacing="0" w:after="0" w:afterAutospacing="0"/>
                    <w:ind w:left="0" w:right="1" w:firstLine="0" w:firstLineChars="0"/>
                    <w:jc w:val="center"/>
                    <w:rPr>
                      <w:b/>
                      <w:szCs w:val="21"/>
                    </w:rPr>
                  </w:pPr>
                  <w:r>
                    <w:rPr>
                      <w:rFonts w:eastAsia="Times New Roman"/>
                      <w:b/>
                      <w:szCs w:val="21"/>
                    </w:rPr>
                    <w:t>1</w:t>
                  </w:r>
                  <w:r>
                    <w:rPr>
                      <w:b/>
                      <w:szCs w:val="21"/>
                    </w:rPr>
                    <w:t>小时平均</w:t>
                  </w:r>
                </w:p>
              </w:tc>
              <w:tc>
                <w:tcPr>
                  <w:tcW w:w="0" w:type="auto"/>
                  <w:vAlign w:val="center"/>
                </w:tcPr>
                <w:p>
                  <w:pPr>
                    <w:keepNext w:val="0"/>
                    <w:keepLines w:val="0"/>
                    <w:suppressLineNumbers w:val="0"/>
                    <w:spacing w:before="43" w:beforeAutospacing="0" w:after="0" w:afterAutospacing="0"/>
                    <w:ind w:left="0" w:right="2" w:firstLine="0" w:firstLineChars="0"/>
                    <w:jc w:val="center"/>
                    <w:rPr>
                      <w:b/>
                      <w:szCs w:val="21"/>
                    </w:rPr>
                  </w:pPr>
                  <w:r>
                    <w:rPr>
                      <w:rFonts w:eastAsia="Times New Roman"/>
                      <w:b/>
                      <w:szCs w:val="21"/>
                    </w:rPr>
                    <w:t>24</w:t>
                  </w:r>
                  <w:r>
                    <w:rPr>
                      <w:b/>
                      <w:szCs w:val="21"/>
                    </w:rPr>
                    <w:t>小时平均</w:t>
                  </w:r>
                </w:p>
              </w:tc>
              <w:tc>
                <w:tcPr>
                  <w:tcW w:w="0" w:type="auto"/>
                  <w:vAlign w:val="center"/>
                </w:tcPr>
                <w:p>
                  <w:pPr>
                    <w:keepNext w:val="0"/>
                    <w:keepLines w:val="0"/>
                    <w:suppressLineNumbers w:val="0"/>
                    <w:spacing w:before="43" w:beforeAutospacing="0" w:after="0" w:afterAutospacing="0"/>
                    <w:ind w:left="0" w:right="1" w:firstLine="0" w:firstLineChars="0"/>
                    <w:jc w:val="center"/>
                    <w:rPr>
                      <w:b/>
                      <w:szCs w:val="21"/>
                    </w:rPr>
                  </w:pPr>
                  <w:r>
                    <w:rPr>
                      <w:b/>
                      <w:szCs w:val="21"/>
                    </w:rPr>
                    <w:t>年平均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Align w:val="center"/>
                </w:tcPr>
                <w:p>
                  <w:pPr>
                    <w:keepNext w:val="0"/>
                    <w:keepLines w:val="0"/>
                    <w:suppressLineNumbers w:val="0"/>
                    <w:spacing w:before="89" w:beforeAutospacing="0" w:after="0" w:afterAutospacing="0" w:line="240" w:lineRule="auto"/>
                    <w:ind w:left="0" w:right="0" w:firstLine="0" w:firstLineChars="0"/>
                    <w:jc w:val="center"/>
                    <w:rPr>
                      <w:rFonts w:eastAsia="Times New Roman"/>
                      <w:sz w:val="21"/>
                      <w:szCs w:val="21"/>
                    </w:rPr>
                  </w:pPr>
                  <w:r>
                    <w:rPr>
                      <w:position w:val="2"/>
                      <w:sz w:val="21"/>
                      <w:szCs w:val="21"/>
                    </w:rPr>
                    <w:t>SO</w:t>
                  </w:r>
                  <w:r>
                    <w:rPr>
                      <w:sz w:val="21"/>
                      <w:szCs w:val="21"/>
                    </w:rPr>
                    <w:t>2</w:t>
                  </w:r>
                </w:p>
              </w:tc>
              <w:tc>
                <w:tcPr>
                  <w:tcW w:w="0" w:type="auto"/>
                  <w:vMerge w:val="restart"/>
                  <w:vAlign w:val="center"/>
                </w:tcPr>
                <w:p>
                  <w:pPr>
                    <w:keepNext w:val="0"/>
                    <w:keepLines w:val="0"/>
                    <w:suppressLineNumbers w:val="0"/>
                    <w:spacing w:before="34" w:beforeAutospacing="0" w:after="0" w:afterAutospacing="0" w:line="240" w:lineRule="auto"/>
                    <w:ind w:left="0" w:right="0" w:firstLine="0" w:firstLineChars="0"/>
                    <w:jc w:val="center"/>
                    <w:rPr>
                      <w:rFonts w:eastAsia="Times New Roman"/>
                      <w:sz w:val="21"/>
                      <w:szCs w:val="21"/>
                    </w:rPr>
                  </w:pPr>
                  <w:r>
                    <w:rPr>
                      <w:rFonts w:eastAsiaTheme="minorEastAsia"/>
                      <w:sz w:val="21"/>
                      <w:szCs w:val="21"/>
                    </w:rPr>
                    <w:t>单位：ug/m</w:t>
                  </w:r>
                  <w:r>
                    <w:rPr>
                      <w:rFonts w:eastAsiaTheme="minorEastAsia"/>
                      <w:position w:val="8"/>
                      <w:sz w:val="21"/>
                      <w:szCs w:val="21"/>
                    </w:rPr>
                    <w:t>3</w:t>
                  </w:r>
                </w:p>
              </w:tc>
              <w:tc>
                <w:tcPr>
                  <w:tcW w:w="0" w:type="auto"/>
                  <w:vAlign w:val="center"/>
                </w:tcPr>
                <w:p>
                  <w:pPr>
                    <w:keepNext w:val="0"/>
                    <w:keepLines w:val="0"/>
                    <w:suppressLineNumbers w:val="0"/>
                    <w:spacing w:before="92" w:beforeAutospacing="0" w:after="0" w:afterAutospacing="0" w:line="240" w:lineRule="auto"/>
                    <w:ind w:left="0" w:right="0" w:firstLine="0" w:firstLineChars="0"/>
                    <w:jc w:val="center"/>
                    <w:rPr>
                      <w:rFonts w:eastAsia="Times New Roman"/>
                      <w:sz w:val="21"/>
                      <w:szCs w:val="21"/>
                    </w:rPr>
                  </w:pPr>
                  <w:r>
                    <w:rPr>
                      <w:sz w:val="21"/>
                      <w:szCs w:val="21"/>
                    </w:rPr>
                    <w:t>500</w:t>
                  </w:r>
                </w:p>
              </w:tc>
              <w:tc>
                <w:tcPr>
                  <w:tcW w:w="0" w:type="auto"/>
                  <w:vAlign w:val="center"/>
                </w:tcPr>
                <w:p>
                  <w:pPr>
                    <w:keepNext w:val="0"/>
                    <w:keepLines w:val="0"/>
                    <w:suppressLineNumbers w:val="0"/>
                    <w:spacing w:before="92" w:beforeAutospacing="0" w:after="0" w:afterAutospacing="0" w:line="240" w:lineRule="auto"/>
                    <w:ind w:left="0" w:right="0" w:firstLine="0" w:firstLineChars="0"/>
                    <w:jc w:val="center"/>
                    <w:rPr>
                      <w:rFonts w:eastAsia="Times New Roman"/>
                      <w:sz w:val="21"/>
                      <w:szCs w:val="21"/>
                    </w:rPr>
                  </w:pPr>
                  <w:r>
                    <w:rPr>
                      <w:sz w:val="21"/>
                      <w:szCs w:val="21"/>
                    </w:rPr>
                    <w:t>150</w:t>
                  </w:r>
                </w:p>
              </w:tc>
              <w:tc>
                <w:tcPr>
                  <w:tcW w:w="0" w:type="auto"/>
                  <w:vAlign w:val="center"/>
                </w:tcPr>
                <w:p>
                  <w:pPr>
                    <w:keepNext w:val="0"/>
                    <w:keepLines w:val="0"/>
                    <w:suppressLineNumbers w:val="0"/>
                    <w:spacing w:before="92" w:beforeAutospacing="0" w:after="0" w:afterAutospacing="0" w:line="240" w:lineRule="auto"/>
                    <w:ind w:left="0" w:right="2" w:firstLine="0" w:firstLineChars="0"/>
                    <w:jc w:val="center"/>
                    <w:rPr>
                      <w:rFonts w:eastAsia="Times New Roman"/>
                      <w:sz w:val="21"/>
                      <w:szCs w:val="21"/>
                    </w:rPr>
                  </w:pPr>
                  <w:r>
                    <w:rPr>
                      <w:sz w:val="21"/>
                      <w:szCs w:val="21"/>
                    </w:rPr>
                    <w:t>60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Align w:val="center"/>
                </w:tcPr>
                <w:p>
                  <w:pPr>
                    <w:keepNext w:val="0"/>
                    <w:keepLines w:val="0"/>
                    <w:suppressLineNumbers w:val="0"/>
                    <w:spacing w:before="88" w:beforeAutospacing="0" w:after="0" w:afterAutospacing="0" w:line="240" w:lineRule="auto"/>
                    <w:ind w:left="0" w:right="0" w:firstLine="0" w:firstLineChars="0"/>
                    <w:jc w:val="center"/>
                    <w:rPr>
                      <w:rFonts w:eastAsia="Times New Roman"/>
                      <w:sz w:val="21"/>
                      <w:szCs w:val="21"/>
                    </w:rPr>
                  </w:pPr>
                  <w:r>
                    <w:rPr>
                      <w:position w:val="2"/>
                      <w:sz w:val="21"/>
                      <w:szCs w:val="21"/>
                    </w:rPr>
                    <w:t>NO</w:t>
                  </w:r>
                  <w:r>
                    <w:rPr>
                      <w:sz w:val="21"/>
                      <w:szCs w:val="21"/>
                      <w:vertAlign w:val="subscript"/>
                    </w:rPr>
                    <w:t>2</w:t>
                  </w:r>
                </w:p>
              </w:tc>
              <w:tc>
                <w:tcPr>
                  <w:tcW w:w="0" w:type="auto"/>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0" w:type="auto"/>
                  <w:vAlign w:val="center"/>
                </w:tcPr>
                <w:p>
                  <w:pPr>
                    <w:keepNext w:val="0"/>
                    <w:keepLines w:val="0"/>
                    <w:suppressLineNumbers w:val="0"/>
                    <w:spacing w:before="91" w:beforeAutospacing="0" w:after="0" w:afterAutospacing="0" w:line="240" w:lineRule="auto"/>
                    <w:ind w:left="0" w:right="0" w:firstLine="0" w:firstLineChars="0"/>
                    <w:jc w:val="center"/>
                    <w:rPr>
                      <w:rFonts w:eastAsia="Times New Roman"/>
                      <w:sz w:val="21"/>
                      <w:szCs w:val="21"/>
                    </w:rPr>
                  </w:pPr>
                  <w:r>
                    <w:rPr>
                      <w:sz w:val="21"/>
                      <w:szCs w:val="21"/>
                    </w:rPr>
                    <w:t>200</w:t>
                  </w:r>
                </w:p>
              </w:tc>
              <w:tc>
                <w:tcPr>
                  <w:tcW w:w="0" w:type="auto"/>
                  <w:vAlign w:val="center"/>
                </w:tcPr>
                <w:p>
                  <w:pPr>
                    <w:keepNext w:val="0"/>
                    <w:keepLines w:val="0"/>
                    <w:suppressLineNumbers w:val="0"/>
                    <w:spacing w:before="91" w:beforeAutospacing="0" w:after="0" w:afterAutospacing="0" w:line="240" w:lineRule="auto"/>
                    <w:ind w:left="0" w:right="0" w:firstLine="0" w:firstLineChars="0"/>
                    <w:jc w:val="center"/>
                    <w:rPr>
                      <w:rFonts w:eastAsia="Times New Roman"/>
                      <w:sz w:val="21"/>
                      <w:szCs w:val="21"/>
                    </w:rPr>
                  </w:pPr>
                  <w:r>
                    <w:rPr>
                      <w:sz w:val="21"/>
                      <w:szCs w:val="21"/>
                    </w:rPr>
                    <w:t>80</w:t>
                  </w:r>
                </w:p>
              </w:tc>
              <w:tc>
                <w:tcPr>
                  <w:tcW w:w="0" w:type="auto"/>
                  <w:vAlign w:val="center"/>
                </w:tcPr>
                <w:p>
                  <w:pPr>
                    <w:keepNext w:val="0"/>
                    <w:keepLines w:val="0"/>
                    <w:suppressLineNumbers w:val="0"/>
                    <w:spacing w:before="91" w:beforeAutospacing="0" w:after="0" w:afterAutospacing="0" w:line="240" w:lineRule="auto"/>
                    <w:ind w:left="0" w:right="2" w:firstLine="0" w:firstLineChars="0"/>
                    <w:jc w:val="center"/>
                    <w:rPr>
                      <w:rFonts w:eastAsia="Times New Roman"/>
                      <w:sz w:val="21"/>
                      <w:szCs w:val="21"/>
                    </w:rPr>
                  </w:pPr>
                  <w:r>
                    <w:rPr>
                      <w:sz w:val="21"/>
                      <w:szCs w:val="21"/>
                    </w:rPr>
                    <w:t>40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Align w:val="center"/>
                </w:tcPr>
                <w:p>
                  <w:pPr>
                    <w:keepNext w:val="0"/>
                    <w:keepLines w:val="0"/>
                    <w:suppressLineNumbers w:val="0"/>
                    <w:spacing w:before="93" w:beforeAutospacing="0" w:after="0" w:afterAutospacing="0" w:line="240" w:lineRule="auto"/>
                    <w:ind w:left="0" w:right="0" w:firstLine="0" w:firstLineChars="0"/>
                    <w:jc w:val="center"/>
                    <w:rPr>
                      <w:rFonts w:eastAsia="Times New Roman"/>
                      <w:sz w:val="21"/>
                      <w:szCs w:val="21"/>
                    </w:rPr>
                  </w:pPr>
                  <w:r>
                    <w:rPr>
                      <w:sz w:val="21"/>
                      <w:szCs w:val="21"/>
                    </w:rPr>
                    <w:t>TSP</w:t>
                  </w:r>
                </w:p>
              </w:tc>
              <w:tc>
                <w:tcPr>
                  <w:tcW w:w="0" w:type="auto"/>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0" w:type="auto"/>
                  <w:vAlign w:val="center"/>
                </w:tcPr>
                <w:p>
                  <w:pPr>
                    <w:keepNext w:val="0"/>
                    <w:keepLines w:val="0"/>
                    <w:suppressLineNumbers w:val="0"/>
                    <w:spacing w:before="93" w:beforeAutospacing="0" w:after="0" w:afterAutospacing="0" w:line="240" w:lineRule="auto"/>
                    <w:ind w:left="0" w:right="0" w:firstLine="0" w:firstLineChars="0"/>
                    <w:jc w:val="center"/>
                    <w:rPr>
                      <w:rFonts w:eastAsia="Times New Roman"/>
                      <w:sz w:val="21"/>
                      <w:szCs w:val="21"/>
                    </w:rPr>
                  </w:pPr>
                  <w:r>
                    <w:rPr>
                      <w:w w:val="99"/>
                      <w:sz w:val="21"/>
                      <w:szCs w:val="21"/>
                    </w:rPr>
                    <w:t>/</w:t>
                  </w:r>
                </w:p>
              </w:tc>
              <w:tc>
                <w:tcPr>
                  <w:tcW w:w="0" w:type="auto"/>
                  <w:vAlign w:val="center"/>
                </w:tcPr>
                <w:p>
                  <w:pPr>
                    <w:keepNext w:val="0"/>
                    <w:keepLines w:val="0"/>
                    <w:suppressLineNumbers w:val="0"/>
                    <w:spacing w:before="93" w:beforeAutospacing="0" w:after="0" w:afterAutospacing="0" w:line="240" w:lineRule="auto"/>
                    <w:ind w:left="0" w:right="0" w:firstLine="0" w:firstLineChars="0"/>
                    <w:jc w:val="center"/>
                    <w:rPr>
                      <w:rFonts w:eastAsia="Times New Roman"/>
                      <w:sz w:val="21"/>
                      <w:szCs w:val="21"/>
                    </w:rPr>
                  </w:pPr>
                  <w:r>
                    <w:rPr>
                      <w:sz w:val="21"/>
                      <w:szCs w:val="21"/>
                    </w:rPr>
                    <w:t>300</w:t>
                  </w:r>
                </w:p>
              </w:tc>
              <w:tc>
                <w:tcPr>
                  <w:tcW w:w="0" w:type="auto"/>
                  <w:vAlign w:val="center"/>
                </w:tcPr>
                <w:p>
                  <w:pPr>
                    <w:keepNext w:val="0"/>
                    <w:keepLines w:val="0"/>
                    <w:suppressLineNumbers w:val="0"/>
                    <w:spacing w:before="93" w:beforeAutospacing="0" w:after="0" w:afterAutospacing="0" w:line="240" w:lineRule="auto"/>
                    <w:ind w:left="0" w:right="2" w:firstLine="0" w:firstLineChars="0"/>
                    <w:jc w:val="center"/>
                    <w:rPr>
                      <w:rFonts w:eastAsia="Times New Roman"/>
                      <w:sz w:val="21"/>
                      <w:szCs w:val="21"/>
                    </w:rPr>
                  </w:pPr>
                  <w:r>
                    <w:rPr>
                      <w:sz w:val="21"/>
                      <w:szCs w:val="21"/>
                    </w:rPr>
                    <w:t>200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Align w:val="center"/>
                </w:tcPr>
                <w:p>
                  <w:pPr>
                    <w:keepNext w:val="0"/>
                    <w:keepLines w:val="0"/>
                    <w:suppressLineNumbers w:val="0"/>
                    <w:spacing w:before="89" w:beforeAutospacing="0" w:after="0" w:afterAutospacing="0" w:line="240" w:lineRule="auto"/>
                    <w:ind w:left="0" w:right="0" w:firstLine="0" w:firstLineChars="0"/>
                    <w:jc w:val="center"/>
                    <w:rPr>
                      <w:rFonts w:eastAsia="Times New Roman"/>
                      <w:sz w:val="21"/>
                      <w:szCs w:val="21"/>
                    </w:rPr>
                  </w:pPr>
                  <w:r>
                    <w:rPr>
                      <w:position w:val="2"/>
                      <w:sz w:val="21"/>
                      <w:szCs w:val="21"/>
                    </w:rPr>
                    <w:t>PM</w:t>
                  </w:r>
                  <w:r>
                    <w:rPr>
                      <w:sz w:val="21"/>
                      <w:szCs w:val="21"/>
                    </w:rPr>
                    <w:t>10</w:t>
                  </w:r>
                </w:p>
              </w:tc>
              <w:tc>
                <w:tcPr>
                  <w:tcW w:w="0" w:type="auto"/>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0" w:type="auto"/>
                  <w:vAlign w:val="center"/>
                </w:tcPr>
                <w:p>
                  <w:pPr>
                    <w:keepNext w:val="0"/>
                    <w:keepLines w:val="0"/>
                    <w:suppressLineNumbers w:val="0"/>
                    <w:spacing w:before="93" w:beforeAutospacing="0" w:after="0" w:afterAutospacing="0" w:line="240" w:lineRule="auto"/>
                    <w:ind w:left="0" w:right="0" w:firstLine="0" w:firstLineChars="0"/>
                    <w:jc w:val="center"/>
                    <w:rPr>
                      <w:rFonts w:eastAsia="Times New Roman"/>
                      <w:sz w:val="21"/>
                      <w:szCs w:val="21"/>
                    </w:rPr>
                  </w:pPr>
                  <w:r>
                    <w:rPr>
                      <w:w w:val="99"/>
                      <w:sz w:val="21"/>
                      <w:szCs w:val="21"/>
                    </w:rPr>
                    <w:t>/</w:t>
                  </w:r>
                </w:p>
              </w:tc>
              <w:tc>
                <w:tcPr>
                  <w:tcW w:w="0" w:type="auto"/>
                  <w:vAlign w:val="center"/>
                </w:tcPr>
                <w:p>
                  <w:pPr>
                    <w:keepNext w:val="0"/>
                    <w:keepLines w:val="0"/>
                    <w:suppressLineNumbers w:val="0"/>
                    <w:spacing w:before="93" w:beforeAutospacing="0" w:after="0" w:afterAutospacing="0" w:line="240" w:lineRule="auto"/>
                    <w:ind w:left="0" w:right="0" w:firstLine="0" w:firstLineChars="0"/>
                    <w:jc w:val="center"/>
                    <w:rPr>
                      <w:rFonts w:eastAsia="Times New Roman"/>
                      <w:sz w:val="21"/>
                      <w:szCs w:val="21"/>
                    </w:rPr>
                  </w:pPr>
                  <w:r>
                    <w:rPr>
                      <w:sz w:val="21"/>
                      <w:szCs w:val="21"/>
                    </w:rPr>
                    <w:t>150</w:t>
                  </w:r>
                </w:p>
              </w:tc>
              <w:tc>
                <w:tcPr>
                  <w:tcW w:w="0" w:type="auto"/>
                  <w:vAlign w:val="center"/>
                </w:tcPr>
                <w:p>
                  <w:pPr>
                    <w:keepNext w:val="0"/>
                    <w:keepLines w:val="0"/>
                    <w:suppressLineNumbers w:val="0"/>
                    <w:spacing w:before="93" w:beforeAutospacing="0" w:after="0" w:afterAutospacing="0" w:line="240" w:lineRule="auto"/>
                    <w:ind w:left="0" w:right="2" w:firstLine="0" w:firstLineChars="0"/>
                    <w:jc w:val="center"/>
                    <w:rPr>
                      <w:rFonts w:eastAsia="Times New Roman"/>
                      <w:sz w:val="21"/>
                      <w:szCs w:val="21"/>
                    </w:rPr>
                  </w:pPr>
                  <w:r>
                    <w:rPr>
                      <w:sz w:val="21"/>
                      <w:szCs w:val="21"/>
                    </w:rPr>
                    <w:t>70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Align w:val="center"/>
                </w:tcPr>
                <w:p>
                  <w:pPr>
                    <w:keepNext w:val="0"/>
                    <w:keepLines w:val="0"/>
                    <w:suppressLineNumbers w:val="0"/>
                    <w:spacing w:before="89" w:beforeAutospacing="0" w:after="0" w:afterAutospacing="0" w:line="240" w:lineRule="auto"/>
                    <w:ind w:left="0" w:right="0" w:firstLine="0" w:firstLineChars="0"/>
                    <w:jc w:val="center"/>
                    <w:rPr>
                      <w:rFonts w:eastAsia="Times New Roman"/>
                      <w:sz w:val="21"/>
                      <w:szCs w:val="21"/>
                    </w:rPr>
                  </w:pPr>
                  <w:r>
                    <w:rPr>
                      <w:w w:val="105"/>
                      <w:position w:val="2"/>
                      <w:sz w:val="21"/>
                      <w:szCs w:val="21"/>
                    </w:rPr>
                    <w:t>PM</w:t>
                  </w:r>
                  <w:r>
                    <w:rPr>
                      <w:w w:val="105"/>
                      <w:sz w:val="21"/>
                      <w:szCs w:val="21"/>
                    </w:rPr>
                    <w:t>2.5</w:t>
                  </w:r>
                </w:p>
              </w:tc>
              <w:tc>
                <w:tcPr>
                  <w:tcW w:w="0" w:type="auto"/>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0" w:type="auto"/>
                  <w:vAlign w:val="center"/>
                </w:tcPr>
                <w:p>
                  <w:pPr>
                    <w:keepNext w:val="0"/>
                    <w:keepLines w:val="0"/>
                    <w:suppressLineNumbers w:val="0"/>
                    <w:spacing w:before="92" w:beforeAutospacing="0" w:after="0" w:afterAutospacing="0" w:line="240" w:lineRule="auto"/>
                    <w:ind w:left="0" w:right="0" w:firstLine="0" w:firstLineChars="0"/>
                    <w:jc w:val="center"/>
                    <w:rPr>
                      <w:rFonts w:eastAsia="Times New Roman"/>
                      <w:sz w:val="21"/>
                      <w:szCs w:val="21"/>
                    </w:rPr>
                  </w:pPr>
                  <w:r>
                    <w:rPr>
                      <w:w w:val="99"/>
                      <w:sz w:val="21"/>
                      <w:szCs w:val="21"/>
                    </w:rPr>
                    <w:t>/</w:t>
                  </w:r>
                </w:p>
              </w:tc>
              <w:tc>
                <w:tcPr>
                  <w:tcW w:w="0" w:type="auto"/>
                  <w:vAlign w:val="center"/>
                </w:tcPr>
                <w:p>
                  <w:pPr>
                    <w:keepNext w:val="0"/>
                    <w:keepLines w:val="0"/>
                    <w:suppressLineNumbers w:val="0"/>
                    <w:spacing w:before="92" w:beforeAutospacing="0" w:after="0" w:afterAutospacing="0" w:line="240" w:lineRule="auto"/>
                    <w:ind w:left="0" w:right="0" w:firstLine="0" w:firstLineChars="0"/>
                    <w:jc w:val="center"/>
                    <w:rPr>
                      <w:rFonts w:eastAsia="Times New Roman"/>
                      <w:sz w:val="21"/>
                      <w:szCs w:val="21"/>
                    </w:rPr>
                  </w:pPr>
                  <w:r>
                    <w:rPr>
                      <w:sz w:val="21"/>
                      <w:szCs w:val="21"/>
                    </w:rPr>
                    <w:t>75</w:t>
                  </w:r>
                </w:p>
              </w:tc>
              <w:tc>
                <w:tcPr>
                  <w:tcW w:w="0" w:type="auto"/>
                  <w:vAlign w:val="center"/>
                </w:tcPr>
                <w:p>
                  <w:pPr>
                    <w:keepNext w:val="0"/>
                    <w:keepLines w:val="0"/>
                    <w:suppressLineNumbers w:val="0"/>
                    <w:spacing w:before="92" w:beforeAutospacing="0" w:after="0" w:afterAutospacing="0" w:line="240" w:lineRule="auto"/>
                    <w:ind w:left="0" w:right="2" w:firstLine="0" w:firstLineChars="0"/>
                    <w:jc w:val="center"/>
                    <w:rPr>
                      <w:rFonts w:eastAsia="Times New Roman"/>
                      <w:sz w:val="21"/>
                      <w:szCs w:val="21"/>
                    </w:rPr>
                  </w:pPr>
                  <w:r>
                    <w:rPr>
                      <w:sz w:val="21"/>
                      <w:szCs w:val="21"/>
                    </w:rPr>
                    <w:t>35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28" w:hRule="atLeast"/>
              </w:trPr>
              <w:tc>
                <w:tcPr>
                  <w:tcW w:w="0" w:type="auto"/>
                  <w:vAlign w:val="center"/>
                </w:tcPr>
                <w:p>
                  <w:pPr>
                    <w:keepNext w:val="0"/>
                    <w:keepLines w:val="0"/>
                    <w:suppressLineNumbers w:val="0"/>
                    <w:spacing w:before="89" w:beforeAutospacing="0" w:after="0" w:afterAutospacing="0" w:line="240" w:lineRule="auto"/>
                    <w:ind w:left="0" w:right="0" w:firstLine="0" w:firstLineChars="0"/>
                    <w:jc w:val="center"/>
                    <w:rPr>
                      <w:w w:val="105"/>
                      <w:position w:val="2"/>
                      <w:sz w:val="21"/>
                      <w:szCs w:val="21"/>
                    </w:rPr>
                  </w:pPr>
                  <w:r>
                    <w:rPr>
                      <w:rFonts w:hint="eastAsia"/>
                      <w:w w:val="105"/>
                      <w:position w:val="2"/>
                      <w:sz w:val="21"/>
                      <w:szCs w:val="21"/>
                    </w:rPr>
                    <w:t>CO</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eastAsiaTheme="minorEastAsia"/>
                      <w:sz w:val="21"/>
                      <w:szCs w:val="21"/>
                    </w:rPr>
                    <w:t>单位：</w:t>
                  </w:r>
                  <w:r>
                    <w:rPr>
                      <w:rFonts w:hint="eastAsia" w:eastAsiaTheme="minorEastAsia"/>
                      <w:sz w:val="21"/>
                      <w:szCs w:val="21"/>
                    </w:rPr>
                    <w:t>m</w:t>
                  </w:r>
                  <w:r>
                    <w:rPr>
                      <w:rFonts w:eastAsiaTheme="minorEastAsia"/>
                      <w:sz w:val="21"/>
                      <w:szCs w:val="21"/>
                    </w:rPr>
                    <w:t>g/m</w:t>
                  </w:r>
                  <w:r>
                    <w:rPr>
                      <w:rFonts w:eastAsiaTheme="minorEastAsia"/>
                      <w:position w:val="8"/>
                      <w:sz w:val="21"/>
                      <w:szCs w:val="21"/>
                    </w:rPr>
                    <w:t>3</w:t>
                  </w:r>
                </w:p>
              </w:tc>
              <w:tc>
                <w:tcPr>
                  <w:tcW w:w="0" w:type="auto"/>
                  <w:vAlign w:val="center"/>
                </w:tcPr>
                <w:p>
                  <w:pPr>
                    <w:keepNext w:val="0"/>
                    <w:keepLines w:val="0"/>
                    <w:suppressLineNumbers w:val="0"/>
                    <w:spacing w:before="92" w:beforeAutospacing="0" w:after="0" w:afterAutospacing="0" w:line="240" w:lineRule="auto"/>
                    <w:ind w:left="0" w:right="0" w:firstLine="0" w:firstLineChars="0"/>
                    <w:jc w:val="center"/>
                    <w:rPr>
                      <w:w w:val="99"/>
                      <w:sz w:val="21"/>
                      <w:szCs w:val="21"/>
                    </w:rPr>
                  </w:pPr>
                  <w:r>
                    <w:rPr>
                      <w:w w:val="99"/>
                      <w:sz w:val="21"/>
                      <w:szCs w:val="21"/>
                    </w:rPr>
                    <w:t>/</w:t>
                  </w:r>
                </w:p>
              </w:tc>
              <w:tc>
                <w:tcPr>
                  <w:tcW w:w="0" w:type="auto"/>
                  <w:vAlign w:val="center"/>
                </w:tcPr>
                <w:p>
                  <w:pPr>
                    <w:keepNext w:val="0"/>
                    <w:keepLines w:val="0"/>
                    <w:suppressLineNumbers w:val="0"/>
                    <w:spacing w:before="92" w:beforeAutospacing="0" w:after="0" w:afterAutospacing="0" w:line="240" w:lineRule="auto"/>
                    <w:ind w:left="0" w:right="0" w:firstLine="0" w:firstLineChars="0"/>
                    <w:jc w:val="center"/>
                    <w:rPr>
                      <w:sz w:val="21"/>
                      <w:szCs w:val="21"/>
                    </w:rPr>
                  </w:pPr>
                  <w:r>
                    <w:rPr>
                      <w:rFonts w:hint="eastAsia"/>
                      <w:sz w:val="21"/>
                      <w:szCs w:val="21"/>
                    </w:rPr>
                    <w:t>4</w:t>
                  </w:r>
                </w:p>
              </w:tc>
              <w:tc>
                <w:tcPr>
                  <w:tcW w:w="0" w:type="auto"/>
                  <w:vAlign w:val="center"/>
                </w:tcPr>
                <w:p>
                  <w:pPr>
                    <w:keepNext w:val="0"/>
                    <w:keepLines w:val="0"/>
                    <w:suppressLineNumbers w:val="0"/>
                    <w:spacing w:before="92" w:beforeAutospacing="0" w:after="0" w:afterAutospacing="0" w:line="240" w:lineRule="auto"/>
                    <w:ind w:left="0" w:right="2" w:firstLine="0" w:firstLineChars="0"/>
                    <w:jc w:val="center"/>
                    <w:rPr>
                      <w:sz w:val="21"/>
                      <w:szCs w:val="21"/>
                    </w:rPr>
                  </w:pPr>
                  <w:r>
                    <w:rPr>
                      <w:rFonts w:hint="eastAsia"/>
                      <w:sz w:val="21"/>
                      <w:szCs w:val="21"/>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restart"/>
                  <w:vAlign w:val="center"/>
                </w:tcPr>
                <w:p>
                  <w:pPr>
                    <w:keepNext w:val="0"/>
                    <w:keepLines w:val="0"/>
                    <w:suppressLineNumbers w:val="0"/>
                    <w:spacing w:before="89" w:beforeAutospacing="0" w:after="0" w:afterAutospacing="0" w:line="240" w:lineRule="auto"/>
                    <w:ind w:left="0" w:right="0" w:firstLine="0" w:firstLineChars="0"/>
                    <w:jc w:val="center"/>
                    <w:rPr>
                      <w:w w:val="105"/>
                      <w:position w:val="2"/>
                      <w:sz w:val="21"/>
                      <w:szCs w:val="21"/>
                    </w:rPr>
                  </w:pPr>
                  <w:r>
                    <w:rPr>
                      <w:rFonts w:hint="eastAsia" w:eastAsia="微软雅黑"/>
                      <w:sz w:val="21"/>
                      <w:szCs w:val="21"/>
                      <w:shd w:val="clear" w:color="auto" w:fill="FFFFFF"/>
                    </w:rPr>
                    <w:t>O</w:t>
                  </w:r>
                  <w:r>
                    <w:rPr>
                      <w:rFonts w:hint="eastAsia" w:eastAsia="微软雅黑"/>
                      <w:sz w:val="21"/>
                      <w:szCs w:val="21"/>
                      <w:shd w:val="clear" w:color="auto" w:fill="FFFFFF"/>
                      <w:vertAlign w:val="subscript"/>
                    </w:rPr>
                    <w:t>3</w:t>
                  </w:r>
                </w:p>
              </w:tc>
              <w:tc>
                <w:tcPr>
                  <w:tcW w:w="0" w:type="auto"/>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eastAsiaTheme="minorEastAsia"/>
                      <w:sz w:val="21"/>
                      <w:szCs w:val="21"/>
                    </w:rPr>
                    <w:t>单位：ug/m</w:t>
                  </w:r>
                  <w:r>
                    <w:rPr>
                      <w:rFonts w:eastAsiaTheme="minorEastAsia"/>
                      <w:position w:val="8"/>
                      <w:sz w:val="21"/>
                      <w:szCs w:val="21"/>
                    </w:rPr>
                    <w:t>3</w:t>
                  </w:r>
                </w:p>
              </w:tc>
              <w:tc>
                <w:tcPr>
                  <w:tcW w:w="0" w:type="auto"/>
                  <w:vAlign w:val="center"/>
                </w:tcPr>
                <w:p>
                  <w:pPr>
                    <w:keepNext w:val="0"/>
                    <w:keepLines w:val="0"/>
                    <w:suppressLineNumbers w:val="0"/>
                    <w:spacing w:before="92" w:beforeAutospacing="0" w:after="0" w:afterAutospacing="0" w:line="240" w:lineRule="auto"/>
                    <w:ind w:left="0" w:right="0" w:firstLine="0" w:firstLineChars="0"/>
                    <w:jc w:val="center"/>
                    <w:rPr>
                      <w:w w:val="99"/>
                      <w:sz w:val="21"/>
                      <w:szCs w:val="21"/>
                    </w:rPr>
                  </w:pPr>
                  <w:r>
                    <w:rPr>
                      <w:rFonts w:hint="eastAsia"/>
                      <w:w w:val="99"/>
                      <w:sz w:val="21"/>
                      <w:szCs w:val="21"/>
                    </w:rPr>
                    <w:t>8小时平均</w:t>
                  </w:r>
                </w:p>
              </w:tc>
              <w:tc>
                <w:tcPr>
                  <w:tcW w:w="0" w:type="auto"/>
                  <w:vAlign w:val="center"/>
                </w:tcPr>
                <w:p>
                  <w:pPr>
                    <w:keepNext w:val="0"/>
                    <w:keepLines w:val="0"/>
                    <w:suppressLineNumbers w:val="0"/>
                    <w:spacing w:before="92" w:beforeAutospacing="0" w:after="0" w:afterAutospacing="0" w:line="240" w:lineRule="auto"/>
                    <w:ind w:left="0" w:right="0" w:firstLine="0" w:firstLineChars="0"/>
                    <w:jc w:val="center"/>
                    <w:rPr>
                      <w:sz w:val="21"/>
                      <w:szCs w:val="21"/>
                    </w:rPr>
                  </w:pPr>
                  <w:r>
                    <w:rPr>
                      <w:rFonts w:hint="eastAsia"/>
                      <w:w w:val="99"/>
                      <w:sz w:val="21"/>
                      <w:szCs w:val="21"/>
                    </w:rPr>
                    <w:t>1小时平均</w:t>
                  </w:r>
                </w:p>
              </w:tc>
              <w:tc>
                <w:tcPr>
                  <w:tcW w:w="0" w:type="auto"/>
                  <w:vAlign w:val="center"/>
                </w:tcPr>
                <w:p>
                  <w:pPr>
                    <w:keepNext w:val="0"/>
                    <w:keepLines w:val="0"/>
                    <w:suppressLineNumbers w:val="0"/>
                    <w:spacing w:before="92" w:beforeAutospacing="0" w:after="0" w:afterAutospacing="0" w:line="240" w:lineRule="auto"/>
                    <w:ind w:left="0" w:right="2" w:firstLine="0" w:firstLineChars="0"/>
                    <w:jc w:val="center"/>
                    <w:rPr>
                      <w:sz w:val="21"/>
                      <w:szCs w:val="21"/>
                    </w:rPr>
                  </w:pPr>
                  <w:r>
                    <w:rPr>
                      <w:rFonts w:hint="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continue"/>
                  <w:vAlign w:val="center"/>
                </w:tcPr>
                <w:p>
                  <w:pPr>
                    <w:keepNext w:val="0"/>
                    <w:keepLines w:val="0"/>
                    <w:suppressLineNumbers w:val="0"/>
                    <w:spacing w:before="89" w:beforeAutospacing="0" w:after="0" w:afterAutospacing="0" w:line="240" w:lineRule="auto"/>
                    <w:ind w:left="0" w:right="0" w:firstLine="420"/>
                    <w:jc w:val="center"/>
                    <w:rPr>
                      <w:rFonts w:eastAsia="微软雅黑"/>
                      <w:sz w:val="21"/>
                      <w:szCs w:val="21"/>
                      <w:shd w:val="clear" w:color="auto" w:fill="FFFFFF"/>
                    </w:rPr>
                  </w:pPr>
                </w:p>
              </w:tc>
              <w:tc>
                <w:tcPr>
                  <w:tcW w:w="0" w:type="auto"/>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0" w:type="auto"/>
                  <w:vAlign w:val="center"/>
                </w:tcPr>
                <w:p>
                  <w:pPr>
                    <w:keepNext w:val="0"/>
                    <w:keepLines w:val="0"/>
                    <w:suppressLineNumbers w:val="0"/>
                    <w:spacing w:before="92" w:beforeAutospacing="0" w:after="0" w:afterAutospacing="0" w:line="240" w:lineRule="auto"/>
                    <w:ind w:left="0" w:right="0" w:firstLine="0" w:firstLineChars="0"/>
                    <w:jc w:val="center"/>
                    <w:rPr>
                      <w:w w:val="99"/>
                      <w:sz w:val="21"/>
                      <w:szCs w:val="21"/>
                    </w:rPr>
                  </w:pPr>
                  <w:r>
                    <w:rPr>
                      <w:rFonts w:hint="eastAsia"/>
                      <w:w w:val="99"/>
                      <w:sz w:val="21"/>
                      <w:szCs w:val="21"/>
                    </w:rPr>
                    <w:t>160</w:t>
                  </w:r>
                </w:p>
              </w:tc>
              <w:tc>
                <w:tcPr>
                  <w:tcW w:w="0" w:type="auto"/>
                  <w:vAlign w:val="center"/>
                </w:tcPr>
                <w:p>
                  <w:pPr>
                    <w:keepNext w:val="0"/>
                    <w:keepLines w:val="0"/>
                    <w:suppressLineNumbers w:val="0"/>
                    <w:spacing w:before="92" w:beforeAutospacing="0" w:after="0" w:afterAutospacing="0" w:line="240" w:lineRule="auto"/>
                    <w:ind w:left="0" w:right="0" w:firstLine="0" w:firstLineChars="0"/>
                    <w:jc w:val="center"/>
                    <w:rPr>
                      <w:sz w:val="21"/>
                      <w:szCs w:val="21"/>
                    </w:rPr>
                  </w:pPr>
                  <w:r>
                    <w:rPr>
                      <w:rFonts w:hint="eastAsia"/>
                      <w:sz w:val="21"/>
                      <w:szCs w:val="21"/>
                    </w:rPr>
                    <w:t>200</w:t>
                  </w:r>
                </w:p>
              </w:tc>
              <w:tc>
                <w:tcPr>
                  <w:tcW w:w="0" w:type="auto"/>
                  <w:vAlign w:val="center"/>
                </w:tcPr>
                <w:p>
                  <w:pPr>
                    <w:keepNext w:val="0"/>
                    <w:keepLines w:val="0"/>
                    <w:suppressLineNumbers w:val="0"/>
                    <w:spacing w:before="92" w:beforeAutospacing="0" w:after="0" w:afterAutospacing="0" w:line="240" w:lineRule="auto"/>
                    <w:ind w:left="0" w:right="2" w:firstLine="0" w:firstLineChars="0"/>
                    <w:jc w:val="center"/>
                    <w:rPr>
                      <w:sz w:val="21"/>
                      <w:szCs w:val="21"/>
                    </w:rPr>
                  </w:pPr>
                  <w:r>
                    <w:rPr>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restart"/>
                  <w:vAlign w:val="center"/>
                </w:tcPr>
                <w:p>
                  <w:pPr>
                    <w:keepNext w:val="0"/>
                    <w:keepLines w:val="0"/>
                    <w:suppressLineNumbers w:val="0"/>
                    <w:spacing w:before="89" w:beforeAutospacing="0" w:after="0" w:afterAutospacing="0" w:line="240" w:lineRule="auto"/>
                    <w:ind w:left="0" w:right="0" w:firstLine="0" w:firstLineChars="0"/>
                    <w:jc w:val="center"/>
                    <w:rPr>
                      <w:rFonts w:eastAsia="微软雅黑"/>
                      <w:sz w:val="21"/>
                      <w:szCs w:val="21"/>
                      <w:shd w:val="clear" w:color="auto" w:fill="FFFFFF"/>
                    </w:rPr>
                  </w:pPr>
                  <w:r>
                    <w:rPr>
                      <w:rFonts w:hint="eastAsia" w:eastAsia="微软雅黑"/>
                      <w:sz w:val="21"/>
                      <w:szCs w:val="21"/>
                      <w:shd w:val="clear" w:color="auto" w:fill="FFFFFF"/>
                    </w:rPr>
                    <w:t>TVOC</w:t>
                  </w:r>
                </w:p>
              </w:tc>
              <w:tc>
                <w:tcPr>
                  <w:tcW w:w="0" w:type="auto"/>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eastAsiaTheme="minorEastAsia"/>
                      <w:sz w:val="21"/>
                      <w:szCs w:val="21"/>
                    </w:rPr>
                    <w:t>单位：ug/m</w:t>
                  </w:r>
                  <w:r>
                    <w:rPr>
                      <w:rFonts w:eastAsiaTheme="minorEastAsia"/>
                      <w:position w:val="8"/>
                      <w:sz w:val="21"/>
                      <w:szCs w:val="21"/>
                    </w:rPr>
                    <w:t>3</w:t>
                  </w:r>
                </w:p>
              </w:tc>
              <w:tc>
                <w:tcPr>
                  <w:tcW w:w="0" w:type="auto"/>
                  <w:vAlign w:val="center"/>
                </w:tcPr>
                <w:p>
                  <w:pPr>
                    <w:keepNext w:val="0"/>
                    <w:keepLines w:val="0"/>
                    <w:suppressLineNumbers w:val="0"/>
                    <w:spacing w:before="92" w:beforeAutospacing="0" w:after="0" w:afterAutospacing="0" w:line="240" w:lineRule="auto"/>
                    <w:ind w:left="0" w:right="0" w:firstLine="0" w:firstLineChars="0"/>
                    <w:jc w:val="center"/>
                    <w:rPr>
                      <w:w w:val="99"/>
                      <w:sz w:val="21"/>
                      <w:szCs w:val="21"/>
                    </w:rPr>
                  </w:pPr>
                  <w:r>
                    <w:rPr>
                      <w:rFonts w:hint="eastAsia"/>
                      <w:w w:val="99"/>
                      <w:sz w:val="21"/>
                      <w:szCs w:val="21"/>
                    </w:rPr>
                    <w:t>8小时平均</w:t>
                  </w:r>
                </w:p>
              </w:tc>
              <w:tc>
                <w:tcPr>
                  <w:tcW w:w="0" w:type="auto"/>
                  <w:vAlign w:val="center"/>
                </w:tcPr>
                <w:p>
                  <w:pPr>
                    <w:keepNext w:val="0"/>
                    <w:keepLines w:val="0"/>
                    <w:suppressLineNumbers w:val="0"/>
                    <w:spacing w:before="92" w:beforeAutospacing="0" w:after="0" w:afterAutospacing="0" w:line="240" w:lineRule="auto"/>
                    <w:ind w:left="0" w:right="0" w:firstLine="0" w:firstLineChars="0"/>
                    <w:jc w:val="center"/>
                    <w:rPr>
                      <w:sz w:val="21"/>
                      <w:szCs w:val="21"/>
                    </w:rPr>
                  </w:pPr>
                  <w:r>
                    <w:rPr>
                      <w:rFonts w:hint="eastAsia"/>
                      <w:w w:val="99"/>
                      <w:sz w:val="21"/>
                      <w:szCs w:val="21"/>
                    </w:rPr>
                    <w:t>1小时平均</w:t>
                  </w:r>
                </w:p>
              </w:tc>
              <w:tc>
                <w:tcPr>
                  <w:tcW w:w="0" w:type="auto"/>
                  <w:vAlign w:val="center"/>
                </w:tcPr>
                <w:p>
                  <w:pPr>
                    <w:keepNext w:val="0"/>
                    <w:keepLines w:val="0"/>
                    <w:suppressLineNumbers w:val="0"/>
                    <w:spacing w:before="92" w:beforeAutospacing="0" w:after="0" w:afterAutospacing="0" w:line="240" w:lineRule="auto"/>
                    <w:ind w:left="0" w:right="2" w:firstLine="0" w:firstLineChars="0"/>
                    <w:jc w:val="center"/>
                    <w:rPr>
                      <w:sz w:val="21"/>
                      <w:szCs w:val="21"/>
                    </w:rPr>
                  </w:pPr>
                  <w:r>
                    <w:rPr>
                      <w:rFonts w:hint="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continue"/>
                  <w:vAlign w:val="center"/>
                </w:tcPr>
                <w:p>
                  <w:pPr>
                    <w:keepNext w:val="0"/>
                    <w:keepLines w:val="0"/>
                    <w:suppressLineNumbers w:val="0"/>
                    <w:spacing w:before="89" w:beforeAutospacing="0" w:after="0" w:afterAutospacing="0" w:line="240" w:lineRule="auto"/>
                    <w:ind w:left="0" w:right="0" w:firstLine="420"/>
                    <w:jc w:val="center"/>
                    <w:rPr>
                      <w:rFonts w:eastAsia="微软雅黑"/>
                      <w:sz w:val="21"/>
                      <w:szCs w:val="21"/>
                      <w:shd w:val="clear" w:color="auto" w:fill="FFFFFF"/>
                    </w:rPr>
                  </w:pPr>
                </w:p>
              </w:tc>
              <w:tc>
                <w:tcPr>
                  <w:tcW w:w="0" w:type="auto"/>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0" w:type="auto"/>
                  <w:vAlign w:val="center"/>
                </w:tcPr>
                <w:p>
                  <w:pPr>
                    <w:keepNext w:val="0"/>
                    <w:keepLines w:val="0"/>
                    <w:suppressLineNumbers w:val="0"/>
                    <w:spacing w:before="92" w:beforeAutospacing="0" w:after="0" w:afterAutospacing="0" w:line="240" w:lineRule="auto"/>
                    <w:ind w:left="0" w:right="0" w:firstLine="0" w:firstLineChars="0"/>
                    <w:jc w:val="center"/>
                    <w:rPr>
                      <w:w w:val="99"/>
                      <w:sz w:val="21"/>
                      <w:szCs w:val="21"/>
                    </w:rPr>
                  </w:pPr>
                  <w:r>
                    <w:rPr>
                      <w:rFonts w:hint="eastAsia"/>
                      <w:w w:val="99"/>
                      <w:sz w:val="21"/>
                      <w:szCs w:val="21"/>
                    </w:rPr>
                    <w:t>600</w:t>
                  </w:r>
                </w:p>
              </w:tc>
              <w:tc>
                <w:tcPr>
                  <w:tcW w:w="0" w:type="auto"/>
                  <w:vAlign w:val="center"/>
                </w:tcPr>
                <w:p>
                  <w:pPr>
                    <w:keepNext w:val="0"/>
                    <w:keepLines w:val="0"/>
                    <w:suppressLineNumbers w:val="0"/>
                    <w:spacing w:before="92" w:beforeAutospacing="0" w:after="0" w:afterAutospacing="0" w:line="240" w:lineRule="auto"/>
                    <w:ind w:left="0" w:right="0" w:firstLine="0" w:firstLineChars="0"/>
                    <w:jc w:val="center"/>
                    <w:rPr>
                      <w:sz w:val="21"/>
                      <w:szCs w:val="21"/>
                    </w:rPr>
                  </w:pPr>
                  <w:r>
                    <w:rPr>
                      <w:rFonts w:hint="eastAsia"/>
                      <w:sz w:val="21"/>
                      <w:szCs w:val="21"/>
                    </w:rPr>
                    <w:t>/</w:t>
                  </w:r>
                </w:p>
              </w:tc>
              <w:tc>
                <w:tcPr>
                  <w:tcW w:w="0" w:type="auto"/>
                  <w:vAlign w:val="center"/>
                </w:tcPr>
                <w:p>
                  <w:pPr>
                    <w:keepNext w:val="0"/>
                    <w:keepLines w:val="0"/>
                    <w:suppressLineNumbers w:val="0"/>
                    <w:spacing w:before="92" w:beforeAutospacing="0" w:after="0" w:afterAutospacing="0" w:line="240" w:lineRule="auto"/>
                    <w:ind w:left="0" w:right="2" w:firstLine="0" w:firstLineChars="0"/>
                    <w:jc w:val="center"/>
                    <w:rPr>
                      <w:sz w:val="21"/>
                      <w:szCs w:val="21"/>
                    </w:rPr>
                  </w:pPr>
                  <w:r>
                    <w:rPr>
                      <w:sz w:val="21"/>
                      <w:szCs w:val="21"/>
                    </w:rPr>
                    <w:t>/</w:t>
                  </w:r>
                </w:p>
              </w:tc>
            </w:tr>
          </w:tbl>
          <w:p>
            <w:pPr>
              <w:keepNext w:val="0"/>
              <w:keepLines w:val="0"/>
              <w:suppressLineNumbers w:val="0"/>
              <w:adjustRightInd w:val="0"/>
              <w:spacing w:before="0" w:beforeAutospacing="0" w:after="0" w:afterAutospacing="0" w:line="240" w:lineRule="auto"/>
              <w:ind w:left="0" w:right="0" w:firstLine="420"/>
              <w:jc w:val="both"/>
              <w:rPr>
                <w:sz w:val="21"/>
                <w:szCs w:val="21"/>
              </w:rPr>
            </w:pPr>
            <w:r>
              <w:rPr>
                <w:rFonts w:hint="eastAsia" w:ascii="宋体" w:hAnsi="宋体" w:cs="宋体"/>
                <w:bCs/>
                <w:sz w:val="21"/>
                <w:szCs w:val="21"/>
              </w:rPr>
              <w:t>备注：</w:t>
            </w:r>
            <w:r>
              <w:rPr>
                <w:rFonts w:hint="eastAsia" w:ascii="宋体" w:hAnsi="宋体" w:cs="宋体"/>
                <w:kern w:val="0"/>
                <w:sz w:val="21"/>
                <w:szCs w:val="21"/>
              </w:rPr>
              <w:t>本项目产生的TOVC执行《环境影响评价技术导则-大气环境》HJ2.2-2018附录D中的浓度限值</w:t>
            </w:r>
            <w:r>
              <w:rPr>
                <w:rFonts w:hint="eastAsia" w:hAnsi="宋体"/>
                <w:bCs/>
                <w:sz w:val="21"/>
                <w:szCs w:val="21"/>
              </w:rPr>
              <w:t>。</w:t>
            </w:r>
          </w:p>
          <w:p>
            <w:pPr>
              <w:keepNext w:val="0"/>
              <w:keepLines w:val="0"/>
              <w:suppressLineNumbers w:val="0"/>
              <w:spacing w:before="0" w:beforeAutospacing="0" w:after="0" w:afterAutospacing="0"/>
              <w:ind w:left="0" w:right="118" w:firstLine="482"/>
              <w:jc w:val="both"/>
            </w:pPr>
            <w:r>
              <w:rPr>
                <w:b/>
                <w:bCs/>
              </w:rPr>
              <w:t>2、地表水环境质量标准</w:t>
            </w:r>
          </w:p>
          <w:p>
            <w:pPr>
              <w:pStyle w:val="25"/>
              <w:keepNext w:val="0"/>
              <w:keepLines w:val="0"/>
              <w:suppressLineNumbers w:val="0"/>
              <w:spacing w:before="0" w:beforeAutospacing="0" w:after="0" w:afterAutospacing="0"/>
              <w:ind w:left="0" w:right="0"/>
              <w:jc w:val="both"/>
            </w:pPr>
            <w:r>
              <w:rPr>
                <w:rFonts w:hint="eastAsia"/>
                <w:b w:val="0"/>
                <w:sz w:val="24"/>
                <w:szCs w:val="24"/>
              </w:rPr>
              <w:t xml:space="preserve">    本项目有关的地表水体主要为螳螂川。螳螂川位于项目东侧1250m。</w:t>
            </w:r>
            <w:r>
              <w:rPr>
                <w:b w:val="0"/>
                <w:sz w:val="24"/>
                <w:szCs w:val="24"/>
              </w:rPr>
              <w:t>项目所涉及螳螂川河段为“富民大桥~普渡河桥”，根据《云南省地表水水环境功能区划（2010-2020）》，“富民大桥~普渡河桥”河段水体功能为工业用水，水质类别是Ⅳ类，</w:t>
            </w:r>
            <w:r>
              <w:rPr>
                <w:b w:val="0"/>
                <w:kern w:val="0"/>
                <w:sz w:val="24"/>
                <w:szCs w:val="24"/>
              </w:rPr>
              <w:t>执行</w:t>
            </w:r>
            <w:r>
              <w:rPr>
                <w:b w:val="0"/>
                <w:sz w:val="24"/>
                <w:szCs w:val="24"/>
              </w:rPr>
              <w:t>《地表水环境质量标准》（GB3838-2002）Ⅳ类水质标准</w:t>
            </w:r>
            <w:r>
              <w:t>。</w:t>
            </w:r>
          </w:p>
          <w:p>
            <w:pPr>
              <w:pStyle w:val="25"/>
              <w:keepNext w:val="0"/>
              <w:keepLines w:val="0"/>
              <w:suppressLineNumbers w:val="0"/>
              <w:spacing w:before="0" w:beforeAutospacing="0" w:after="0" w:afterAutospacing="0" w:line="240" w:lineRule="auto"/>
              <w:ind w:left="0" w:right="0"/>
            </w:pPr>
            <w:r>
              <w:t>表4-</w:t>
            </w:r>
            <w:r>
              <w:rPr>
                <w:rFonts w:hint="eastAsia"/>
              </w:rPr>
              <w:t>2</w:t>
            </w:r>
            <w:r>
              <w:t xml:space="preserve">  地表水环境质量标准   单位：mg/L</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219"/>
              <w:gridCol w:w="1101"/>
              <w:gridCol w:w="1001"/>
              <w:gridCol w:w="993"/>
              <w:gridCol w:w="1003"/>
              <w:gridCol w:w="1107"/>
              <w:gridCol w:w="13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222"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项目</w:t>
                  </w:r>
                </w:p>
              </w:tc>
              <w:tc>
                <w:tcPr>
                  <w:tcW w:w="1104"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pH</w:t>
                  </w:r>
                </w:p>
                <w:p>
                  <w:pPr>
                    <w:pStyle w:val="26"/>
                    <w:keepNext w:val="0"/>
                    <w:keepLines w:val="0"/>
                    <w:suppressLineNumbers w:val="0"/>
                    <w:spacing w:before="0" w:beforeAutospacing="0" w:after="0" w:afterAutospacing="0"/>
                    <w:ind w:left="0" w:right="0"/>
                    <w:rPr>
                      <w:b w:val="0"/>
                      <w:bCs w:val="0"/>
                      <w:color w:val="auto"/>
                    </w:rPr>
                  </w:pPr>
                  <w:r>
                    <w:rPr>
                      <w:b w:val="0"/>
                      <w:bCs w:val="0"/>
                      <w:color w:val="auto"/>
                    </w:rPr>
                    <w:t>(无量纲)</w:t>
                  </w:r>
                </w:p>
              </w:tc>
              <w:tc>
                <w:tcPr>
                  <w:tcW w:w="1003"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COD</w:t>
                  </w:r>
                  <w:r>
                    <w:rPr>
                      <w:b w:val="0"/>
                      <w:bCs w:val="0"/>
                      <w:color w:val="auto"/>
                      <w:vertAlign w:val="subscript"/>
                    </w:rPr>
                    <w:t>cr</w:t>
                  </w:r>
                </w:p>
              </w:tc>
              <w:tc>
                <w:tcPr>
                  <w:tcW w:w="995"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BOD</w:t>
                  </w:r>
                  <w:r>
                    <w:rPr>
                      <w:b w:val="0"/>
                      <w:bCs w:val="0"/>
                      <w:color w:val="auto"/>
                      <w:vertAlign w:val="subscript"/>
                    </w:rPr>
                    <w:t>5</w:t>
                  </w:r>
                </w:p>
              </w:tc>
              <w:tc>
                <w:tcPr>
                  <w:tcW w:w="1005"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NH</w:t>
                  </w:r>
                  <w:r>
                    <w:rPr>
                      <w:b w:val="0"/>
                      <w:bCs w:val="0"/>
                      <w:color w:val="auto"/>
                      <w:vertAlign w:val="subscript"/>
                    </w:rPr>
                    <w:t>4</w:t>
                  </w:r>
                  <w:r>
                    <w:rPr>
                      <w:b w:val="0"/>
                      <w:bCs w:val="0"/>
                      <w:color w:val="auto"/>
                    </w:rPr>
                    <w:t>-N</w:t>
                  </w:r>
                </w:p>
              </w:tc>
              <w:tc>
                <w:tcPr>
                  <w:tcW w:w="1110"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总磷</w:t>
                  </w:r>
                </w:p>
              </w:tc>
              <w:tc>
                <w:tcPr>
                  <w:tcW w:w="1400"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粪大肠杆菌</w:t>
                  </w:r>
                </w:p>
                <w:p>
                  <w:pPr>
                    <w:pStyle w:val="26"/>
                    <w:keepNext w:val="0"/>
                    <w:keepLines w:val="0"/>
                    <w:suppressLineNumbers w:val="0"/>
                    <w:spacing w:before="0" w:beforeAutospacing="0" w:after="0" w:afterAutospacing="0"/>
                    <w:ind w:left="0" w:right="0"/>
                    <w:rPr>
                      <w:b w:val="0"/>
                      <w:bCs w:val="0"/>
                      <w:color w:val="auto"/>
                    </w:rPr>
                  </w:pPr>
                  <w:r>
                    <w:rPr>
                      <w:b w:val="0"/>
                      <w:bCs w:val="0"/>
                      <w:color w:val="auto"/>
                    </w:rPr>
                    <w:t>(个/L)</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222"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fldChar w:fldCharType="begin"/>
                  </w:r>
                  <w:r>
                    <w:rPr>
                      <w:b w:val="0"/>
                      <w:bCs w:val="0"/>
                      <w:color w:val="auto"/>
                    </w:rPr>
                    <w:instrText xml:space="preserve"> = 4 \* ROMAN \* MERGEFORMAT </w:instrText>
                  </w:r>
                  <w:r>
                    <w:rPr>
                      <w:b w:val="0"/>
                      <w:bCs w:val="0"/>
                      <w:color w:val="auto"/>
                    </w:rPr>
                    <w:fldChar w:fldCharType="separate"/>
                  </w:r>
                  <w:r>
                    <w:rPr>
                      <w:b w:val="0"/>
                      <w:bCs w:val="0"/>
                      <w:color w:val="auto"/>
                    </w:rPr>
                    <w:t>IV</w:t>
                  </w:r>
                  <w:r>
                    <w:rPr>
                      <w:b w:val="0"/>
                      <w:bCs w:val="0"/>
                      <w:color w:val="auto"/>
                    </w:rPr>
                    <w:fldChar w:fldCharType="end"/>
                  </w:r>
                  <w:r>
                    <w:rPr>
                      <w:b w:val="0"/>
                      <w:bCs w:val="0"/>
                      <w:color w:val="auto"/>
                    </w:rPr>
                    <w:t>类标准</w:t>
                  </w:r>
                </w:p>
              </w:tc>
              <w:tc>
                <w:tcPr>
                  <w:tcW w:w="1104"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6～9</w:t>
                  </w:r>
                </w:p>
              </w:tc>
              <w:tc>
                <w:tcPr>
                  <w:tcW w:w="1003"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≤30</w:t>
                  </w:r>
                </w:p>
              </w:tc>
              <w:tc>
                <w:tcPr>
                  <w:tcW w:w="995"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≤6</w:t>
                  </w:r>
                </w:p>
              </w:tc>
              <w:tc>
                <w:tcPr>
                  <w:tcW w:w="1005"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≤1.5</w:t>
                  </w:r>
                </w:p>
              </w:tc>
              <w:tc>
                <w:tcPr>
                  <w:tcW w:w="1110"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≤0.3</w:t>
                  </w:r>
                </w:p>
              </w:tc>
              <w:tc>
                <w:tcPr>
                  <w:tcW w:w="1400"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≤20000</w:t>
                  </w:r>
                </w:p>
              </w:tc>
            </w:tr>
          </w:tbl>
          <w:p>
            <w:pPr>
              <w:keepNext w:val="0"/>
              <w:keepLines w:val="0"/>
              <w:suppressLineNumbers w:val="0"/>
              <w:spacing w:before="0" w:beforeAutospacing="0" w:after="0" w:afterAutospacing="0"/>
              <w:ind w:left="0" w:right="0" w:firstLine="482"/>
              <w:jc w:val="both"/>
              <w:rPr>
                <w:b/>
                <w:bCs/>
              </w:rPr>
            </w:pPr>
            <w:r>
              <w:rPr>
                <w:b/>
                <w:bCs/>
              </w:rPr>
              <w:t>3、声环境质量</w:t>
            </w:r>
          </w:p>
          <w:p>
            <w:pPr>
              <w:keepNext w:val="0"/>
              <w:keepLines w:val="0"/>
              <w:suppressLineNumbers w:val="0"/>
              <w:spacing w:before="0" w:beforeAutospacing="0" w:after="0" w:afterAutospacing="0"/>
              <w:ind w:left="0" w:right="0" w:firstLine="480"/>
              <w:jc w:val="both"/>
            </w:pPr>
            <w:r>
              <w:rPr>
                <w:kern w:val="0"/>
              </w:rPr>
              <w:t>本项目建设地点位于</w:t>
            </w:r>
            <w:r>
              <w:t>富民工业园区，属于规划工业园区，项目区生产厂房区域执行《声环境质量标准》（GB3096-2008）</w:t>
            </w:r>
            <w:r>
              <w:rPr>
                <w:rFonts w:hint="eastAsia"/>
              </w:rPr>
              <w:t>3</w:t>
            </w:r>
            <w:r>
              <w:t>类标准，综合楼距离</w:t>
            </w:r>
            <w:r>
              <w:rPr>
                <w:rFonts w:hint="eastAsia"/>
              </w:rPr>
              <w:t>108国道20m，执行</w:t>
            </w:r>
            <w:r>
              <w:t>《声环境质量标准》（GB3096-2008）</w:t>
            </w:r>
            <w:r>
              <w:rPr>
                <w:rFonts w:hint="eastAsia"/>
              </w:rPr>
              <w:t>4a</w:t>
            </w:r>
            <w:r>
              <w:t>类标准</w:t>
            </w:r>
            <w:r>
              <w:rPr>
                <w:rFonts w:hint="eastAsia"/>
              </w:rPr>
              <w:t>，执行</w:t>
            </w:r>
            <w:r>
              <w:t>具体限值如表</w:t>
            </w:r>
            <w:r>
              <w:rPr>
                <w:rFonts w:eastAsia="TimesNewRomanPSMT"/>
              </w:rPr>
              <w:t>4-</w:t>
            </w:r>
            <w:r>
              <w:rPr>
                <w:rFonts w:hint="eastAsia"/>
              </w:rPr>
              <w:t>3</w:t>
            </w:r>
            <w:r>
              <w:t>所示。</w:t>
            </w:r>
          </w:p>
          <w:p>
            <w:pPr>
              <w:pStyle w:val="25"/>
              <w:keepNext w:val="0"/>
              <w:keepLines w:val="0"/>
              <w:suppressLineNumbers w:val="0"/>
              <w:spacing w:before="0" w:beforeAutospacing="0" w:after="0" w:afterAutospacing="0" w:line="240" w:lineRule="auto"/>
              <w:ind w:left="0" w:right="0"/>
            </w:pPr>
            <w:r>
              <w:t>表4-</w:t>
            </w:r>
            <w:r>
              <w:rPr>
                <w:rFonts w:hint="eastAsia"/>
              </w:rPr>
              <w:t>3</w:t>
            </w:r>
            <w:r>
              <w:t xml:space="preserve"> 声环境质量标准限值  单位：dB(A)</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60"/>
              <w:gridCol w:w="3058"/>
              <w:gridCol w:w="300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9" w:hRule="atLeast"/>
                <w:jc w:val="center"/>
              </w:trPr>
              <w:tc>
                <w:tcPr>
                  <w:tcW w:w="1764"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类别</w:t>
                  </w:r>
                </w:p>
              </w:tc>
              <w:tc>
                <w:tcPr>
                  <w:tcW w:w="6075"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标准值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764"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3066"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昼间</w:t>
                  </w:r>
                </w:p>
              </w:tc>
              <w:tc>
                <w:tcPr>
                  <w:tcW w:w="3009"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夜间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764"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3</w:t>
                  </w:r>
                </w:p>
              </w:tc>
              <w:tc>
                <w:tcPr>
                  <w:tcW w:w="3066"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65</w:t>
                  </w:r>
                </w:p>
              </w:tc>
              <w:tc>
                <w:tcPr>
                  <w:tcW w:w="3009"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55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764"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4a</w:t>
                  </w:r>
                </w:p>
              </w:tc>
              <w:tc>
                <w:tcPr>
                  <w:tcW w:w="3066"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70</w:t>
                  </w:r>
                </w:p>
              </w:tc>
              <w:tc>
                <w:tcPr>
                  <w:tcW w:w="3009"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55</w:t>
                  </w:r>
                </w:p>
              </w:tc>
            </w:tr>
          </w:tbl>
          <w:p>
            <w:pPr>
              <w:keepNext w:val="0"/>
              <w:keepLines w:val="0"/>
              <w:suppressLineNumbers w:val="0"/>
              <w:spacing w:before="0" w:beforeAutospacing="0" w:after="0" w:afterAutospacing="0"/>
              <w:ind w:left="0" w:right="0" w:firstLine="480"/>
              <w:jc w:val="both"/>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jc w:val="center"/>
        </w:trPr>
        <w:tc>
          <w:tcPr>
            <w:tcW w:w="457" w:type="dxa"/>
            <w:tcBorders>
              <w:left w:val="single" w:color="auto" w:sz="4" w:space="0"/>
              <w:right w:val="single" w:color="auto" w:sz="4" w:space="0"/>
            </w:tcBorders>
            <w:noWrap/>
            <w:vAlign w:val="center"/>
          </w:tcPr>
          <w:p>
            <w:pPr>
              <w:keepNext w:val="0"/>
              <w:keepLines w:val="0"/>
              <w:suppressLineNumbers w:val="0"/>
              <w:spacing w:before="0" w:beforeAutospacing="0" w:after="0" w:afterAutospacing="0"/>
              <w:ind w:left="0" w:right="0" w:firstLine="0" w:firstLineChars="0"/>
              <w:jc w:val="both"/>
              <w:rPr>
                <w:b/>
                <w:bCs/>
              </w:rPr>
            </w:pPr>
            <w:r>
              <w:rPr>
                <w:b/>
                <w:bCs/>
              </w:rPr>
              <w:t>污染</w:t>
            </w:r>
          </w:p>
          <w:p>
            <w:pPr>
              <w:keepNext w:val="0"/>
              <w:keepLines w:val="0"/>
              <w:suppressLineNumbers w:val="0"/>
              <w:spacing w:before="0" w:beforeAutospacing="0" w:after="0" w:afterAutospacing="0"/>
              <w:ind w:left="0" w:right="0" w:firstLine="0" w:firstLineChars="0"/>
              <w:jc w:val="both"/>
              <w:rPr>
                <w:b/>
                <w:bCs/>
              </w:rPr>
            </w:pPr>
            <w:r>
              <w:rPr>
                <w:b/>
                <w:bCs/>
              </w:rPr>
              <w:t>物排</w:t>
            </w:r>
          </w:p>
          <w:p>
            <w:pPr>
              <w:keepNext w:val="0"/>
              <w:keepLines w:val="0"/>
              <w:suppressLineNumbers w:val="0"/>
              <w:spacing w:before="0" w:beforeAutospacing="0" w:after="0" w:afterAutospacing="0"/>
              <w:ind w:left="0" w:right="0" w:firstLine="0" w:firstLineChars="0"/>
              <w:jc w:val="both"/>
              <w:rPr>
                <w:b/>
                <w:bCs/>
              </w:rPr>
            </w:pPr>
            <w:r>
              <w:rPr>
                <w:b/>
                <w:bCs/>
              </w:rPr>
              <w:t>放标</w:t>
            </w:r>
          </w:p>
          <w:p>
            <w:pPr>
              <w:keepNext w:val="0"/>
              <w:keepLines w:val="0"/>
              <w:suppressLineNumbers w:val="0"/>
              <w:spacing w:before="0" w:beforeAutospacing="0" w:after="0" w:afterAutospacing="0"/>
              <w:ind w:left="0" w:right="0" w:firstLine="0" w:firstLineChars="0"/>
              <w:jc w:val="both"/>
            </w:pPr>
            <w:r>
              <w:rPr>
                <w:b/>
                <w:bCs/>
              </w:rPr>
              <w:t>准</w:t>
            </w:r>
          </w:p>
        </w:tc>
        <w:tc>
          <w:tcPr>
            <w:tcW w:w="8065" w:type="dxa"/>
            <w:tcBorders>
              <w:left w:val="single" w:color="auto" w:sz="4" w:space="0"/>
            </w:tcBorders>
            <w:noWrap/>
            <w:vAlign w:val="center"/>
          </w:tcPr>
          <w:p>
            <w:pPr>
              <w:keepNext w:val="0"/>
              <w:keepLines w:val="0"/>
              <w:suppressLineNumbers w:val="0"/>
              <w:spacing w:before="0" w:beforeAutospacing="0" w:after="0" w:afterAutospacing="0"/>
              <w:ind w:left="0" w:right="119" w:firstLine="482"/>
              <w:jc w:val="both"/>
              <w:rPr>
                <w:b/>
              </w:rPr>
            </w:pPr>
            <w:r>
              <w:rPr>
                <w:b/>
              </w:rPr>
              <w:t>1、施工期</w:t>
            </w:r>
          </w:p>
          <w:p>
            <w:pPr>
              <w:keepNext w:val="0"/>
              <w:keepLines w:val="0"/>
              <w:suppressLineNumbers w:val="0"/>
              <w:spacing w:before="0" w:beforeAutospacing="0" w:after="0" w:afterAutospacing="0"/>
              <w:ind w:left="0" w:right="119" w:firstLine="360" w:firstLineChars="150"/>
              <w:jc w:val="both"/>
              <w:rPr>
                <w:bCs/>
              </w:rPr>
            </w:pPr>
            <w:r>
              <w:t>（1）施工扬尘</w:t>
            </w:r>
          </w:p>
          <w:p>
            <w:pPr>
              <w:keepNext w:val="0"/>
              <w:keepLines w:val="0"/>
              <w:suppressLineNumbers w:val="0"/>
              <w:spacing w:before="0" w:beforeAutospacing="0" w:after="0" w:afterAutospacing="0"/>
              <w:ind w:left="0" w:right="0" w:firstLine="480"/>
              <w:jc w:val="both"/>
            </w:pPr>
            <w:r>
              <w:t>本项目施工扬尘执行《大气污染物综合排放标准》（GB16297-1996）表2中的无组织排放监控浓度限值</w:t>
            </w:r>
            <w:r>
              <w:rPr>
                <w:rFonts w:hint="eastAsia"/>
              </w:rPr>
              <w:t>，</w:t>
            </w:r>
            <w:r>
              <w:t>标准值见表4-</w:t>
            </w:r>
            <w:r>
              <w:rPr>
                <w:rFonts w:hint="eastAsia"/>
              </w:rPr>
              <w:t>4</w:t>
            </w:r>
            <w:r>
              <w:t>。</w:t>
            </w:r>
          </w:p>
          <w:p>
            <w:pPr>
              <w:pStyle w:val="25"/>
              <w:keepNext w:val="0"/>
              <w:keepLines w:val="0"/>
              <w:suppressLineNumbers w:val="0"/>
              <w:spacing w:before="0" w:beforeAutospacing="0" w:after="0" w:afterAutospacing="0" w:line="240" w:lineRule="auto"/>
              <w:ind w:left="0" w:right="0"/>
            </w:pPr>
            <w:r>
              <w:t>表4-4  大气污染物综合排放标准 单位：mg/m³</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3910"/>
              <w:gridCol w:w="391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7" w:hRule="atLeast"/>
                <w:jc w:val="center"/>
              </w:trPr>
              <w:tc>
                <w:tcPr>
                  <w:tcW w:w="3918"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项目</w:t>
                  </w:r>
                </w:p>
              </w:tc>
              <w:tc>
                <w:tcPr>
                  <w:tcW w:w="3919"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无组织排放监控浓度限值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5" w:hRule="atLeast"/>
                <w:jc w:val="center"/>
              </w:trPr>
              <w:tc>
                <w:tcPr>
                  <w:tcW w:w="3918"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颗粒物</w:t>
                  </w:r>
                </w:p>
              </w:tc>
              <w:tc>
                <w:tcPr>
                  <w:tcW w:w="3919"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1.0</w:t>
                  </w:r>
                </w:p>
              </w:tc>
            </w:tr>
          </w:tbl>
          <w:p>
            <w:pPr>
              <w:keepNext w:val="0"/>
              <w:keepLines w:val="0"/>
              <w:suppressLineNumbers w:val="0"/>
              <w:spacing w:before="0" w:beforeAutospacing="0" w:after="0" w:afterAutospacing="0"/>
              <w:ind w:left="0" w:right="119" w:firstLine="360" w:firstLineChars="150"/>
              <w:jc w:val="both"/>
              <w:rPr>
                <w:bCs/>
              </w:rPr>
            </w:pPr>
            <w:r>
              <w:t>（2）施工噪声</w:t>
            </w:r>
          </w:p>
          <w:p>
            <w:pPr>
              <w:pStyle w:val="8"/>
              <w:keepNext w:val="0"/>
              <w:keepLines w:val="0"/>
              <w:suppressLineNumbers w:val="0"/>
              <w:adjustRightInd w:val="0"/>
              <w:spacing w:before="0" w:beforeAutospacing="0" w:after="0" w:afterAutospacing="0"/>
              <w:ind w:left="0" w:right="0" w:firstLine="480"/>
              <w:jc w:val="both"/>
            </w:pPr>
            <w:r>
              <w:t>施工期噪声执行《建筑施工场界环境噪声排放标准》（GB12523-2011）</w:t>
            </w:r>
            <w:r>
              <w:rPr>
                <w:bCs/>
              </w:rPr>
              <w:t>中的标准，标准限值见表4-</w:t>
            </w:r>
            <w:r>
              <w:rPr>
                <w:rFonts w:hint="eastAsia"/>
                <w:bCs/>
              </w:rPr>
              <w:t>5</w:t>
            </w:r>
            <w:r>
              <w:rPr>
                <w:bCs/>
              </w:rPr>
              <w:t>。</w:t>
            </w:r>
          </w:p>
          <w:p>
            <w:pPr>
              <w:pStyle w:val="25"/>
              <w:keepNext w:val="0"/>
              <w:keepLines w:val="0"/>
              <w:suppressLineNumbers w:val="0"/>
              <w:spacing w:before="0" w:beforeAutospacing="0" w:after="0" w:afterAutospacing="0" w:line="240" w:lineRule="auto"/>
              <w:ind w:left="0" w:right="0"/>
            </w:pPr>
            <w:r>
              <w:t>表4-</w:t>
            </w:r>
            <w:r>
              <w:rPr>
                <w:rFonts w:hint="eastAsia"/>
              </w:rPr>
              <w:t>5</w:t>
            </w:r>
            <w:r>
              <w:t xml:space="preserve"> 建筑施工场界环境噪声排放限值 [Leq：dB（A）]</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3910"/>
              <w:gridCol w:w="391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920"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昼 间</w:t>
                  </w:r>
                </w:p>
              </w:tc>
              <w:tc>
                <w:tcPr>
                  <w:tcW w:w="3919"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夜 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97" w:hRule="atLeast"/>
                <w:jc w:val="center"/>
              </w:trPr>
              <w:tc>
                <w:tcPr>
                  <w:tcW w:w="3920"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70</w:t>
                  </w:r>
                </w:p>
              </w:tc>
              <w:tc>
                <w:tcPr>
                  <w:tcW w:w="3919"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55</w:t>
                  </w:r>
                </w:p>
              </w:tc>
            </w:tr>
          </w:tbl>
          <w:p>
            <w:pPr>
              <w:keepNext w:val="0"/>
              <w:keepLines w:val="0"/>
              <w:suppressLineNumbers w:val="0"/>
              <w:spacing w:before="0" w:beforeAutospacing="0" w:after="0" w:afterAutospacing="0"/>
              <w:ind w:left="0" w:right="0" w:firstLine="360" w:firstLineChars="150"/>
              <w:jc w:val="both"/>
              <w:rPr>
                <w:bCs/>
              </w:rPr>
            </w:pPr>
            <w:r>
              <w:rPr>
                <w:rFonts w:hint="eastAsia"/>
                <w:bCs/>
              </w:rPr>
              <w:t>（3）施工废水</w:t>
            </w:r>
          </w:p>
          <w:p>
            <w:pPr>
              <w:pStyle w:val="33"/>
              <w:keepNext w:val="0"/>
              <w:keepLines w:val="0"/>
              <w:suppressLineNumbers w:val="0"/>
              <w:spacing w:before="0" w:beforeAutospacing="0" w:after="0" w:afterAutospacing="0"/>
              <w:ind w:left="0" w:right="0" w:firstLine="480"/>
              <w:rPr>
                <w:rFonts w:ascii="Times New Roman" w:hAnsi="Times New Roman"/>
                <w:lang w:val="zh-CN"/>
              </w:rPr>
            </w:pPr>
            <w:r>
              <w:rPr>
                <w:rFonts w:hint="eastAsia" w:ascii="Times New Roman" w:hAnsi="Times New Roman"/>
                <w:lang w:val="zh-CN"/>
              </w:rPr>
              <w:t>本项目施工期</w:t>
            </w:r>
            <w:r>
              <w:rPr>
                <w:rFonts w:ascii="Times New Roman" w:hAnsi="Times New Roman"/>
                <w:lang w:val="zh-CN"/>
              </w:rPr>
              <w:t>生活污水主要为员工入厕用水</w:t>
            </w:r>
            <w:r>
              <w:rPr>
                <w:rFonts w:hint="eastAsia" w:ascii="Times New Roman" w:hAnsi="Times New Roman"/>
                <w:lang w:val="zh-CN"/>
              </w:rPr>
              <w:t>，依托园区内公用厕所收集后进入化粪池进行处理排入园区污水管网，最终经园区污水处理厂处理后达标排放。</w:t>
            </w:r>
          </w:p>
          <w:p>
            <w:pPr>
              <w:keepNext w:val="0"/>
              <w:keepLines w:val="0"/>
              <w:suppressLineNumbers w:val="0"/>
              <w:spacing w:before="0" w:beforeAutospacing="0" w:after="0" w:afterAutospacing="0"/>
              <w:ind w:left="0" w:right="0" w:firstLine="482"/>
              <w:jc w:val="both"/>
              <w:rPr>
                <w:b/>
                <w:bCs/>
              </w:rPr>
            </w:pPr>
            <w:r>
              <w:rPr>
                <w:b/>
                <w:bCs/>
              </w:rPr>
              <w:t>2、营运期</w:t>
            </w:r>
          </w:p>
          <w:p>
            <w:pPr>
              <w:keepNext w:val="0"/>
              <w:keepLines w:val="0"/>
              <w:suppressLineNumbers w:val="0"/>
              <w:spacing w:before="0" w:beforeAutospacing="0" w:after="0" w:afterAutospacing="0"/>
              <w:ind w:left="0" w:right="0" w:firstLine="360" w:firstLineChars="150"/>
              <w:jc w:val="both"/>
              <w:rPr>
                <w:bCs/>
              </w:rPr>
            </w:pPr>
            <w:r>
              <w:rPr>
                <w:bCs/>
              </w:rPr>
              <w:t>（1）废气</w:t>
            </w:r>
          </w:p>
          <w:p>
            <w:pPr>
              <w:keepNext w:val="0"/>
              <w:keepLines w:val="0"/>
              <w:suppressLineNumbers w:val="0"/>
              <w:spacing w:before="0" w:beforeAutospacing="0" w:after="0" w:afterAutospacing="0"/>
              <w:ind w:left="0" w:right="0" w:firstLine="480"/>
              <w:jc w:val="both"/>
            </w:pPr>
            <w:r>
              <w:rPr>
                <w:rFonts w:hint="eastAsia"/>
              </w:rPr>
              <w:t>①有组织废气</w:t>
            </w:r>
          </w:p>
          <w:p>
            <w:pPr>
              <w:keepNext w:val="0"/>
              <w:keepLines w:val="0"/>
              <w:suppressLineNumbers w:val="0"/>
              <w:spacing w:before="0" w:beforeAutospacing="0" w:after="0" w:afterAutospacing="0"/>
              <w:ind w:left="0" w:right="0" w:firstLine="480"/>
              <w:jc w:val="both"/>
            </w:pPr>
            <w:r>
              <w:rPr>
                <w:rFonts w:hint="eastAsia"/>
              </w:rPr>
              <w:t>本项目喷漆车间有组织排放漆雾</w:t>
            </w:r>
            <w:r>
              <w:t>执行《大气污染物综合排放标准》（GB16297-1996）表2中</w:t>
            </w:r>
            <w:r>
              <w:rPr>
                <w:rFonts w:hint="eastAsia"/>
              </w:rPr>
              <w:t>颗粒物</w:t>
            </w:r>
            <w:r>
              <w:t>控制标准</w:t>
            </w:r>
            <w:r>
              <w:rPr>
                <w:rFonts w:hint="eastAsia"/>
              </w:rPr>
              <w:t>，有组织排放挥发性有机物由于暂无国家及地方标准，本次评价参照《大气污染物综合排放标准》</w:t>
            </w:r>
            <w:r>
              <w:t>（GB16297-1996）表2中</w:t>
            </w:r>
            <w:r>
              <w:rPr>
                <w:rFonts w:hint="eastAsia"/>
              </w:rPr>
              <w:t>非甲烷总烃标准执行</w:t>
            </w:r>
            <w:r>
              <w:t>。</w:t>
            </w:r>
          </w:p>
          <w:p>
            <w:pPr>
              <w:pStyle w:val="25"/>
              <w:keepNext w:val="0"/>
              <w:keepLines w:val="0"/>
              <w:suppressLineNumbers w:val="0"/>
              <w:spacing w:before="0" w:beforeAutospacing="0" w:after="0" w:afterAutospacing="0" w:line="240" w:lineRule="auto"/>
              <w:ind w:left="0" w:right="0"/>
            </w:pPr>
            <w:r>
              <w:t>表4-</w:t>
            </w:r>
            <w:r>
              <w:rPr>
                <w:rFonts w:hint="eastAsia"/>
              </w:rPr>
              <w:t>6</w:t>
            </w:r>
            <w:r>
              <w:t xml:space="preserve">  大气污染物综合排放标准</w:t>
            </w:r>
          </w:p>
          <w:tbl>
            <w:tblPr>
              <w:tblStyle w:val="18"/>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69"/>
              <w:gridCol w:w="1374"/>
              <w:gridCol w:w="1290"/>
              <w:gridCol w:w="1143"/>
              <w:gridCol w:w="1451"/>
              <w:gridCol w:w="119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72"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污染物</w:t>
                  </w:r>
                </w:p>
              </w:tc>
              <w:tc>
                <w:tcPr>
                  <w:tcW w:w="1377"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最高允许排放浓度（mg/m</w:t>
                  </w:r>
                  <w:r>
                    <w:rPr>
                      <w:b w:val="0"/>
                      <w:bCs w:val="0"/>
                      <w:color w:val="auto"/>
                      <w:vertAlign w:val="superscript"/>
                    </w:rPr>
                    <w:t>3</w:t>
                  </w:r>
                  <w:r>
                    <w:rPr>
                      <w:b w:val="0"/>
                      <w:bCs w:val="0"/>
                      <w:color w:val="auto"/>
                    </w:rPr>
                    <w:t>）</w:t>
                  </w:r>
                </w:p>
              </w:tc>
              <w:tc>
                <w:tcPr>
                  <w:tcW w:w="2439"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最高排放速率（kg/h）</w:t>
                  </w:r>
                </w:p>
              </w:tc>
              <w:tc>
                <w:tcPr>
                  <w:tcW w:w="2651"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无组织排放监控点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trPr>
              <w:tc>
                <w:tcPr>
                  <w:tcW w:w="1372"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377"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293"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排气筒（m）</w:t>
                  </w:r>
                </w:p>
              </w:tc>
              <w:tc>
                <w:tcPr>
                  <w:tcW w:w="1146"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二级标准</w:t>
                  </w:r>
                </w:p>
              </w:tc>
              <w:tc>
                <w:tcPr>
                  <w:tcW w:w="1455"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监控点</w:t>
                  </w:r>
                </w:p>
              </w:tc>
              <w:tc>
                <w:tcPr>
                  <w:tcW w:w="1196"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浓度（mg/m</w:t>
                  </w:r>
                  <w:r>
                    <w:rPr>
                      <w:b w:val="0"/>
                      <w:bCs w:val="0"/>
                      <w:color w:val="auto"/>
                      <w:vertAlign w:val="superscript"/>
                    </w:rPr>
                    <w:t>3</w:t>
                  </w:r>
                  <w:r>
                    <w:rPr>
                      <w:b w:val="0"/>
                      <w:bCs w:val="0"/>
                      <w:color w:val="auto"/>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72"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非甲烷总烃</w:t>
                  </w:r>
                </w:p>
              </w:tc>
              <w:tc>
                <w:tcPr>
                  <w:tcW w:w="1377"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120</w:t>
                  </w:r>
                </w:p>
              </w:tc>
              <w:tc>
                <w:tcPr>
                  <w:tcW w:w="1293"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15</w:t>
                  </w:r>
                </w:p>
              </w:tc>
              <w:tc>
                <w:tcPr>
                  <w:tcW w:w="1146"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10</w:t>
                  </w:r>
                </w:p>
              </w:tc>
              <w:tc>
                <w:tcPr>
                  <w:tcW w:w="1455"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周界外浓度最高点</w:t>
                  </w:r>
                </w:p>
              </w:tc>
              <w:tc>
                <w:tcPr>
                  <w:tcW w:w="1196"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4.0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1372"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颗粒物</w:t>
                  </w:r>
                </w:p>
              </w:tc>
              <w:tc>
                <w:tcPr>
                  <w:tcW w:w="1377"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120</w:t>
                  </w:r>
                </w:p>
              </w:tc>
              <w:tc>
                <w:tcPr>
                  <w:tcW w:w="1293"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15</w:t>
                  </w:r>
                </w:p>
              </w:tc>
              <w:tc>
                <w:tcPr>
                  <w:tcW w:w="1146"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3.5</w:t>
                  </w:r>
                </w:p>
              </w:tc>
              <w:tc>
                <w:tcPr>
                  <w:tcW w:w="1455"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196"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1.0</w:t>
                  </w:r>
                </w:p>
              </w:tc>
            </w:tr>
          </w:tbl>
          <w:p>
            <w:pPr>
              <w:keepNext w:val="0"/>
              <w:keepLines w:val="0"/>
              <w:suppressLineNumbers w:val="0"/>
              <w:spacing w:before="240" w:beforeAutospacing="0" w:after="0" w:afterAutospacing="0"/>
              <w:ind w:left="0" w:right="0" w:firstLine="480"/>
              <w:jc w:val="both"/>
              <w:rPr>
                <w:sz w:val="21"/>
                <w:szCs w:val="21"/>
              </w:rPr>
            </w:pPr>
            <w:r>
              <w:t>本项目食堂设置</w:t>
            </w:r>
            <w:r>
              <w:rPr>
                <w:rFonts w:hint="eastAsia"/>
              </w:rPr>
              <w:t>2</w:t>
            </w:r>
            <w:r>
              <w:t>个灶头，为</w:t>
            </w:r>
            <w:r>
              <w:rPr>
                <w:rFonts w:hint="eastAsia"/>
              </w:rPr>
              <w:t>小</w:t>
            </w:r>
            <w:r>
              <w:t>型食堂，因此项目食堂油烟排放执行《饮食业油烟排放标准》（GB18483-2001）表2</w:t>
            </w:r>
            <w:r>
              <w:rPr>
                <w:rFonts w:hint="eastAsia"/>
              </w:rPr>
              <w:t>，小</w:t>
            </w:r>
            <w:r>
              <w:t>型排放标准，标准值见表4-</w:t>
            </w:r>
            <w:r>
              <w:rPr>
                <w:rFonts w:hint="eastAsia"/>
              </w:rPr>
              <w:t>7</w:t>
            </w:r>
            <w:r>
              <w:t>。</w:t>
            </w:r>
          </w:p>
          <w:p>
            <w:pPr>
              <w:keepNext w:val="0"/>
              <w:keepLines w:val="0"/>
              <w:suppressLineNumbers w:val="0"/>
              <w:autoSpaceDE w:val="0"/>
              <w:autoSpaceDN w:val="0"/>
              <w:adjustRightInd w:val="0"/>
              <w:snapToGrid w:val="0"/>
              <w:spacing w:before="0" w:beforeAutospacing="0" w:after="0" w:afterAutospacing="0" w:line="240" w:lineRule="auto"/>
              <w:ind w:left="0" w:right="0" w:firstLine="0" w:firstLineChars="0"/>
              <w:jc w:val="center"/>
              <w:rPr>
                <w:b/>
                <w:kern w:val="0"/>
                <w:sz w:val="21"/>
                <w:szCs w:val="21"/>
              </w:rPr>
            </w:pPr>
            <w:r>
              <w:rPr>
                <w:b/>
                <w:kern w:val="0"/>
                <w:sz w:val="21"/>
                <w:szCs w:val="21"/>
              </w:rPr>
              <w:t>表4-</w:t>
            </w:r>
            <w:r>
              <w:rPr>
                <w:rFonts w:hint="eastAsia"/>
                <w:b/>
                <w:kern w:val="0"/>
                <w:sz w:val="21"/>
                <w:szCs w:val="21"/>
              </w:rPr>
              <w:t>7</w:t>
            </w:r>
            <w:r>
              <w:rPr>
                <w:b/>
                <w:kern w:val="0"/>
                <w:sz w:val="21"/>
                <w:szCs w:val="21"/>
              </w:rPr>
              <w:t xml:space="preserve">  饮食业油烟排放标准</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330"/>
              <w:gridCol w:w="349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4337" w:type="dxa"/>
                  <w:vAlign w:val="center"/>
                </w:tcPr>
                <w:p>
                  <w:pPr>
                    <w:keepNext w:val="0"/>
                    <w:keepLines w:val="0"/>
                    <w:suppressLineNumbers w:val="0"/>
                    <w:spacing w:before="0" w:beforeAutospacing="0" w:after="0" w:afterAutospacing="0" w:line="240" w:lineRule="auto"/>
                    <w:ind w:left="0" w:right="0" w:firstLine="422"/>
                    <w:jc w:val="center"/>
                    <w:rPr>
                      <w:b/>
                      <w:bCs/>
                      <w:sz w:val="21"/>
                      <w:szCs w:val="21"/>
                    </w:rPr>
                  </w:pPr>
                  <w:r>
                    <w:rPr>
                      <w:b/>
                      <w:bCs/>
                      <w:sz w:val="21"/>
                      <w:szCs w:val="21"/>
                    </w:rPr>
                    <w:t>规模</w:t>
                  </w:r>
                </w:p>
              </w:tc>
              <w:tc>
                <w:tcPr>
                  <w:tcW w:w="3496" w:type="dxa"/>
                  <w:vAlign w:val="center"/>
                </w:tcPr>
                <w:p>
                  <w:pPr>
                    <w:keepNext w:val="0"/>
                    <w:keepLines w:val="0"/>
                    <w:suppressLineNumbers w:val="0"/>
                    <w:spacing w:before="0" w:beforeAutospacing="0" w:after="0" w:afterAutospacing="0" w:line="240" w:lineRule="auto"/>
                    <w:ind w:left="0" w:right="0" w:firstLine="422"/>
                    <w:jc w:val="center"/>
                    <w:rPr>
                      <w:b/>
                      <w:bCs/>
                      <w:sz w:val="21"/>
                      <w:szCs w:val="21"/>
                    </w:rPr>
                  </w:pPr>
                  <w:r>
                    <w:rPr>
                      <w:rFonts w:hint="eastAsia"/>
                      <w:b/>
                      <w:bCs/>
                      <w:sz w:val="21"/>
                      <w:szCs w:val="21"/>
                    </w:rPr>
                    <w:t>小</w:t>
                  </w:r>
                  <w:r>
                    <w:rPr>
                      <w:b/>
                      <w:bCs/>
                      <w:sz w:val="21"/>
                      <w:szCs w:val="21"/>
                    </w:rPr>
                    <w:t>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4337" w:type="dxa"/>
                  <w:vAlign w:val="center"/>
                </w:tcPr>
                <w:p>
                  <w:pPr>
                    <w:keepNext w:val="0"/>
                    <w:keepLines w:val="0"/>
                    <w:suppressLineNumbers w:val="0"/>
                    <w:spacing w:before="0" w:beforeAutospacing="0" w:after="0" w:afterAutospacing="0" w:line="240" w:lineRule="auto"/>
                    <w:ind w:left="0" w:right="0" w:firstLine="420"/>
                    <w:jc w:val="center"/>
                    <w:rPr>
                      <w:sz w:val="21"/>
                      <w:szCs w:val="21"/>
                    </w:rPr>
                  </w:pPr>
                  <w:r>
                    <w:rPr>
                      <w:sz w:val="21"/>
                      <w:szCs w:val="21"/>
                    </w:rPr>
                    <w:t>基准灶头数</w:t>
                  </w:r>
                </w:p>
              </w:tc>
              <w:tc>
                <w:tcPr>
                  <w:tcW w:w="3496" w:type="dxa"/>
                  <w:vAlign w:val="center"/>
                </w:tcPr>
                <w:p>
                  <w:pPr>
                    <w:keepNext w:val="0"/>
                    <w:keepLines w:val="0"/>
                    <w:suppressLineNumbers w:val="0"/>
                    <w:spacing w:before="0" w:beforeAutospacing="0" w:after="0" w:afterAutospacing="0" w:line="240" w:lineRule="auto"/>
                    <w:ind w:left="0" w:right="0" w:firstLine="420"/>
                    <w:jc w:val="center"/>
                    <w:rPr>
                      <w:sz w:val="21"/>
                      <w:szCs w:val="21"/>
                    </w:rPr>
                  </w:pPr>
                  <w:r>
                    <w:rPr>
                      <w:rFonts w:eastAsia="Times New Roman"/>
                      <w:sz w:val="21"/>
                      <w:szCs w:val="21"/>
                    </w:rPr>
                    <w:t>≥1</w:t>
                  </w:r>
                  <w:r>
                    <w:rPr>
                      <w:rFonts w:ascii="宋体" w:hAnsi="宋体" w:cs="宋体"/>
                      <w:sz w:val="21"/>
                      <w:szCs w:val="21"/>
                    </w:rPr>
                    <w:t>，＜</w:t>
                  </w:r>
                  <w:r>
                    <w:rPr>
                      <w:rFonts w:eastAsia="Times New Roman"/>
                      <w:sz w:val="21"/>
                      <w:szCs w:val="21"/>
                    </w:rPr>
                    <w:t>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exact"/>
                <w:jc w:val="center"/>
              </w:trPr>
              <w:tc>
                <w:tcPr>
                  <w:tcW w:w="4337" w:type="dxa"/>
                  <w:vAlign w:val="center"/>
                </w:tcPr>
                <w:p>
                  <w:pPr>
                    <w:keepNext w:val="0"/>
                    <w:keepLines w:val="0"/>
                    <w:suppressLineNumbers w:val="0"/>
                    <w:spacing w:before="0" w:beforeAutospacing="0" w:after="0" w:afterAutospacing="0" w:line="240" w:lineRule="auto"/>
                    <w:ind w:left="0" w:right="0" w:firstLine="420"/>
                    <w:jc w:val="center"/>
                    <w:rPr>
                      <w:sz w:val="21"/>
                      <w:szCs w:val="21"/>
                    </w:rPr>
                  </w:pPr>
                  <w:r>
                    <w:rPr>
                      <w:sz w:val="21"/>
                      <w:szCs w:val="21"/>
                    </w:rPr>
                    <w:t>最高允许排放浓度（mg/m</w:t>
                  </w:r>
                  <w:r>
                    <w:rPr>
                      <w:sz w:val="21"/>
                      <w:szCs w:val="21"/>
                      <w:vertAlign w:val="superscript"/>
                    </w:rPr>
                    <w:t>3</w:t>
                  </w:r>
                  <w:r>
                    <w:rPr>
                      <w:sz w:val="21"/>
                      <w:szCs w:val="21"/>
                    </w:rPr>
                    <w:t>）</w:t>
                  </w:r>
                </w:p>
              </w:tc>
              <w:tc>
                <w:tcPr>
                  <w:tcW w:w="3496" w:type="dxa"/>
                  <w:vAlign w:val="center"/>
                </w:tcPr>
                <w:p>
                  <w:pPr>
                    <w:keepNext w:val="0"/>
                    <w:keepLines w:val="0"/>
                    <w:suppressLineNumbers w:val="0"/>
                    <w:spacing w:before="0" w:beforeAutospacing="0" w:after="0" w:afterAutospacing="0" w:line="240" w:lineRule="auto"/>
                    <w:ind w:left="0" w:right="0" w:firstLine="420"/>
                    <w:jc w:val="center"/>
                    <w:rPr>
                      <w:sz w:val="21"/>
                      <w:szCs w:val="21"/>
                    </w:rPr>
                  </w:pPr>
                  <w:r>
                    <w:rPr>
                      <w:sz w:val="21"/>
                      <w:szCs w:val="21"/>
                    </w:rP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4337" w:type="dxa"/>
                  <w:vAlign w:val="center"/>
                </w:tcPr>
                <w:p>
                  <w:pPr>
                    <w:keepNext w:val="0"/>
                    <w:keepLines w:val="0"/>
                    <w:suppressLineNumbers w:val="0"/>
                    <w:spacing w:before="0" w:beforeAutospacing="0" w:after="0" w:afterAutospacing="0" w:line="240" w:lineRule="auto"/>
                    <w:ind w:left="0" w:right="0" w:firstLine="420"/>
                    <w:jc w:val="center"/>
                    <w:rPr>
                      <w:sz w:val="21"/>
                      <w:szCs w:val="21"/>
                    </w:rPr>
                  </w:pPr>
                  <w:r>
                    <w:rPr>
                      <w:sz w:val="21"/>
                      <w:szCs w:val="21"/>
                    </w:rPr>
                    <w:t>设施最低去除率（%）</w:t>
                  </w:r>
                </w:p>
              </w:tc>
              <w:tc>
                <w:tcPr>
                  <w:tcW w:w="3496" w:type="dxa"/>
                  <w:vAlign w:val="center"/>
                </w:tcPr>
                <w:p>
                  <w:pPr>
                    <w:keepNext w:val="0"/>
                    <w:keepLines w:val="0"/>
                    <w:suppressLineNumbers w:val="0"/>
                    <w:spacing w:before="0" w:beforeAutospacing="0" w:after="0" w:afterAutospacing="0" w:line="240" w:lineRule="auto"/>
                    <w:ind w:left="0" w:right="0" w:firstLine="420"/>
                    <w:jc w:val="center"/>
                    <w:rPr>
                      <w:sz w:val="21"/>
                      <w:szCs w:val="21"/>
                    </w:rPr>
                  </w:pPr>
                  <w:r>
                    <w:rPr>
                      <w:rFonts w:hint="eastAsia"/>
                      <w:sz w:val="21"/>
                      <w:szCs w:val="21"/>
                    </w:rPr>
                    <w:t>60</w:t>
                  </w:r>
                </w:p>
              </w:tc>
            </w:tr>
          </w:tbl>
          <w:p>
            <w:pPr>
              <w:keepNext w:val="0"/>
              <w:keepLines w:val="0"/>
              <w:suppressLineNumbers w:val="0"/>
              <w:spacing w:before="0" w:beforeAutospacing="0" w:after="0" w:afterAutospacing="0"/>
              <w:ind w:left="0" w:right="0" w:firstLine="480"/>
              <w:jc w:val="both"/>
            </w:pPr>
            <w:r>
              <w:rPr>
                <w:rFonts w:hint="eastAsia"/>
              </w:rPr>
              <w:t>②无组织排放</w:t>
            </w:r>
          </w:p>
          <w:p>
            <w:pPr>
              <w:pStyle w:val="2"/>
              <w:keepNext w:val="0"/>
              <w:keepLines w:val="0"/>
              <w:suppressLineNumbers w:val="0"/>
              <w:spacing w:before="0" w:beforeAutospacing="0" w:after="0" w:afterAutospacing="0"/>
              <w:ind w:left="0" w:right="0" w:firstLine="480"/>
              <w:jc w:val="both"/>
            </w:pPr>
            <w:r>
              <w:rPr>
                <w:rFonts w:hint="eastAsia"/>
              </w:rPr>
              <w:t>本项目无组织排放颗粒物执行</w:t>
            </w:r>
            <w:r>
              <w:t>（GB16297-1996）</w:t>
            </w:r>
            <w:r>
              <w:rPr>
                <w:rFonts w:hint="eastAsia"/>
              </w:rPr>
              <w:t>《大气污染物综合排放标准》</w:t>
            </w:r>
            <w:r>
              <w:t>表2</w:t>
            </w:r>
            <w:r>
              <w:rPr>
                <w:rFonts w:hint="eastAsia"/>
              </w:rPr>
              <w:t>中无组织排放监控浓度限值要求（周界外浓度最高点：1.0mg/m</w:t>
            </w:r>
            <w:r>
              <w:rPr>
                <w:rFonts w:hint="eastAsia"/>
                <w:vertAlign w:val="superscript"/>
              </w:rPr>
              <w:t>3</w:t>
            </w:r>
            <w:r>
              <w:rPr>
                <w:rFonts w:hint="eastAsia"/>
              </w:rPr>
              <w:t>），无组织排放VOCs执行《挥发性有机物无组织排放控制标准》（GB37822-2019）附录A表A.1中规定的排放限值要求；</w:t>
            </w:r>
          </w:p>
          <w:p>
            <w:pPr>
              <w:pStyle w:val="25"/>
              <w:keepNext w:val="0"/>
              <w:keepLines w:val="0"/>
              <w:suppressLineNumbers w:val="0"/>
              <w:spacing w:before="0" w:beforeAutospacing="0" w:after="0" w:afterAutospacing="0" w:line="240" w:lineRule="auto"/>
              <w:ind w:left="0" w:right="0"/>
            </w:pPr>
            <w:r>
              <w:rPr>
                <w:rFonts w:hint="eastAsia"/>
              </w:rPr>
              <w:t>表4-8 厂区内VOCs无组织排放限值（单位：mg/m</w:t>
            </w:r>
            <w:r>
              <w:rPr>
                <w:rFonts w:hint="eastAsia"/>
                <w:vertAlign w:val="superscript"/>
              </w:rPr>
              <w:t>3</w:t>
            </w:r>
            <w:r>
              <w:rPr>
                <w:rFonts w:hint="eastAsia"/>
              </w:rPr>
              <w:t>）</w:t>
            </w:r>
          </w:p>
          <w:tbl>
            <w:tblPr>
              <w:tblStyle w:val="19"/>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98"/>
              <w:gridCol w:w="1098"/>
              <w:gridCol w:w="1147"/>
              <w:gridCol w:w="2554"/>
              <w:gridCol w:w="212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898" w:type="dxa"/>
                  <w:vAlign w:val="center"/>
                </w:tcPr>
                <w:p>
                  <w:pPr>
                    <w:pStyle w:val="26"/>
                    <w:keepNext w:val="0"/>
                    <w:keepLines w:val="0"/>
                    <w:suppressLineNumbers w:val="0"/>
                    <w:spacing w:before="0" w:beforeAutospacing="0" w:after="0" w:afterAutospacing="0"/>
                    <w:ind w:left="0" w:right="0"/>
                    <w:jc w:val="both"/>
                    <w:rPr>
                      <w:b w:val="0"/>
                      <w:bCs w:val="0"/>
                      <w:color w:val="auto"/>
                    </w:rPr>
                  </w:pPr>
                  <w:r>
                    <w:rPr>
                      <w:rFonts w:hint="eastAsia"/>
                      <w:b w:val="0"/>
                      <w:bCs w:val="0"/>
                      <w:color w:val="auto"/>
                    </w:rPr>
                    <w:t>污染物项目</w:t>
                  </w:r>
                </w:p>
              </w:tc>
              <w:tc>
                <w:tcPr>
                  <w:tcW w:w="1100" w:type="dxa"/>
                  <w:vAlign w:val="center"/>
                </w:tcPr>
                <w:p>
                  <w:pPr>
                    <w:pStyle w:val="26"/>
                    <w:keepNext w:val="0"/>
                    <w:keepLines w:val="0"/>
                    <w:suppressLineNumbers w:val="0"/>
                    <w:spacing w:before="0" w:beforeAutospacing="0" w:after="0" w:afterAutospacing="0"/>
                    <w:ind w:left="0" w:right="0"/>
                    <w:jc w:val="both"/>
                    <w:rPr>
                      <w:b w:val="0"/>
                      <w:bCs w:val="0"/>
                      <w:color w:val="auto"/>
                    </w:rPr>
                  </w:pPr>
                  <w:r>
                    <w:rPr>
                      <w:rFonts w:hint="eastAsia"/>
                      <w:b w:val="0"/>
                      <w:bCs w:val="0"/>
                      <w:color w:val="auto"/>
                    </w:rPr>
                    <w:t>排放限值</w:t>
                  </w:r>
                </w:p>
              </w:tc>
              <w:tc>
                <w:tcPr>
                  <w:tcW w:w="1150" w:type="dxa"/>
                  <w:vAlign w:val="center"/>
                </w:tcPr>
                <w:p>
                  <w:pPr>
                    <w:pStyle w:val="26"/>
                    <w:keepNext w:val="0"/>
                    <w:keepLines w:val="0"/>
                    <w:suppressLineNumbers w:val="0"/>
                    <w:spacing w:before="0" w:beforeAutospacing="0" w:after="0" w:afterAutospacing="0"/>
                    <w:ind w:left="0" w:right="0"/>
                    <w:jc w:val="both"/>
                    <w:rPr>
                      <w:b w:val="0"/>
                      <w:bCs w:val="0"/>
                      <w:color w:val="auto"/>
                    </w:rPr>
                  </w:pPr>
                  <w:r>
                    <w:rPr>
                      <w:rFonts w:hint="eastAsia"/>
                      <w:b w:val="0"/>
                      <w:bCs w:val="0"/>
                      <w:color w:val="auto"/>
                    </w:rPr>
                    <w:t>特别排放限值</w:t>
                  </w:r>
                </w:p>
              </w:tc>
              <w:tc>
                <w:tcPr>
                  <w:tcW w:w="2562" w:type="dxa"/>
                  <w:vAlign w:val="center"/>
                </w:tcPr>
                <w:p>
                  <w:pPr>
                    <w:pStyle w:val="26"/>
                    <w:keepNext w:val="0"/>
                    <w:keepLines w:val="0"/>
                    <w:suppressLineNumbers w:val="0"/>
                    <w:spacing w:before="0" w:beforeAutospacing="0" w:after="0" w:afterAutospacing="0"/>
                    <w:ind w:left="0" w:right="0"/>
                    <w:jc w:val="both"/>
                    <w:rPr>
                      <w:b w:val="0"/>
                      <w:bCs w:val="0"/>
                      <w:color w:val="auto"/>
                    </w:rPr>
                  </w:pPr>
                  <w:r>
                    <w:rPr>
                      <w:rFonts w:hint="eastAsia"/>
                      <w:b w:val="0"/>
                      <w:bCs w:val="0"/>
                      <w:color w:val="auto"/>
                    </w:rPr>
                    <w:t>限值含义</w:t>
                  </w:r>
                </w:p>
              </w:tc>
              <w:tc>
                <w:tcPr>
                  <w:tcW w:w="2129" w:type="dxa"/>
                  <w:vAlign w:val="center"/>
                </w:tcPr>
                <w:p>
                  <w:pPr>
                    <w:pStyle w:val="26"/>
                    <w:keepNext w:val="0"/>
                    <w:keepLines w:val="0"/>
                    <w:suppressLineNumbers w:val="0"/>
                    <w:spacing w:before="0" w:beforeAutospacing="0" w:after="0" w:afterAutospacing="0"/>
                    <w:ind w:left="0" w:right="0"/>
                    <w:jc w:val="both"/>
                    <w:rPr>
                      <w:b w:val="0"/>
                      <w:bCs w:val="0"/>
                      <w:color w:val="auto"/>
                    </w:rPr>
                  </w:pPr>
                  <w:r>
                    <w:rPr>
                      <w:rFonts w:hint="eastAsia"/>
                      <w:b w:val="0"/>
                      <w:bCs w:val="0"/>
                      <w:color w:val="auto"/>
                    </w:rPr>
                    <w:t>无组织排放监控位置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98" w:type="dxa"/>
                  <w:vMerge w:val="restart"/>
                  <w:vAlign w:val="center"/>
                </w:tcPr>
                <w:p>
                  <w:pPr>
                    <w:pStyle w:val="26"/>
                    <w:keepNext w:val="0"/>
                    <w:keepLines w:val="0"/>
                    <w:suppressLineNumbers w:val="0"/>
                    <w:spacing w:before="0" w:beforeAutospacing="0" w:after="0" w:afterAutospacing="0"/>
                    <w:ind w:left="0" w:right="0"/>
                    <w:jc w:val="both"/>
                    <w:rPr>
                      <w:b w:val="0"/>
                      <w:bCs w:val="0"/>
                      <w:color w:val="auto"/>
                    </w:rPr>
                  </w:pPr>
                  <w:r>
                    <w:rPr>
                      <w:rFonts w:hint="eastAsia"/>
                      <w:b w:val="0"/>
                      <w:bCs w:val="0"/>
                      <w:color w:val="auto"/>
                    </w:rPr>
                    <w:t>NMHC</w:t>
                  </w:r>
                </w:p>
              </w:tc>
              <w:tc>
                <w:tcPr>
                  <w:tcW w:w="1100" w:type="dxa"/>
                  <w:vAlign w:val="center"/>
                </w:tcPr>
                <w:p>
                  <w:pPr>
                    <w:pStyle w:val="26"/>
                    <w:keepNext w:val="0"/>
                    <w:keepLines w:val="0"/>
                    <w:suppressLineNumbers w:val="0"/>
                    <w:spacing w:before="0" w:beforeAutospacing="0" w:after="0" w:afterAutospacing="0"/>
                    <w:ind w:left="0" w:right="0"/>
                    <w:jc w:val="both"/>
                    <w:rPr>
                      <w:b w:val="0"/>
                      <w:bCs w:val="0"/>
                      <w:color w:val="auto"/>
                    </w:rPr>
                  </w:pPr>
                  <w:r>
                    <w:rPr>
                      <w:rFonts w:hint="eastAsia"/>
                      <w:b w:val="0"/>
                      <w:bCs w:val="0"/>
                      <w:color w:val="auto"/>
                    </w:rPr>
                    <w:t>10</w:t>
                  </w:r>
                </w:p>
              </w:tc>
              <w:tc>
                <w:tcPr>
                  <w:tcW w:w="1150" w:type="dxa"/>
                  <w:vAlign w:val="center"/>
                </w:tcPr>
                <w:p>
                  <w:pPr>
                    <w:pStyle w:val="26"/>
                    <w:keepNext w:val="0"/>
                    <w:keepLines w:val="0"/>
                    <w:suppressLineNumbers w:val="0"/>
                    <w:spacing w:before="0" w:beforeAutospacing="0" w:after="0" w:afterAutospacing="0"/>
                    <w:ind w:left="0" w:right="0"/>
                    <w:jc w:val="both"/>
                    <w:rPr>
                      <w:b w:val="0"/>
                      <w:bCs w:val="0"/>
                      <w:color w:val="auto"/>
                    </w:rPr>
                  </w:pPr>
                  <w:r>
                    <w:rPr>
                      <w:rFonts w:hint="eastAsia"/>
                      <w:b w:val="0"/>
                      <w:bCs w:val="0"/>
                      <w:color w:val="auto"/>
                    </w:rPr>
                    <w:t>6</w:t>
                  </w:r>
                </w:p>
              </w:tc>
              <w:tc>
                <w:tcPr>
                  <w:tcW w:w="2562" w:type="dxa"/>
                  <w:vAlign w:val="center"/>
                </w:tcPr>
                <w:p>
                  <w:pPr>
                    <w:pStyle w:val="26"/>
                    <w:keepNext w:val="0"/>
                    <w:keepLines w:val="0"/>
                    <w:suppressLineNumbers w:val="0"/>
                    <w:spacing w:before="0" w:beforeAutospacing="0" w:after="0" w:afterAutospacing="0"/>
                    <w:ind w:left="0" w:right="0"/>
                    <w:jc w:val="both"/>
                    <w:rPr>
                      <w:b w:val="0"/>
                      <w:bCs w:val="0"/>
                      <w:color w:val="auto"/>
                    </w:rPr>
                  </w:pPr>
                  <w:r>
                    <w:rPr>
                      <w:rFonts w:hint="eastAsia"/>
                      <w:b w:val="0"/>
                      <w:bCs w:val="0"/>
                      <w:color w:val="auto"/>
                    </w:rPr>
                    <w:t>监控点处1h评价浓度值</w:t>
                  </w:r>
                </w:p>
              </w:tc>
              <w:tc>
                <w:tcPr>
                  <w:tcW w:w="2129" w:type="dxa"/>
                  <w:vMerge w:val="restart"/>
                  <w:vAlign w:val="center"/>
                </w:tcPr>
                <w:p>
                  <w:pPr>
                    <w:pStyle w:val="26"/>
                    <w:keepNext w:val="0"/>
                    <w:keepLines w:val="0"/>
                    <w:suppressLineNumbers w:val="0"/>
                    <w:spacing w:before="0" w:beforeAutospacing="0" w:after="0" w:afterAutospacing="0"/>
                    <w:ind w:left="0" w:right="0"/>
                    <w:jc w:val="both"/>
                    <w:rPr>
                      <w:b w:val="0"/>
                      <w:bCs w:val="0"/>
                      <w:color w:val="auto"/>
                    </w:rPr>
                  </w:pPr>
                  <w:r>
                    <w:rPr>
                      <w:rFonts w:hint="eastAsia"/>
                      <w:b w:val="0"/>
                      <w:bCs w:val="0"/>
                      <w:color w:val="auto"/>
                    </w:rPr>
                    <w:t>在厂房外设置监控点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98" w:type="dxa"/>
                  <w:vMerge w:val="continue"/>
                  <w:vAlign w:val="center"/>
                </w:tcPr>
                <w:p>
                  <w:pPr>
                    <w:pStyle w:val="26"/>
                    <w:keepNext w:val="0"/>
                    <w:keepLines w:val="0"/>
                    <w:suppressLineNumbers w:val="0"/>
                    <w:spacing w:before="0" w:beforeAutospacing="0" w:after="0" w:afterAutospacing="0"/>
                    <w:ind w:left="0" w:right="0"/>
                    <w:jc w:val="both"/>
                    <w:rPr>
                      <w:b w:val="0"/>
                      <w:bCs w:val="0"/>
                      <w:color w:val="auto"/>
                    </w:rPr>
                  </w:pPr>
                </w:p>
              </w:tc>
              <w:tc>
                <w:tcPr>
                  <w:tcW w:w="1100" w:type="dxa"/>
                  <w:vAlign w:val="center"/>
                </w:tcPr>
                <w:p>
                  <w:pPr>
                    <w:pStyle w:val="26"/>
                    <w:keepNext w:val="0"/>
                    <w:keepLines w:val="0"/>
                    <w:suppressLineNumbers w:val="0"/>
                    <w:spacing w:before="0" w:beforeAutospacing="0" w:after="0" w:afterAutospacing="0"/>
                    <w:ind w:left="0" w:right="0"/>
                    <w:jc w:val="both"/>
                    <w:rPr>
                      <w:b w:val="0"/>
                      <w:bCs w:val="0"/>
                      <w:color w:val="auto"/>
                    </w:rPr>
                  </w:pPr>
                  <w:r>
                    <w:rPr>
                      <w:rFonts w:hint="eastAsia"/>
                      <w:b w:val="0"/>
                      <w:bCs w:val="0"/>
                      <w:color w:val="auto"/>
                    </w:rPr>
                    <w:t>30</w:t>
                  </w:r>
                </w:p>
              </w:tc>
              <w:tc>
                <w:tcPr>
                  <w:tcW w:w="1150" w:type="dxa"/>
                  <w:vAlign w:val="center"/>
                </w:tcPr>
                <w:p>
                  <w:pPr>
                    <w:pStyle w:val="26"/>
                    <w:keepNext w:val="0"/>
                    <w:keepLines w:val="0"/>
                    <w:suppressLineNumbers w:val="0"/>
                    <w:spacing w:before="0" w:beforeAutospacing="0" w:after="0" w:afterAutospacing="0"/>
                    <w:ind w:left="0" w:right="0"/>
                    <w:jc w:val="both"/>
                    <w:rPr>
                      <w:b w:val="0"/>
                      <w:bCs w:val="0"/>
                      <w:color w:val="auto"/>
                    </w:rPr>
                  </w:pPr>
                  <w:r>
                    <w:rPr>
                      <w:rFonts w:hint="eastAsia"/>
                      <w:b w:val="0"/>
                      <w:bCs w:val="0"/>
                      <w:color w:val="auto"/>
                    </w:rPr>
                    <w:t>20</w:t>
                  </w:r>
                </w:p>
              </w:tc>
              <w:tc>
                <w:tcPr>
                  <w:tcW w:w="2562" w:type="dxa"/>
                  <w:vAlign w:val="center"/>
                </w:tcPr>
                <w:p>
                  <w:pPr>
                    <w:pStyle w:val="26"/>
                    <w:keepNext w:val="0"/>
                    <w:keepLines w:val="0"/>
                    <w:suppressLineNumbers w:val="0"/>
                    <w:spacing w:before="0" w:beforeAutospacing="0" w:after="0" w:afterAutospacing="0"/>
                    <w:ind w:left="0" w:right="0"/>
                    <w:jc w:val="both"/>
                    <w:rPr>
                      <w:b w:val="0"/>
                      <w:bCs w:val="0"/>
                      <w:color w:val="auto"/>
                    </w:rPr>
                  </w:pPr>
                  <w:r>
                    <w:rPr>
                      <w:rFonts w:hint="eastAsia"/>
                      <w:b w:val="0"/>
                      <w:bCs w:val="0"/>
                      <w:color w:val="auto"/>
                    </w:rPr>
                    <w:t>监控点处任意一次浓度值</w:t>
                  </w:r>
                </w:p>
              </w:tc>
              <w:tc>
                <w:tcPr>
                  <w:tcW w:w="2129" w:type="dxa"/>
                  <w:vMerge w:val="continue"/>
                  <w:vAlign w:val="center"/>
                </w:tcPr>
                <w:p>
                  <w:pPr>
                    <w:pStyle w:val="26"/>
                    <w:keepNext w:val="0"/>
                    <w:keepLines w:val="0"/>
                    <w:suppressLineNumbers w:val="0"/>
                    <w:spacing w:before="0" w:beforeAutospacing="0" w:after="0" w:afterAutospacing="0"/>
                    <w:ind w:left="0" w:right="0"/>
                    <w:jc w:val="both"/>
                    <w:rPr>
                      <w:b w:val="0"/>
                      <w:bCs w:val="0"/>
                      <w:color w:val="auto"/>
                    </w:rPr>
                  </w:pPr>
                </w:p>
              </w:tc>
            </w:tr>
          </w:tbl>
          <w:p>
            <w:pPr>
              <w:keepNext w:val="0"/>
              <w:keepLines w:val="0"/>
              <w:suppressLineNumbers w:val="0"/>
              <w:spacing w:before="0" w:beforeAutospacing="0" w:after="0" w:afterAutospacing="0"/>
              <w:ind w:left="0" w:right="0" w:firstLine="360" w:firstLineChars="150"/>
              <w:jc w:val="both"/>
              <w:rPr>
                <w:bCs/>
              </w:rPr>
            </w:pPr>
            <w:r>
              <w:rPr>
                <w:bCs/>
              </w:rPr>
              <w:t>（2）废水</w:t>
            </w:r>
          </w:p>
          <w:p>
            <w:pPr>
              <w:keepNext w:val="0"/>
              <w:keepLines w:val="0"/>
              <w:suppressLineNumbers w:val="0"/>
              <w:spacing w:before="0" w:beforeAutospacing="0" w:after="0" w:afterAutospacing="0"/>
              <w:ind w:left="0" w:right="119" w:firstLine="480"/>
              <w:jc w:val="both"/>
              <w:rPr>
                <w:rFonts w:hint="eastAsia"/>
              </w:rPr>
            </w:pPr>
            <w:r>
              <w:rPr>
                <w:rFonts w:hint="eastAsia"/>
              </w:rPr>
              <w:t>本项目运营期的生产废水经处理后回用，不外排。生活污水经自建隔油池、化粪池处理后排入园区污水管网，最终进入园区污水处理厂处理后达标排放</w:t>
            </w:r>
            <w:r>
              <w:rPr>
                <w:rFonts w:hint="eastAsia"/>
                <w:lang w:eastAsia="zh-CN"/>
              </w:rPr>
              <w:t>，</w:t>
            </w:r>
            <w:r>
              <w:rPr>
                <w:rFonts w:hint="eastAsia"/>
                <w:lang w:val="en-US" w:eastAsia="zh-CN"/>
              </w:rPr>
              <w:t>化粪池处理后废水pH、SS、COD</w:t>
            </w:r>
            <w:r>
              <w:rPr>
                <w:rFonts w:hint="eastAsia"/>
                <w:vertAlign w:val="subscript"/>
                <w:lang w:val="en-US" w:eastAsia="zh-CN"/>
              </w:rPr>
              <w:t>cr</w:t>
            </w:r>
            <w:r>
              <w:rPr>
                <w:rFonts w:hint="eastAsia"/>
                <w:vertAlign w:val="baseline"/>
                <w:lang w:val="en-US" w:eastAsia="zh-CN"/>
              </w:rPr>
              <w:t>、BOD</w:t>
            </w:r>
            <w:r>
              <w:rPr>
                <w:rFonts w:hint="eastAsia"/>
                <w:vertAlign w:val="subscript"/>
                <w:lang w:val="en-US" w:eastAsia="zh-CN"/>
              </w:rPr>
              <w:t>5</w:t>
            </w:r>
            <w:r>
              <w:rPr>
                <w:rFonts w:hint="eastAsia"/>
                <w:lang w:val="en-US" w:eastAsia="zh-CN"/>
              </w:rPr>
              <w:t>执行《污水综合排放标准》（GB8978-1996），NH</w:t>
            </w:r>
            <w:r>
              <w:rPr>
                <w:rFonts w:hint="eastAsia"/>
                <w:vertAlign w:val="subscript"/>
                <w:lang w:val="en-US" w:eastAsia="zh-CN"/>
              </w:rPr>
              <w:t>3</w:t>
            </w:r>
            <w:r>
              <w:rPr>
                <w:rFonts w:hint="eastAsia"/>
                <w:lang w:val="en-US" w:eastAsia="zh-CN"/>
              </w:rPr>
              <w:t>-N执行《污水排入城镇下水道水质标准》（GB/T31962-2015）A等级标准</w:t>
            </w:r>
            <w:r>
              <w:rPr>
                <w:rFonts w:hint="eastAsia"/>
              </w:rPr>
              <w:t>。</w:t>
            </w:r>
            <w:bookmarkStart w:id="122" w:name="_GoBack"/>
            <w:bookmarkEnd w:id="122"/>
          </w:p>
          <w:p>
            <w:pPr>
              <w:pStyle w:val="17"/>
              <w:keepNext w:val="0"/>
              <w:keepLines w:val="0"/>
              <w:widowControl w:val="0"/>
              <w:suppressLineNumbers w:val="0"/>
              <w:snapToGrid w:val="0"/>
              <w:spacing w:before="0" w:beforeAutospacing="0" w:after="0" w:afterAutospacing="0"/>
              <w:ind w:left="0" w:right="0"/>
              <w:jc w:val="center"/>
              <w:rPr>
                <w:szCs w:val="21"/>
                <w:lang w:val="en-US"/>
              </w:rPr>
            </w:pPr>
            <w:r>
              <w:rPr>
                <w:rFonts w:hint="eastAsia" w:ascii="Times New Roman" w:hAnsi="Times New Roman" w:eastAsia="宋体" w:cs="宋体"/>
                <w:b/>
                <w:bCs/>
                <w:kern w:val="2"/>
                <w:sz w:val="21"/>
                <w:szCs w:val="21"/>
                <w:lang w:val="en-US" w:eastAsia="zh-CN" w:bidi="ar"/>
              </w:rPr>
              <w:t>表</w:t>
            </w:r>
            <w:r>
              <w:rPr>
                <w:rFonts w:hint="eastAsia" w:ascii="Times New Roman" w:hAnsi="Times New Roman" w:eastAsia="宋体" w:cs="Times New Roman"/>
                <w:b/>
                <w:bCs/>
                <w:kern w:val="2"/>
                <w:sz w:val="21"/>
                <w:szCs w:val="21"/>
                <w:lang w:val="en-US" w:eastAsia="zh-CN" w:bidi="ar"/>
              </w:rPr>
              <w:t>4</w:t>
            </w:r>
            <w:r>
              <w:rPr>
                <w:rFonts w:hint="default" w:ascii="Times New Roman" w:hAnsi="Times New Roman" w:eastAsia="宋体" w:cs="Times New Roman"/>
                <w:b/>
                <w:bCs/>
                <w:kern w:val="2"/>
                <w:sz w:val="21"/>
                <w:szCs w:val="21"/>
                <w:lang w:val="en-US" w:eastAsia="zh-CN" w:bidi="ar"/>
              </w:rPr>
              <w:t>-</w:t>
            </w:r>
            <w:r>
              <w:rPr>
                <w:rFonts w:hint="eastAsia" w:ascii="Times New Roman" w:hAnsi="Times New Roman" w:eastAsia="宋体" w:cs="Times New Roman"/>
                <w:b/>
                <w:bCs/>
                <w:kern w:val="2"/>
                <w:sz w:val="21"/>
                <w:szCs w:val="21"/>
                <w:lang w:val="en-US" w:eastAsia="zh-CN" w:bidi="ar"/>
              </w:rPr>
              <w:t>9</w:t>
            </w:r>
            <w:r>
              <w:rPr>
                <w:rFonts w:hint="eastAsia" w:ascii="Times New Roman" w:hAnsi="Times New Roman" w:eastAsia="宋体" w:cs="宋体"/>
                <w:b/>
                <w:bCs/>
                <w:kern w:val="2"/>
                <w:sz w:val="21"/>
                <w:szCs w:val="21"/>
                <w:lang w:val="en-US" w:eastAsia="zh-CN" w:bidi="ar"/>
              </w:rPr>
              <w:t>《</w:t>
            </w:r>
            <w:r>
              <w:rPr>
                <w:rFonts w:hint="eastAsia" w:ascii="Times New Roman" w:hAnsi="Times New Roman" w:eastAsia="宋体" w:cs="宋体"/>
                <w:b/>
                <w:bCs w:val="0"/>
                <w:kern w:val="2"/>
                <w:sz w:val="21"/>
                <w:szCs w:val="21"/>
                <w:lang w:val="en-US" w:eastAsia="zh-CN" w:bidi="ar"/>
              </w:rPr>
              <w:t>污水综合排放标准》（</w:t>
            </w:r>
            <w:r>
              <w:rPr>
                <w:rFonts w:hint="default" w:ascii="Times New Roman" w:hAnsi="Times New Roman" w:eastAsia="宋体" w:cs="Times New Roman"/>
                <w:b/>
                <w:bCs w:val="0"/>
                <w:kern w:val="2"/>
                <w:sz w:val="21"/>
                <w:szCs w:val="21"/>
                <w:lang w:val="en-US" w:eastAsia="zh-CN" w:bidi="ar"/>
              </w:rPr>
              <w:t>GB/8978-1996</w:t>
            </w:r>
            <w:r>
              <w:rPr>
                <w:rFonts w:hint="eastAsia" w:ascii="Times New Roman" w:hAnsi="Times New Roman" w:eastAsia="宋体" w:cs="宋体"/>
                <w:b/>
                <w:bCs w:val="0"/>
                <w:kern w:val="2"/>
                <w:sz w:val="21"/>
                <w:szCs w:val="21"/>
                <w:lang w:val="en-US" w:eastAsia="zh-CN" w:bidi="ar"/>
              </w:rPr>
              <w:t>）标准</w:t>
            </w:r>
            <w:r>
              <w:rPr>
                <w:rFonts w:hint="default" w:ascii="Times New Roman" w:hAnsi="Times New Roman" w:eastAsia="宋体" w:cs="Times New Roman"/>
                <w:b/>
                <w:bCs w:val="0"/>
                <w:kern w:val="2"/>
                <w:sz w:val="21"/>
                <w:szCs w:val="21"/>
                <w:lang w:val="en-US" w:eastAsia="zh-CN" w:bidi="ar"/>
              </w:rPr>
              <w:t xml:space="preserve">    </w:t>
            </w:r>
            <w:r>
              <w:rPr>
                <w:rFonts w:hint="eastAsia" w:ascii="Times New Roman" w:hAnsi="Times New Roman" w:eastAsia="宋体" w:cs="宋体"/>
                <w:b/>
                <w:bCs w:val="0"/>
                <w:kern w:val="2"/>
                <w:sz w:val="21"/>
                <w:szCs w:val="21"/>
                <w:lang w:val="en-US" w:eastAsia="zh-CN" w:bidi="ar"/>
              </w:rPr>
              <w:t>单位：</w:t>
            </w:r>
            <w:r>
              <w:rPr>
                <w:rFonts w:hint="default" w:ascii="Times New Roman" w:hAnsi="Times New Roman" w:eastAsia="宋体" w:cs="Times New Roman"/>
                <w:b/>
                <w:bCs w:val="0"/>
                <w:kern w:val="2"/>
                <w:sz w:val="21"/>
                <w:szCs w:val="21"/>
                <w:lang w:val="en-US" w:eastAsia="zh-CN" w:bidi="ar"/>
              </w:rPr>
              <w:t>mg/L</w:t>
            </w:r>
            <w:r>
              <w:rPr>
                <w:rFonts w:hint="eastAsia" w:ascii="Times New Roman" w:hAnsi="Times New Roman" w:eastAsia="宋体" w:cs="宋体"/>
                <w:b/>
                <w:bCs w:val="0"/>
                <w:kern w:val="2"/>
                <w:sz w:val="21"/>
                <w:szCs w:val="21"/>
                <w:lang w:val="en-US" w:eastAsia="zh-CN" w:bidi="ar"/>
              </w:rPr>
              <w:t>、</w:t>
            </w:r>
            <w:r>
              <w:rPr>
                <w:rFonts w:hint="default" w:ascii="Times New Roman" w:hAnsi="Times New Roman" w:eastAsia="宋体" w:cs="Times New Roman"/>
                <w:b/>
                <w:bCs w:val="0"/>
                <w:kern w:val="2"/>
                <w:sz w:val="21"/>
                <w:szCs w:val="21"/>
                <w:lang w:val="en-US" w:eastAsia="zh-CN" w:bidi="ar"/>
              </w:rPr>
              <w:t>pH</w:t>
            </w:r>
            <w:r>
              <w:rPr>
                <w:rFonts w:hint="eastAsia" w:ascii="Times New Roman" w:hAnsi="Times New Roman" w:eastAsia="宋体" w:cs="宋体"/>
                <w:b/>
                <w:bCs w:val="0"/>
                <w:kern w:val="2"/>
                <w:sz w:val="21"/>
                <w:szCs w:val="21"/>
                <w:lang w:val="en-US" w:eastAsia="zh-CN" w:bidi="ar"/>
              </w:rPr>
              <w:t>无量纲</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709"/>
              <w:gridCol w:w="1222"/>
              <w:gridCol w:w="1067"/>
              <w:gridCol w:w="1046"/>
              <w:gridCol w:w="847"/>
              <w:gridCol w:w="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jc w:val="center"/>
              </w:trPr>
              <w:tc>
                <w:tcPr>
                  <w:tcW w:w="1727"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7"/>
                    <w:keepNext w:val="0"/>
                    <w:keepLines w:val="0"/>
                    <w:widowControl w:val="0"/>
                    <w:suppressLineNumbers w:val="0"/>
                    <w:spacing w:before="0" w:beforeAutospacing="0" w:after="0" w:afterAutospacing="0" w:line="240" w:lineRule="auto"/>
                    <w:ind w:left="0" w:leftChars="0" w:right="0" w:firstLine="0" w:firstLineChars="0"/>
                    <w:jc w:val="center"/>
                    <w:rPr>
                      <w:b/>
                      <w:bCs w:val="0"/>
                      <w:szCs w:val="21"/>
                      <w:lang w:val="en-US"/>
                    </w:rPr>
                  </w:pPr>
                  <w:r>
                    <w:rPr>
                      <w:rFonts w:hint="eastAsia" w:ascii="Times New Roman" w:hAnsi="Times New Roman" w:eastAsia="宋体" w:cs="宋体"/>
                      <w:b/>
                      <w:bCs w:val="0"/>
                      <w:kern w:val="2"/>
                      <w:sz w:val="21"/>
                      <w:szCs w:val="21"/>
                      <w:lang w:val="en-US" w:eastAsia="zh-CN" w:bidi="ar"/>
                    </w:rPr>
                    <w:t>项目</w:t>
                  </w:r>
                </w:p>
              </w:tc>
              <w:tc>
                <w:tcPr>
                  <w:tcW w:w="77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7"/>
                    <w:keepNext w:val="0"/>
                    <w:keepLines w:val="0"/>
                    <w:widowControl w:val="0"/>
                    <w:suppressLineNumbers w:val="0"/>
                    <w:spacing w:before="0" w:beforeAutospacing="0" w:after="0" w:afterAutospacing="0" w:line="240" w:lineRule="auto"/>
                    <w:ind w:left="0" w:leftChars="0" w:right="0" w:firstLine="0" w:firstLineChars="0"/>
                    <w:jc w:val="center"/>
                    <w:rPr>
                      <w:b/>
                      <w:bCs w:val="0"/>
                      <w:szCs w:val="21"/>
                      <w:lang w:val="en-US"/>
                    </w:rPr>
                  </w:pPr>
                  <w:r>
                    <w:rPr>
                      <w:rFonts w:hint="default" w:ascii="Times New Roman" w:hAnsi="Times New Roman" w:eastAsia="宋体" w:cs="Times New Roman"/>
                      <w:b/>
                      <w:bCs w:val="0"/>
                      <w:kern w:val="2"/>
                      <w:sz w:val="21"/>
                      <w:szCs w:val="21"/>
                      <w:lang w:val="en-US" w:eastAsia="zh-CN" w:bidi="ar"/>
                    </w:rPr>
                    <w:t>pH</w:t>
                  </w:r>
                </w:p>
              </w:tc>
              <w:tc>
                <w:tcPr>
                  <w:tcW w:w="68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7"/>
                    <w:keepNext w:val="0"/>
                    <w:keepLines w:val="0"/>
                    <w:widowControl w:val="0"/>
                    <w:suppressLineNumbers w:val="0"/>
                    <w:spacing w:before="0" w:beforeAutospacing="0" w:after="0" w:afterAutospacing="0" w:line="240" w:lineRule="auto"/>
                    <w:ind w:left="0" w:leftChars="0" w:right="0" w:firstLine="0" w:firstLineChars="0"/>
                    <w:jc w:val="center"/>
                    <w:rPr>
                      <w:b/>
                      <w:bCs w:val="0"/>
                      <w:szCs w:val="21"/>
                      <w:lang w:val="en-US"/>
                    </w:rPr>
                  </w:pPr>
                  <w:r>
                    <w:rPr>
                      <w:rFonts w:hint="default" w:ascii="Times New Roman" w:hAnsi="Times New Roman" w:eastAsia="宋体" w:cs="Times New Roman"/>
                      <w:b/>
                      <w:bCs w:val="0"/>
                      <w:kern w:val="2"/>
                      <w:sz w:val="21"/>
                      <w:szCs w:val="21"/>
                      <w:lang w:val="en-US" w:eastAsia="zh-CN" w:bidi="ar"/>
                    </w:rPr>
                    <w:t>COD</w:t>
                  </w:r>
                </w:p>
              </w:tc>
              <w:tc>
                <w:tcPr>
                  <w:tcW w:w="667"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7"/>
                    <w:keepNext w:val="0"/>
                    <w:keepLines w:val="0"/>
                    <w:widowControl w:val="0"/>
                    <w:suppressLineNumbers w:val="0"/>
                    <w:spacing w:before="0" w:beforeAutospacing="0" w:after="0" w:afterAutospacing="0" w:line="240" w:lineRule="auto"/>
                    <w:ind w:left="0" w:leftChars="0" w:right="0" w:firstLine="0" w:firstLineChars="0"/>
                    <w:jc w:val="center"/>
                    <w:rPr>
                      <w:b/>
                      <w:bCs w:val="0"/>
                      <w:szCs w:val="21"/>
                      <w:lang w:val="en-US"/>
                    </w:rPr>
                  </w:pPr>
                  <w:r>
                    <w:rPr>
                      <w:rFonts w:hint="default" w:ascii="Times New Roman" w:hAnsi="Times New Roman" w:eastAsia="宋体" w:cs="Times New Roman"/>
                      <w:b/>
                      <w:bCs w:val="0"/>
                      <w:kern w:val="2"/>
                      <w:sz w:val="21"/>
                      <w:szCs w:val="21"/>
                      <w:lang w:val="en-US" w:eastAsia="zh-CN" w:bidi="ar"/>
                    </w:rPr>
                    <w:t>BOD</w:t>
                  </w:r>
                  <w:r>
                    <w:rPr>
                      <w:rFonts w:hint="default" w:ascii="Times New Roman" w:hAnsi="Times New Roman" w:eastAsia="宋体" w:cs="Times New Roman"/>
                      <w:b/>
                      <w:bCs w:val="0"/>
                      <w:kern w:val="2"/>
                      <w:sz w:val="21"/>
                      <w:szCs w:val="21"/>
                      <w:vertAlign w:val="subscript"/>
                      <w:lang w:val="en-US" w:eastAsia="zh-CN" w:bidi="ar"/>
                    </w:rPr>
                    <w:t>5</w:t>
                  </w:r>
                </w:p>
              </w:tc>
              <w:tc>
                <w:tcPr>
                  <w:tcW w:w="54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7"/>
                    <w:keepNext w:val="0"/>
                    <w:keepLines w:val="0"/>
                    <w:widowControl w:val="0"/>
                    <w:suppressLineNumbers w:val="0"/>
                    <w:spacing w:before="0" w:beforeAutospacing="0" w:after="0" w:afterAutospacing="0" w:line="240" w:lineRule="auto"/>
                    <w:ind w:left="0" w:leftChars="0" w:right="0" w:firstLine="0" w:firstLineChars="0"/>
                    <w:jc w:val="center"/>
                    <w:rPr>
                      <w:b/>
                      <w:bCs w:val="0"/>
                      <w:szCs w:val="21"/>
                      <w:lang w:val="en-US"/>
                    </w:rPr>
                  </w:pPr>
                  <w:r>
                    <w:rPr>
                      <w:rFonts w:hint="default" w:ascii="Times New Roman" w:hAnsi="Times New Roman" w:eastAsia="宋体" w:cs="Times New Roman"/>
                      <w:b/>
                      <w:bCs w:val="0"/>
                      <w:kern w:val="2"/>
                      <w:sz w:val="21"/>
                      <w:szCs w:val="21"/>
                      <w:lang w:val="en-US" w:eastAsia="zh-CN" w:bidi="ar"/>
                    </w:rPr>
                    <w:t>SS</w:t>
                  </w:r>
                </w:p>
              </w:tc>
              <w:tc>
                <w:tcPr>
                  <w:tcW w:w="60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7"/>
                    <w:keepNext w:val="0"/>
                    <w:keepLines w:val="0"/>
                    <w:widowControl w:val="0"/>
                    <w:suppressLineNumbers w:val="0"/>
                    <w:spacing w:before="0" w:beforeAutospacing="0" w:after="0" w:afterAutospacing="0" w:line="240" w:lineRule="auto"/>
                    <w:ind w:left="0" w:leftChars="0" w:right="0" w:firstLine="0" w:firstLineChars="0"/>
                    <w:jc w:val="center"/>
                    <w:rPr>
                      <w:b/>
                      <w:bCs w:val="0"/>
                      <w:szCs w:val="21"/>
                      <w:vertAlign w:val="superscript"/>
                      <w:lang w:val="en-US"/>
                    </w:rPr>
                  </w:pPr>
                  <w:r>
                    <w:rPr>
                      <w:rFonts w:hint="eastAsia" w:ascii="Times New Roman" w:hAnsi="Times New Roman" w:eastAsia="宋体" w:cs="宋体"/>
                      <w:b/>
                      <w:bCs w:val="0"/>
                      <w:kern w:val="2"/>
                      <w:sz w:val="21"/>
                      <w:szCs w:val="21"/>
                      <w:lang w:val="en-US" w:eastAsia="zh-CN" w:bidi="ar"/>
                    </w:rPr>
                    <w:t>氨氮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jc w:val="center"/>
              </w:trPr>
              <w:tc>
                <w:tcPr>
                  <w:tcW w:w="1727"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7"/>
                    <w:keepNext w:val="0"/>
                    <w:keepLines w:val="0"/>
                    <w:widowControl w:val="0"/>
                    <w:suppressLineNumbers w:val="0"/>
                    <w:spacing w:before="0" w:beforeAutospacing="0" w:after="0" w:afterAutospacing="0" w:line="240" w:lineRule="auto"/>
                    <w:ind w:left="0" w:leftChars="0" w:right="0" w:firstLine="0" w:firstLineChars="0"/>
                    <w:jc w:val="center"/>
                    <w:rPr>
                      <w:szCs w:val="21"/>
                      <w:lang w:val="en-US"/>
                    </w:rPr>
                  </w:pPr>
                  <w:r>
                    <w:rPr>
                      <w:rFonts w:hint="eastAsia" w:ascii="Times New Roman" w:hAnsi="Times New Roman" w:eastAsia="宋体" w:cs="宋体"/>
                      <w:kern w:val="2"/>
                      <w:sz w:val="24"/>
                      <w:szCs w:val="24"/>
                      <w:lang w:val="en-US" w:eastAsia="zh-CN" w:bidi="ar"/>
                    </w:rPr>
                    <w:t>《</w:t>
                  </w:r>
                  <w:r>
                    <w:rPr>
                      <w:rFonts w:hint="eastAsia" w:ascii="Times New Roman" w:hAnsi="Times New Roman" w:eastAsia="宋体" w:cs="宋体"/>
                      <w:kern w:val="2"/>
                      <w:sz w:val="21"/>
                      <w:szCs w:val="21"/>
                      <w:lang w:val="en-US" w:eastAsia="zh-CN" w:bidi="ar"/>
                    </w:rPr>
                    <w:t>污水综合排放标准》（</w:t>
                  </w:r>
                  <w:r>
                    <w:rPr>
                      <w:rFonts w:hint="default" w:ascii="Times New Roman" w:hAnsi="Times New Roman" w:eastAsia="宋体" w:cs="Times New Roman"/>
                      <w:kern w:val="2"/>
                      <w:sz w:val="21"/>
                      <w:szCs w:val="21"/>
                      <w:lang w:val="en-US" w:eastAsia="zh-CN" w:bidi="ar"/>
                    </w:rPr>
                    <w:t>GB/8978-1996</w:t>
                  </w:r>
                  <w:r>
                    <w:rPr>
                      <w:rFonts w:hint="eastAsia" w:ascii="Times New Roman" w:hAnsi="Times New Roman" w:eastAsia="宋体" w:cs="宋体"/>
                      <w:kern w:val="2"/>
                      <w:sz w:val="21"/>
                      <w:szCs w:val="21"/>
                      <w:lang w:val="en-US" w:eastAsia="zh-CN" w:bidi="ar"/>
                    </w:rPr>
                    <w:t>）三级标准</w:t>
                  </w:r>
                </w:p>
              </w:tc>
              <w:tc>
                <w:tcPr>
                  <w:tcW w:w="77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7"/>
                    <w:keepNext w:val="0"/>
                    <w:keepLines w:val="0"/>
                    <w:widowControl w:val="0"/>
                    <w:suppressLineNumbers w:val="0"/>
                    <w:spacing w:before="0" w:beforeAutospacing="0" w:after="0" w:afterAutospacing="0" w:line="240" w:lineRule="auto"/>
                    <w:ind w:left="0" w:leftChars="0" w:right="0" w:firstLine="0" w:firstLineChars="0"/>
                    <w:jc w:val="center"/>
                    <w:rPr>
                      <w:szCs w:val="21"/>
                      <w:lang w:val="en-US"/>
                    </w:rPr>
                  </w:pPr>
                  <w:r>
                    <w:rPr>
                      <w:rFonts w:hint="default" w:ascii="Times New Roman" w:hAnsi="Times New Roman" w:eastAsia="宋体" w:cs="Times New Roman"/>
                      <w:kern w:val="2"/>
                      <w:sz w:val="21"/>
                      <w:szCs w:val="21"/>
                      <w:lang w:val="en-US" w:eastAsia="zh-CN" w:bidi="ar"/>
                    </w:rPr>
                    <w:t>6~9</w:t>
                  </w:r>
                </w:p>
              </w:tc>
              <w:tc>
                <w:tcPr>
                  <w:tcW w:w="68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7"/>
                    <w:keepNext w:val="0"/>
                    <w:keepLines w:val="0"/>
                    <w:widowControl w:val="0"/>
                    <w:suppressLineNumbers w:val="0"/>
                    <w:spacing w:before="0" w:beforeAutospacing="0" w:after="0" w:afterAutospacing="0" w:line="240" w:lineRule="auto"/>
                    <w:ind w:left="0" w:leftChars="0" w:right="0" w:firstLine="0" w:firstLineChars="0"/>
                    <w:jc w:val="center"/>
                    <w:rPr>
                      <w:szCs w:val="21"/>
                      <w:lang w:val="en-US"/>
                    </w:rPr>
                  </w:pPr>
                  <w:r>
                    <w:rPr>
                      <w:rFonts w:hint="default" w:ascii="Times New Roman" w:hAnsi="Times New Roman" w:eastAsia="宋体" w:cs="Times New Roman"/>
                      <w:kern w:val="2"/>
                      <w:sz w:val="21"/>
                      <w:szCs w:val="21"/>
                      <w:lang w:val="en-US" w:eastAsia="zh-CN" w:bidi="ar"/>
                    </w:rPr>
                    <w:t>500</w:t>
                  </w:r>
                </w:p>
              </w:tc>
              <w:tc>
                <w:tcPr>
                  <w:tcW w:w="667"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7"/>
                    <w:keepNext w:val="0"/>
                    <w:keepLines w:val="0"/>
                    <w:widowControl w:val="0"/>
                    <w:suppressLineNumbers w:val="0"/>
                    <w:spacing w:before="0" w:beforeAutospacing="0" w:after="0" w:afterAutospacing="0" w:line="240" w:lineRule="auto"/>
                    <w:ind w:left="0" w:leftChars="0" w:right="0" w:firstLine="0" w:firstLineChars="0"/>
                    <w:jc w:val="center"/>
                    <w:rPr>
                      <w:szCs w:val="21"/>
                      <w:lang w:val="en-US"/>
                    </w:rPr>
                  </w:pPr>
                  <w:r>
                    <w:rPr>
                      <w:rFonts w:hint="default" w:ascii="Times New Roman" w:hAnsi="Times New Roman" w:eastAsia="宋体" w:cs="Times New Roman"/>
                      <w:kern w:val="2"/>
                      <w:sz w:val="21"/>
                      <w:szCs w:val="21"/>
                      <w:lang w:val="en-US" w:eastAsia="zh-CN" w:bidi="ar"/>
                    </w:rPr>
                    <w:t>300</w:t>
                  </w:r>
                </w:p>
              </w:tc>
              <w:tc>
                <w:tcPr>
                  <w:tcW w:w="54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7"/>
                    <w:keepNext w:val="0"/>
                    <w:keepLines w:val="0"/>
                    <w:widowControl w:val="0"/>
                    <w:suppressLineNumbers w:val="0"/>
                    <w:spacing w:before="0" w:beforeAutospacing="0" w:after="0" w:afterAutospacing="0" w:line="240" w:lineRule="auto"/>
                    <w:ind w:left="0" w:leftChars="0" w:right="0" w:firstLine="0" w:firstLineChars="0"/>
                    <w:jc w:val="center"/>
                    <w:rPr>
                      <w:szCs w:val="21"/>
                      <w:lang w:val="en-US"/>
                    </w:rPr>
                  </w:pPr>
                  <w:r>
                    <w:rPr>
                      <w:rFonts w:hint="default" w:ascii="Times New Roman" w:hAnsi="Times New Roman" w:eastAsia="宋体" w:cs="Times New Roman"/>
                      <w:kern w:val="2"/>
                      <w:sz w:val="21"/>
                      <w:szCs w:val="21"/>
                      <w:lang w:val="en-US" w:eastAsia="zh-CN" w:bidi="ar"/>
                    </w:rPr>
                    <w:t>400</w:t>
                  </w:r>
                </w:p>
              </w:tc>
              <w:tc>
                <w:tcPr>
                  <w:tcW w:w="605"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7"/>
                    <w:keepNext w:val="0"/>
                    <w:keepLines w:val="0"/>
                    <w:widowControl w:val="0"/>
                    <w:suppressLineNumbers w:val="0"/>
                    <w:spacing w:before="0" w:beforeAutospacing="0" w:after="0" w:afterAutospacing="0" w:line="240" w:lineRule="auto"/>
                    <w:ind w:left="0" w:leftChars="0" w:right="0" w:firstLine="0" w:firstLineChars="0"/>
                    <w:jc w:val="center"/>
                    <w:rPr>
                      <w:szCs w:val="21"/>
                      <w:vertAlign w:val="superscript"/>
                      <w:lang w:val="en-US"/>
                    </w:rPr>
                  </w:pPr>
                  <w:r>
                    <w:rPr>
                      <w:rFonts w:hint="default" w:ascii="Times New Roman" w:hAnsi="Times New Roman" w:eastAsia="宋体" w:cs="Times New Roman"/>
                      <w:kern w:val="2"/>
                      <w:sz w:val="21"/>
                      <w:szCs w:val="21"/>
                      <w:lang w:val="en-US" w:eastAsia="zh-CN" w:bidi="ar"/>
                    </w:rPr>
                    <w:t>45</w:t>
                  </w:r>
                  <w:r>
                    <w:rPr>
                      <w:rFonts w:hint="default" w:ascii="Times New Roman" w:hAnsi="Times New Roman" w:eastAsia="宋体" w:cs="Times New Roman"/>
                      <w:kern w:val="2"/>
                      <w:sz w:val="21"/>
                      <w:szCs w:val="21"/>
                      <w:vertAlign w:val="superscript"/>
                      <w:lang w:val="en-US" w:eastAsia="zh-CN" w:bidi="ar"/>
                    </w:rPr>
                    <w:t>*</w:t>
                  </w:r>
                </w:p>
              </w:tc>
            </w:tr>
          </w:tbl>
          <w:p>
            <w:pPr>
              <w:keepNext w:val="0"/>
              <w:keepLines w:val="0"/>
              <w:suppressLineNumbers w:val="0"/>
              <w:spacing w:before="0" w:beforeAutospacing="0" w:after="0" w:afterAutospacing="0" w:line="240" w:lineRule="auto"/>
              <w:ind w:left="0" w:right="119" w:firstLine="315" w:firstLineChars="150"/>
              <w:jc w:val="both"/>
              <w:rPr>
                <w:bCs/>
              </w:rPr>
            </w:pPr>
            <w:r>
              <w:rPr>
                <w:rFonts w:hint="eastAsia" w:ascii="Times New Roman" w:hAnsi="Times New Roman" w:eastAsia="宋体" w:cs="Times New Roman"/>
                <w:kern w:val="2"/>
                <w:sz w:val="21"/>
                <w:szCs w:val="21"/>
                <w:lang w:val="en-US" w:eastAsia="zh-CN" w:bidi="ar"/>
              </w:rPr>
              <w:t>注：</w:t>
            </w:r>
            <w:r>
              <w:rPr>
                <w:rFonts w:hint="default" w:ascii="Times New Roman" w:hAnsi="Times New Roman" w:eastAsia="宋体" w:cs="Times New Roman"/>
                <w:kern w:val="2"/>
                <w:sz w:val="21"/>
                <w:szCs w:val="21"/>
                <w:vertAlign w:val="superscript"/>
                <w:lang w:val="en-US" w:eastAsia="zh-CN" w:bidi="ar"/>
              </w:rPr>
              <w:t>*</w:t>
            </w:r>
            <w:r>
              <w:rPr>
                <w:rFonts w:hint="eastAsia" w:ascii="Times New Roman" w:hAnsi="Times New Roman" w:eastAsia="宋体" w:cs="Times New Roman"/>
                <w:kern w:val="2"/>
                <w:sz w:val="21"/>
                <w:szCs w:val="21"/>
                <w:lang w:val="en-US" w:eastAsia="zh-CN" w:bidi="ar"/>
              </w:rPr>
              <w:t>表中氨氮执行</w:t>
            </w:r>
            <w:r>
              <w:rPr>
                <w:rFonts w:hint="eastAsia" w:ascii="Times New Roman" w:hAnsi="Times New Roman" w:eastAsia="宋体" w:cs="Times New Roman"/>
                <w:kern w:val="2"/>
                <w:sz w:val="21"/>
                <w:szCs w:val="21"/>
                <w:lang w:val="zh-CN" w:eastAsia="zh-CN" w:bidi="ar"/>
              </w:rPr>
              <w:t>《污水排入城镇下水道水质标准》（</w:t>
            </w:r>
            <w:r>
              <w:rPr>
                <w:rFonts w:hint="default" w:ascii="Times New Roman" w:hAnsi="Times New Roman" w:eastAsia="宋体" w:cs="Times New Roman"/>
                <w:kern w:val="2"/>
                <w:sz w:val="21"/>
                <w:szCs w:val="21"/>
                <w:lang w:val="zh-CN" w:eastAsia="zh-CN" w:bidi="ar"/>
              </w:rPr>
              <w:t>GB/T31962-2015</w:t>
            </w:r>
            <w:r>
              <w:rPr>
                <w:rFonts w:hint="eastAsia" w:ascii="Times New Roman" w:hAnsi="Times New Roman" w:eastAsia="宋体" w:cs="Times New Roman"/>
                <w:kern w:val="2"/>
                <w:sz w:val="21"/>
                <w:szCs w:val="21"/>
                <w:lang w:val="zh-CN" w:eastAsia="zh-CN" w:bidi="ar"/>
              </w:rPr>
              <w:t>）</w:t>
            </w:r>
            <w:r>
              <w:rPr>
                <w:rFonts w:hint="eastAsia" w:ascii="Times New Roman" w:hAnsi="Times New Roman" w:eastAsia="宋体" w:cs="Times New Roman"/>
                <w:kern w:val="2"/>
                <w:sz w:val="21"/>
                <w:szCs w:val="21"/>
                <w:lang w:val="en-US" w:eastAsia="zh-CN" w:bidi="ar"/>
              </w:rPr>
              <w:t>A等级</w:t>
            </w:r>
            <w:r>
              <w:rPr>
                <w:rFonts w:hint="eastAsia" w:ascii="Times New Roman" w:hAnsi="Times New Roman" w:eastAsia="宋体" w:cs="Times New Roman"/>
                <w:kern w:val="2"/>
                <w:sz w:val="21"/>
                <w:szCs w:val="21"/>
                <w:lang w:val="zh-CN" w:eastAsia="zh-CN" w:bidi="ar"/>
              </w:rPr>
              <w:t>标准限值。</w:t>
            </w:r>
          </w:p>
          <w:p>
            <w:pPr>
              <w:keepNext w:val="0"/>
              <w:keepLines w:val="0"/>
              <w:suppressLineNumbers w:val="0"/>
              <w:spacing w:before="0" w:beforeAutospacing="0" w:after="0" w:afterAutospacing="0"/>
              <w:ind w:left="0" w:right="119" w:firstLine="360" w:firstLineChars="150"/>
              <w:jc w:val="both"/>
            </w:pPr>
            <w:r>
              <w:rPr>
                <w:bCs/>
              </w:rPr>
              <w:t>（3）噪声</w:t>
            </w:r>
          </w:p>
          <w:p>
            <w:pPr>
              <w:keepNext w:val="0"/>
              <w:keepLines w:val="0"/>
              <w:suppressLineNumbers w:val="0"/>
              <w:adjustRightInd w:val="0"/>
              <w:snapToGrid w:val="0"/>
              <w:spacing w:before="0" w:beforeAutospacing="0" w:after="0" w:afterAutospacing="0"/>
              <w:ind w:left="0" w:right="0" w:firstLine="480"/>
              <w:jc w:val="both"/>
            </w:pPr>
            <w:r>
              <w:t>本项目位于富民工业园区，属于规划工业园区，另外项目东厂界距离</w:t>
            </w:r>
            <w:r>
              <w:rPr>
                <w:rFonts w:hint="eastAsia"/>
              </w:rPr>
              <w:t>108国道5m。</w:t>
            </w:r>
            <w:r>
              <w:t>项目噪声排放标准西</w:t>
            </w:r>
            <w:r>
              <w:rPr>
                <w:rFonts w:hint="eastAsia"/>
              </w:rPr>
              <w:t>、</w:t>
            </w:r>
            <w:r>
              <w:t>北</w:t>
            </w:r>
            <w:r>
              <w:rPr>
                <w:rFonts w:hint="eastAsia"/>
              </w:rPr>
              <w:t>、</w:t>
            </w:r>
            <w:r>
              <w:t>南厂界执行GB3096-2008《工业企业厂界环境噪声排放标准》3类标准</w:t>
            </w:r>
            <w:r>
              <w:rPr>
                <w:rFonts w:hint="eastAsia"/>
              </w:rPr>
              <w:t>，</w:t>
            </w:r>
            <w:r>
              <w:t>东厂界执行《工业企业厂界环境噪声排放标准》</w:t>
            </w:r>
            <w:r>
              <w:rPr>
                <w:rFonts w:hint="eastAsia"/>
              </w:rPr>
              <w:t>4a</w:t>
            </w:r>
            <w:r>
              <w:t>类标准。其具体标准值详见表4-</w:t>
            </w:r>
            <w:r>
              <w:rPr>
                <w:rFonts w:hint="eastAsia"/>
                <w:lang w:val="en-US" w:eastAsia="zh-CN"/>
              </w:rPr>
              <w:t>10</w:t>
            </w:r>
            <w:r>
              <w:t>。</w:t>
            </w:r>
          </w:p>
          <w:p>
            <w:pPr>
              <w:pStyle w:val="25"/>
              <w:keepNext w:val="0"/>
              <w:keepLines w:val="0"/>
              <w:suppressLineNumbers w:val="0"/>
              <w:spacing w:before="0" w:beforeAutospacing="0" w:after="0" w:afterAutospacing="0" w:line="240" w:lineRule="auto"/>
              <w:ind w:left="0" w:right="0"/>
            </w:pPr>
            <w:r>
              <w:t>表4-</w:t>
            </w:r>
            <w:r>
              <w:rPr>
                <w:rFonts w:hint="eastAsia"/>
                <w:lang w:val="en-US" w:eastAsia="zh-CN"/>
              </w:rPr>
              <w:t>10</w:t>
            </w:r>
            <w:r>
              <w:t xml:space="preserve"> 工业企业厂界环境噪声排放限值   单位：dB(A)</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274"/>
              <w:gridCol w:w="3253"/>
              <w:gridCol w:w="1548"/>
              <w:gridCol w:w="174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20" w:hRule="atLeast"/>
                <w:jc w:val="center"/>
              </w:trPr>
              <w:tc>
                <w:tcPr>
                  <w:tcW w:w="1277"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类别</w:t>
                  </w:r>
                </w:p>
              </w:tc>
              <w:tc>
                <w:tcPr>
                  <w:tcW w:w="3261"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适用区域</w:t>
                  </w:r>
                </w:p>
              </w:tc>
              <w:tc>
                <w:tcPr>
                  <w:tcW w:w="1552"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昼间</w:t>
                  </w:r>
                </w:p>
              </w:tc>
              <w:tc>
                <w:tcPr>
                  <w:tcW w:w="1749"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夜间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277"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3类</w:t>
                  </w:r>
                </w:p>
              </w:tc>
              <w:tc>
                <w:tcPr>
                  <w:tcW w:w="3261"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西</w:t>
                  </w:r>
                  <w:r>
                    <w:rPr>
                      <w:rFonts w:hint="eastAsia"/>
                      <w:b w:val="0"/>
                      <w:bCs w:val="0"/>
                      <w:color w:val="auto"/>
                    </w:rPr>
                    <w:t>、</w:t>
                  </w:r>
                  <w:r>
                    <w:rPr>
                      <w:b w:val="0"/>
                      <w:bCs w:val="0"/>
                      <w:color w:val="auto"/>
                    </w:rPr>
                    <w:t>北</w:t>
                  </w:r>
                  <w:r>
                    <w:rPr>
                      <w:rFonts w:hint="eastAsia"/>
                      <w:b w:val="0"/>
                      <w:bCs w:val="0"/>
                      <w:color w:val="auto"/>
                    </w:rPr>
                    <w:t>、</w:t>
                  </w:r>
                  <w:r>
                    <w:rPr>
                      <w:b w:val="0"/>
                      <w:bCs w:val="0"/>
                      <w:color w:val="auto"/>
                    </w:rPr>
                    <w:t>南厂界</w:t>
                  </w:r>
                </w:p>
              </w:tc>
              <w:tc>
                <w:tcPr>
                  <w:tcW w:w="1552"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65</w:t>
                  </w:r>
                </w:p>
              </w:tc>
              <w:tc>
                <w:tcPr>
                  <w:tcW w:w="1749"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55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277"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4a</w:t>
                  </w:r>
                </w:p>
              </w:tc>
              <w:tc>
                <w:tcPr>
                  <w:tcW w:w="3261"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东厂界</w:t>
                  </w:r>
                </w:p>
              </w:tc>
              <w:tc>
                <w:tcPr>
                  <w:tcW w:w="1552"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70</w:t>
                  </w:r>
                </w:p>
              </w:tc>
              <w:tc>
                <w:tcPr>
                  <w:tcW w:w="1749"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55</w:t>
                  </w:r>
                </w:p>
              </w:tc>
            </w:tr>
          </w:tbl>
          <w:p>
            <w:pPr>
              <w:keepNext w:val="0"/>
              <w:keepLines w:val="0"/>
              <w:suppressLineNumbers w:val="0"/>
              <w:spacing w:before="0" w:beforeAutospacing="0" w:after="0" w:afterAutospacing="0"/>
              <w:ind w:left="0" w:right="119" w:firstLine="480"/>
              <w:jc w:val="both"/>
              <w:rPr>
                <w:bCs/>
              </w:rPr>
            </w:pPr>
            <w:r>
              <w:rPr>
                <w:bCs/>
              </w:rPr>
              <w:t>（4）固体废物</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1 \* GB3 </w:instrText>
            </w:r>
            <w:r>
              <w:rPr>
                <w:rFonts w:hint="eastAsia"/>
              </w:rPr>
              <w:fldChar w:fldCharType="separate"/>
            </w:r>
            <w:r>
              <w:rPr>
                <w:rFonts w:hint="eastAsia"/>
              </w:rPr>
              <w:t>①</w:t>
            </w:r>
            <w:r>
              <w:rPr>
                <w:rFonts w:hint="eastAsia"/>
              </w:rPr>
              <w:fldChar w:fldCharType="end"/>
            </w:r>
            <w:r>
              <w:t>一般固废：执行《一般工业固体废物储存、处置场污染控制标准》（GB18599-2001）及其修改单。可回收部分回收利用，不可回收部分统一收集清运至园区垃圾收集处理后，由环卫部门处置。</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t>危险废物处理和处置执行（GB 18597-2001）《危险废物贮存污染控制标准》（2013年修改单）中的有关规定，妥善处理，不得形成二次污染。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52" w:hRule="atLeast"/>
          <w:jc w:val="center"/>
        </w:trPr>
        <w:tc>
          <w:tcPr>
            <w:tcW w:w="457" w:type="dxa"/>
            <w:tcBorders>
              <w:left w:val="single" w:color="auto" w:sz="4" w:space="0"/>
              <w:bottom w:val="single" w:color="auto" w:sz="4" w:space="0"/>
              <w:right w:val="single" w:color="auto" w:sz="4" w:space="0"/>
            </w:tcBorders>
            <w:noWrap/>
            <w:vAlign w:val="center"/>
          </w:tcPr>
          <w:p>
            <w:pPr>
              <w:keepNext w:val="0"/>
              <w:keepLines w:val="0"/>
              <w:suppressLineNumbers w:val="0"/>
              <w:spacing w:before="0" w:beforeAutospacing="0" w:after="0" w:afterAutospacing="0"/>
              <w:ind w:left="0" w:right="0" w:firstLine="0" w:firstLineChars="0"/>
              <w:jc w:val="both"/>
            </w:pPr>
            <w:r>
              <w:rPr>
                <w:b/>
                <w:bCs/>
              </w:rPr>
              <w:t>总量控制指标</w:t>
            </w:r>
          </w:p>
        </w:tc>
        <w:tc>
          <w:tcPr>
            <w:tcW w:w="8065" w:type="dxa"/>
            <w:tcBorders>
              <w:left w:val="single" w:color="auto" w:sz="4" w:space="0"/>
              <w:bottom w:val="single" w:color="auto" w:sz="4" w:space="0"/>
            </w:tcBorders>
            <w:noWrap/>
          </w:tcPr>
          <w:p>
            <w:pPr>
              <w:keepNext w:val="0"/>
              <w:keepLines w:val="0"/>
              <w:suppressLineNumbers w:val="0"/>
              <w:spacing w:before="0" w:beforeAutospacing="0" w:after="0" w:afterAutospacing="0"/>
              <w:ind w:left="0" w:right="0" w:firstLine="480"/>
              <w:jc w:val="both"/>
            </w:pPr>
            <w:r>
              <w:t>建议的总量控制指标：</w:t>
            </w:r>
          </w:p>
          <w:p>
            <w:pPr>
              <w:keepNext w:val="0"/>
              <w:keepLines w:val="0"/>
              <w:suppressLineNumbers w:val="0"/>
              <w:spacing w:before="0" w:beforeAutospacing="0" w:after="0" w:afterAutospacing="0"/>
              <w:ind w:left="0" w:right="0" w:firstLine="480"/>
              <w:jc w:val="both"/>
            </w:pPr>
            <w:r>
              <w:t>实施污染物排放总量控制，应立足于实施清洁生产、污染物治理达标排放及区域污染物总量控制等基本控制原则。经环评分析，本项目污染物总量排放控制建议如下：</w:t>
            </w:r>
          </w:p>
          <w:p>
            <w:pPr>
              <w:keepNext w:val="0"/>
              <w:keepLines w:val="0"/>
              <w:suppressLineNumbers w:val="0"/>
              <w:spacing w:before="0" w:beforeAutospacing="0" w:after="0" w:afterAutospacing="0"/>
              <w:ind w:left="0" w:right="0" w:firstLine="480"/>
              <w:jc w:val="both"/>
            </w:pPr>
            <w:r>
              <w:t>废水：</w:t>
            </w:r>
            <w:r>
              <w:rPr>
                <w:rFonts w:hint="eastAsia"/>
              </w:rPr>
              <w:t>本项目运营过程中生活废水排入园区污水处理厂，</w:t>
            </w:r>
            <w:r>
              <w:t>因此，项目废水总量控制指标可考虑纳入园区污水处理厂废水总量控制指标。</w:t>
            </w:r>
          </w:p>
          <w:p>
            <w:pPr>
              <w:keepNext w:val="0"/>
              <w:keepLines w:val="0"/>
              <w:suppressLineNumbers w:val="0"/>
              <w:spacing w:before="0" w:beforeAutospacing="0" w:after="0" w:afterAutospacing="0"/>
              <w:ind w:left="0" w:right="0" w:firstLine="480"/>
              <w:jc w:val="both"/>
            </w:pPr>
            <w:r>
              <w:t>废气：项目废气主要为</w:t>
            </w:r>
            <w:r>
              <w:rPr>
                <w:rFonts w:hint="eastAsia"/>
              </w:rPr>
              <w:t>TSP：0.05t/a、</w:t>
            </w:r>
            <w:r>
              <w:t>VOC</w:t>
            </w:r>
            <w:r>
              <w:rPr>
                <w:rFonts w:hint="eastAsia"/>
              </w:rPr>
              <w:t>s：0.028t/a</w:t>
            </w:r>
            <w:r>
              <w:t>，不列入总量控制指标。</w:t>
            </w:r>
          </w:p>
          <w:p>
            <w:pPr>
              <w:keepNext w:val="0"/>
              <w:keepLines w:val="0"/>
              <w:suppressLineNumbers w:val="0"/>
              <w:spacing w:before="0" w:beforeAutospacing="0" w:after="0" w:afterAutospacing="0"/>
              <w:ind w:left="0" w:right="0" w:firstLine="480"/>
              <w:jc w:val="both"/>
            </w:pPr>
            <w:r>
              <w:t>固体废弃物：项目固废均得到合理处理，处置率100%，不设总量指标</w:t>
            </w:r>
            <w:r>
              <w:rPr>
                <w:rFonts w:hint="eastAsia"/>
              </w:rPr>
              <w:t>。</w:t>
            </w:r>
          </w:p>
          <w:p>
            <w:pPr>
              <w:keepNext w:val="0"/>
              <w:keepLines w:val="0"/>
              <w:suppressLineNumbers w:val="0"/>
              <w:spacing w:before="0" w:beforeAutospacing="0" w:after="0" w:afterAutospacing="0"/>
              <w:ind w:left="0" w:right="0" w:firstLine="0" w:firstLineChars="0"/>
            </w:pPr>
          </w:p>
          <w:p>
            <w:pPr>
              <w:pStyle w:val="2"/>
            </w:pPr>
          </w:p>
        </w:tc>
      </w:tr>
    </w:tbl>
    <w:p>
      <w:pPr>
        <w:pStyle w:val="3"/>
        <w:jc w:val="both"/>
      </w:pPr>
      <w:bookmarkStart w:id="75" w:name="_Toc29747"/>
      <w:bookmarkStart w:id="76" w:name="_Toc23037"/>
      <w:r>
        <w:t>表五建设项目工程分析</w:t>
      </w:r>
      <w:bookmarkEnd w:id="72"/>
      <w:bookmarkEnd w:id="73"/>
      <w:bookmarkEnd w:id="74"/>
      <w:bookmarkEnd w:id="75"/>
      <w:bookmarkEnd w:id="76"/>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tcPr>
          <w:p>
            <w:pPr>
              <w:keepNext w:val="0"/>
              <w:keepLines w:val="0"/>
              <w:suppressLineNumbers w:val="0"/>
              <w:spacing w:before="0" w:beforeAutospacing="0" w:after="0" w:afterAutospacing="0"/>
              <w:ind w:left="0" w:right="0" w:firstLine="361" w:firstLineChars="150"/>
              <w:jc w:val="both"/>
              <w:rPr>
                <w:b/>
                <w:snapToGrid w:val="0"/>
              </w:rPr>
            </w:pPr>
            <w:r>
              <w:rPr>
                <w:rFonts w:hint="eastAsia"/>
                <w:b/>
                <w:snapToGrid w:val="0"/>
              </w:rPr>
              <w:t>一、施工期</w:t>
            </w:r>
          </w:p>
          <w:p>
            <w:pPr>
              <w:keepNext w:val="0"/>
              <w:keepLines w:val="0"/>
              <w:suppressLineNumbers w:val="0"/>
              <w:spacing w:before="0" w:beforeAutospacing="0" w:after="0" w:afterAutospacing="0"/>
              <w:ind w:left="0" w:right="0" w:firstLine="361" w:firstLineChars="150"/>
              <w:jc w:val="both"/>
              <w:rPr>
                <w:b/>
                <w:snapToGrid w:val="0"/>
              </w:rPr>
            </w:pPr>
            <w:r>
              <w:rPr>
                <w:b/>
                <w:snapToGrid w:val="0"/>
              </w:rPr>
              <w:t>1、施工期工艺流程及产排污节点（图示）</w:t>
            </w:r>
          </w:p>
          <w:p>
            <w:pPr>
              <w:keepNext w:val="0"/>
              <w:keepLines w:val="0"/>
              <w:suppressLineNumbers w:val="0"/>
              <w:spacing w:before="0" w:beforeAutospacing="0" w:after="0" w:afterAutospacing="0"/>
              <w:ind w:left="0" w:right="0" w:firstLine="360" w:firstLineChars="150"/>
              <w:jc w:val="both"/>
              <w:rPr>
                <w:snapToGrid w:val="0"/>
              </w:rPr>
            </w:pPr>
            <w:r>
              <w:t>项目</w:t>
            </w:r>
            <w:r>
              <w:rPr>
                <w:rFonts w:hint="eastAsia"/>
              </w:rPr>
              <w:t>租用云南鸿发机械制造有限公司现有标准厂房及办公楼</w:t>
            </w:r>
            <w:r>
              <w:rPr>
                <w:rFonts w:hint="eastAsia"/>
                <w:snapToGrid w:val="0"/>
              </w:rPr>
              <w:t>，本项目施工期仅为淋浴间搭建、设备安装、环保设施的修建，施工流程及产排污节点见图5-1。</w:t>
            </w:r>
          </w:p>
          <w:p>
            <w:pPr>
              <w:keepNext w:val="0"/>
              <w:keepLines w:val="0"/>
              <w:suppressLineNumbers w:val="0"/>
              <w:spacing w:before="0" w:beforeAutospacing="0" w:after="0" w:afterAutospacing="0"/>
              <w:ind w:left="0" w:right="0" w:firstLine="0" w:firstLineChars="0"/>
              <w:jc w:val="center"/>
              <w:rPr>
                <w:snapToGrid w:val="0"/>
              </w:rPr>
            </w:pPr>
            <w:r>
              <w:drawing>
                <wp:inline distT="0" distB="0" distL="0" distR="0">
                  <wp:extent cx="4319270" cy="1036320"/>
                  <wp:effectExtent l="19050" t="0" r="4602" b="0"/>
                  <wp:docPr id="5" name="图片 2" descr="C:\Users\tjc12160\Documents\Tencent Files\1397052885\FileRecv\MobileFile\Image\1BPW{{TA}8Q7IY~RYV%KJ6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C:\Users\tjc12160\Documents\Tencent Files\1397052885\FileRecv\MobileFile\Image\1BPW{{TA}8Q7IY~RYV%KJ6M.png"/>
                          <pic:cNvPicPr>
                            <a:picLocks noChangeAspect="1" noChangeArrowheads="1"/>
                          </pic:cNvPicPr>
                        </pic:nvPicPr>
                        <pic:blipFill>
                          <a:blip r:embed="rId12"/>
                          <a:srcRect/>
                          <a:stretch>
                            <a:fillRect/>
                          </a:stretch>
                        </pic:blipFill>
                        <pic:spPr>
                          <a:xfrm>
                            <a:off x="0" y="0"/>
                            <a:ext cx="4320304" cy="1036809"/>
                          </a:xfrm>
                          <a:prstGeom prst="rect">
                            <a:avLst/>
                          </a:prstGeom>
                          <a:noFill/>
                          <a:ln w="9525">
                            <a:noFill/>
                            <a:miter lim="800000"/>
                            <a:headEnd/>
                            <a:tailEnd/>
                          </a:ln>
                        </pic:spPr>
                      </pic:pic>
                    </a:graphicData>
                  </a:graphic>
                </wp:inline>
              </w:drawing>
            </w:r>
          </w:p>
          <w:p>
            <w:pPr>
              <w:keepNext w:val="0"/>
              <w:keepLines w:val="0"/>
              <w:suppressLineNumbers w:val="0"/>
              <w:spacing w:before="0" w:beforeAutospacing="0" w:after="0" w:afterAutospacing="0" w:line="240" w:lineRule="auto"/>
              <w:ind w:left="0" w:right="0" w:firstLine="0" w:firstLineChars="0"/>
              <w:jc w:val="center"/>
              <w:rPr>
                <w:b/>
                <w:snapToGrid w:val="0"/>
                <w:sz w:val="21"/>
                <w:szCs w:val="21"/>
              </w:rPr>
            </w:pPr>
            <w:r>
              <w:rPr>
                <w:rFonts w:hint="eastAsia"/>
                <w:b/>
                <w:snapToGrid w:val="0"/>
                <w:sz w:val="21"/>
                <w:szCs w:val="21"/>
              </w:rPr>
              <w:t>图5-1本项目施工期流程及产排污节点图</w:t>
            </w:r>
          </w:p>
          <w:p>
            <w:pPr>
              <w:keepNext w:val="0"/>
              <w:keepLines w:val="0"/>
              <w:suppressLineNumbers w:val="0"/>
              <w:spacing w:before="0" w:beforeAutospacing="0" w:after="0" w:afterAutospacing="0"/>
              <w:ind w:left="0" w:right="0" w:firstLine="480"/>
              <w:jc w:val="both"/>
              <w:rPr>
                <w:snapToGrid w:val="0"/>
              </w:rPr>
            </w:pPr>
            <w:r>
              <w:rPr>
                <w:snapToGrid w:val="0"/>
              </w:rPr>
              <w:t>施工期主要污染工序：</w:t>
            </w:r>
          </w:p>
          <w:p>
            <w:pPr>
              <w:keepNext w:val="0"/>
              <w:keepLines w:val="0"/>
              <w:suppressLineNumbers w:val="0"/>
              <w:spacing w:before="0" w:beforeAutospacing="0" w:after="0" w:afterAutospacing="0"/>
              <w:ind w:left="0" w:right="0" w:firstLine="480"/>
              <w:jc w:val="both"/>
              <w:rPr>
                <w:snapToGrid w:val="0"/>
              </w:rPr>
            </w:pPr>
            <w:r>
              <w:rPr>
                <w:snapToGrid w:val="0"/>
              </w:rPr>
              <w:t>（1）</w:t>
            </w:r>
            <w:r>
              <w:rPr>
                <w:rFonts w:hint="eastAsia"/>
                <w:snapToGrid w:val="0"/>
              </w:rPr>
              <w:t>施工人员进场</w:t>
            </w:r>
            <w:r>
              <w:rPr>
                <w:snapToGrid w:val="0"/>
              </w:rPr>
              <w:t>：</w:t>
            </w:r>
            <w:r>
              <w:rPr>
                <w:rFonts w:hint="eastAsia"/>
                <w:snapToGrid w:val="0"/>
              </w:rPr>
              <w:t>项目施工人员均为周围人员，施工期间不在厂区食宿，在施工的过程中会产生一定量的生活垃圾和生活废水</w:t>
            </w:r>
            <w:r>
              <w:rPr>
                <w:snapToGrid w:val="0"/>
              </w:rPr>
              <w:t>；</w:t>
            </w:r>
          </w:p>
          <w:p>
            <w:pPr>
              <w:keepNext w:val="0"/>
              <w:keepLines w:val="0"/>
              <w:suppressLineNumbers w:val="0"/>
              <w:spacing w:before="0" w:beforeAutospacing="0" w:after="0" w:afterAutospacing="0"/>
              <w:ind w:left="0" w:right="0" w:firstLine="480"/>
              <w:jc w:val="both"/>
              <w:rPr>
                <w:snapToGrid w:val="0"/>
              </w:rPr>
            </w:pPr>
            <w:r>
              <w:rPr>
                <w:snapToGrid w:val="0"/>
              </w:rPr>
              <w:t>（2）</w:t>
            </w:r>
            <w:r>
              <w:rPr>
                <w:rFonts w:hint="eastAsia"/>
                <w:snapToGrid w:val="0"/>
              </w:rPr>
              <w:t>生产设备安装</w:t>
            </w:r>
            <w:r>
              <w:rPr>
                <w:snapToGrid w:val="0"/>
              </w:rPr>
              <w:t>：</w:t>
            </w:r>
            <w:r>
              <w:rPr>
                <w:rFonts w:hint="eastAsia"/>
                <w:snapToGrid w:val="0"/>
              </w:rPr>
              <w:t>生产设备购进后再租赁的厂房内进行安装、基本为螺连接，无焊接废气产生。另外安装过程中会产生设备包装箱等固废</w:t>
            </w:r>
            <w:r>
              <w:rPr>
                <w:snapToGrid w:val="0"/>
              </w:rPr>
              <w:t>；</w:t>
            </w:r>
          </w:p>
          <w:p>
            <w:pPr>
              <w:keepNext w:val="0"/>
              <w:keepLines w:val="0"/>
              <w:suppressLineNumbers w:val="0"/>
              <w:spacing w:before="0" w:beforeAutospacing="0" w:after="0" w:afterAutospacing="0"/>
              <w:ind w:left="0" w:right="0" w:firstLine="480"/>
              <w:jc w:val="both"/>
              <w:rPr>
                <w:snapToGrid w:val="0"/>
              </w:rPr>
            </w:pPr>
            <w:r>
              <w:rPr>
                <w:snapToGrid w:val="0"/>
              </w:rPr>
              <w:t>（3）</w:t>
            </w:r>
            <w:r>
              <w:rPr>
                <w:rFonts w:hint="eastAsia"/>
                <w:snapToGrid w:val="0"/>
              </w:rPr>
              <w:t>环保设施修建、安装</w:t>
            </w:r>
            <w:r>
              <w:rPr>
                <w:snapToGrid w:val="0"/>
              </w:rPr>
              <w:t>：</w:t>
            </w:r>
            <w:r>
              <w:rPr>
                <w:rFonts w:hint="eastAsia"/>
                <w:snapToGrid w:val="0"/>
              </w:rPr>
              <w:t>由于厂区内化粪池园区已建成</w:t>
            </w:r>
            <w:r>
              <w:rPr>
                <w:snapToGrid w:val="0"/>
              </w:rPr>
              <w:t>，</w:t>
            </w:r>
            <w:r>
              <w:rPr>
                <w:rFonts w:hint="eastAsia"/>
                <w:snapToGrid w:val="0"/>
              </w:rPr>
              <w:t>本项目依托此化粪池进行使用，项目主要建设的废水处理设施为隔油池、涂料回收池及冷却水收集池。废气环保设施的修建包括移动式除尘器、活性炭吸附装置、食堂油烟净化器。因此，修建和安装的过程中会产生少量扬尘以及废弃的包装箱。</w:t>
            </w:r>
          </w:p>
          <w:p>
            <w:pPr>
              <w:pStyle w:val="33"/>
              <w:keepNext w:val="0"/>
              <w:keepLines w:val="0"/>
              <w:suppressLineNumbers w:val="0"/>
              <w:spacing w:before="0" w:beforeAutospacing="0" w:after="0" w:afterAutospacing="0"/>
              <w:ind w:left="0" w:right="0" w:firstLine="602" w:firstLineChars="250"/>
              <w:rPr>
                <w:rFonts w:ascii="Times New Roman" w:hAnsi="Times New Roman"/>
                <w:b/>
              </w:rPr>
            </w:pPr>
            <w:r>
              <w:rPr>
                <w:rFonts w:ascii="Times New Roman" w:hAnsi="Times New Roman"/>
                <w:b/>
              </w:rPr>
              <w:t>2、施工期产排污环节分析</w:t>
            </w:r>
          </w:p>
          <w:p>
            <w:pPr>
              <w:pStyle w:val="33"/>
              <w:keepNext w:val="0"/>
              <w:keepLines w:val="0"/>
              <w:suppressLineNumbers w:val="0"/>
              <w:spacing w:before="0" w:beforeAutospacing="0" w:after="0" w:afterAutospacing="0"/>
              <w:ind w:left="0" w:right="0" w:firstLine="480" w:firstLineChars="0"/>
              <w:rPr>
                <w:rFonts w:ascii="Times New Roman" w:hAnsi="Times New Roman"/>
              </w:rPr>
            </w:pPr>
            <w:r>
              <w:rPr>
                <w:rFonts w:ascii="Times New Roman" w:hAnsi="Times New Roman"/>
              </w:rPr>
              <w:t>（1）</w:t>
            </w:r>
            <w:r>
              <w:rPr>
                <w:rFonts w:hint="eastAsia" w:ascii="Times New Roman" w:hAnsi="Times New Roman"/>
              </w:rPr>
              <w:t>废气</w:t>
            </w:r>
          </w:p>
          <w:p>
            <w:pPr>
              <w:pStyle w:val="33"/>
              <w:keepNext w:val="0"/>
              <w:keepLines w:val="0"/>
              <w:suppressLineNumbers w:val="0"/>
              <w:spacing w:before="0" w:beforeAutospacing="0" w:after="0" w:afterAutospacing="0"/>
              <w:ind w:left="0" w:right="0" w:firstLine="480"/>
              <w:rPr>
                <w:rFonts w:ascii="Times New Roman" w:hAnsi="Times New Roman"/>
              </w:rPr>
            </w:pPr>
            <w:r>
              <w:rPr>
                <w:rFonts w:hint="eastAsia" w:ascii="Times New Roman" w:hAnsi="Times New Roman"/>
              </w:rPr>
              <w:t>本项目施工期产生的废气主要为生产设备、环保设施安装过程中产生的粉尘、隔油池及涂料回收池基础开挖产生的少量扬尘，产生量极少</w:t>
            </w:r>
            <w:r>
              <w:rPr>
                <w:rFonts w:ascii="Times New Roman" w:hAnsi="Times New Roman"/>
              </w:rPr>
              <w:t>。</w:t>
            </w:r>
          </w:p>
          <w:p>
            <w:pPr>
              <w:pStyle w:val="33"/>
              <w:keepNext w:val="0"/>
              <w:keepLines w:val="0"/>
              <w:suppressLineNumbers w:val="0"/>
              <w:spacing w:before="0" w:beforeAutospacing="0" w:after="0" w:afterAutospacing="0"/>
              <w:ind w:left="0" w:right="0" w:firstLine="480"/>
              <w:rPr>
                <w:rFonts w:ascii="Times New Roman" w:hAnsi="Times New Roman"/>
              </w:rPr>
            </w:pPr>
            <w:r>
              <w:rPr>
                <w:rFonts w:ascii="Times New Roman" w:hAnsi="Times New Roman"/>
              </w:rPr>
              <w:t>（2）施工期废水污染源</w:t>
            </w:r>
          </w:p>
          <w:p>
            <w:pPr>
              <w:keepNext w:val="0"/>
              <w:keepLines w:val="0"/>
              <w:suppressLineNumbers w:val="0"/>
              <w:spacing w:before="0" w:beforeAutospacing="0" w:after="0" w:afterAutospacing="0"/>
              <w:ind w:left="0" w:right="0" w:firstLine="480"/>
              <w:jc w:val="both"/>
            </w:pPr>
            <w:r>
              <w:t>本项目</w:t>
            </w:r>
            <w:r>
              <w:rPr>
                <w:rFonts w:hint="eastAsia"/>
              </w:rPr>
              <w:t>施工期</w:t>
            </w:r>
            <w:r>
              <w:t>为</w:t>
            </w:r>
            <w:r>
              <w:rPr>
                <w:rFonts w:hint="eastAsia"/>
              </w:rPr>
              <w:t>1</w:t>
            </w:r>
            <w:r>
              <w:t>个月，</w:t>
            </w:r>
            <w:r>
              <w:rPr>
                <w:rFonts w:hint="eastAsia"/>
              </w:rPr>
              <w:t>施工人员约为10人，</w:t>
            </w:r>
            <w:r>
              <w:t>施工人员不在项目内食宿</w:t>
            </w:r>
            <w:r>
              <w:rPr>
                <w:rFonts w:hint="eastAsia"/>
              </w:rPr>
              <w:t>，</w:t>
            </w:r>
            <w:r>
              <w:t>施工废水主要为施工人员入厕</w:t>
            </w:r>
            <w:r>
              <w:rPr>
                <w:rFonts w:hint="eastAsia"/>
              </w:rPr>
              <w:t>、</w:t>
            </w:r>
            <w:r>
              <w:t>洗手废水</w:t>
            </w:r>
            <w:r>
              <w:rPr>
                <w:rFonts w:hint="eastAsia"/>
              </w:rPr>
              <w:t>，其主要污染物产生的</w:t>
            </w:r>
            <w:r>
              <w:t>主要污染物为COD、</w:t>
            </w:r>
            <w:r>
              <w:rPr>
                <w:szCs w:val="21"/>
              </w:rPr>
              <w:t>BOD</w:t>
            </w:r>
            <w:r>
              <w:rPr>
                <w:szCs w:val="21"/>
                <w:vertAlign w:val="subscript"/>
              </w:rPr>
              <w:t>5</w:t>
            </w:r>
            <w:r>
              <w:rPr>
                <w:szCs w:val="21"/>
              </w:rPr>
              <w:t>、</w:t>
            </w:r>
            <w:r>
              <w:t>SS、NH</w:t>
            </w:r>
            <w:r>
              <w:rPr>
                <w:vertAlign w:val="subscript"/>
              </w:rPr>
              <w:t>3</w:t>
            </w:r>
            <w:r>
              <w:t>-</w:t>
            </w:r>
            <w:r>
              <w:rPr>
                <w:rFonts w:hint="eastAsia"/>
              </w:rPr>
              <w:t>N</w:t>
            </w:r>
            <w:r>
              <w:t>。参照《云南省用水定额标准》</w:t>
            </w:r>
            <w:r>
              <w:rPr>
                <w:rFonts w:hint="eastAsia"/>
              </w:rPr>
              <w:t>（DB53/T168-2019），施工人员每人每天用水量按40L计，则施工人员用水量为0.4m</w:t>
            </w:r>
            <w:r>
              <w:rPr>
                <w:rFonts w:hint="eastAsia"/>
                <w:vertAlign w:val="superscript"/>
              </w:rPr>
              <w:t>3</w:t>
            </w:r>
            <w:r>
              <w:rPr>
                <w:rFonts w:hint="eastAsia"/>
              </w:rPr>
              <w:t>/d，废水产量按用水量的80%计，施工人员生活污水产生量为0.32m</w:t>
            </w:r>
            <w:r>
              <w:rPr>
                <w:rFonts w:hint="eastAsia"/>
                <w:vertAlign w:val="superscript"/>
              </w:rPr>
              <w:t>3</w:t>
            </w:r>
            <w:r>
              <w:rPr>
                <w:rFonts w:hint="eastAsia"/>
              </w:rPr>
              <w:t>/d，整个施工期产生的生活污水量为9.6m</w:t>
            </w:r>
            <w:r>
              <w:rPr>
                <w:rFonts w:hint="eastAsia"/>
                <w:vertAlign w:val="superscript"/>
              </w:rPr>
              <w:t>3</w:t>
            </w:r>
            <w:r>
              <w:rPr>
                <w:rFonts w:hint="eastAsia"/>
              </w:rPr>
              <w:t>。该部分废水主要依托园区内公用厕所收集进入配套化粪池处理后排入园区污水管网，最终经园区污水处理厂处理后达标排放</w:t>
            </w:r>
            <w:r>
              <w:t>。</w:t>
            </w:r>
          </w:p>
          <w:p>
            <w:pPr>
              <w:pStyle w:val="33"/>
              <w:keepNext w:val="0"/>
              <w:keepLines w:val="0"/>
              <w:suppressLineNumbers w:val="0"/>
              <w:spacing w:before="0" w:beforeAutospacing="0" w:after="0" w:afterAutospacing="0"/>
              <w:ind w:left="0" w:right="0" w:firstLine="480"/>
              <w:rPr>
                <w:rFonts w:ascii="Times New Roman" w:hAnsi="Times New Roman"/>
              </w:rPr>
            </w:pPr>
            <w:r>
              <w:rPr>
                <w:rFonts w:ascii="Times New Roman" w:hAnsi="Times New Roman"/>
              </w:rPr>
              <w:t>项目施工人员生活废水排放情况见下表5-1。</w:t>
            </w:r>
          </w:p>
          <w:p>
            <w:pPr>
              <w:pStyle w:val="33"/>
              <w:keepNext w:val="0"/>
              <w:keepLines w:val="0"/>
              <w:suppressLineNumbers w:val="0"/>
              <w:spacing w:before="0" w:beforeAutospacing="0" w:after="0" w:afterAutospacing="0" w:line="240" w:lineRule="auto"/>
              <w:ind w:left="0" w:right="0" w:firstLine="0" w:firstLineChars="0"/>
              <w:jc w:val="center"/>
              <w:rPr>
                <w:rFonts w:ascii="Times New Roman" w:hAnsi="Times New Roman"/>
                <w:b/>
                <w:sz w:val="21"/>
                <w:szCs w:val="21"/>
              </w:rPr>
            </w:pPr>
            <w:r>
              <w:rPr>
                <w:rFonts w:ascii="Times New Roman" w:hAnsi="Times New Roman"/>
                <w:b/>
                <w:sz w:val="21"/>
                <w:szCs w:val="21"/>
              </w:rPr>
              <w:t>表5-1项目施工人员生活</w:t>
            </w:r>
            <w:r>
              <w:rPr>
                <w:rFonts w:hint="eastAsia" w:ascii="Times New Roman" w:hAnsi="Times New Roman"/>
                <w:b/>
                <w:sz w:val="21"/>
                <w:szCs w:val="21"/>
              </w:rPr>
              <w:t>废水产生情况表</w:t>
            </w:r>
          </w:p>
          <w:tbl>
            <w:tblPr>
              <w:tblStyle w:val="19"/>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54"/>
              <w:gridCol w:w="1655"/>
              <w:gridCol w:w="1655"/>
              <w:gridCol w:w="1657"/>
              <w:gridCol w:w="16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99" w:type="pct"/>
                  <w:vAlign w:val="center"/>
                </w:tcPr>
                <w:p>
                  <w:pPr>
                    <w:pStyle w:val="33"/>
                    <w:keepNext w:val="0"/>
                    <w:keepLines w:val="0"/>
                    <w:suppressLineNumbers w:val="0"/>
                    <w:spacing w:before="0" w:beforeAutospacing="0" w:after="0" w:afterAutospacing="0" w:line="276" w:lineRule="auto"/>
                    <w:ind w:left="0" w:right="0" w:firstLine="0" w:firstLineChars="0"/>
                    <w:jc w:val="center"/>
                    <w:rPr>
                      <w:rFonts w:ascii="Times New Roman" w:hAnsi="Times New Roman"/>
                      <w:b/>
                      <w:sz w:val="21"/>
                      <w:szCs w:val="21"/>
                    </w:rPr>
                  </w:pPr>
                  <w:r>
                    <w:rPr>
                      <w:rFonts w:ascii="Times New Roman" w:hAnsi="Times New Roman"/>
                      <w:b/>
                      <w:sz w:val="21"/>
                      <w:szCs w:val="21"/>
                    </w:rPr>
                    <w:t>污染物</w:t>
                  </w:r>
                </w:p>
              </w:tc>
              <w:tc>
                <w:tcPr>
                  <w:tcW w:w="1000" w:type="pct"/>
                  <w:vAlign w:val="center"/>
                </w:tcPr>
                <w:p>
                  <w:pPr>
                    <w:pStyle w:val="33"/>
                    <w:keepNext w:val="0"/>
                    <w:keepLines w:val="0"/>
                    <w:suppressLineNumbers w:val="0"/>
                    <w:spacing w:before="0" w:beforeAutospacing="0" w:after="0" w:afterAutospacing="0" w:line="276" w:lineRule="auto"/>
                    <w:ind w:left="0" w:right="0" w:firstLine="0" w:firstLineChars="0"/>
                    <w:jc w:val="center"/>
                    <w:rPr>
                      <w:rFonts w:ascii="Times New Roman" w:hAnsi="Times New Roman"/>
                      <w:b/>
                      <w:sz w:val="21"/>
                      <w:szCs w:val="21"/>
                    </w:rPr>
                  </w:pPr>
                  <w:r>
                    <w:rPr>
                      <w:rFonts w:ascii="Times New Roman" w:hAnsi="Times New Roman"/>
                      <w:b/>
                      <w:sz w:val="21"/>
                      <w:szCs w:val="21"/>
                    </w:rPr>
                    <w:t>COD</w:t>
                  </w:r>
                </w:p>
              </w:tc>
              <w:tc>
                <w:tcPr>
                  <w:tcW w:w="1000" w:type="pct"/>
                  <w:vAlign w:val="center"/>
                </w:tcPr>
                <w:p>
                  <w:pPr>
                    <w:pStyle w:val="33"/>
                    <w:keepNext w:val="0"/>
                    <w:keepLines w:val="0"/>
                    <w:suppressLineNumbers w:val="0"/>
                    <w:spacing w:before="0" w:beforeAutospacing="0" w:after="0" w:afterAutospacing="0" w:line="276" w:lineRule="auto"/>
                    <w:ind w:left="0" w:right="0" w:firstLine="0" w:firstLineChars="0"/>
                    <w:jc w:val="center"/>
                    <w:rPr>
                      <w:rFonts w:ascii="Times New Roman" w:hAnsi="Times New Roman"/>
                      <w:b/>
                      <w:sz w:val="21"/>
                      <w:szCs w:val="21"/>
                    </w:rPr>
                  </w:pPr>
                  <w:r>
                    <w:rPr>
                      <w:rFonts w:ascii="Times New Roman" w:hAnsi="Times New Roman"/>
                      <w:b/>
                      <w:sz w:val="21"/>
                      <w:szCs w:val="21"/>
                    </w:rPr>
                    <w:t>BOD</w:t>
                  </w:r>
                  <w:r>
                    <w:rPr>
                      <w:rFonts w:ascii="Times New Roman" w:hAnsi="Times New Roman"/>
                      <w:b/>
                      <w:sz w:val="21"/>
                      <w:szCs w:val="21"/>
                      <w:vertAlign w:val="subscript"/>
                    </w:rPr>
                    <w:t>5</w:t>
                  </w:r>
                </w:p>
              </w:tc>
              <w:tc>
                <w:tcPr>
                  <w:tcW w:w="1001" w:type="pct"/>
                  <w:vAlign w:val="center"/>
                </w:tcPr>
                <w:p>
                  <w:pPr>
                    <w:pStyle w:val="33"/>
                    <w:keepNext w:val="0"/>
                    <w:keepLines w:val="0"/>
                    <w:suppressLineNumbers w:val="0"/>
                    <w:spacing w:before="0" w:beforeAutospacing="0" w:after="0" w:afterAutospacing="0" w:line="276" w:lineRule="auto"/>
                    <w:ind w:left="0" w:right="0" w:firstLine="0" w:firstLineChars="0"/>
                    <w:jc w:val="center"/>
                    <w:rPr>
                      <w:rFonts w:ascii="Times New Roman" w:hAnsi="Times New Roman"/>
                      <w:b/>
                      <w:sz w:val="21"/>
                      <w:szCs w:val="21"/>
                    </w:rPr>
                  </w:pPr>
                  <w:r>
                    <w:rPr>
                      <w:rFonts w:ascii="Times New Roman" w:hAnsi="Times New Roman"/>
                      <w:b/>
                      <w:sz w:val="21"/>
                      <w:szCs w:val="21"/>
                    </w:rPr>
                    <w:t>SS</w:t>
                  </w:r>
                </w:p>
              </w:tc>
              <w:tc>
                <w:tcPr>
                  <w:tcW w:w="1000" w:type="pct"/>
                  <w:vAlign w:val="center"/>
                </w:tcPr>
                <w:p>
                  <w:pPr>
                    <w:pStyle w:val="33"/>
                    <w:keepNext w:val="0"/>
                    <w:keepLines w:val="0"/>
                    <w:suppressLineNumbers w:val="0"/>
                    <w:spacing w:before="0" w:beforeAutospacing="0" w:after="0" w:afterAutospacing="0" w:line="276" w:lineRule="auto"/>
                    <w:ind w:left="0" w:right="0" w:firstLine="0" w:firstLineChars="0"/>
                    <w:jc w:val="center"/>
                    <w:rPr>
                      <w:rFonts w:ascii="Times New Roman" w:hAnsi="Times New Roman"/>
                      <w:b/>
                      <w:sz w:val="21"/>
                      <w:szCs w:val="21"/>
                    </w:rPr>
                  </w:pPr>
                  <w:r>
                    <w:rPr>
                      <w:rFonts w:ascii="Times New Roman" w:hAnsi="Times New Roman"/>
                      <w:b/>
                      <w:sz w:val="21"/>
                      <w:szCs w:val="21"/>
                    </w:rPr>
                    <w:t>NH</w:t>
                  </w:r>
                  <w:r>
                    <w:rPr>
                      <w:rFonts w:ascii="Times New Roman" w:hAnsi="Times New Roman"/>
                      <w:b/>
                      <w:sz w:val="21"/>
                      <w:szCs w:val="21"/>
                      <w:vertAlign w:val="subscript"/>
                    </w:rPr>
                    <w:t>3</w:t>
                  </w:r>
                  <w:r>
                    <w:rPr>
                      <w:rFonts w:ascii="Times New Roman" w:hAnsi="Times New Roman"/>
                      <w:b/>
                      <w:sz w:val="21"/>
                      <w:szCs w:val="21"/>
                    </w:rPr>
                    <w:t>-H</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99" w:type="pct"/>
                  <w:vAlign w:val="center"/>
                </w:tcPr>
                <w:p>
                  <w:pPr>
                    <w:pStyle w:val="33"/>
                    <w:keepNext w:val="0"/>
                    <w:keepLines w:val="0"/>
                    <w:suppressLineNumbers w:val="0"/>
                    <w:spacing w:before="0" w:beforeAutospacing="0" w:after="0" w:afterAutospacing="0" w:line="276" w:lineRule="auto"/>
                    <w:ind w:left="0" w:right="0" w:firstLine="0" w:firstLineChars="0"/>
                    <w:jc w:val="center"/>
                    <w:rPr>
                      <w:rFonts w:ascii="Times New Roman" w:hAnsi="Times New Roman"/>
                      <w:sz w:val="21"/>
                      <w:szCs w:val="21"/>
                    </w:rPr>
                  </w:pPr>
                  <w:r>
                    <w:rPr>
                      <w:rFonts w:ascii="Times New Roman" w:hAnsi="Times New Roman"/>
                      <w:sz w:val="21"/>
                      <w:szCs w:val="21"/>
                    </w:rPr>
                    <w:t>浓度（mg/l）</w:t>
                  </w:r>
                </w:p>
              </w:tc>
              <w:tc>
                <w:tcPr>
                  <w:tcW w:w="1000" w:type="pct"/>
                  <w:vAlign w:val="center"/>
                </w:tcPr>
                <w:p>
                  <w:pPr>
                    <w:pStyle w:val="33"/>
                    <w:keepNext w:val="0"/>
                    <w:keepLines w:val="0"/>
                    <w:suppressLineNumbers w:val="0"/>
                    <w:spacing w:before="0" w:beforeAutospacing="0" w:after="0" w:afterAutospacing="0" w:line="276" w:lineRule="auto"/>
                    <w:ind w:left="0" w:right="0" w:firstLine="0" w:firstLineChars="0"/>
                    <w:jc w:val="center"/>
                    <w:rPr>
                      <w:rFonts w:ascii="Times New Roman" w:hAnsi="Times New Roman"/>
                      <w:sz w:val="21"/>
                      <w:szCs w:val="21"/>
                    </w:rPr>
                  </w:pPr>
                  <w:r>
                    <w:rPr>
                      <w:rFonts w:ascii="Times New Roman" w:hAnsi="Times New Roman"/>
                    </w:rPr>
                    <w:t>300</w:t>
                  </w:r>
                </w:p>
              </w:tc>
              <w:tc>
                <w:tcPr>
                  <w:tcW w:w="1000" w:type="pct"/>
                  <w:vAlign w:val="center"/>
                </w:tcPr>
                <w:p>
                  <w:pPr>
                    <w:pStyle w:val="33"/>
                    <w:keepNext w:val="0"/>
                    <w:keepLines w:val="0"/>
                    <w:suppressLineNumbers w:val="0"/>
                    <w:spacing w:before="0" w:beforeAutospacing="0" w:after="0" w:afterAutospacing="0" w:line="276" w:lineRule="auto"/>
                    <w:ind w:left="0" w:right="0" w:firstLine="0" w:firstLineChars="0"/>
                    <w:jc w:val="center"/>
                    <w:rPr>
                      <w:rFonts w:ascii="Times New Roman" w:hAnsi="Times New Roman"/>
                      <w:sz w:val="21"/>
                      <w:szCs w:val="21"/>
                    </w:rPr>
                  </w:pPr>
                  <w:r>
                    <w:rPr>
                      <w:rFonts w:ascii="Times New Roman" w:hAnsi="Times New Roman"/>
                      <w:sz w:val="21"/>
                      <w:szCs w:val="21"/>
                    </w:rPr>
                    <w:t>150</w:t>
                  </w:r>
                </w:p>
              </w:tc>
              <w:tc>
                <w:tcPr>
                  <w:tcW w:w="1001" w:type="pct"/>
                  <w:vAlign w:val="center"/>
                </w:tcPr>
                <w:p>
                  <w:pPr>
                    <w:pStyle w:val="33"/>
                    <w:keepNext w:val="0"/>
                    <w:keepLines w:val="0"/>
                    <w:suppressLineNumbers w:val="0"/>
                    <w:spacing w:before="0" w:beforeAutospacing="0" w:after="0" w:afterAutospacing="0" w:line="276" w:lineRule="auto"/>
                    <w:ind w:left="0" w:right="0" w:firstLine="0" w:firstLineChars="0"/>
                    <w:jc w:val="center"/>
                    <w:rPr>
                      <w:rFonts w:ascii="Times New Roman" w:hAnsi="Times New Roman"/>
                      <w:sz w:val="21"/>
                      <w:szCs w:val="21"/>
                    </w:rPr>
                  </w:pPr>
                  <w:r>
                    <w:rPr>
                      <w:rFonts w:ascii="Times New Roman" w:hAnsi="Times New Roman"/>
                      <w:sz w:val="21"/>
                      <w:szCs w:val="21"/>
                    </w:rPr>
                    <w:t>200</w:t>
                  </w:r>
                </w:p>
              </w:tc>
              <w:tc>
                <w:tcPr>
                  <w:tcW w:w="1000" w:type="pct"/>
                  <w:vAlign w:val="center"/>
                </w:tcPr>
                <w:p>
                  <w:pPr>
                    <w:pStyle w:val="33"/>
                    <w:keepNext w:val="0"/>
                    <w:keepLines w:val="0"/>
                    <w:suppressLineNumbers w:val="0"/>
                    <w:spacing w:before="0" w:beforeAutospacing="0" w:after="0" w:afterAutospacing="0" w:line="276" w:lineRule="auto"/>
                    <w:ind w:left="0" w:right="0" w:firstLine="0" w:firstLineChars="0"/>
                    <w:jc w:val="center"/>
                    <w:rPr>
                      <w:rFonts w:ascii="Times New Roman" w:hAnsi="Times New Roman"/>
                      <w:sz w:val="21"/>
                      <w:szCs w:val="21"/>
                    </w:rPr>
                  </w:pPr>
                  <w:r>
                    <w:rPr>
                      <w:rFonts w:ascii="Times New Roman" w:hAnsi="Times New Roman"/>
                      <w:sz w:val="21"/>
                      <w:szCs w:val="21"/>
                    </w:rPr>
                    <w:t>25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99" w:type="pct"/>
                  <w:vAlign w:val="center"/>
                </w:tcPr>
                <w:p>
                  <w:pPr>
                    <w:pStyle w:val="33"/>
                    <w:keepNext w:val="0"/>
                    <w:keepLines w:val="0"/>
                    <w:suppressLineNumbers w:val="0"/>
                    <w:spacing w:before="0" w:beforeAutospacing="0" w:after="0" w:afterAutospacing="0" w:line="276" w:lineRule="auto"/>
                    <w:ind w:left="0" w:right="0" w:firstLine="0" w:firstLineChars="0"/>
                    <w:jc w:val="center"/>
                    <w:rPr>
                      <w:rFonts w:ascii="Times New Roman" w:hAnsi="Times New Roman"/>
                      <w:sz w:val="21"/>
                      <w:szCs w:val="21"/>
                    </w:rPr>
                  </w:pPr>
                  <w:r>
                    <w:rPr>
                      <w:rFonts w:hint="eastAsia" w:ascii="Times New Roman" w:hAnsi="Times New Roman"/>
                      <w:sz w:val="21"/>
                      <w:szCs w:val="21"/>
                    </w:rPr>
                    <w:t>产生</w:t>
                  </w:r>
                  <w:r>
                    <w:rPr>
                      <w:rFonts w:ascii="Times New Roman" w:hAnsi="Times New Roman"/>
                      <w:sz w:val="21"/>
                      <w:szCs w:val="21"/>
                    </w:rPr>
                    <w:t>量(t)</w:t>
                  </w:r>
                </w:p>
              </w:tc>
              <w:tc>
                <w:tcPr>
                  <w:tcW w:w="1000" w:type="pct"/>
                  <w:vAlign w:val="center"/>
                </w:tcPr>
                <w:p>
                  <w:pPr>
                    <w:pStyle w:val="33"/>
                    <w:keepNext w:val="0"/>
                    <w:keepLines w:val="0"/>
                    <w:suppressLineNumbers w:val="0"/>
                    <w:spacing w:before="0" w:beforeAutospacing="0" w:after="0" w:afterAutospacing="0" w:line="276" w:lineRule="auto"/>
                    <w:ind w:left="0" w:right="0" w:firstLine="0" w:firstLineChars="0"/>
                    <w:jc w:val="center"/>
                    <w:rPr>
                      <w:rFonts w:ascii="Times New Roman" w:hAnsi="Times New Roman"/>
                      <w:sz w:val="21"/>
                      <w:szCs w:val="21"/>
                    </w:rPr>
                  </w:pPr>
                  <w:r>
                    <w:rPr>
                      <w:rFonts w:hint="eastAsia" w:ascii="Times New Roman" w:hAnsi="Times New Roman"/>
                      <w:sz w:val="21"/>
                      <w:szCs w:val="21"/>
                    </w:rPr>
                    <w:t>0.0028</w:t>
                  </w:r>
                </w:p>
              </w:tc>
              <w:tc>
                <w:tcPr>
                  <w:tcW w:w="1000" w:type="pct"/>
                  <w:vAlign w:val="center"/>
                </w:tcPr>
                <w:p>
                  <w:pPr>
                    <w:pStyle w:val="33"/>
                    <w:keepNext w:val="0"/>
                    <w:keepLines w:val="0"/>
                    <w:suppressLineNumbers w:val="0"/>
                    <w:spacing w:before="0" w:beforeAutospacing="0" w:after="0" w:afterAutospacing="0" w:line="276" w:lineRule="auto"/>
                    <w:ind w:left="0" w:right="0" w:firstLine="0" w:firstLineChars="0"/>
                    <w:jc w:val="center"/>
                    <w:rPr>
                      <w:rFonts w:ascii="Times New Roman" w:hAnsi="Times New Roman"/>
                      <w:sz w:val="21"/>
                      <w:szCs w:val="21"/>
                    </w:rPr>
                  </w:pPr>
                  <w:r>
                    <w:rPr>
                      <w:rFonts w:hint="eastAsia" w:ascii="Times New Roman" w:hAnsi="Times New Roman"/>
                      <w:sz w:val="21"/>
                      <w:szCs w:val="21"/>
                    </w:rPr>
                    <w:t>0.0014</w:t>
                  </w:r>
                </w:p>
              </w:tc>
              <w:tc>
                <w:tcPr>
                  <w:tcW w:w="1001" w:type="pct"/>
                  <w:vAlign w:val="center"/>
                </w:tcPr>
                <w:p>
                  <w:pPr>
                    <w:pStyle w:val="33"/>
                    <w:keepNext w:val="0"/>
                    <w:keepLines w:val="0"/>
                    <w:suppressLineNumbers w:val="0"/>
                    <w:spacing w:before="0" w:beforeAutospacing="0" w:after="0" w:afterAutospacing="0" w:line="276" w:lineRule="auto"/>
                    <w:ind w:left="0" w:right="0" w:firstLine="0" w:firstLineChars="0"/>
                    <w:jc w:val="center"/>
                    <w:rPr>
                      <w:rFonts w:ascii="Times New Roman" w:hAnsi="Times New Roman"/>
                      <w:sz w:val="21"/>
                      <w:szCs w:val="21"/>
                    </w:rPr>
                  </w:pPr>
                  <w:r>
                    <w:rPr>
                      <w:rFonts w:hint="eastAsia" w:ascii="Times New Roman" w:hAnsi="Times New Roman"/>
                      <w:sz w:val="21"/>
                      <w:szCs w:val="21"/>
                    </w:rPr>
                    <w:t>0.0019</w:t>
                  </w:r>
                </w:p>
              </w:tc>
              <w:tc>
                <w:tcPr>
                  <w:tcW w:w="1000" w:type="pct"/>
                  <w:vAlign w:val="center"/>
                </w:tcPr>
                <w:p>
                  <w:pPr>
                    <w:pStyle w:val="33"/>
                    <w:keepNext w:val="0"/>
                    <w:keepLines w:val="0"/>
                    <w:suppressLineNumbers w:val="0"/>
                    <w:spacing w:before="0" w:beforeAutospacing="0" w:after="0" w:afterAutospacing="0" w:line="276" w:lineRule="auto"/>
                    <w:ind w:left="0" w:right="0" w:firstLine="0" w:firstLineChars="0"/>
                    <w:jc w:val="center"/>
                    <w:rPr>
                      <w:rFonts w:ascii="Times New Roman" w:hAnsi="Times New Roman"/>
                      <w:sz w:val="21"/>
                      <w:szCs w:val="21"/>
                    </w:rPr>
                  </w:pPr>
                  <w:r>
                    <w:rPr>
                      <w:rFonts w:hint="eastAsia" w:ascii="Times New Roman" w:hAnsi="Times New Roman"/>
                      <w:sz w:val="21"/>
                      <w:szCs w:val="21"/>
                    </w:rPr>
                    <w:t>0.0002</w:t>
                  </w:r>
                </w:p>
              </w:tc>
            </w:tr>
          </w:tbl>
          <w:p>
            <w:pPr>
              <w:pStyle w:val="33"/>
              <w:keepNext w:val="0"/>
              <w:keepLines w:val="0"/>
              <w:suppressLineNumbers w:val="0"/>
              <w:spacing w:beforeAutospacing="0" w:after="0" w:afterAutospacing="0"/>
              <w:ind w:left="0" w:right="0" w:firstLine="360" w:firstLineChars="150"/>
              <w:rPr>
                <w:rFonts w:ascii="Times New Roman" w:hAnsi="Times New Roman"/>
              </w:rPr>
            </w:pPr>
            <w:r>
              <w:rPr>
                <w:rFonts w:ascii="Times New Roman" w:hAnsi="Times New Roman"/>
              </w:rPr>
              <w:t>（3）施工期噪声影响</w:t>
            </w:r>
          </w:p>
          <w:p>
            <w:pPr>
              <w:pStyle w:val="33"/>
              <w:keepNext w:val="0"/>
              <w:keepLines w:val="0"/>
              <w:suppressLineNumbers w:val="0"/>
              <w:spacing w:before="0" w:beforeAutospacing="0" w:after="0" w:afterAutospacing="0"/>
              <w:ind w:left="0" w:right="0" w:firstLine="480"/>
              <w:rPr>
                <w:rFonts w:ascii="Times New Roman" w:hAnsi="Times New Roman"/>
              </w:rPr>
            </w:pPr>
            <w:r>
              <w:rPr>
                <w:rFonts w:hint="eastAsia" w:ascii="Times New Roman" w:hAnsi="Times New Roman"/>
              </w:rPr>
              <w:t>项目施工期的噪声主要来源于设备安装使用的电钻等产生的噪声和施工人员的吆喝声，由于施工量较小，且施工基本再厂房内进行，产生的噪声对周围环境基本无影响。</w:t>
            </w:r>
          </w:p>
          <w:p>
            <w:pPr>
              <w:pStyle w:val="33"/>
              <w:keepNext w:val="0"/>
              <w:keepLines w:val="0"/>
              <w:suppressLineNumbers w:val="0"/>
              <w:spacing w:beforeAutospacing="0" w:afterAutospacing="0"/>
              <w:ind w:left="0" w:right="0" w:firstLine="360" w:firstLineChars="150"/>
              <w:rPr>
                <w:rFonts w:ascii="Times New Roman" w:hAnsi="Times New Roman"/>
              </w:rPr>
            </w:pPr>
            <w:r>
              <w:rPr>
                <w:rFonts w:ascii="Times New Roman" w:hAnsi="Times New Roman"/>
              </w:rPr>
              <w:t>（4）施工期固体废物</w:t>
            </w:r>
          </w:p>
          <w:p>
            <w:pPr>
              <w:keepNext w:val="0"/>
              <w:keepLines w:val="0"/>
              <w:suppressLineNumbers w:val="0"/>
              <w:overflowPunct w:val="0"/>
              <w:autoSpaceDE w:val="0"/>
              <w:autoSpaceDN w:val="0"/>
              <w:snapToGrid w:val="0"/>
              <w:spacing w:before="0" w:beforeAutospacing="0" w:after="0" w:afterAutospacing="0"/>
              <w:ind w:left="0" w:right="0" w:firstLine="480"/>
              <w:jc w:val="both"/>
            </w:pPr>
            <w:r>
              <w:fldChar w:fldCharType="begin"/>
            </w:r>
            <w:r>
              <w:rPr>
                <w:rFonts w:hint="eastAsia"/>
              </w:rPr>
              <w:instrText xml:space="preserve">= 1 \* GB3</w:instrText>
            </w:r>
            <w:r>
              <w:fldChar w:fldCharType="separate"/>
            </w:r>
            <w:r>
              <w:rPr>
                <w:rFonts w:hint="eastAsia"/>
              </w:rPr>
              <w:t>①</w:t>
            </w:r>
            <w:r>
              <w:fldChar w:fldCharType="end"/>
            </w:r>
            <w:r>
              <w:t>施工人员生活垃圾</w:t>
            </w:r>
          </w:p>
          <w:p>
            <w:pPr>
              <w:keepNext w:val="0"/>
              <w:keepLines w:val="0"/>
              <w:suppressLineNumbers w:val="0"/>
              <w:overflowPunct w:val="0"/>
              <w:autoSpaceDE w:val="0"/>
              <w:autoSpaceDN w:val="0"/>
              <w:snapToGrid w:val="0"/>
              <w:spacing w:before="0" w:beforeAutospacing="0" w:after="0" w:afterAutospacing="0"/>
              <w:ind w:left="0" w:right="0" w:firstLine="480"/>
              <w:jc w:val="both"/>
              <w:rPr>
                <w:rFonts w:eastAsiaTheme="minorEastAsia"/>
              </w:rPr>
            </w:pPr>
            <w:r>
              <w:rPr>
                <w:rFonts w:hAnsiTheme="minorEastAsia" w:eastAsiaTheme="minorEastAsia"/>
              </w:rPr>
              <w:t>本项目施工人员按照</w:t>
            </w:r>
            <w:r>
              <w:rPr>
                <w:rFonts w:eastAsiaTheme="minorEastAsia"/>
              </w:rPr>
              <w:t>10</w:t>
            </w:r>
            <w:r>
              <w:rPr>
                <w:rFonts w:hAnsiTheme="minorEastAsia" w:eastAsiaTheme="minorEastAsia"/>
              </w:rPr>
              <w:t>人</w:t>
            </w:r>
            <w:r>
              <w:rPr>
                <w:rFonts w:eastAsiaTheme="minorEastAsia"/>
              </w:rPr>
              <w:t>/</w:t>
            </w:r>
            <w:r>
              <w:rPr>
                <w:rFonts w:hAnsiTheme="minorEastAsia" w:eastAsiaTheme="minorEastAsia"/>
              </w:rPr>
              <w:t>天，施工人员生活垃圾产生量按照</w:t>
            </w:r>
            <w:r>
              <w:rPr>
                <w:rFonts w:eastAsiaTheme="minorEastAsia"/>
              </w:rPr>
              <w:t>0.5kg/</w:t>
            </w:r>
            <w:r>
              <w:rPr>
                <w:rFonts w:hAnsiTheme="minorEastAsia" w:eastAsiaTheme="minorEastAsia"/>
              </w:rPr>
              <w:t>人计算，本项目预计施工</w:t>
            </w:r>
            <w:r>
              <w:rPr>
                <w:rFonts w:hint="eastAsia" w:eastAsiaTheme="minorEastAsia"/>
              </w:rPr>
              <w:t>30天</w:t>
            </w:r>
            <w:r>
              <w:rPr>
                <w:rFonts w:hAnsiTheme="minorEastAsia" w:eastAsiaTheme="minorEastAsia"/>
              </w:rPr>
              <w:t>，则合计产生施工人员生活垃圾</w:t>
            </w:r>
            <w:r>
              <w:rPr>
                <w:rFonts w:hint="eastAsia" w:eastAsiaTheme="minorEastAsia"/>
              </w:rPr>
              <w:t>0.15</w:t>
            </w:r>
            <w:r>
              <w:rPr>
                <w:rFonts w:eastAsiaTheme="minorEastAsia"/>
              </w:rPr>
              <w:t>t</w:t>
            </w:r>
            <w:r>
              <w:rPr>
                <w:rFonts w:hAnsiTheme="minorEastAsia" w:eastAsiaTheme="minorEastAsia"/>
              </w:rPr>
              <w:t>，</w:t>
            </w:r>
            <w:r>
              <w:rPr>
                <w:rFonts w:hint="eastAsia" w:hAnsiTheme="minorEastAsia" w:eastAsiaTheme="minorEastAsia"/>
              </w:rPr>
              <w:t>产生的生活垃圾</w:t>
            </w:r>
            <w:r>
              <w:t>统一收集清运至园区垃圾收集处，由环卫部门处理</w:t>
            </w:r>
            <w:r>
              <w:rPr>
                <w:rFonts w:hAnsiTheme="minorEastAsia" w:eastAsiaTheme="minorEastAsia"/>
              </w:rPr>
              <w:t>。</w:t>
            </w:r>
          </w:p>
          <w:p>
            <w:pPr>
              <w:keepNext w:val="0"/>
              <w:keepLines w:val="0"/>
              <w:suppressLineNumbers w:val="0"/>
              <w:overflowPunct w:val="0"/>
              <w:autoSpaceDE w:val="0"/>
              <w:autoSpaceDN w:val="0"/>
              <w:snapToGrid w:val="0"/>
              <w:spacing w:before="0" w:beforeAutospacing="0" w:after="0" w:afterAutospacing="0"/>
              <w:ind w:left="0" w:right="0" w:firstLine="600" w:firstLineChars="250"/>
              <w:jc w:val="both"/>
            </w:pPr>
            <w:r>
              <w:rPr>
                <w:rFonts w:hint="eastAsia"/>
              </w:rPr>
              <w:fldChar w:fldCharType="begin"/>
            </w:r>
            <w:r>
              <w:instrText xml:space="preserve">= 2 \* GB3</w:instrText>
            </w:r>
            <w:r>
              <w:rPr>
                <w:rFonts w:hint="eastAsia"/>
              </w:rPr>
              <w:fldChar w:fldCharType="separate"/>
            </w:r>
            <w:r>
              <w:rPr>
                <w:rFonts w:hint="eastAsia"/>
              </w:rPr>
              <w:t>②</w:t>
            </w:r>
            <w:r>
              <w:rPr>
                <w:rFonts w:hint="eastAsia"/>
              </w:rPr>
              <w:fldChar w:fldCharType="end"/>
            </w:r>
            <w:r>
              <w:rPr>
                <w:rFonts w:hint="eastAsia"/>
              </w:rPr>
              <w:t>废包装材料</w:t>
            </w:r>
          </w:p>
          <w:p>
            <w:pPr>
              <w:keepNext w:val="0"/>
              <w:keepLines w:val="0"/>
              <w:suppressLineNumbers w:val="0"/>
              <w:overflowPunct w:val="0"/>
              <w:autoSpaceDE w:val="0"/>
              <w:autoSpaceDN w:val="0"/>
              <w:snapToGrid w:val="0"/>
              <w:spacing w:before="0" w:beforeAutospacing="0" w:after="0" w:afterAutospacing="0"/>
              <w:ind w:left="0" w:right="0" w:firstLine="600" w:firstLineChars="250"/>
              <w:jc w:val="both"/>
            </w:pPr>
            <w:r>
              <w:rPr>
                <w:rFonts w:hint="eastAsia"/>
              </w:rPr>
              <w:t>生产设备、环保设备的包装材料大多数为纸质、木质箱子，产生量约0.2t。这些包装材料可以进行回收利用，无法回收的拆分后作为生活垃圾清运至</w:t>
            </w:r>
            <w:r>
              <w:t>园区垃圾收集处，由环卫部门处理</w:t>
            </w:r>
            <w:r>
              <w:rPr>
                <w:rFonts w:hAnsiTheme="minorEastAsia" w:eastAsiaTheme="minorEastAsia"/>
              </w:rPr>
              <w:t>。</w:t>
            </w:r>
          </w:p>
          <w:p>
            <w:pPr>
              <w:keepNext w:val="0"/>
              <w:keepLines w:val="0"/>
              <w:suppressLineNumbers w:val="0"/>
              <w:overflowPunct w:val="0"/>
              <w:autoSpaceDE w:val="0"/>
              <w:autoSpaceDN w:val="0"/>
              <w:snapToGrid w:val="0"/>
              <w:spacing w:before="0" w:beforeAutospacing="0" w:after="0" w:afterAutospacing="0"/>
              <w:ind w:left="0" w:right="0" w:firstLine="600" w:firstLineChars="250"/>
              <w:jc w:val="both"/>
            </w:pPr>
            <w:r>
              <w:rPr>
                <w:rFonts w:hint="eastAsia"/>
              </w:rPr>
              <w:t>本项目固废产生及排放情况见下表5-2。</w:t>
            </w:r>
          </w:p>
          <w:p>
            <w:pPr>
              <w:keepNext w:val="0"/>
              <w:keepLines w:val="0"/>
              <w:suppressLineNumbers w:val="0"/>
              <w:overflowPunct w:val="0"/>
              <w:autoSpaceDE w:val="0"/>
              <w:autoSpaceDN w:val="0"/>
              <w:snapToGrid w:val="0"/>
              <w:spacing w:before="0" w:beforeAutospacing="0" w:after="0" w:afterAutospacing="0" w:line="240" w:lineRule="auto"/>
              <w:ind w:left="0" w:right="0" w:firstLine="0" w:firstLineChars="0"/>
              <w:jc w:val="center"/>
              <w:rPr>
                <w:b/>
                <w:sz w:val="21"/>
                <w:szCs w:val="21"/>
              </w:rPr>
            </w:pPr>
            <w:r>
              <w:rPr>
                <w:rFonts w:hint="eastAsia"/>
                <w:b/>
                <w:sz w:val="21"/>
                <w:szCs w:val="21"/>
              </w:rPr>
              <w:t>表5-2本项目固废产生与排放情况</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49"/>
              <w:gridCol w:w="1781"/>
              <w:gridCol w:w="982"/>
              <w:gridCol w:w="670"/>
              <w:gridCol w:w="429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pPr>
                    <w:keepNext w:val="0"/>
                    <w:keepLines w:val="0"/>
                    <w:suppressLineNumbers w:val="0"/>
                    <w:overflowPunct w:val="0"/>
                    <w:autoSpaceDE w:val="0"/>
                    <w:autoSpaceDN w:val="0"/>
                    <w:snapToGrid w:val="0"/>
                    <w:spacing w:before="0" w:beforeAutospacing="0" w:after="0" w:afterAutospacing="0" w:line="240" w:lineRule="auto"/>
                    <w:ind w:left="0" w:right="0" w:firstLine="0" w:firstLineChars="0"/>
                    <w:jc w:val="center"/>
                    <w:rPr>
                      <w:b/>
                      <w:sz w:val="21"/>
                      <w:szCs w:val="21"/>
                    </w:rPr>
                  </w:pPr>
                  <w:r>
                    <w:rPr>
                      <w:rFonts w:hint="eastAsia"/>
                      <w:b/>
                      <w:sz w:val="21"/>
                      <w:szCs w:val="21"/>
                    </w:rPr>
                    <w:t>序号</w:t>
                  </w:r>
                </w:p>
              </w:tc>
              <w:tc>
                <w:tcPr>
                  <w:tcW w:w="1781" w:type="dxa"/>
                  <w:vAlign w:val="center"/>
                </w:tcPr>
                <w:p>
                  <w:pPr>
                    <w:keepNext w:val="0"/>
                    <w:keepLines w:val="0"/>
                    <w:suppressLineNumbers w:val="0"/>
                    <w:overflowPunct w:val="0"/>
                    <w:autoSpaceDE w:val="0"/>
                    <w:autoSpaceDN w:val="0"/>
                    <w:snapToGrid w:val="0"/>
                    <w:spacing w:before="0" w:beforeAutospacing="0" w:after="0" w:afterAutospacing="0" w:line="240" w:lineRule="auto"/>
                    <w:ind w:left="0" w:right="0" w:firstLine="0" w:firstLineChars="0"/>
                    <w:jc w:val="center"/>
                    <w:rPr>
                      <w:b/>
                      <w:sz w:val="21"/>
                      <w:szCs w:val="21"/>
                    </w:rPr>
                  </w:pPr>
                  <w:r>
                    <w:rPr>
                      <w:rFonts w:hint="eastAsia"/>
                      <w:b/>
                      <w:sz w:val="21"/>
                      <w:szCs w:val="21"/>
                    </w:rPr>
                    <w:t>类型</w:t>
                  </w:r>
                </w:p>
              </w:tc>
              <w:tc>
                <w:tcPr>
                  <w:tcW w:w="982" w:type="dxa"/>
                  <w:vAlign w:val="center"/>
                </w:tcPr>
                <w:p>
                  <w:pPr>
                    <w:keepNext w:val="0"/>
                    <w:keepLines w:val="0"/>
                    <w:suppressLineNumbers w:val="0"/>
                    <w:overflowPunct w:val="0"/>
                    <w:autoSpaceDE w:val="0"/>
                    <w:autoSpaceDN w:val="0"/>
                    <w:snapToGrid w:val="0"/>
                    <w:spacing w:before="0" w:beforeAutospacing="0" w:after="0" w:afterAutospacing="0" w:line="240" w:lineRule="auto"/>
                    <w:ind w:left="0" w:right="0" w:firstLine="0" w:firstLineChars="0"/>
                    <w:jc w:val="center"/>
                    <w:rPr>
                      <w:b/>
                      <w:sz w:val="21"/>
                      <w:szCs w:val="21"/>
                    </w:rPr>
                  </w:pPr>
                  <w:r>
                    <w:rPr>
                      <w:rFonts w:hint="eastAsia"/>
                      <w:b/>
                      <w:sz w:val="21"/>
                      <w:szCs w:val="21"/>
                    </w:rPr>
                    <w:t>产生量</w:t>
                  </w:r>
                </w:p>
              </w:tc>
              <w:tc>
                <w:tcPr>
                  <w:tcW w:w="0" w:type="auto"/>
                  <w:vAlign w:val="center"/>
                </w:tcPr>
                <w:p>
                  <w:pPr>
                    <w:keepNext w:val="0"/>
                    <w:keepLines w:val="0"/>
                    <w:suppressLineNumbers w:val="0"/>
                    <w:overflowPunct w:val="0"/>
                    <w:autoSpaceDE w:val="0"/>
                    <w:autoSpaceDN w:val="0"/>
                    <w:snapToGrid w:val="0"/>
                    <w:spacing w:before="0" w:beforeAutospacing="0" w:after="0" w:afterAutospacing="0" w:line="240" w:lineRule="auto"/>
                    <w:ind w:left="0" w:right="0" w:firstLine="0" w:firstLineChars="0"/>
                    <w:jc w:val="center"/>
                    <w:rPr>
                      <w:b/>
                      <w:sz w:val="21"/>
                      <w:szCs w:val="21"/>
                    </w:rPr>
                  </w:pPr>
                  <w:r>
                    <w:rPr>
                      <w:rFonts w:hint="eastAsia"/>
                      <w:b/>
                      <w:sz w:val="21"/>
                      <w:szCs w:val="21"/>
                    </w:rPr>
                    <w:t>排放量</w:t>
                  </w:r>
                </w:p>
              </w:tc>
              <w:tc>
                <w:tcPr>
                  <w:tcW w:w="0" w:type="auto"/>
                  <w:vAlign w:val="center"/>
                </w:tcPr>
                <w:p>
                  <w:pPr>
                    <w:keepNext w:val="0"/>
                    <w:keepLines w:val="0"/>
                    <w:suppressLineNumbers w:val="0"/>
                    <w:overflowPunct w:val="0"/>
                    <w:autoSpaceDE w:val="0"/>
                    <w:autoSpaceDN w:val="0"/>
                    <w:snapToGrid w:val="0"/>
                    <w:spacing w:before="0" w:beforeAutospacing="0" w:after="0" w:afterAutospacing="0" w:line="240" w:lineRule="auto"/>
                    <w:ind w:left="0" w:right="0" w:firstLine="0" w:firstLineChars="0"/>
                    <w:jc w:val="center"/>
                    <w:rPr>
                      <w:b/>
                      <w:sz w:val="21"/>
                      <w:szCs w:val="21"/>
                    </w:rPr>
                  </w:pPr>
                  <w:r>
                    <w:rPr>
                      <w:rFonts w:hint="eastAsia"/>
                      <w:b/>
                      <w:sz w:val="21"/>
                      <w:szCs w:val="21"/>
                    </w:rPr>
                    <w:t>处理方式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pPr>
                    <w:keepNext w:val="0"/>
                    <w:keepLines w:val="0"/>
                    <w:suppressLineNumbers w:val="0"/>
                    <w:overflowPunct w:val="0"/>
                    <w:autoSpaceDE w:val="0"/>
                    <w:autoSpaceDN w:val="0"/>
                    <w:snapToGrid w:val="0"/>
                    <w:spacing w:before="0" w:beforeAutospacing="0" w:after="0" w:afterAutospacing="0" w:line="240" w:lineRule="auto"/>
                    <w:ind w:left="0" w:right="0" w:firstLine="0" w:firstLineChars="0"/>
                    <w:jc w:val="center"/>
                    <w:rPr>
                      <w:sz w:val="21"/>
                      <w:szCs w:val="21"/>
                    </w:rPr>
                  </w:pPr>
                  <w:r>
                    <w:rPr>
                      <w:rFonts w:hint="eastAsia"/>
                      <w:sz w:val="21"/>
                      <w:szCs w:val="21"/>
                    </w:rPr>
                    <w:t>1</w:t>
                  </w:r>
                </w:p>
              </w:tc>
              <w:tc>
                <w:tcPr>
                  <w:tcW w:w="1781" w:type="dxa"/>
                  <w:vAlign w:val="center"/>
                </w:tcPr>
                <w:p>
                  <w:pPr>
                    <w:keepNext w:val="0"/>
                    <w:keepLines w:val="0"/>
                    <w:suppressLineNumbers w:val="0"/>
                    <w:overflowPunct w:val="0"/>
                    <w:autoSpaceDE w:val="0"/>
                    <w:autoSpaceDN w:val="0"/>
                    <w:snapToGrid w:val="0"/>
                    <w:spacing w:before="0" w:beforeAutospacing="0" w:after="0" w:afterAutospacing="0" w:line="240" w:lineRule="auto"/>
                    <w:ind w:left="0" w:right="0" w:firstLine="0" w:firstLineChars="0"/>
                    <w:jc w:val="center"/>
                    <w:rPr>
                      <w:sz w:val="21"/>
                      <w:szCs w:val="21"/>
                    </w:rPr>
                  </w:pPr>
                  <w:r>
                    <w:rPr>
                      <w:rFonts w:hint="eastAsia"/>
                      <w:sz w:val="21"/>
                      <w:szCs w:val="21"/>
                    </w:rPr>
                    <w:t>生活垃圾</w:t>
                  </w:r>
                </w:p>
              </w:tc>
              <w:tc>
                <w:tcPr>
                  <w:tcW w:w="982" w:type="dxa"/>
                  <w:vAlign w:val="center"/>
                </w:tcPr>
                <w:p>
                  <w:pPr>
                    <w:keepNext w:val="0"/>
                    <w:keepLines w:val="0"/>
                    <w:suppressLineNumbers w:val="0"/>
                    <w:overflowPunct w:val="0"/>
                    <w:autoSpaceDE w:val="0"/>
                    <w:autoSpaceDN w:val="0"/>
                    <w:snapToGrid w:val="0"/>
                    <w:spacing w:before="0" w:beforeAutospacing="0" w:after="0" w:afterAutospacing="0" w:line="240" w:lineRule="auto"/>
                    <w:ind w:left="0" w:right="0" w:firstLine="0" w:firstLineChars="0"/>
                    <w:jc w:val="center"/>
                    <w:rPr>
                      <w:sz w:val="21"/>
                      <w:szCs w:val="21"/>
                    </w:rPr>
                  </w:pPr>
                  <w:r>
                    <w:rPr>
                      <w:rFonts w:eastAsiaTheme="minorEastAsia"/>
                      <w:sz w:val="21"/>
                      <w:szCs w:val="21"/>
                    </w:rPr>
                    <w:t>0.1t</w:t>
                  </w:r>
                </w:p>
              </w:tc>
              <w:tc>
                <w:tcPr>
                  <w:tcW w:w="0" w:type="auto"/>
                  <w:vAlign w:val="center"/>
                </w:tcPr>
                <w:p>
                  <w:pPr>
                    <w:keepNext w:val="0"/>
                    <w:keepLines w:val="0"/>
                    <w:suppressLineNumbers w:val="0"/>
                    <w:overflowPunct w:val="0"/>
                    <w:autoSpaceDE w:val="0"/>
                    <w:autoSpaceDN w:val="0"/>
                    <w:snapToGrid w:val="0"/>
                    <w:spacing w:before="0" w:beforeAutospacing="0" w:after="0" w:afterAutospacing="0" w:line="240" w:lineRule="auto"/>
                    <w:ind w:left="0" w:right="0" w:firstLine="0" w:firstLineChars="0"/>
                    <w:jc w:val="center"/>
                    <w:rPr>
                      <w:sz w:val="21"/>
                      <w:szCs w:val="21"/>
                    </w:rPr>
                  </w:pPr>
                  <w:r>
                    <w:rPr>
                      <w:rFonts w:hint="eastAsia"/>
                      <w:sz w:val="21"/>
                      <w:szCs w:val="21"/>
                    </w:rPr>
                    <w:t>0</w:t>
                  </w:r>
                </w:p>
              </w:tc>
              <w:tc>
                <w:tcPr>
                  <w:tcW w:w="0" w:type="auto"/>
                  <w:vAlign w:val="center"/>
                </w:tcPr>
                <w:p>
                  <w:pPr>
                    <w:keepNext w:val="0"/>
                    <w:keepLines w:val="0"/>
                    <w:suppressLineNumbers w:val="0"/>
                    <w:overflowPunct w:val="0"/>
                    <w:autoSpaceDE w:val="0"/>
                    <w:autoSpaceDN w:val="0"/>
                    <w:snapToGrid w:val="0"/>
                    <w:spacing w:before="0" w:beforeAutospacing="0" w:after="0" w:afterAutospacing="0" w:line="240" w:lineRule="auto"/>
                    <w:ind w:left="0" w:right="0" w:firstLine="0" w:firstLineChars="0"/>
                    <w:jc w:val="center"/>
                    <w:rPr>
                      <w:sz w:val="21"/>
                      <w:szCs w:val="21"/>
                    </w:rPr>
                  </w:pPr>
                  <w:r>
                    <w:rPr>
                      <w:sz w:val="21"/>
                      <w:szCs w:val="21"/>
                    </w:rPr>
                    <w:t>统一收集清运至园区垃圾收集处，由环卫部门处理</w:t>
                  </w:r>
                  <w:r>
                    <w:rPr>
                      <w:rFonts w:hAnsiTheme="minorEastAsia" w:eastAsiaTheme="minor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pPr>
                    <w:keepNext w:val="0"/>
                    <w:keepLines w:val="0"/>
                    <w:suppressLineNumbers w:val="0"/>
                    <w:overflowPunct w:val="0"/>
                    <w:autoSpaceDE w:val="0"/>
                    <w:autoSpaceDN w:val="0"/>
                    <w:snapToGrid w:val="0"/>
                    <w:spacing w:before="0" w:beforeAutospacing="0" w:after="0" w:afterAutospacing="0" w:line="240" w:lineRule="auto"/>
                    <w:ind w:left="0" w:right="0" w:firstLine="0" w:firstLineChars="0"/>
                    <w:jc w:val="center"/>
                    <w:rPr>
                      <w:sz w:val="21"/>
                      <w:szCs w:val="21"/>
                    </w:rPr>
                  </w:pPr>
                  <w:r>
                    <w:rPr>
                      <w:rFonts w:hint="eastAsia"/>
                      <w:sz w:val="21"/>
                      <w:szCs w:val="21"/>
                    </w:rPr>
                    <w:t>2</w:t>
                  </w:r>
                </w:p>
              </w:tc>
              <w:tc>
                <w:tcPr>
                  <w:tcW w:w="1781" w:type="dxa"/>
                  <w:vAlign w:val="center"/>
                </w:tcPr>
                <w:p>
                  <w:pPr>
                    <w:keepNext w:val="0"/>
                    <w:keepLines w:val="0"/>
                    <w:suppressLineNumbers w:val="0"/>
                    <w:overflowPunct w:val="0"/>
                    <w:autoSpaceDE w:val="0"/>
                    <w:autoSpaceDN w:val="0"/>
                    <w:snapToGrid w:val="0"/>
                    <w:spacing w:before="0" w:beforeAutospacing="0" w:after="0" w:afterAutospacing="0" w:line="240" w:lineRule="auto"/>
                    <w:ind w:left="0" w:right="0" w:firstLine="0" w:firstLineChars="0"/>
                    <w:jc w:val="center"/>
                    <w:rPr>
                      <w:sz w:val="21"/>
                      <w:szCs w:val="21"/>
                    </w:rPr>
                  </w:pPr>
                  <w:r>
                    <w:rPr>
                      <w:rFonts w:hint="eastAsia"/>
                      <w:sz w:val="21"/>
                      <w:szCs w:val="21"/>
                    </w:rPr>
                    <w:t>废包装材料</w:t>
                  </w:r>
                </w:p>
              </w:tc>
              <w:tc>
                <w:tcPr>
                  <w:tcW w:w="982" w:type="dxa"/>
                  <w:vAlign w:val="center"/>
                </w:tcPr>
                <w:p>
                  <w:pPr>
                    <w:keepNext w:val="0"/>
                    <w:keepLines w:val="0"/>
                    <w:suppressLineNumbers w:val="0"/>
                    <w:overflowPunct w:val="0"/>
                    <w:autoSpaceDE w:val="0"/>
                    <w:autoSpaceDN w:val="0"/>
                    <w:snapToGrid w:val="0"/>
                    <w:spacing w:before="0" w:beforeAutospacing="0" w:after="0" w:afterAutospacing="0" w:line="240" w:lineRule="auto"/>
                    <w:ind w:left="0" w:right="0" w:firstLine="0" w:firstLineChars="0"/>
                    <w:jc w:val="center"/>
                    <w:rPr>
                      <w:rFonts w:eastAsiaTheme="minorEastAsia"/>
                      <w:sz w:val="21"/>
                      <w:szCs w:val="21"/>
                    </w:rPr>
                  </w:pPr>
                  <w:r>
                    <w:rPr>
                      <w:rFonts w:eastAsiaTheme="minorEastAsia"/>
                      <w:sz w:val="21"/>
                      <w:szCs w:val="21"/>
                    </w:rPr>
                    <w:t>0.2</w:t>
                  </w:r>
                  <w:r>
                    <w:rPr>
                      <w:rFonts w:hint="eastAsia" w:eastAsiaTheme="minorEastAsia"/>
                      <w:sz w:val="21"/>
                      <w:szCs w:val="21"/>
                    </w:rPr>
                    <w:t>t</w:t>
                  </w:r>
                </w:p>
              </w:tc>
              <w:tc>
                <w:tcPr>
                  <w:tcW w:w="0" w:type="auto"/>
                  <w:vAlign w:val="center"/>
                </w:tcPr>
                <w:p>
                  <w:pPr>
                    <w:keepNext w:val="0"/>
                    <w:keepLines w:val="0"/>
                    <w:suppressLineNumbers w:val="0"/>
                    <w:overflowPunct w:val="0"/>
                    <w:autoSpaceDE w:val="0"/>
                    <w:autoSpaceDN w:val="0"/>
                    <w:snapToGrid w:val="0"/>
                    <w:spacing w:before="0" w:beforeAutospacing="0" w:after="0" w:afterAutospacing="0" w:line="240" w:lineRule="auto"/>
                    <w:ind w:left="0" w:right="0" w:firstLine="0" w:firstLineChars="0"/>
                    <w:jc w:val="center"/>
                    <w:rPr>
                      <w:sz w:val="21"/>
                      <w:szCs w:val="21"/>
                    </w:rPr>
                  </w:pPr>
                  <w:r>
                    <w:rPr>
                      <w:rFonts w:hint="eastAsia"/>
                      <w:sz w:val="21"/>
                      <w:szCs w:val="21"/>
                    </w:rPr>
                    <w:t>0</w:t>
                  </w:r>
                </w:p>
              </w:tc>
              <w:tc>
                <w:tcPr>
                  <w:tcW w:w="0" w:type="auto"/>
                  <w:vAlign w:val="center"/>
                </w:tcPr>
                <w:p>
                  <w:pPr>
                    <w:keepNext w:val="0"/>
                    <w:keepLines w:val="0"/>
                    <w:suppressLineNumbers w:val="0"/>
                    <w:overflowPunct w:val="0"/>
                    <w:autoSpaceDE w:val="0"/>
                    <w:autoSpaceDN w:val="0"/>
                    <w:snapToGrid w:val="0"/>
                    <w:spacing w:before="0" w:beforeAutospacing="0" w:after="0" w:afterAutospacing="0" w:line="240" w:lineRule="auto"/>
                    <w:ind w:left="0" w:right="0" w:firstLine="0" w:firstLineChars="0"/>
                    <w:jc w:val="center"/>
                    <w:rPr>
                      <w:rFonts w:hAnsiTheme="minorEastAsia" w:eastAsiaTheme="minorEastAsia"/>
                      <w:sz w:val="21"/>
                      <w:szCs w:val="21"/>
                    </w:rPr>
                  </w:pPr>
                  <w:r>
                    <w:rPr>
                      <w:rFonts w:hint="eastAsia" w:hAnsiTheme="minorEastAsia" w:eastAsiaTheme="minorEastAsia"/>
                      <w:sz w:val="21"/>
                      <w:szCs w:val="21"/>
                    </w:rPr>
                    <w:t>部分回收、部分作为生活垃圾清运至</w:t>
                  </w:r>
                  <w:r>
                    <w:rPr>
                      <w:rFonts w:hAnsiTheme="minorEastAsia" w:eastAsiaTheme="minorEastAsia"/>
                      <w:sz w:val="21"/>
                      <w:szCs w:val="21"/>
                    </w:rPr>
                    <w:t>园区垃圾收集处，由环卫部门处理</w:t>
                  </w:r>
                  <w:r>
                    <w:rPr>
                      <w:rFonts w:hAnsiTheme="minorEastAsia" w:eastAsiaTheme="minorEastAsia"/>
                    </w:rPr>
                    <w:t>。</w:t>
                  </w:r>
                </w:p>
              </w:tc>
            </w:tr>
          </w:tbl>
          <w:p>
            <w:pPr>
              <w:pStyle w:val="33"/>
              <w:keepNext w:val="0"/>
              <w:keepLines w:val="0"/>
              <w:suppressLineNumbers w:val="0"/>
              <w:spacing w:before="0" w:beforeAutospacing="0" w:after="0" w:afterAutospacing="0"/>
              <w:ind w:left="0" w:right="0" w:firstLine="480" w:firstLineChars="0"/>
              <w:rPr>
                <w:rFonts w:ascii="Times New Roman" w:hAnsi="Times New Roman"/>
              </w:rPr>
            </w:pPr>
            <w:r>
              <w:rPr>
                <w:rFonts w:ascii="Times New Roman" w:hAnsi="Times New Roman"/>
              </w:rPr>
              <w:t>（5）生态影响</w:t>
            </w:r>
          </w:p>
          <w:p>
            <w:pPr>
              <w:pStyle w:val="33"/>
              <w:keepNext w:val="0"/>
              <w:keepLines w:val="0"/>
              <w:suppressLineNumbers w:val="0"/>
              <w:spacing w:before="0" w:beforeAutospacing="0" w:after="0" w:afterAutospacing="0"/>
              <w:ind w:left="0" w:right="0" w:firstLine="480" w:firstLineChars="0"/>
              <w:rPr>
                <w:rFonts w:ascii="Times New Roman" w:hAnsi="Times New Roman"/>
              </w:rPr>
            </w:pPr>
            <w:r>
              <w:rPr>
                <w:rFonts w:hint="eastAsia" w:ascii="Times New Roman" w:hAnsi="Times New Roman"/>
              </w:rPr>
              <w:t>本项目厂区内基本硬化，施工期在厂内进行，对生态无影响。</w:t>
            </w:r>
          </w:p>
          <w:p>
            <w:pPr>
              <w:keepNext w:val="0"/>
              <w:keepLines w:val="0"/>
              <w:suppressLineNumbers w:val="0"/>
              <w:spacing w:before="0" w:beforeAutospacing="0" w:after="0" w:afterAutospacing="0"/>
              <w:ind w:left="0" w:right="0" w:firstLine="482"/>
              <w:jc w:val="both"/>
              <w:rPr>
                <w:b/>
                <w:bCs/>
              </w:rPr>
            </w:pPr>
            <w:r>
              <w:rPr>
                <w:rFonts w:hint="eastAsia"/>
                <w:b/>
                <w:bCs/>
              </w:rPr>
              <w:t>二、营运期</w:t>
            </w:r>
          </w:p>
          <w:p>
            <w:pPr>
              <w:keepNext w:val="0"/>
              <w:keepLines w:val="0"/>
              <w:suppressLineNumbers w:val="0"/>
              <w:spacing w:before="0" w:beforeAutospacing="0" w:after="0" w:afterAutospacing="0"/>
              <w:ind w:left="0" w:right="0" w:firstLine="479" w:firstLineChars="199"/>
              <w:jc w:val="both"/>
              <w:rPr>
                <w:b/>
                <w:snapToGrid w:val="0"/>
              </w:rPr>
            </w:pPr>
            <w:r>
              <w:rPr>
                <w:b/>
                <w:snapToGrid w:val="0"/>
              </w:rPr>
              <w:t>1、</w:t>
            </w:r>
            <w:r>
              <w:rPr>
                <w:rFonts w:hint="eastAsia"/>
                <w:b/>
                <w:snapToGrid w:val="0"/>
              </w:rPr>
              <w:t>运营期</w:t>
            </w:r>
            <w:r>
              <w:rPr>
                <w:b/>
                <w:snapToGrid w:val="0"/>
              </w:rPr>
              <w:t>期工艺流程及产排污节点（图示）</w:t>
            </w:r>
          </w:p>
          <w:p>
            <w:pPr>
              <w:keepNext w:val="0"/>
              <w:keepLines w:val="0"/>
              <w:suppressLineNumbers w:val="0"/>
              <w:spacing w:before="0" w:beforeAutospacing="0" w:after="0" w:afterAutospacing="0"/>
              <w:ind w:left="0" w:right="0" w:firstLine="480"/>
              <w:jc w:val="both"/>
            </w:pPr>
            <w:r>
              <w:t>本项目的主要产品为钢模板</w:t>
            </w:r>
            <w:r>
              <w:rPr>
                <w:rFonts w:hint="eastAsia"/>
              </w:rPr>
              <w:t>、</w:t>
            </w:r>
            <w:r>
              <w:t>爬模及隧道台车</w:t>
            </w:r>
            <w:r>
              <w:rPr>
                <w:rFonts w:hint="eastAsia"/>
              </w:rPr>
              <w:t>，</w:t>
            </w:r>
            <w:r>
              <w:t>生产工艺类似</w:t>
            </w:r>
            <w:r>
              <w:rPr>
                <w:rFonts w:hint="eastAsia"/>
              </w:rPr>
              <w:t>，工序为</w:t>
            </w:r>
            <w:r>
              <w:t>原料组织、剪板（切割）、折弯、焊接、矫正、钻孔、喷漆等工艺</w:t>
            </w:r>
            <w:r>
              <w:rPr>
                <w:rFonts w:hint="eastAsia"/>
              </w:rPr>
              <w:t>。</w:t>
            </w:r>
            <w:r>
              <w:t>生产工艺流程及产污环节见</w:t>
            </w:r>
            <w:r>
              <w:rPr>
                <w:rFonts w:hint="eastAsia"/>
              </w:rPr>
              <w:t>下</w:t>
            </w:r>
            <w:r>
              <w:t>图</w:t>
            </w:r>
            <w:r>
              <w:rPr>
                <w:rFonts w:hint="eastAsia"/>
              </w:rPr>
              <w:t>。</w:t>
            </w:r>
          </w:p>
          <w:p>
            <w:pPr>
              <w:keepNext w:val="0"/>
              <w:keepLines w:val="0"/>
              <w:suppressLineNumbers w:val="0"/>
              <w:spacing w:before="0" w:beforeAutospacing="0" w:after="0" w:afterAutospacing="0"/>
              <w:ind w:left="0" w:right="0" w:firstLine="0" w:firstLineChars="0"/>
              <w:jc w:val="center"/>
            </w:pPr>
            <w:r>
              <w:pict>
                <v:shape id="_x0000_i1025" o:spt="75" type="#_x0000_t75" style="height:264.85pt;width:373.75pt;" filled="f" o:preferrelative="t" stroked="f" coordsize="21600,21600">
                  <v:path/>
                  <v:fill on="f" focussize="0,0"/>
                  <v:stroke on="f" joinstyle="miter"/>
                  <v:imagedata r:id="rId13" o:title=""/>
                  <o:lock v:ext="edit" aspectratio="f"/>
                  <w10:wrap type="none"/>
                  <w10:anchorlock/>
                </v:shape>
              </w:pict>
            </w:r>
          </w:p>
          <w:p>
            <w:pPr>
              <w:pStyle w:val="25"/>
              <w:keepNext w:val="0"/>
              <w:keepLines w:val="0"/>
              <w:suppressLineNumbers w:val="0"/>
              <w:spacing w:before="0" w:beforeAutospacing="0" w:after="0" w:afterAutospacing="0" w:line="240" w:lineRule="auto"/>
              <w:ind w:left="0" w:right="0"/>
            </w:pPr>
            <w:r>
              <w:t>图5-2 生产工艺流程及产污环节图</w:t>
            </w:r>
          </w:p>
          <w:p>
            <w:pPr>
              <w:keepNext w:val="0"/>
              <w:keepLines w:val="0"/>
              <w:suppressLineNumbers w:val="0"/>
              <w:spacing w:before="0" w:beforeAutospacing="0" w:after="0" w:afterAutospacing="0"/>
              <w:ind w:left="0" w:right="0" w:firstLine="480"/>
              <w:jc w:val="both"/>
            </w:pPr>
            <w:r>
              <w:rPr>
                <w:rFonts w:hint="eastAsia"/>
              </w:rPr>
              <w:t>运营</w:t>
            </w:r>
            <w:r>
              <w:t>期主要污染工序：</w:t>
            </w:r>
          </w:p>
          <w:p>
            <w:pPr>
              <w:keepNext w:val="0"/>
              <w:keepLines w:val="0"/>
              <w:suppressLineNumbers w:val="0"/>
              <w:spacing w:before="0" w:beforeAutospacing="0" w:after="0" w:afterAutospacing="0"/>
              <w:ind w:left="0" w:right="0" w:firstLine="360" w:firstLineChars="150"/>
              <w:jc w:val="both"/>
            </w:pPr>
            <w:r>
              <w:rPr>
                <w:rFonts w:hint="eastAsia"/>
              </w:rPr>
              <w:t>（1）</w:t>
            </w:r>
            <w:r>
              <w:t>切割下料</w:t>
            </w:r>
          </w:p>
          <w:p>
            <w:pPr>
              <w:keepNext w:val="0"/>
              <w:keepLines w:val="0"/>
              <w:suppressLineNumbers w:val="0"/>
              <w:spacing w:before="0" w:beforeAutospacing="0" w:after="0" w:afterAutospacing="0"/>
              <w:ind w:left="0" w:right="0" w:firstLine="520" w:firstLineChars="217"/>
              <w:jc w:val="both"/>
            </w:pPr>
            <w:r>
              <w:t>开料工序主要是根据客户需求，将外购钢板、型钢、槽钢、角钢等原辅材料裁剪成所需部件</w:t>
            </w:r>
            <w:r>
              <w:rPr>
                <w:rFonts w:hint="eastAsia"/>
              </w:rPr>
              <w:t>，</w:t>
            </w:r>
            <w:r>
              <w:t>本项目切割开料采取</w:t>
            </w:r>
            <w:r>
              <w:rPr>
                <w:rFonts w:hint="eastAsia"/>
              </w:rPr>
              <w:t>激光</w:t>
            </w:r>
            <w:r>
              <w:t>切割</w:t>
            </w:r>
            <w:r>
              <w:rPr>
                <w:rFonts w:hint="eastAsia"/>
              </w:rPr>
              <w:t>，</w:t>
            </w:r>
            <w:r>
              <w:t>此环节会产生边角料和切割粉尘</w:t>
            </w:r>
            <w:r>
              <w:rPr>
                <w:rFonts w:hint="eastAsia"/>
              </w:rPr>
              <w:t>；</w:t>
            </w:r>
          </w:p>
          <w:p>
            <w:pPr>
              <w:keepNext w:val="0"/>
              <w:keepLines w:val="0"/>
              <w:suppressLineNumbers w:val="0"/>
              <w:spacing w:before="0" w:beforeAutospacing="0" w:after="0" w:afterAutospacing="0"/>
              <w:ind w:left="0" w:right="0" w:firstLine="360" w:firstLineChars="150"/>
              <w:jc w:val="both"/>
            </w:pPr>
            <w:r>
              <w:rPr>
                <w:rFonts w:hint="eastAsia"/>
              </w:rPr>
              <w:t>（2）折弯</w:t>
            </w:r>
          </w:p>
          <w:p>
            <w:pPr>
              <w:keepNext w:val="0"/>
              <w:keepLines w:val="0"/>
              <w:suppressLineNumbers w:val="0"/>
              <w:spacing w:before="0" w:beforeAutospacing="0" w:after="0" w:afterAutospacing="0"/>
              <w:ind w:left="0" w:right="0" w:firstLine="520" w:firstLineChars="217"/>
              <w:jc w:val="both"/>
            </w:pPr>
            <w:r>
              <w:t>将下好的钢板</w:t>
            </w:r>
            <w:r>
              <w:rPr>
                <w:rFonts w:hint="eastAsia"/>
              </w:rPr>
              <w:t>按照技术需求</w:t>
            </w:r>
            <w:r>
              <w:t>将钢板进行折弯</w:t>
            </w:r>
            <w:r>
              <w:rPr>
                <w:rFonts w:hint="eastAsia"/>
              </w:rPr>
              <w:t>，</w:t>
            </w:r>
            <w:r>
              <w:t>此环节无污染物产生。</w:t>
            </w:r>
          </w:p>
          <w:p>
            <w:pPr>
              <w:keepNext w:val="0"/>
              <w:keepLines w:val="0"/>
              <w:suppressLineNumbers w:val="0"/>
              <w:spacing w:before="0" w:beforeAutospacing="0" w:after="0" w:afterAutospacing="0"/>
              <w:ind w:left="0" w:right="0" w:firstLine="360" w:firstLineChars="150"/>
              <w:jc w:val="both"/>
            </w:pPr>
            <w:r>
              <w:rPr>
                <w:rFonts w:hint="eastAsia"/>
              </w:rPr>
              <w:t>（3）</w:t>
            </w:r>
            <w:r>
              <w:t>矫正、钻孔、拼装</w:t>
            </w:r>
          </w:p>
          <w:p>
            <w:pPr>
              <w:keepNext w:val="0"/>
              <w:keepLines w:val="0"/>
              <w:suppressLineNumbers w:val="0"/>
              <w:spacing w:before="0" w:beforeAutospacing="0" w:after="0" w:afterAutospacing="0"/>
              <w:ind w:left="0" w:right="0" w:firstLine="520" w:firstLineChars="217"/>
              <w:jc w:val="both"/>
            </w:pPr>
            <w:r>
              <w:t>将</w:t>
            </w:r>
            <w:r>
              <w:rPr>
                <w:rFonts w:hint="eastAsia"/>
              </w:rPr>
              <w:t>折弯</w:t>
            </w:r>
            <w:r>
              <w:t>部件送至矫正机矫正，并检查合格即为钢结构部件；按要求将钢结构部件钻孔并完成拼装，钻孔使用喷淋水对钢材进行降温，钻孔工序有噪声和固废产生。</w:t>
            </w:r>
          </w:p>
          <w:p>
            <w:pPr>
              <w:pStyle w:val="2"/>
              <w:keepNext w:val="0"/>
              <w:keepLines w:val="0"/>
              <w:suppressLineNumbers w:val="0"/>
              <w:spacing w:before="0" w:beforeAutospacing="0" w:after="0" w:afterAutospacing="0"/>
              <w:ind w:left="0" w:right="0" w:firstLine="360" w:firstLineChars="150"/>
              <w:jc w:val="both"/>
            </w:pPr>
            <w:r>
              <w:rPr>
                <w:rFonts w:hint="eastAsia"/>
              </w:rPr>
              <w:t>（4）</w:t>
            </w:r>
            <w:r>
              <w:t>焊接</w:t>
            </w:r>
          </w:p>
          <w:p>
            <w:pPr>
              <w:keepNext w:val="0"/>
              <w:keepLines w:val="0"/>
              <w:suppressLineNumbers w:val="0"/>
              <w:spacing w:before="0" w:beforeAutospacing="0" w:after="0" w:afterAutospacing="0"/>
              <w:ind w:left="0" w:right="0" w:firstLine="520" w:firstLineChars="217"/>
              <w:jc w:val="both"/>
            </w:pPr>
            <w:r>
              <w:t>采用CO</w:t>
            </w:r>
            <w:r>
              <w:rPr>
                <w:vertAlign w:val="subscript"/>
              </w:rPr>
              <w:t>2</w:t>
            </w:r>
            <w:r>
              <w:t>气体保护焊对拼装好的部件进行焊接。焊接工段有焊接烟尘及噪声产生以及焊渣、废焊头等固废产生</w:t>
            </w:r>
            <w:r>
              <w:rPr>
                <w:rFonts w:hint="eastAsia"/>
              </w:rPr>
              <w:t>。</w:t>
            </w:r>
          </w:p>
          <w:p>
            <w:pPr>
              <w:keepNext w:val="0"/>
              <w:keepLines w:val="0"/>
              <w:suppressLineNumbers w:val="0"/>
              <w:spacing w:before="0" w:beforeAutospacing="0" w:after="0" w:afterAutospacing="0"/>
              <w:ind w:left="0" w:right="0" w:firstLine="360" w:firstLineChars="150"/>
              <w:jc w:val="both"/>
            </w:pPr>
            <w:r>
              <w:rPr>
                <w:rFonts w:hint="eastAsia"/>
              </w:rPr>
              <w:t>（5）</w:t>
            </w:r>
            <w:r>
              <w:t>喷漆</w:t>
            </w:r>
          </w:p>
          <w:p>
            <w:pPr>
              <w:keepNext w:val="0"/>
              <w:keepLines w:val="0"/>
              <w:suppressLineNumbers w:val="0"/>
              <w:spacing w:before="0" w:beforeAutospacing="0" w:after="0" w:afterAutospacing="0"/>
              <w:ind w:left="0" w:right="0" w:firstLine="520" w:firstLineChars="217"/>
              <w:jc w:val="both"/>
            </w:pPr>
            <w:r>
              <w:t>调漆：本项目底漆和面漆均为为水性丙烯酸漆。底漆和面漆使用前均需要进行调配，按比例加入水进行调漆，本项目调漆工序设置在喷漆</w:t>
            </w:r>
            <w:r>
              <w:rPr>
                <w:rFonts w:hint="eastAsia"/>
              </w:rPr>
              <w:t>房</w:t>
            </w:r>
            <w:r>
              <w:t>内，即调即用。按比例将水性漆和水混合，搅拌均匀后待用。</w:t>
            </w:r>
          </w:p>
          <w:p>
            <w:pPr>
              <w:keepNext w:val="0"/>
              <w:keepLines w:val="0"/>
              <w:suppressLineNumbers w:val="0"/>
              <w:spacing w:before="0" w:beforeAutospacing="0" w:after="0" w:afterAutospacing="0"/>
              <w:ind w:left="0" w:right="0" w:firstLine="520" w:firstLineChars="217"/>
              <w:jc w:val="both"/>
            </w:pPr>
            <w:r>
              <w:t>喷面漆：人工使用喷枪在工件表面均匀喷涂上一层水性底漆料，水性丙烯酸底漆在调漆时漆：水=</w:t>
            </w:r>
            <w:r>
              <w:rPr>
                <w:rFonts w:hint="eastAsia"/>
              </w:rPr>
              <w:t>2</w:t>
            </w:r>
            <w:r>
              <w:t>：</w:t>
            </w:r>
            <w:r>
              <w:rPr>
                <w:rFonts w:hint="eastAsia"/>
              </w:rPr>
              <w:t>1</w:t>
            </w:r>
            <w:r>
              <w:t>，本项目喷漆室工作过程中，在风机作用下废气经过</w:t>
            </w:r>
            <w:r>
              <w:rPr>
                <w:rFonts w:hint="eastAsia"/>
              </w:rPr>
              <w:t>过滤棉+活性炭</w:t>
            </w:r>
            <w:r>
              <w:t>吸附处理，项目喷漆室喷漆过程中维持负压状态，确保有机废气收集率达到90%。根据企业提供的资料</w:t>
            </w:r>
            <w:r>
              <w:rPr>
                <w:rFonts w:hint="eastAsia"/>
              </w:rPr>
              <w:t>，</w:t>
            </w:r>
            <w:r>
              <w:t>本项目喷漆室每天喷</w:t>
            </w:r>
            <w:r>
              <w:rPr>
                <w:rFonts w:hint="eastAsia"/>
              </w:rPr>
              <w:t>面</w:t>
            </w:r>
            <w:r>
              <w:t>漆约</w:t>
            </w:r>
            <w:r>
              <w:rPr>
                <w:rFonts w:hint="eastAsia"/>
              </w:rPr>
              <w:t>2h</w:t>
            </w:r>
            <w:r>
              <w:t>。</w:t>
            </w:r>
          </w:p>
          <w:p>
            <w:pPr>
              <w:keepNext w:val="0"/>
              <w:keepLines w:val="0"/>
              <w:suppressLineNumbers w:val="0"/>
              <w:spacing w:before="0" w:beforeAutospacing="0" w:after="0" w:afterAutospacing="0"/>
              <w:ind w:left="0" w:right="0" w:firstLine="520" w:firstLineChars="217"/>
              <w:jc w:val="both"/>
            </w:pPr>
            <w:r>
              <w:t>晾干：各部件经喷面漆后于喷漆室内各喷漆台原地进行自然表干，晾干时间约为</w:t>
            </w:r>
            <w:r>
              <w:rPr>
                <w:rFonts w:hint="eastAsia"/>
              </w:rPr>
              <w:t>1h</w:t>
            </w:r>
            <w:r>
              <w:t>，使工件表面底漆干燥、固化成膜。</w:t>
            </w:r>
          </w:p>
          <w:p>
            <w:pPr>
              <w:keepNext w:val="0"/>
              <w:keepLines w:val="0"/>
              <w:suppressLineNumbers w:val="0"/>
              <w:spacing w:before="0" w:beforeAutospacing="0" w:after="0" w:afterAutospacing="0"/>
              <w:ind w:left="0" w:right="0" w:firstLine="360" w:firstLineChars="150"/>
              <w:jc w:val="both"/>
            </w:pPr>
            <w:r>
              <w:rPr>
                <w:rFonts w:hint="eastAsia"/>
              </w:rPr>
              <w:t>（6）包装</w:t>
            </w:r>
            <w:r>
              <w:t>出厂</w:t>
            </w:r>
          </w:p>
          <w:p>
            <w:pPr>
              <w:keepNext w:val="0"/>
              <w:keepLines w:val="0"/>
              <w:suppressLineNumbers w:val="0"/>
              <w:spacing w:before="0" w:beforeAutospacing="0" w:after="0" w:afterAutospacing="0"/>
              <w:ind w:left="0" w:right="0" w:firstLine="520" w:firstLineChars="217"/>
              <w:jc w:val="both"/>
            </w:pPr>
            <w:r>
              <w:t>待构件表面自然晾干后，人工检验合格后包装</w:t>
            </w:r>
            <w:r>
              <w:rPr>
                <w:rFonts w:hint="eastAsia"/>
              </w:rPr>
              <w:t>出厂</w:t>
            </w:r>
            <w:r>
              <w:t>。</w:t>
            </w:r>
          </w:p>
          <w:p>
            <w:pPr>
              <w:pStyle w:val="33"/>
              <w:keepNext w:val="0"/>
              <w:keepLines w:val="0"/>
              <w:suppressLineNumbers w:val="0"/>
              <w:spacing w:before="0" w:beforeAutospacing="0" w:after="0" w:afterAutospacing="0"/>
              <w:ind w:left="0" w:right="0" w:firstLine="482"/>
              <w:rPr>
                <w:rFonts w:ascii="Times New Roman" w:hAnsi="Times New Roman"/>
                <w:b/>
              </w:rPr>
            </w:pPr>
            <w:r>
              <w:rPr>
                <w:rFonts w:ascii="Times New Roman" w:hAnsi="Times New Roman"/>
                <w:b/>
              </w:rPr>
              <w:t>2、</w:t>
            </w:r>
            <w:r>
              <w:rPr>
                <w:rFonts w:hint="eastAsia" w:ascii="Times New Roman" w:hAnsi="Times New Roman"/>
                <w:b/>
              </w:rPr>
              <w:t>运营</w:t>
            </w:r>
            <w:r>
              <w:rPr>
                <w:rFonts w:ascii="Times New Roman" w:hAnsi="Times New Roman"/>
                <w:b/>
              </w:rPr>
              <w:t>期产排污环节分析</w:t>
            </w:r>
          </w:p>
          <w:p>
            <w:pPr>
              <w:keepNext w:val="0"/>
              <w:keepLines w:val="0"/>
              <w:suppressLineNumbers w:val="0"/>
              <w:spacing w:before="0" w:beforeAutospacing="0" w:after="0" w:afterAutospacing="0"/>
              <w:ind w:left="0" w:right="0" w:firstLine="360" w:firstLineChars="150"/>
              <w:jc w:val="both"/>
            </w:pPr>
            <w:r>
              <w:rPr>
                <w:rFonts w:hint="eastAsia"/>
              </w:rPr>
              <w:t>（1）</w:t>
            </w:r>
            <w:r>
              <w:t>废气</w:t>
            </w:r>
          </w:p>
          <w:p>
            <w:pPr>
              <w:keepNext w:val="0"/>
              <w:keepLines w:val="0"/>
              <w:suppressLineNumbers w:val="0"/>
              <w:spacing w:before="0" w:beforeAutospacing="0" w:after="0" w:afterAutospacing="0"/>
              <w:ind w:left="0" w:right="0" w:firstLine="480"/>
              <w:jc w:val="both"/>
            </w:pPr>
            <w:r>
              <w:t>项目运营期产生的废气污染物主要为喷漆工序产生的有机废气和颗粒物（漆雾）、焊接工序产生焊接烟尘、机加工过程产生的金属粉尘以及食堂油烟。</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1 \* GB3</w:instrText>
            </w:r>
            <w:r>
              <w:rPr>
                <w:rFonts w:hint="eastAsia"/>
              </w:rPr>
              <w:fldChar w:fldCharType="separate"/>
            </w:r>
            <w:r>
              <w:rPr>
                <w:rFonts w:hint="eastAsia"/>
              </w:rPr>
              <w:t>①</w:t>
            </w:r>
            <w:r>
              <w:rPr>
                <w:rFonts w:hint="eastAsia"/>
              </w:rPr>
              <w:fldChar w:fldCharType="end"/>
            </w:r>
            <w:r>
              <w:rPr>
                <w:rFonts w:hint="eastAsia"/>
              </w:rPr>
              <w:t>机械加工过程产生的粉尘</w:t>
            </w:r>
          </w:p>
          <w:p>
            <w:pPr>
              <w:keepNext w:val="0"/>
              <w:keepLines w:val="0"/>
              <w:suppressLineNumbers w:val="0"/>
              <w:spacing w:before="0" w:beforeAutospacing="0" w:after="0" w:afterAutospacing="0"/>
              <w:ind w:left="0" w:right="0" w:firstLine="470" w:firstLineChars="196"/>
              <w:jc w:val="both"/>
            </w:pPr>
            <w:r>
              <w:rPr>
                <w:rFonts w:hint="eastAsia"/>
              </w:rPr>
              <w:t>工件打孔过程使用冷却水对钢件表面进行降温，</w:t>
            </w:r>
            <w:r>
              <w:t>同时可及时对产生的金属粉尘进行有效去除，因此钻孔过程基本无金属粉尘排放。</w:t>
            </w:r>
          </w:p>
          <w:p>
            <w:pPr>
              <w:keepNext w:val="0"/>
              <w:keepLines w:val="0"/>
              <w:suppressLineNumbers w:val="0"/>
              <w:spacing w:before="0" w:beforeAutospacing="0" w:after="0" w:afterAutospacing="0"/>
              <w:ind w:left="0" w:right="0" w:firstLine="470" w:firstLineChars="196"/>
              <w:jc w:val="both"/>
            </w:pPr>
            <w:r>
              <w:t>钢构件进行切割过程中会产生细小的颗粒物，这些颗粒物的主要成分为金属。一方面因为其质量较大，沉降较快；另一方面，会有一少部分较细小的颗粒物随着机械的运动而可能会在空气中停留暂短时间后沉降于地面。钢材</w:t>
            </w:r>
            <w:r>
              <w:rPr>
                <w:rFonts w:hint="eastAsia"/>
              </w:rPr>
              <w:t>切割</w:t>
            </w:r>
            <w:r>
              <w:t>过程粉尘产生量根据</w:t>
            </w:r>
            <w:r>
              <w:rPr>
                <w:rFonts w:hint="eastAsia"/>
              </w:rPr>
              <w:t>《</w:t>
            </w:r>
            <w:r>
              <w:t>全国第一次污染源普查工业污染源产排污系数手册</w:t>
            </w:r>
            <w:r>
              <w:rPr>
                <w:rFonts w:hint="eastAsia"/>
              </w:rPr>
              <w:t>》钢压延加工行业中下料工段粉尘核算环节，</w:t>
            </w:r>
            <w:r>
              <w:t>按</w:t>
            </w:r>
            <w:r>
              <w:rPr>
                <w:rFonts w:hint="eastAsia"/>
              </w:rPr>
              <w:t>0.1%</w:t>
            </w:r>
            <w:r>
              <w:t>钢材使用量计，根据业主资料</w:t>
            </w:r>
            <w:r>
              <w:rPr>
                <w:rFonts w:hint="eastAsia"/>
              </w:rPr>
              <w:t>，</w:t>
            </w:r>
            <w:r>
              <w:t>项目需切割的钢材约占总使用量的</w:t>
            </w:r>
            <w:r>
              <w:rPr>
                <w:rFonts w:hint="eastAsia"/>
              </w:rPr>
              <w:t>25%，项目钢材使用量</w:t>
            </w:r>
            <w:r>
              <w:t>为3万t/a</w:t>
            </w:r>
            <w:r>
              <w:rPr>
                <w:rFonts w:hint="eastAsia"/>
              </w:rPr>
              <w:t>，</w:t>
            </w:r>
            <w:r>
              <w:t>则钢材切割量为</w:t>
            </w:r>
            <w:r>
              <w:rPr>
                <w:rFonts w:hint="eastAsia"/>
              </w:rPr>
              <w:t>7500t/a。则</w:t>
            </w:r>
            <w:r>
              <w:t>本环节粉尘产生量</w:t>
            </w:r>
            <w:r>
              <w:rPr>
                <w:rFonts w:hint="eastAsia"/>
              </w:rPr>
              <w:t>为7.5</w:t>
            </w:r>
            <w:r>
              <w:t>t/a</w:t>
            </w:r>
            <w:r>
              <w:rPr>
                <w:rFonts w:hint="eastAsia"/>
              </w:rPr>
              <w:t>，本项目机加工设备设置于生产车间内，产生的机加工粉尘经各车间设置的1台移动式除尘设备收集，收集效率以60%计，剩余大部分在车间阻隔自然沉降于车间内，约1%粉尘经过车间缝隙外逸，以无组织形式外排，则外排机加工粉尘量为0.075t/a，切割每日工作时长为4h，年切割运行时间为1200h，则排放速率为0.0625</w:t>
            </w:r>
            <w:r>
              <w:t xml:space="preserve"> kg/h。</w:t>
            </w:r>
          </w:p>
          <w:p>
            <w:pPr>
              <w:pStyle w:val="2"/>
              <w:keepNext w:val="0"/>
              <w:keepLines w:val="0"/>
              <w:suppressLineNumbers w:val="0"/>
              <w:spacing w:before="0" w:beforeAutospacing="0" w:after="0" w:afterAutospacing="0"/>
              <w:ind w:left="0" w:right="0" w:firstLine="480"/>
              <w:jc w:val="both"/>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t>焊接烟尘</w:t>
            </w:r>
          </w:p>
          <w:p>
            <w:pPr>
              <w:keepNext w:val="0"/>
              <w:keepLines w:val="0"/>
              <w:suppressLineNumbers w:val="0"/>
              <w:spacing w:before="0" w:beforeAutospacing="0" w:after="0" w:afterAutospacing="0"/>
              <w:ind w:left="0" w:right="0" w:firstLine="480"/>
              <w:jc w:val="both"/>
            </w:pPr>
            <w:r>
              <w:t>本项目焊接过程会产生焊接</w:t>
            </w:r>
            <w:r>
              <w:rPr>
                <w:rFonts w:hint="eastAsia"/>
              </w:rPr>
              <w:t>烟尘</w:t>
            </w:r>
            <w:r>
              <w:t>，项目焊丝、焊条用量约</w:t>
            </w:r>
            <w:r>
              <w:rPr>
                <w:rFonts w:hint="eastAsia"/>
              </w:rPr>
              <w:t>40</w:t>
            </w:r>
            <w:r>
              <w:t>t</w:t>
            </w:r>
            <w:r>
              <w:rPr>
                <w:rFonts w:hint="eastAsia"/>
              </w:rPr>
              <w:t>/a</w:t>
            </w:r>
            <w:r>
              <w:t>。根据《焊接技术手册》中提供的焊接烟尘浓度和发尘量数据可知，焊接烟尘发尘量为6~8g/kg焊接材料（本次评价取8g/kg计），焊接时间4h/d，焊接烟尘产生量为</w:t>
            </w:r>
            <w:r>
              <w:rPr>
                <w:rFonts w:hint="eastAsia"/>
              </w:rPr>
              <w:t>0.32t/</w:t>
            </w:r>
            <w:r>
              <w:t>a。项目设置</w:t>
            </w:r>
            <w:r>
              <w:rPr>
                <w:rFonts w:hint="eastAsia"/>
              </w:rPr>
              <w:t>1台移动式除尘器（自带集气罩和袋式除尘器），除尘器集气罩进行收集，</w:t>
            </w:r>
            <w:r>
              <w:t>收集效率以90%计，则收集的烟尘量为</w:t>
            </w:r>
            <w:r>
              <w:rPr>
                <w:rFonts w:hint="eastAsia"/>
              </w:rPr>
              <w:t>0.2882t/</w:t>
            </w:r>
            <w:r>
              <w:t>a</w:t>
            </w:r>
            <w:r>
              <w:rPr>
                <w:rFonts w:hint="eastAsia"/>
              </w:rPr>
              <w:t>，未</w:t>
            </w:r>
            <w:r>
              <w:t>收集</w:t>
            </w:r>
            <w:r>
              <w:rPr>
                <w:rFonts w:hint="eastAsia"/>
              </w:rPr>
              <w:t>烟尘</w:t>
            </w:r>
            <w:r>
              <w:t>产生量</w:t>
            </w:r>
            <w:r>
              <w:rPr>
                <w:rFonts w:hint="eastAsia"/>
              </w:rPr>
              <w:t>为0.032</w:t>
            </w:r>
            <w:r>
              <w:t>t/a，除尘器效率约99%</w:t>
            </w:r>
            <w:r>
              <w:rPr>
                <w:rFonts w:hint="eastAsia"/>
              </w:rPr>
              <w:t>，</w:t>
            </w:r>
            <w:r>
              <w:t>则处理后排入车间量为</w:t>
            </w:r>
            <w:r>
              <w:rPr>
                <w:rFonts w:hint="eastAsia"/>
              </w:rPr>
              <w:t>0.003 t/</w:t>
            </w:r>
            <w:r>
              <w:t>a</w:t>
            </w:r>
            <w:r>
              <w:rPr>
                <w:rFonts w:hint="eastAsia"/>
              </w:rPr>
              <w:t>，合计本环节排入车间的烟尘量0.0349</w:t>
            </w:r>
            <w:r>
              <w:t xml:space="preserve"> t/a</w:t>
            </w:r>
            <w:r>
              <w:rPr>
                <w:rFonts w:hint="eastAsia"/>
              </w:rPr>
              <w:t>，除尘器</w:t>
            </w:r>
            <w:r>
              <w:t>每天运行4h，年运行</w:t>
            </w:r>
            <w:r>
              <w:rPr>
                <w:rFonts w:hint="eastAsia"/>
              </w:rPr>
              <w:t>1200</w:t>
            </w:r>
            <w:r>
              <w:t>h，则</w:t>
            </w:r>
            <w:r>
              <w:rPr>
                <w:rFonts w:hint="eastAsia"/>
              </w:rPr>
              <w:t>无</w:t>
            </w:r>
            <w:r>
              <w:t>组织粉尘年产生速率约</w:t>
            </w:r>
            <w:r>
              <w:rPr>
                <w:rFonts w:hint="eastAsia"/>
              </w:rPr>
              <w:t>0.0291</w:t>
            </w:r>
            <w:r>
              <w:t>kg/h，经车间缝隙逸出</w:t>
            </w:r>
            <w:r>
              <w:rPr>
                <w:rFonts w:hint="eastAsia"/>
              </w:rPr>
              <w:t>，</w:t>
            </w:r>
            <w:r>
              <w:t xml:space="preserve">则排放速率为 </w:t>
            </w:r>
            <w:r>
              <w:rPr>
                <w:rFonts w:hint="eastAsia"/>
              </w:rPr>
              <w:t>0.0291</w:t>
            </w:r>
            <w:r>
              <w:t>kg/h</w:t>
            </w:r>
            <w:r>
              <w:rPr>
                <w:rFonts w:hint="eastAsia"/>
              </w:rPr>
              <w:t>。</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3 \* GB3 </w:instrText>
            </w:r>
            <w:r>
              <w:rPr>
                <w:rFonts w:hint="eastAsia"/>
              </w:rPr>
              <w:fldChar w:fldCharType="separate"/>
            </w:r>
            <w:r>
              <w:rPr>
                <w:rFonts w:hint="eastAsia"/>
              </w:rPr>
              <w:t>③</w:t>
            </w:r>
            <w:r>
              <w:rPr>
                <w:rFonts w:hint="eastAsia"/>
              </w:rPr>
              <w:fldChar w:fldCharType="end"/>
            </w:r>
            <w:r>
              <w:rPr>
                <w:rFonts w:hint="eastAsia"/>
              </w:rPr>
              <w:t>喷漆</w:t>
            </w:r>
            <w:r>
              <w:t>废气</w:t>
            </w:r>
          </w:p>
          <w:p>
            <w:pPr>
              <w:keepNext w:val="0"/>
              <w:keepLines w:val="0"/>
              <w:suppressLineNumbers w:val="0"/>
              <w:spacing w:before="0" w:beforeAutospacing="0" w:after="0" w:afterAutospacing="0"/>
              <w:ind w:left="0" w:right="0" w:firstLine="480"/>
              <w:jc w:val="both"/>
            </w:pPr>
            <w:r>
              <w:rPr>
                <w:rFonts w:hint="eastAsia"/>
              </w:rPr>
              <w:t xml:space="preserve">本项目调漆、喷漆、自然晾干工序均产生有机废气（本次环评以VOCs计）。 </w:t>
            </w:r>
          </w:p>
          <w:p>
            <w:pPr>
              <w:pStyle w:val="2"/>
              <w:keepNext w:val="0"/>
              <w:keepLines w:val="0"/>
              <w:suppressLineNumbers w:val="0"/>
              <w:spacing w:before="0" w:beforeAutospacing="0" w:after="0" w:afterAutospacing="0"/>
              <w:ind w:left="0" w:right="0" w:firstLine="480"/>
              <w:jc w:val="both"/>
            </w:pPr>
            <w:r>
              <w:rPr>
                <w:rFonts w:hint="eastAsia"/>
              </w:rPr>
              <w:t>本项目在2个生产厂房内均设置有喷漆房，喷涂车间与生产车间之间以密闭门隔开。其中喷漆房占地面积为60</w:t>
            </w:r>
            <w:r>
              <w:t>m</w:t>
            </w:r>
            <w:r>
              <w:rPr>
                <w:vertAlign w:val="superscript"/>
              </w:rPr>
              <w:t>2</w:t>
            </w:r>
            <w:r>
              <w:rPr>
                <w:rFonts w:hint="eastAsia"/>
              </w:rPr>
              <w:t>、高9.6</w:t>
            </w:r>
            <w:r>
              <w:t>m</w:t>
            </w:r>
            <w:r>
              <w:rPr>
                <w:rFonts w:hint="eastAsia"/>
              </w:rPr>
              <w:t>，本项目调漆、喷漆、自然晾干均在负压密闭的喷漆房内进行。</w:t>
            </w:r>
          </w:p>
          <w:p>
            <w:pPr>
              <w:keepNext w:val="0"/>
              <w:keepLines w:val="0"/>
              <w:suppressLineNumbers w:val="0"/>
              <w:spacing w:before="0" w:beforeAutospacing="0" w:after="0" w:afterAutospacing="0"/>
              <w:ind w:left="0" w:right="0" w:firstLine="480"/>
              <w:jc w:val="both"/>
            </w:pPr>
            <w:r>
              <w:rPr>
                <w:rFonts w:hint="eastAsia"/>
              </w:rPr>
              <w:t xml:space="preserve">A、各涂装工序作业时间 </w:t>
            </w:r>
          </w:p>
          <w:p>
            <w:pPr>
              <w:keepNext w:val="0"/>
              <w:keepLines w:val="0"/>
              <w:suppressLineNumbers w:val="0"/>
              <w:spacing w:before="0" w:beforeAutospacing="0" w:after="0" w:afterAutospacing="0"/>
              <w:ind w:left="0" w:right="0" w:firstLine="480"/>
              <w:jc w:val="both"/>
            </w:pPr>
            <w:r>
              <w:t>a</w:t>
            </w:r>
            <w:r>
              <w:rPr>
                <w:rFonts w:hint="eastAsia"/>
              </w:rPr>
              <w:t>、调漆：每天工作1次，每次约30</w:t>
            </w:r>
            <w:r>
              <w:t>min</w:t>
            </w:r>
            <w:r>
              <w:rPr>
                <w:rFonts w:hint="eastAsia"/>
              </w:rPr>
              <w:t>，即0.5h</w:t>
            </w:r>
            <w:r>
              <w:t>/d</w:t>
            </w:r>
            <w:r>
              <w:rPr>
                <w:rFonts w:hint="eastAsia"/>
              </w:rPr>
              <w:t>，每年工作</w:t>
            </w:r>
            <w:r>
              <w:t>300</w:t>
            </w:r>
            <w:r>
              <w:rPr>
                <w:rFonts w:hint="eastAsia"/>
              </w:rPr>
              <w:t xml:space="preserve">天； </w:t>
            </w:r>
          </w:p>
          <w:p>
            <w:pPr>
              <w:keepNext w:val="0"/>
              <w:keepLines w:val="0"/>
              <w:suppressLineNumbers w:val="0"/>
              <w:spacing w:before="0" w:beforeAutospacing="0" w:after="0" w:afterAutospacing="0"/>
              <w:ind w:left="0" w:right="0" w:firstLine="480"/>
              <w:jc w:val="both"/>
            </w:pPr>
            <w:r>
              <w:rPr>
                <w:rFonts w:hint="eastAsia"/>
              </w:rPr>
              <w:t>c、喷面漆：每天工作1次，每次约2h，即2h</w:t>
            </w:r>
            <w:r>
              <w:t>/d</w:t>
            </w:r>
            <w:r>
              <w:rPr>
                <w:rFonts w:hint="eastAsia"/>
              </w:rPr>
              <w:t>，每年工作</w:t>
            </w:r>
            <w:r>
              <w:t>300</w:t>
            </w:r>
            <w:r>
              <w:rPr>
                <w:rFonts w:hint="eastAsia"/>
              </w:rPr>
              <w:t xml:space="preserve">天； </w:t>
            </w:r>
          </w:p>
          <w:p>
            <w:pPr>
              <w:keepNext w:val="0"/>
              <w:keepLines w:val="0"/>
              <w:suppressLineNumbers w:val="0"/>
              <w:spacing w:before="0" w:beforeAutospacing="0" w:after="0" w:afterAutospacing="0"/>
              <w:ind w:left="0" w:right="0" w:firstLine="480"/>
              <w:jc w:val="both"/>
            </w:pPr>
            <w:r>
              <w:rPr>
                <w:rFonts w:hint="eastAsia"/>
              </w:rPr>
              <w:t>d、晾干：每天工作1次，每次约1h，即1h</w:t>
            </w:r>
            <w:r>
              <w:t>/d</w:t>
            </w:r>
            <w:r>
              <w:rPr>
                <w:rFonts w:hint="eastAsia"/>
              </w:rPr>
              <w:t>，每年工作</w:t>
            </w:r>
            <w:r>
              <w:t>300</w:t>
            </w:r>
            <w:r>
              <w:rPr>
                <w:rFonts w:hint="eastAsia"/>
              </w:rPr>
              <w:t xml:space="preserve">天。 </w:t>
            </w:r>
          </w:p>
          <w:p>
            <w:pPr>
              <w:keepNext w:val="0"/>
              <w:keepLines w:val="0"/>
              <w:suppressLineNumbers w:val="0"/>
              <w:spacing w:before="0" w:beforeAutospacing="0" w:after="0" w:afterAutospacing="0"/>
              <w:ind w:left="0" w:right="0" w:firstLine="480"/>
              <w:jc w:val="both"/>
            </w:pPr>
            <w:r>
              <w:rPr>
                <w:rFonts w:hint="eastAsia"/>
              </w:rPr>
              <w:t>调漆、喷漆、晾干工作时间共计3.5h</w:t>
            </w:r>
            <w:r>
              <w:t>/d</w:t>
            </w:r>
            <w:r>
              <w:rPr>
                <w:rFonts w:hint="eastAsia"/>
              </w:rPr>
              <w:t>（1050</w:t>
            </w:r>
            <w:r>
              <w:t>h/a</w:t>
            </w:r>
            <w:r>
              <w:rPr>
                <w:rFonts w:hint="eastAsia"/>
              </w:rPr>
              <w:t>）。</w:t>
            </w:r>
          </w:p>
          <w:p>
            <w:pPr>
              <w:pStyle w:val="2"/>
              <w:keepNext w:val="0"/>
              <w:keepLines w:val="0"/>
              <w:suppressLineNumbers w:val="0"/>
              <w:spacing w:before="0" w:beforeAutospacing="0" w:after="0" w:afterAutospacing="0"/>
              <w:ind w:left="0" w:right="0" w:firstLine="480"/>
              <w:jc w:val="both"/>
            </w:pPr>
            <w:r>
              <w:rPr>
                <w:rFonts w:hint="eastAsia"/>
              </w:rPr>
              <w:t>B、项目使用涂料类别</w:t>
            </w:r>
          </w:p>
          <w:p>
            <w:pPr>
              <w:keepNext w:val="0"/>
              <w:keepLines w:val="0"/>
              <w:suppressLineNumbers w:val="0"/>
              <w:spacing w:before="0" w:beforeAutospacing="0" w:after="0" w:afterAutospacing="0"/>
              <w:ind w:left="0" w:right="0" w:firstLine="480"/>
              <w:jc w:val="both"/>
            </w:pPr>
            <w:r>
              <w:rPr>
                <w:rFonts w:hint="eastAsia"/>
              </w:rPr>
              <w:t>本项目使用的涂料为面漆，有机废气产生量按涂料挥发性物质全挥发计算。本项目底漆及面漆均为水性丙烯酸漆，涂料不需使用有机溶剂，以水为溶剂，不含三苯，本次环评以挥发性有机物（VOCs）挥发量计算。根据《环境标志产品技术要求一水性涂料》（</w:t>
            </w:r>
            <w:r>
              <w:t>HJ2537-2014</w:t>
            </w:r>
            <w:r>
              <w:rPr>
                <w:rFonts w:hint="eastAsia"/>
              </w:rPr>
              <w:t>）表</w:t>
            </w:r>
            <w:r>
              <w:t>2</w:t>
            </w:r>
            <w:r>
              <w:rPr>
                <w:rFonts w:hint="eastAsia"/>
              </w:rPr>
              <w:t xml:space="preserve">工业涂料中有害物质值，具体见下表。 </w:t>
            </w:r>
          </w:p>
          <w:p>
            <w:pPr>
              <w:pStyle w:val="25"/>
              <w:keepNext w:val="0"/>
              <w:keepLines w:val="0"/>
              <w:suppressLineNumbers w:val="0"/>
              <w:spacing w:before="0" w:beforeAutospacing="0" w:after="0" w:afterAutospacing="0" w:line="240" w:lineRule="auto"/>
              <w:ind w:left="0" w:right="0"/>
            </w:pPr>
            <w:r>
              <w:rPr>
                <w:rFonts w:hint="eastAsia"/>
              </w:rPr>
              <w:t>表5-3 工业涂料中有害物质限值</w:t>
            </w:r>
          </w:p>
          <w:tbl>
            <w:tblPr>
              <w:tblStyle w:val="19"/>
              <w:tblW w:w="830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138"/>
              <w:gridCol w:w="4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153" w:type="dxa"/>
                  <w:noWrap/>
                  <w:vAlign w:val="center"/>
                </w:tcPr>
                <w:p>
                  <w:pPr>
                    <w:pStyle w:val="26"/>
                    <w:keepNext w:val="0"/>
                    <w:keepLines w:val="0"/>
                    <w:suppressLineNumbers w:val="0"/>
                    <w:spacing w:before="0" w:beforeAutospacing="0" w:after="0" w:afterAutospacing="0"/>
                    <w:ind w:left="0" w:right="0"/>
                    <w:rPr>
                      <w:color w:val="auto"/>
                    </w:rPr>
                  </w:pPr>
                  <w:r>
                    <w:rPr>
                      <w:rFonts w:hint="eastAsia"/>
                      <w:color w:val="auto"/>
                    </w:rPr>
                    <w:t>项目/产品种类</w:t>
                  </w:r>
                </w:p>
              </w:tc>
              <w:tc>
                <w:tcPr>
                  <w:tcW w:w="4153" w:type="dxa"/>
                  <w:noWrap/>
                  <w:vAlign w:val="center"/>
                </w:tcPr>
                <w:p>
                  <w:pPr>
                    <w:pStyle w:val="26"/>
                    <w:keepNext w:val="0"/>
                    <w:keepLines w:val="0"/>
                    <w:suppressLineNumbers w:val="0"/>
                    <w:spacing w:before="0" w:beforeAutospacing="0" w:after="0" w:afterAutospacing="0"/>
                    <w:ind w:left="0" w:right="0"/>
                    <w:rPr>
                      <w:color w:val="auto"/>
                    </w:rPr>
                  </w:pPr>
                  <w:r>
                    <w:rPr>
                      <w:rFonts w:hint="eastAsia"/>
                      <w:color w:val="auto"/>
                    </w:rPr>
                    <w:t>防腐涂料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153" w:type="dxa"/>
                  <w:noWrap/>
                  <w:vAlign w:val="center"/>
                </w:tcPr>
                <w:p>
                  <w:pPr>
                    <w:pStyle w:val="26"/>
                    <w:keepNext w:val="0"/>
                    <w:keepLines w:val="0"/>
                    <w:suppressLineNumbers w:val="0"/>
                    <w:spacing w:before="0" w:beforeAutospacing="0" w:after="0" w:afterAutospacing="0"/>
                    <w:ind w:left="0" w:right="0"/>
                    <w:rPr>
                      <w:color w:val="auto"/>
                    </w:rPr>
                  </w:pPr>
                  <w:r>
                    <w:rPr>
                      <w:rFonts w:hint="eastAsia"/>
                      <w:color w:val="auto"/>
                    </w:rPr>
                    <w:t>挥发性有机物</w:t>
                  </w:r>
                </w:p>
              </w:tc>
              <w:tc>
                <w:tcPr>
                  <w:tcW w:w="4153" w:type="dxa"/>
                  <w:noWrap/>
                  <w:vAlign w:val="center"/>
                </w:tcPr>
                <w:p>
                  <w:pPr>
                    <w:pStyle w:val="26"/>
                    <w:keepNext w:val="0"/>
                    <w:keepLines w:val="0"/>
                    <w:suppressLineNumbers w:val="0"/>
                    <w:spacing w:before="0" w:beforeAutospacing="0" w:after="0" w:afterAutospacing="0"/>
                    <w:ind w:left="0" w:right="0"/>
                    <w:rPr>
                      <w:color w:val="auto"/>
                    </w:rPr>
                  </w:pPr>
                  <w:r>
                    <w:rPr>
                      <w:rFonts w:hint="eastAsia"/>
                      <w:color w:val="auto"/>
                    </w:rPr>
                    <w:t>≤250g/L</w:t>
                  </w:r>
                </w:p>
              </w:tc>
            </w:tr>
          </w:tbl>
          <w:p>
            <w:pPr>
              <w:keepNext w:val="0"/>
              <w:keepLines w:val="0"/>
              <w:suppressLineNumbers w:val="0"/>
              <w:spacing w:before="0" w:beforeAutospacing="0" w:after="0" w:afterAutospacing="0"/>
              <w:ind w:left="0" w:right="0" w:firstLine="480"/>
              <w:jc w:val="both"/>
            </w:pPr>
            <w:r>
              <w:rPr>
                <w:rFonts w:hint="eastAsia"/>
              </w:rPr>
              <w:t>根据建设单位提供的资料，本项目水性涂料由云南京昆水漆涂料有限公司提供。根据该公司委托国家涂料质量监督检验中心对本项目使用的涂料进行检测，水性漆检验报告（见附件3），项目所用水性涂料中VOCs检测结果为15</w:t>
            </w:r>
            <w:r>
              <w:t>g/L</w:t>
            </w:r>
            <w:r>
              <w:rPr>
                <w:rFonts w:hint="eastAsia"/>
              </w:rPr>
              <w:t>，满足《环境标志产品技术要求一水性涂料》（</w:t>
            </w:r>
            <w:r>
              <w:t>HJ2537-2014</w:t>
            </w:r>
            <w:r>
              <w:rPr>
                <w:rFonts w:hint="eastAsia"/>
              </w:rPr>
              <w:t>）表</w:t>
            </w:r>
            <w:r>
              <w:t>2</w:t>
            </w:r>
            <w:r>
              <w:rPr>
                <w:rFonts w:hint="eastAsia"/>
              </w:rPr>
              <w:t xml:space="preserve">工业涂料中有害物质值。 </w:t>
            </w:r>
          </w:p>
          <w:p>
            <w:pPr>
              <w:keepNext w:val="0"/>
              <w:keepLines w:val="0"/>
              <w:suppressLineNumbers w:val="0"/>
              <w:spacing w:before="0" w:beforeAutospacing="0" w:after="0" w:afterAutospacing="0"/>
              <w:ind w:left="0" w:right="0" w:firstLine="480"/>
              <w:jc w:val="both"/>
            </w:pPr>
            <w:r>
              <w:rPr>
                <w:rFonts w:hint="eastAsia"/>
              </w:rPr>
              <w:t>项目喷漆过程中，VOCs，固体分部分附着于工件表面，形成漆层，剩余部分形成漆渣、漆雾。</w:t>
            </w:r>
          </w:p>
          <w:p>
            <w:pPr>
              <w:keepNext w:val="0"/>
              <w:keepLines w:val="0"/>
              <w:suppressLineNumbers w:val="0"/>
              <w:spacing w:before="0" w:beforeAutospacing="0" w:after="0" w:afterAutospacing="0"/>
              <w:ind w:left="0" w:right="0" w:firstLine="480"/>
              <w:jc w:val="both"/>
            </w:pPr>
            <w:r>
              <w:rPr>
                <w:rFonts w:hint="eastAsia"/>
              </w:rPr>
              <w:t>C、挥发性有机物产生与排放情况</w:t>
            </w:r>
          </w:p>
          <w:p>
            <w:pPr>
              <w:keepNext w:val="0"/>
              <w:keepLines w:val="0"/>
              <w:suppressLineNumbers w:val="0"/>
              <w:spacing w:before="0" w:beforeAutospacing="0" w:after="0" w:afterAutospacing="0"/>
              <w:ind w:left="0" w:right="0" w:firstLine="480"/>
              <w:jc w:val="both"/>
            </w:pPr>
            <w:r>
              <w:rPr>
                <w:rFonts w:hint="eastAsia"/>
              </w:rPr>
              <w:t>根据业主提供的产品方案，本项目钢模板约10%需进行喷漆，爬模约10%需要喷漆，隧道台车约10%需要喷漆，则合计需要喷漆的钢材量为本项目每年需对3000t材料进行喷漆，根据表1-7核算，本项目年使用涂料量为8.49t/a，使用的水性漆密度为1.35g/cm</w:t>
            </w:r>
            <w:r>
              <w:rPr>
                <w:rFonts w:hint="eastAsia"/>
                <w:vertAlign w:val="superscript"/>
              </w:rPr>
              <w:t>3</w:t>
            </w:r>
            <w:r>
              <w:rPr>
                <w:rFonts w:hint="eastAsia"/>
              </w:rPr>
              <w:t>，则水性漆用量为6288.9L/a，根据油漆检测报告，所用水性涂料中VOCs检测结果为15</w:t>
            </w:r>
            <w:r>
              <w:t>g/L</w:t>
            </w:r>
            <w:r>
              <w:rPr>
                <w:rFonts w:hint="eastAsia"/>
              </w:rPr>
              <w:t>，</w:t>
            </w:r>
            <w:r>
              <w:t>本次核算考虑全部挥发</w:t>
            </w:r>
            <w:r>
              <w:rPr>
                <w:rFonts w:hint="eastAsia"/>
              </w:rPr>
              <w:t>，</w:t>
            </w:r>
            <w:r>
              <w:t>则</w:t>
            </w:r>
            <w:r>
              <w:rPr>
                <w:rFonts w:hint="eastAsia"/>
              </w:rPr>
              <w:t xml:space="preserve">VOCs产生量为0.094t/a。 </w:t>
            </w:r>
          </w:p>
          <w:p>
            <w:pPr>
              <w:keepNext w:val="0"/>
              <w:keepLines w:val="0"/>
              <w:suppressLineNumbers w:val="0"/>
              <w:spacing w:before="0" w:beforeAutospacing="0" w:after="0" w:afterAutospacing="0"/>
              <w:ind w:left="0" w:right="0" w:firstLine="480"/>
              <w:jc w:val="both"/>
            </w:pPr>
            <w:r>
              <w:rPr>
                <w:rFonts w:hint="eastAsia"/>
              </w:rPr>
              <w:t>本项目调漆、喷漆、晾干工作均在喷漆车间进行，喷漆车间处于均负压密闭状态，仅在进料与出料开门时有少量有机废气溢出。喷漆车间设置负压抽送风装置，日常需加强管理与修护确保喷漆车间墙体处于密封不漏风，（有机废气收集效率90%，处理效率80%）。</w:t>
            </w:r>
          </w:p>
          <w:p>
            <w:pPr>
              <w:keepNext w:val="0"/>
              <w:keepLines w:val="0"/>
              <w:suppressLineNumbers w:val="0"/>
              <w:spacing w:before="0" w:beforeAutospacing="0" w:after="0" w:afterAutospacing="0"/>
              <w:ind w:left="0" w:right="0" w:firstLine="480"/>
              <w:jc w:val="both"/>
            </w:pPr>
            <w:r>
              <w:rPr>
                <w:rFonts w:hint="eastAsia"/>
              </w:rPr>
              <w:t>各喷漆房占地面积为60</w:t>
            </w:r>
            <w:r>
              <w:t>m</w:t>
            </w:r>
            <w:r>
              <w:rPr>
                <w:vertAlign w:val="superscript"/>
              </w:rPr>
              <w:t>2</w:t>
            </w:r>
            <w:r>
              <w:rPr>
                <w:rFonts w:hint="eastAsia"/>
              </w:rPr>
              <w:t>、高9.6</w:t>
            </w:r>
            <w:r>
              <w:t>m</w:t>
            </w:r>
            <w:r>
              <w:rPr>
                <w:rFonts w:hint="eastAsia"/>
              </w:rPr>
              <w:t>，本项目调漆、喷漆、晾干均在负压密闭的喷漆车间进行，本项目最大风量为10000m</w:t>
            </w:r>
            <w:r>
              <w:rPr>
                <w:rFonts w:hint="eastAsia"/>
                <w:vertAlign w:val="superscript"/>
              </w:rPr>
              <w:t>3</w:t>
            </w:r>
            <w:r>
              <w:t>/h</w:t>
            </w:r>
            <w:r>
              <w:rPr>
                <w:rFonts w:hint="eastAsia"/>
              </w:rPr>
              <w:t>，喷漆车间工作时长为1050</w:t>
            </w:r>
            <w:r>
              <w:t>h</w:t>
            </w:r>
            <w:r>
              <w:rPr>
                <w:rFonts w:hint="eastAsia"/>
              </w:rPr>
              <w:t>（每天运作3.5</w:t>
            </w:r>
            <w:r>
              <w:t>h</w:t>
            </w:r>
            <w:r>
              <w:rPr>
                <w:rFonts w:hint="eastAsia"/>
              </w:rPr>
              <w:t>，年运作</w:t>
            </w:r>
            <w:r>
              <w:t>300</w:t>
            </w:r>
            <w:r>
              <w:rPr>
                <w:rFonts w:hint="eastAsia"/>
              </w:rPr>
              <w:t>天）算。本项目2个喷漆房废气分别经管道收集至1台过滤棉+活性炭吸附处理装置处理VOCs（去除效率按80</w:t>
            </w:r>
            <w:r>
              <w:t>%</w:t>
            </w:r>
            <w:r>
              <w:rPr>
                <w:rFonts w:hint="eastAsia"/>
              </w:rPr>
              <w:t>计）后由1根</w:t>
            </w:r>
            <w:r>
              <w:t>15m</w:t>
            </w:r>
            <w:r>
              <w:rPr>
                <w:rFonts w:hint="eastAsia"/>
              </w:rPr>
              <w:t>高排气筒排放。</w:t>
            </w:r>
          </w:p>
          <w:p>
            <w:pPr>
              <w:keepNext w:val="0"/>
              <w:keepLines w:val="0"/>
              <w:suppressLineNumbers w:val="0"/>
              <w:spacing w:before="0" w:beforeAutospacing="0" w:after="0" w:afterAutospacing="0"/>
              <w:ind w:left="0" w:right="0" w:firstLine="480"/>
              <w:jc w:val="both"/>
            </w:pPr>
            <w:r>
              <w:rPr>
                <w:rFonts w:hint="eastAsia"/>
              </w:rPr>
              <w:t>VOCs收集效率为90%，则进入处理装置VOCs为0.085t/a，产生速率为0.081kg/h，产生浓度为8.1 mg/m</w:t>
            </w:r>
            <w:r>
              <w:rPr>
                <w:rFonts w:hint="eastAsia"/>
                <w:vertAlign w:val="superscript"/>
              </w:rPr>
              <w:t>3</w:t>
            </w:r>
            <w:r>
              <w:rPr>
                <w:rFonts w:hint="eastAsia"/>
              </w:rPr>
              <w:t>，去除效率为80%，则有组织排放的VOCs量为0.017 t/a，排放速率为0.016 kg/h，排放浓度1.62mg/m</w:t>
            </w:r>
            <w:r>
              <w:rPr>
                <w:rFonts w:hint="eastAsia"/>
                <w:vertAlign w:val="superscript"/>
              </w:rPr>
              <w:t>3</w:t>
            </w:r>
            <w:r>
              <w:rPr>
                <w:rFonts w:hint="eastAsia"/>
              </w:rPr>
              <w:t>，未被收集的VOCs量为0.009t/a（0.009kg/h），在车间内全部以无组织形式排放。</w:t>
            </w:r>
          </w:p>
          <w:p>
            <w:pPr>
              <w:keepNext w:val="0"/>
              <w:keepLines w:val="0"/>
              <w:suppressLineNumbers w:val="0"/>
              <w:spacing w:before="0" w:beforeAutospacing="0" w:after="0" w:afterAutospacing="0"/>
              <w:ind w:left="0" w:right="0" w:firstLine="480"/>
              <w:jc w:val="both"/>
            </w:pPr>
            <w:r>
              <w:rPr>
                <w:rFonts w:hint="eastAsia"/>
              </w:rPr>
              <w:t>D、漆雾产生与排放情况</w:t>
            </w:r>
          </w:p>
          <w:p>
            <w:pPr>
              <w:keepNext w:val="0"/>
              <w:keepLines w:val="0"/>
              <w:suppressLineNumbers w:val="0"/>
              <w:spacing w:before="0" w:beforeAutospacing="0" w:after="0" w:afterAutospacing="0"/>
              <w:ind w:left="0" w:right="0" w:firstLine="480"/>
              <w:jc w:val="both"/>
            </w:pPr>
            <w:r>
              <w:rPr>
                <w:rFonts w:hint="eastAsia"/>
              </w:rPr>
              <w:t>喷漆过程中，涂料在高压作用下雾化成颗粒，均匀喷涂在工件表面。由于喷</w:t>
            </w:r>
          </w:p>
          <w:p>
            <w:pPr>
              <w:keepNext w:val="0"/>
              <w:keepLines w:val="0"/>
              <w:suppressLineNumbers w:val="0"/>
              <w:spacing w:before="0" w:beforeAutospacing="0" w:after="0" w:afterAutospacing="0"/>
              <w:ind w:left="0" w:right="0" w:firstLine="0" w:firstLineChars="0"/>
              <w:jc w:val="both"/>
            </w:pPr>
            <w:r>
              <w:rPr>
                <w:rFonts w:hint="eastAsia"/>
              </w:rPr>
              <w:t>涂时，涂料未能完全附着，未能附着到工件表面的涂料（即漆雾）逸散到空气中或被喷漆房底部的涂料废水收集池吸收，根据《现代涂料与涂装》（2006.10期），喷涂距离在10-15cm时，水性漆的附着率约为70%，则未附着的涂料（即漆雾）为30%，约2.547 t/a。</w:t>
            </w:r>
          </w:p>
          <w:p>
            <w:pPr>
              <w:pStyle w:val="11"/>
              <w:keepNext w:val="0"/>
              <w:keepLines w:val="0"/>
              <w:suppressLineNumbers w:val="0"/>
              <w:spacing w:before="0" w:beforeAutospacing="0" w:after="0" w:afterAutospacing="0"/>
              <w:ind w:left="0" w:right="0" w:firstLine="480"/>
              <w:jc w:val="both"/>
              <w:rPr>
                <w:rFonts w:ascii="Times New Roman" w:hAnsi="Times New Roman" w:cs="Times New Roman"/>
              </w:rPr>
            </w:pPr>
            <w:r>
              <w:rPr>
                <w:rFonts w:ascii="Times New Roman" w:hAnsi="Times New Roman" w:cs="Times New Roman"/>
              </w:rPr>
              <w:t>经喷枪高速喷出后，未附着于工件表面的涂料（即漆雾）约60%直接进入到喷漆房底部的涂料废液收集池被水吸收，剩余的40%的涂料（即漆雾）经各喷漆房抽风系统进入1套过滤棉+活性炭吸附处理，经处理后的漆雾由15m 高排气筒排放。本项目未附着的漆雾为2.547 t/a</w:t>
            </w:r>
            <w:r>
              <w:rPr>
                <w:rFonts w:hint="eastAsia" w:ascii="Times New Roman" w:hAnsi="Times New Roman" w:cs="Times New Roman"/>
              </w:rPr>
              <w:t>，进入涂料收集池的为1.528</w:t>
            </w:r>
            <w:r>
              <w:rPr>
                <w:rFonts w:ascii="Times New Roman" w:hAnsi="Times New Roman" w:cs="Times New Roman"/>
              </w:rPr>
              <w:t xml:space="preserve"> t/a</w:t>
            </w:r>
            <w:r>
              <w:rPr>
                <w:rFonts w:hint="eastAsia" w:ascii="Times New Roman" w:hAnsi="Times New Roman" w:cs="Times New Roman"/>
              </w:rPr>
              <w:t>，则</w:t>
            </w:r>
            <w:r>
              <w:rPr>
                <w:rFonts w:ascii="Times New Roman" w:hAnsi="Times New Roman" w:cs="Times New Roman"/>
              </w:rPr>
              <w:t>废气处理装置处理量为</w:t>
            </w:r>
            <w:r>
              <w:rPr>
                <w:rFonts w:hint="eastAsia" w:ascii="Times New Roman" w:hAnsi="Times New Roman" w:cs="Times New Roman"/>
              </w:rPr>
              <w:t>1.019</w:t>
            </w:r>
            <w:r>
              <w:rPr>
                <w:rFonts w:ascii="Times New Roman" w:hAnsi="Times New Roman" w:cs="Times New Roman"/>
              </w:rPr>
              <w:t xml:space="preserve"> t/a</w:t>
            </w:r>
            <w:r>
              <w:rPr>
                <w:rFonts w:hint="eastAsia" w:ascii="Times New Roman" w:hAnsi="Times New Roman" w:cs="Times New Roman"/>
              </w:rPr>
              <w:t>，</w:t>
            </w:r>
            <w:r>
              <w:rPr>
                <w:rFonts w:ascii="Times New Roman" w:hAnsi="Times New Roman" w:cs="Times New Roman"/>
              </w:rPr>
              <w:t>捕集率按90%算，则本项目漆雾有组织产生量为</w:t>
            </w:r>
            <w:r>
              <w:rPr>
                <w:rFonts w:hint="eastAsia" w:ascii="Times New Roman" w:hAnsi="Times New Roman" w:cs="Times New Roman"/>
              </w:rPr>
              <w:t>0.917</w:t>
            </w:r>
            <w:r>
              <w:rPr>
                <w:rFonts w:ascii="Times New Roman" w:hAnsi="Times New Roman" w:cs="Times New Roman"/>
              </w:rPr>
              <w:t>t/a，产生速率为</w:t>
            </w:r>
            <w:r>
              <w:rPr>
                <w:rFonts w:hint="eastAsia" w:ascii="Times New Roman" w:hAnsi="Times New Roman" w:cs="Times New Roman"/>
              </w:rPr>
              <w:t>0.873</w:t>
            </w:r>
            <w:r>
              <w:rPr>
                <w:rFonts w:ascii="Times New Roman" w:hAnsi="Times New Roman" w:cs="Times New Roman"/>
              </w:rPr>
              <w:t xml:space="preserve"> kg/h，产生浓度为</w:t>
            </w:r>
            <w:r>
              <w:rPr>
                <w:rFonts w:hint="eastAsia" w:ascii="Times New Roman" w:hAnsi="Times New Roman" w:cs="Times New Roman"/>
              </w:rPr>
              <w:t>87.3</w:t>
            </w:r>
            <w:r>
              <w:rPr>
                <w:rFonts w:ascii="Times New Roman" w:hAnsi="Times New Roman" w:cs="Times New Roman"/>
              </w:rPr>
              <w:t xml:space="preserve"> mg/m</w:t>
            </w:r>
            <w:r>
              <w:rPr>
                <w:rFonts w:ascii="Times New Roman" w:hAnsi="Times New Roman" w:cs="Times New Roman"/>
                <w:vertAlign w:val="superscript"/>
              </w:rPr>
              <w:t>3</w:t>
            </w:r>
            <w:r>
              <w:rPr>
                <w:rFonts w:ascii="Times New Roman" w:hAnsi="Times New Roman" w:cs="Times New Roman"/>
              </w:rPr>
              <w:t>。处理系统去除率可达95%，则有组织排放量为</w:t>
            </w:r>
            <w:r>
              <w:rPr>
                <w:rFonts w:hint="eastAsia" w:ascii="Times New Roman" w:hAnsi="Times New Roman" w:cs="Times New Roman"/>
              </w:rPr>
              <w:t>0.046</w:t>
            </w:r>
            <w:r>
              <w:rPr>
                <w:rFonts w:ascii="Times New Roman" w:hAnsi="Times New Roman" w:cs="Times New Roman"/>
              </w:rPr>
              <w:t xml:space="preserve"> t/a，排放速率为</w:t>
            </w:r>
            <w:r>
              <w:rPr>
                <w:rFonts w:hint="eastAsia" w:ascii="Times New Roman" w:hAnsi="Times New Roman" w:cs="Times New Roman"/>
              </w:rPr>
              <w:t>0.042</w:t>
            </w:r>
            <w:r>
              <w:rPr>
                <w:rFonts w:ascii="Times New Roman" w:hAnsi="Times New Roman" w:cs="Times New Roman"/>
              </w:rPr>
              <w:t>kg/h，排放浓度为</w:t>
            </w:r>
            <w:r>
              <w:rPr>
                <w:rFonts w:hint="eastAsia" w:ascii="Times New Roman" w:hAnsi="Times New Roman" w:cs="Times New Roman"/>
              </w:rPr>
              <w:t>4.365</w:t>
            </w:r>
            <w:r>
              <w:rPr>
                <w:rFonts w:ascii="Times New Roman" w:hAnsi="Times New Roman" w:cs="Times New Roman"/>
              </w:rPr>
              <w:t>mg/m</w:t>
            </w:r>
            <w:r>
              <w:rPr>
                <w:rFonts w:ascii="Times New Roman" w:hAnsi="Times New Roman" w:cs="Times New Roman"/>
                <w:vertAlign w:val="superscript"/>
              </w:rPr>
              <w:t>3</w:t>
            </w:r>
            <w:r>
              <w:rPr>
                <w:rFonts w:ascii="Times New Roman" w:hAnsi="Times New Roman" w:cs="Times New Roman"/>
              </w:rPr>
              <w:t>。无组织漆雾产生量为</w:t>
            </w:r>
            <w:r>
              <w:rPr>
                <w:rFonts w:hint="eastAsia" w:ascii="Times New Roman" w:hAnsi="Times New Roman" w:cs="Times New Roman"/>
              </w:rPr>
              <w:t>0.102</w:t>
            </w:r>
            <w:r>
              <w:rPr>
                <w:rFonts w:ascii="Times New Roman" w:hAnsi="Times New Roman" w:cs="Times New Roman"/>
              </w:rPr>
              <w:t xml:space="preserve"> t/a（</w:t>
            </w:r>
            <w:r>
              <w:rPr>
                <w:rFonts w:hint="eastAsia" w:ascii="Times New Roman" w:hAnsi="Times New Roman" w:cs="Times New Roman"/>
              </w:rPr>
              <w:t>0.097</w:t>
            </w:r>
            <w:r>
              <w:rPr>
                <w:rFonts w:ascii="Times New Roman" w:hAnsi="Times New Roman" w:cs="Times New Roman"/>
              </w:rPr>
              <w:t xml:space="preserve"> kg/h），全部在车间无组织排放。</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4 \* GB3 </w:instrText>
            </w:r>
            <w:r>
              <w:rPr>
                <w:rFonts w:hint="eastAsia"/>
              </w:rPr>
              <w:fldChar w:fldCharType="separate"/>
            </w:r>
            <w:r>
              <w:rPr>
                <w:rFonts w:hint="eastAsia"/>
              </w:rPr>
              <w:t>④</w:t>
            </w:r>
            <w:r>
              <w:rPr>
                <w:rFonts w:hint="eastAsia"/>
              </w:rPr>
              <w:fldChar w:fldCharType="end"/>
            </w:r>
            <w:r>
              <w:t>食堂油烟</w:t>
            </w:r>
          </w:p>
          <w:p>
            <w:pPr>
              <w:pStyle w:val="2"/>
              <w:keepNext w:val="0"/>
              <w:keepLines w:val="0"/>
              <w:suppressLineNumbers w:val="0"/>
              <w:spacing w:before="0" w:beforeAutospacing="0" w:after="0" w:afterAutospacing="0"/>
              <w:ind w:left="0" w:right="0" w:firstLine="480"/>
              <w:jc w:val="both"/>
            </w:pPr>
            <w:r>
              <w:t>食物在烹饪、加工过程中将挥发出油脂、有机质及热分解或裂解产物，从而产生油烟废气。本项目设置两个基准灶头</w:t>
            </w:r>
            <w:r>
              <w:rPr>
                <w:rFonts w:hint="eastAsia"/>
              </w:rPr>
              <w:t>，</w:t>
            </w:r>
            <w:r>
              <w:t>按照</w:t>
            </w:r>
            <w:r>
              <w:rPr>
                <w:lang w:val="zh-CN"/>
              </w:rPr>
              <w:t>《饮食业油烟排放标准（试行）》（GB18483-2001）本项目食堂为小型</w:t>
            </w:r>
            <w:r>
              <w:rPr>
                <w:rFonts w:hint="eastAsia"/>
                <w:lang w:val="zh-CN"/>
              </w:rPr>
              <w:t>规模。</w:t>
            </w:r>
            <w:r>
              <w:rPr>
                <w:rFonts w:hint="eastAsia"/>
              </w:rPr>
              <w:t>通过</w:t>
            </w:r>
            <w:r>
              <w:t>对</w:t>
            </w:r>
            <w:r>
              <w:rPr>
                <w:rFonts w:hint="eastAsia"/>
              </w:rPr>
              <w:t>全国</w:t>
            </w:r>
            <w:r>
              <w:t>居民用油情况的类比调查，目前居民人均食用油用量约30g/人·d，一般油烟挥发量占总耗油量的2-4%，平均为3%，烹饪油烟浓度一般为4mg/m</w:t>
            </w:r>
            <w:r>
              <w:rPr>
                <w:vertAlign w:val="superscript"/>
              </w:rPr>
              <w:t>3</w:t>
            </w:r>
            <w:r>
              <w:t>，</w:t>
            </w:r>
            <w:r>
              <w:rPr>
                <w:rFonts w:hint="eastAsia"/>
              </w:rPr>
              <w:t>扩建食堂</w:t>
            </w:r>
            <w:r>
              <w:t>预计有</w:t>
            </w:r>
            <w:r>
              <w:rPr>
                <w:rFonts w:hint="eastAsia"/>
              </w:rPr>
              <w:t>40</w:t>
            </w:r>
            <w:r>
              <w:t>人在食堂就餐，则油烟产生量约为</w:t>
            </w:r>
            <w:r>
              <w:rPr>
                <w:rFonts w:hint="eastAsia"/>
              </w:rPr>
              <w:t>0.036</w:t>
            </w:r>
            <w:r>
              <w:t>kg/d（</w:t>
            </w:r>
            <w:r>
              <w:rPr>
                <w:rFonts w:hint="eastAsia"/>
              </w:rPr>
              <w:t>0.011</w:t>
            </w:r>
            <w:r>
              <w:t>t/a），经过油烟净化器（油烟去除率≥60%，油烟平均去除率按 60%计，</w:t>
            </w:r>
            <w:r>
              <w:rPr>
                <w:rFonts w:hint="eastAsia"/>
              </w:rPr>
              <w:t>风机风量为2000m</w:t>
            </w:r>
            <w:r>
              <w:rPr>
                <w:rFonts w:hint="eastAsia"/>
                <w:vertAlign w:val="superscript"/>
              </w:rPr>
              <w:t>3</w:t>
            </w:r>
            <w:r>
              <w:rPr>
                <w:rFonts w:hint="eastAsia"/>
              </w:rPr>
              <w:t>/h</w:t>
            </w:r>
            <w:r>
              <w:t>）处理后经过专用油烟管道引至楼顶排放，排放量为</w:t>
            </w:r>
            <w:r>
              <w:rPr>
                <w:rFonts w:hint="eastAsia"/>
              </w:rPr>
              <w:t>0.004</w:t>
            </w:r>
            <w:r>
              <w:t>t/a，排放的油烟浓度降为1.6mg/m</w:t>
            </w:r>
            <w:r>
              <w:rPr>
                <w:vertAlign w:val="superscript"/>
              </w:rPr>
              <w:t>3</w:t>
            </w:r>
            <w:r>
              <w:t>，</w:t>
            </w:r>
            <w:r>
              <w:rPr>
                <w:rFonts w:hint="eastAsia"/>
              </w:rPr>
              <w:t>每天食堂烹饪运行时间按照3小时计算</w:t>
            </w:r>
            <w:r>
              <w:t>，</w:t>
            </w:r>
            <w:r>
              <w:rPr>
                <w:rFonts w:hint="eastAsia"/>
              </w:rPr>
              <w:t>则排放速率为0.005</w:t>
            </w:r>
            <w:r>
              <w:t xml:space="preserve"> kg/h</w:t>
            </w:r>
            <w:r>
              <w:rPr>
                <w:rFonts w:hint="eastAsia"/>
              </w:rPr>
              <w:t>。</w:t>
            </w:r>
          </w:p>
          <w:p>
            <w:pPr>
              <w:keepNext w:val="0"/>
              <w:keepLines w:val="0"/>
              <w:suppressLineNumbers w:val="0"/>
              <w:spacing w:before="0" w:beforeAutospacing="0" w:after="0" w:afterAutospacing="0"/>
              <w:ind w:left="0" w:right="0" w:firstLine="480"/>
              <w:jc w:val="both"/>
            </w:pPr>
            <w:r>
              <w:rPr>
                <w:rFonts w:hint="eastAsia"/>
              </w:rPr>
              <w:t>本项目运营期废气产生与排放情况见下表5-4。</w:t>
            </w:r>
          </w:p>
          <w:p>
            <w:pPr>
              <w:keepNext w:val="0"/>
              <w:keepLines w:val="0"/>
              <w:suppressLineNumbers w:val="0"/>
              <w:spacing w:before="0" w:beforeAutospacing="0" w:after="0" w:afterAutospacing="0" w:line="240" w:lineRule="auto"/>
              <w:ind w:left="0" w:right="0" w:firstLine="422"/>
              <w:jc w:val="center"/>
              <w:rPr>
                <w:b/>
                <w:sz w:val="21"/>
                <w:szCs w:val="21"/>
              </w:rPr>
            </w:pPr>
            <w:r>
              <w:rPr>
                <w:rFonts w:hint="eastAsia"/>
                <w:b/>
                <w:sz w:val="21"/>
                <w:szCs w:val="21"/>
              </w:rPr>
              <w:t>表5-3本项目运营期废气产生与排放情况表</w:t>
            </w:r>
          </w:p>
          <w:tbl>
            <w:tblPr>
              <w:tblStyle w:val="1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58"/>
              <w:gridCol w:w="864"/>
              <w:gridCol w:w="869"/>
              <w:gridCol w:w="1054"/>
              <w:gridCol w:w="998"/>
              <w:gridCol w:w="930"/>
              <w:gridCol w:w="1053"/>
              <w:gridCol w:w="816"/>
              <w:gridCol w:w="93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58" w:type="pct"/>
                  <w:vAlign w:val="center"/>
                </w:tcPr>
                <w:p>
                  <w:pPr>
                    <w:pStyle w:val="33"/>
                    <w:keepNext w:val="0"/>
                    <w:keepLines w:val="0"/>
                    <w:suppressLineNumbers w:val="0"/>
                    <w:spacing w:beforeAutospacing="0" w:after="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排放方式</w:t>
                  </w:r>
                </w:p>
              </w:tc>
              <w:tc>
                <w:tcPr>
                  <w:tcW w:w="522"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排放源</w:t>
                  </w:r>
                </w:p>
              </w:tc>
              <w:tc>
                <w:tcPr>
                  <w:tcW w:w="525"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污染物</w:t>
                  </w:r>
                </w:p>
              </w:tc>
              <w:tc>
                <w:tcPr>
                  <w:tcW w:w="637"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风</w:t>
                  </w:r>
                  <w:r>
                    <w:rPr>
                      <w:rFonts w:ascii="Times New Roman" w:hAnsi="Times New Roman"/>
                      <w:sz w:val="21"/>
                      <w:szCs w:val="21"/>
                    </w:rPr>
                    <w:t>量（</w:t>
                  </w:r>
                  <w:r>
                    <w:rPr>
                      <w:rFonts w:ascii="Times New Roman" w:hAnsi="Times New Roman"/>
                      <w:kern w:val="0"/>
                      <w:sz w:val="21"/>
                      <w:szCs w:val="21"/>
                    </w:rPr>
                    <w:t>m</w:t>
                  </w:r>
                  <w:r>
                    <w:rPr>
                      <w:rFonts w:ascii="Times New Roman" w:hAnsi="Times New Roman"/>
                      <w:kern w:val="0"/>
                      <w:sz w:val="21"/>
                      <w:szCs w:val="21"/>
                      <w:vertAlign w:val="superscript"/>
                    </w:rPr>
                    <w:t>3</w:t>
                  </w:r>
                  <w:r>
                    <w:rPr>
                      <w:rFonts w:ascii="Times New Roman" w:hAnsi="Times New Roman"/>
                      <w:kern w:val="0"/>
                      <w:sz w:val="21"/>
                      <w:szCs w:val="21"/>
                    </w:rPr>
                    <w:t>/h</w:t>
                  </w:r>
                  <w:r>
                    <w:rPr>
                      <w:rFonts w:ascii="Times New Roman" w:hAnsi="Times New Roman"/>
                      <w:sz w:val="21"/>
                      <w:szCs w:val="21"/>
                    </w:rPr>
                    <w:t>）</w:t>
                  </w:r>
                </w:p>
              </w:tc>
              <w:tc>
                <w:tcPr>
                  <w:tcW w:w="603"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污染物产生量（t/a）</w:t>
                  </w:r>
                </w:p>
              </w:tc>
              <w:tc>
                <w:tcPr>
                  <w:tcW w:w="562"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排气筒</w:t>
                  </w:r>
                  <w:r>
                    <w:rPr>
                      <w:rFonts w:hint="eastAsia" w:ascii="Times New Roman" w:hAnsi="Times New Roman"/>
                      <w:sz w:val="21"/>
                      <w:szCs w:val="21"/>
                    </w:rPr>
                    <w:t>有效</w:t>
                  </w:r>
                  <w:r>
                    <w:rPr>
                      <w:rFonts w:ascii="Times New Roman" w:hAnsi="Times New Roman"/>
                      <w:sz w:val="21"/>
                      <w:szCs w:val="21"/>
                    </w:rPr>
                    <w:t>高度（m）</w:t>
                  </w:r>
                </w:p>
              </w:tc>
              <w:tc>
                <w:tcPr>
                  <w:tcW w:w="636"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处理设施</w:t>
                  </w:r>
                </w:p>
              </w:tc>
              <w:tc>
                <w:tcPr>
                  <w:tcW w:w="493"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排放量</w:t>
                  </w:r>
                </w:p>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(t/a)</w:t>
                  </w:r>
                </w:p>
              </w:tc>
              <w:tc>
                <w:tcPr>
                  <w:tcW w:w="564"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排放浓度(</w:t>
                  </w:r>
                  <w:r>
                    <w:rPr>
                      <w:rFonts w:ascii="Times New Roman" w:hAnsi="Times New Roman"/>
                      <w:kern w:val="0"/>
                      <w:sz w:val="21"/>
                      <w:szCs w:val="21"/>
                    </w:rPr>
                    <w:t>mg/m</w:t>
                  </w:r>
                  <w:r>
                    <w:rPr>
                      <w:rFonts w:ascii="Times New Roman" w:hAnsi="Times New Roman"/>
                      <w:kern w:val="0"/>
                      <w:sz w:val="21"/>
                      <w:szCs w:val="21"/>
                      <w:vertAlign w:val="superscript"/>
                    </w:rPr>
                    <w:t>3</w:t>
                  </w:r>
                  <w:r>
                    <w:rPr>
                      <w:rFonts w:ascii="Times New Roman" w:hAnsi="Times New Roman"/>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58" w:type="pct"/>
                  <w:vMerge w:val="restar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有组织排放</w:t>
                  </w:r>
                </w:p>
              </w:tc>
              <w:tc>
                <w:tcPr>
                  <w:tcW w:w="522" w:type="pct"/>
                  <w:vMerge w:val="restar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sz w:val="21"/>
                      <w:szCs w:val="21"/>
                    </w:rPr>
                    <w:t>喷漆房</w:t>
                  </w:r>
                </w:p>
              </w:tc>
              <w:tc>
                <w:tcPr>
                  <w:tcW w:w="525"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VOC</w:t>
                  </w:r>
                  <w:r>
                    <w:rPr>
                      <w:rFonts w:hint="eastAsia" w:ascii="Times New Roman" w:hAnsi="Times New Roman"/>
                      <w:sz w:val="21"/>
                      <w:szCs w:val="21"/>
                      <w:vertAlign w:val="subscript"/>
                    </w:rPr>
                    <w:t>S</w:t>
                  </w:r>
                </w:p>
              </w:tc>
              <w:tc>
                <w:tcPr>
                  <w:tcW w:w="637" w:type="pct"/>
                  <w:vMerge w:val="restar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10000</w:t>
                  </w:r>
                </w:p>
              </w:tc>
              <w:tc>
                <w:tcPr>
                  <w:tcW w:w="603"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0.085</w:t>
                  </w:r>
                </w:p>
              </w:tc>
              <w:tc>
                <w:tcPr>
                  <w:tcW w:w="562" w:type="pct"/>
                  <w:vMerge w:val="restar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15</w:t>
                  </w:r>
                </w:p>
              </w:tc>
              <w:tc>
                <w:tcPr>
                  <w:tcW w:w="636" w:type="pct"/>
                  <w:vMerge w:val="restar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过滤棉+活性炭吸附</w:t>
                  </w:r>
                </w:p>
              </w:tc>
              <w:tc>
                <w:tcPr>
                  <w:tcW w:w="493"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0.017</w:t>
                  </w:r>
                </w:p>
              </w:tc>
              <w:tc>
                <w:tcPr>
                  <w:tcW w:w="564"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1.62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58" w:type="pct"/>
                  <w:vMerge w:val="continue"/>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p>
              </w:tc>
              <w:tc>
                <w:tcPr>
                  <w:tcW w:w="522" w:type="pct"/>
                  <w:vMerge w:val="continue"/>
                  <w:vAlign w:val="center"/>
                </w:tcPr>
                <w:p>
                  <w:pPr>
                    <w:pStyle w:val="33"/>
                    <w:keepNext w:val="0"/>
                    <w:keepLines w:val="0"/>
                    <w:suppressLineNumbers w:val="0"/>
                    <w:spacing w:beforeAutospacing="0" w:afterAutospacing="0" w:line="240" w:lineRule="auto"/>
                    <w:ind w:left="0" w:right="0" w:firstLine="0" w:firstLineChars="0"/>
                    <w:jc w:val="center"/>
                    <w:rPr>
                      <w:sz w:val="21"/>
                      <w:szCs w:val="21"/>
                    </w:rPr>
                  </w:pPr>
                </w:p>
              </w:tc>
              <w:tc>
                <w:tcPr>
                  <w:tcW w:w="525"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漆雾</w:t>
                  </w:r>
                </w:p>
              </w:tc>
              <w:tc>
                <w:tcPr>
                  <w:tcW w:w="637" w:type="pct"/>
                  <w:vMerge w:val="continue"/>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p>
              </w:tc>
              <w:tc>
                <w:tcPr>
                  <w:tcW w:w="603"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0.917</w:t>
                  </w:r>
                </w:p>
              </w:tc>
              <w:tc>
                <w:tcPr>
                  <w:tcW w:w="562" w:type="pct"/>
                  <w:vMerge w:val="continue"/>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p>
              </w:tc>
              <w:tc>
                <w:tcPr>
                  <w:tcW w:w="636" w:type="pct"/>
                  <w:vMerge w:val="continue"/>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p>
              </w:tc>
              <w:tc>
                <w:tcPr>
                  <w:tcW w:w="493"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0.046</w:t>
                  </w:r>
                </w:p>
              </w:tc>
              <w:tc>
                <w:tcPr>
                  <w:tcW w:w="564"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4.365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58" w:type="pct"/>
                  <w:vMerge w:val="continue"/>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p>
              </w:tc>
              <w:tc>
                <w:tcPr>
                  <w:tcW w:w="522"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食堂</w:t>
                  </w:r>
                </w:p>
              </w:tc>
              <w:tc>
                <w:tcPr>
                  <w:tcW w:w="525"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油烟</w:t>
                  </w:r>
                </w:p>
              </w:tc>
              <w:tc>
                <w:tcPr>
                  <w:tcW w:w="637"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2000</w:t>
                  </w:r>
                </w:p>
              </w:tc>
              <w:tc>
                <w:tcPr>
                  <w:tcW w:w="603"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0.011</w:t>
                  </w:r>
                </w:p>
              </w:tc>
              <w:tc>
                <w:tcPr>
                  <w:tcW w:w="562"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12</w:t>
                  </w:r>
                </w:p>
              </w:tc>
              <w:tc>
                <w:tcPr>
                  <w:tcW w:w="636"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静电式高效油烟净化器</w:t>
                  </w:r>
                </w:p>
              </w:tc>
              <w:tc>
                <w:tcPr>
                  <w:tcW w:w="493"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0.004</w:t>
                  </w:r>
                </w:p>
              </w:tc>
              <w:tc>
                <w:tcPr>
                  <w:tcW w:w="564"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1.6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58" w:type="pct"/>
                  <w:vMerge w:val="restar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无组织排放</w:t>
                  </w:r>
                </w:p>
              </w:tc>
              <w:tc>
                <w:tcPr>
                  <w:tcW w:w="522"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机械加工</w:t>
                  </w:r>
                </w:p>
              </w:tc>
              <w:tc>
                <w:tcPr>
                  <w:tcW w:w="525"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粉尘</w:t>
                  </w:r>
                </w:p>
              </w:tc>
              <w:tc>
                <w:tcPr>
                  <w:tcW w:w="637"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w:t>
                  </w:r>
                </w:p>
              </w:tc>
              <w:tc>
                <w:tcPr>
                  <w:tcW w:w="603"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7.5</w:t>
                  </w:r>
                </w:p>
              </w:tc>
              <w:tc>
                <w:tcPr>
                  <w:tcW w:w="562"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w:t>
                  </w:r>
                </w:p>
              </w:tc>
              <w:tc>
                <w:tcPr>
                  <w:tcW w:w="636"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移动式</w:t>
                  </w:r>
                  <w:r>
                    <w:rPr>
                      <w:rFonts w:ascii="Times New Roman" w:hAnsi="Times New Roman"/>
                      <w:sz w:val="21"/>
                      <w:szCs w:val="21"/>
                    </w:rPr>
                    <w:t>除尘设备</w:t>
                  </w:r>
                </w:p>
              </w:tc>
              <w:tc>
                <w:tcPr>
                  <w:tcW w:w="493"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0.075</w:t>
                  </w:r>
                </w:p>
              </w:tc>
              <w:tc>
                <w:tcPr>
                  <w:tcW w:w="564"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58" w:type="pct"/>
                  <w:vMerge w:val="continue"/>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p>
              </w:tc>
              <w:tc>
                <w:tcPr>
                  <w:tcW w:w="522"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焊接</w:t>
                  </w:r>
                </w:p>
              </w:tc>
              <w:tc>
                <w:tcPr>
                  <w:tcW w:w="525"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烟尘</w:t>
                  </w:r>
                </w:p>
              </w:tc>
              <w:tc>
                <w:tcPr>
                  <w:tcW w:w="637"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w:t>
                  </w:r>
                </w:p>
              </w:tc>
              <w:tc>
                <w:tcPr>
                  <w:tcW w:w="603"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0.32</w:t>
                  </w:r>
                </w:p>
              </w:tc>
              <w:tc>
                <w:tcPr>
                  <w:tcW w:w="562"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w:t>
                  </w:r>
                </w:p>
              </w:tc>
              <w:tc>
                <w:tcPr>
                  <w:tcW w:w="636"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移动式</w:t>
                  </w:r>
                  <w:r>
                    <w:rPr>
                      <w:rFonts w:ascii="Times New Roman" w:hAnsi="Times New Roman"/>
                      <w:sz w:val="21"/>
                      <w:szCs w:val="21"/>
                    </w:rPr>
                    <w:t>除尘设备</w:t>
                  </w:r>
                </w:p>
              </w:tc>
              <w:tc>
                <w:tcPr>
                  <w:tcW w:w="493"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0.0349</w:t>
                  </w:r>
                </w:p>
              </w:tc>
              <w:tc>
                <w:tcPr>
                  <w:tcW w:w="564"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58" w:type="pct"/>
                  <w:vMerge w:val="continue"/>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p>
              </w:tc>
              <w:tc>
                <w:tcPr>
                  <w:tcW w:w="522" w:type="pct"/>
                  <w:vMerge w:val="restart"/>
                  <w:vAlign w:val="center"/>
                </w:tcPr>
                <w:p>
                  <w:pPr>
                    <w:pStyle w:val="33"/>
                    <w:keepNext w:val="0"/>
                    <w:keepLines w:val="0"/>
                    <w:suppressLineNumbers w:val="0"/>
                    <w:tabs>
                      <w:tab w:val="left" w:pos="60"/>
                    </w:tabs>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喷漆房</w:t>
                  </w:r>
                </w:p>
              </w:tc>
              <w:tc>
                <w:tcPr>
                  <w:tcW w:w="525"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VOC</w:t>
                  </w:r>
                  <w:r>
                    <w:rPr>
                      <w:rFonts w:hint="eastAsia" w:ascii="Times New Roman" w:hAnsi="Times New Roman"/>
                      <w:sz w:val="21"/>
                      <w:szCs w:val="21"/>
                      <w:vertAlign w:val="subscript"/>
                    </w:rPr>
                    <w:t>S</w:t>
                  </w:r>
                </w:p>
              </w:tc>
              <w:tc>
                <w:tcPr>
                  <w:tcW w:w="637"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w:t>
                  </w:r>
                </w:p>
              </w:tc>
              <w:tc>
                <w:tcPr>
                  <w:tcW w:w="603"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0.009</w:t>
                  </w:r>
                </w:p>
              </w:tc>
              <w:tc>
                <w:tcPr>
                  <w:tcW w:w="562"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w:t>
                  </w:r>
                </w:p>
              </w:tc>
              <w:tc>
                <w:tcPr>
                  <w:tcW w:w="636"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w:t>
                  </w:r>
                </w:p>
              </w:tc>
              <w:tc>
                <w:tcPr>
                  <w:tcW w:w="493"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0.009</w:t>
                  </w:r>
                </w:p>
              </w:tc>
              <w:tc>
                <w:tcPr>
                  <w:tcW w:w="564"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58" w:type="pct"/>
                  <w:vMerge w:val="continue"/>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p>
              </w:tc>
              <w:tc>
                <w:tcPr>
                  <w:tcW w:w="522" w:type="pct"/>
                  <w:vMerge w:val="continue"/>
                  <w:vAlign w:val="center"/>
                </w:tcPr>
                <w:p>
                  <w:pPr>
                    <w:pStyle w:val="33"/>
                    <w:keepNext w:val="0"/>
                    <w:keepLines w:val="0"/>
                    <w:suppressLineNumbers w:val="0"/>
                    <w:tabs>
                      <w:tab w:val="left" w:pos="60"/>
                    </w:tabs>
                    <w:spacing w:beforeAutospacing="0" w:afterAutospacing="0" w:line="240" w:lineRule="auto"/>
                    <w:ind w:left="0" w:right="0" w:firstLine="0" w:firstLineChars="0"/>
                    <w:jc w:val="center"/>
                    <w:rPr>
                      <w:rFonts w:ascii="Times New Roman" w:hAnsi="Times New Roman"/>
                      <w:sz w:val="21"/>
                      <w:szCs w:val="21"/>
                    </w:rPr>
                  </w:pPr>
                </w:p>
              </w:tc>
              <w:tc>
                <w:tcPr>
                  <w:tcW w:w="525"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漆雾</w:t>
                  </w:r>
                </w:p>
              </w:tc>
              <w:tc>
                <w:tcPr>
                  <w:tcW w:w="637"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w:t>
                  </w:r>
                </w:p>
              </w:tc>
              <w:tc>
                <w:tcPr>
                  <w:tcW w:w="603"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0.102</w:t>
                  </w:r>
                </w:p>
              </w:tc>
              <w:tc>
                <w:tcPr>
                  <w:tcW w:w="562"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w:t>
                  </w:r>
                </w:p>
              </w:tc>
              <w:tc>
                <w:tcPr>
                  <w:tcW w:w="636"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w:t>
                  </w:r>
                </w:p>
              </w:tc>
              <w:tc>
                <w:tcPr>
                  <w:tcW w:w="493"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hint="eastAsia" w:ascii="Times New Roman" w:hAnsi="Times New Roman"/>
                      <w:sz w:val="21"/>
                      <w:szCs w:val="21"/>
                    </w:rPr>
                    <w:t>0.102</w:t>
                  </w:r>
                </w:p>
              </w:tc>
              <w:tc>
                <w:tcPr>
                  <w:tcW w:w="564" w:type="pct"/>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sz w:val="21"/>
                      <w:szCs w:val="21"/>
                    </w:rPr>
                  </w:pPr>
                  <w:r>
                    <w:rPr>
                      <w:rFonts w:ascii="Times New Roman" w:hAnsi="Times New Roman"/>
                      <w:sz w:val="21"/>
                      <w:szCs w:val="21"/>
                    </w:rPr>
                    <w:t>/</w:t>
                  </w:r>
                </w:p>
              </w:tc>
            </w:tr>
          </w:tbl>
          <w:p>
            <w:pPr>
              <w:keepNext w:val="0"/>
              <w:keepLines w:val="0"/>
              <w:suppressLineNumbers w:val="0"/>
              <w:spacing w:before="0" w:beforeAutospacing="0" w:after="0" w:afterAutospacing="0"/>
              <w:ind w:left="0" w:right="0" w:firstLine="480"/>
              <w:jc w:val="both"/>
            </w:pPr>
            <w:r>
              <w:rPr>
                <w:rFonts w:hint="eastAsia"/>
              </w:rPr>
              <w:t>（2）废水</w:t>
            </w:r>
          </w:p>
          <w:p>
            <w:pPr>
              <w:pStyle w:val="2"/>
              <w:keepNext w:val="0"/>
              <w:keepLines w:val="0"/>
              <w:suppressLineNumbers w:val="0"/>
              <w:spacing w:before="0" w:beforeAutospacing="0" w:after="0" w:afterAutospacing="0"/>
              <w:ind w:left="0" w:right="0" w:firstLine="480"/>
              <w:jc w:val="both"/>
            </w:pPr>
            <w:r>
              <w:t>本项目</w:t>
            </w:r>
            <w:r>
              <w:rPr>
                <w:rFonts w:hint="eastAsia"/>
              </w:rPr>
              <w:t>厂区不使用水清洁地面，</w:t>
            </w:r>
            <w:r>
              <w:t>生产环节产生的废水为打孔工段钢材冷却水及喷漆房涂料回收池废</w:t>
            </w:r>
            <w:r>
              <w:rPr>
                <w:rFonts w:hint="eastAsia"/>
              </w:rPr>
              <w:t>液。生活污水为员工日常</w:t>
            </w:r>
            <w:r>
              <w:t>清洁、</w:t>
            </w:r>
            <w:r>
              <w:rPr>
                <w:rFonts w:hint="eastAsia"/>
              </w:rPr>
              <w:t>入厕</w:t>
            </w:r>
            <w:r>
              <w:t>的生活污水及食堂含油废水</w:t>
            </w:r>
            <w:r>
              <w:rPr>
                <w:rFonts w:hint="eastAsia"/>
              </w:rPr>
              <w:t>。</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1 \* GB3 </w:instrText>
            </w:r>
            <w:r>
              <w:rPr>
                <w:rFonts w:hint="eastAsia"/>
              </w:rPr>
              <w:fldChar w:fldCharType="separate"/>
            </w:r>
            <w:r>
              <w:rPr>
                <w:rFonts w:hint="eastAsia"/>
              </w:rPr>
              <w:t>①</w:t>
            </w:r>
            <w:r>
              <w:rPr>
                <w:rFonts w:hint="eastAsia"/>
              </w:rPr>
              <w:fldChar w:fldCharType="end"/>
            </w:r>
            <w:r>
              <w:t>生活污水</w:t>
            </w:r>
          </w:p>
          <w:p>
            <w:pPr>
              <w:pStyle w:val="2"/>
              <w:keepNext w:val="0"/>
              <w:keepLines w:val="0"/>
              <w:numPr>
                <w:ilvl w:val="0"/>
                <w:numId w:val="1"/>
              </w:numPr>
              <w:suppressLineNumbers w:val="0"/>
              <w:spacing w:before="0" w:beforeAutospacing="0" w:after="0" w:afterAutospacing="0"/>
              <w:ind w:right="0" w:firstLineChars="0"/>
              <w:jc w:val="both"/>
            </w:pPr>
            <w:r>
              <w:rPr>
                <w:rFonts w:hint="eastAsia"/>
              </w:rPr>
              <w:t>日常生活污水</w:t>
            </w:r>
          </w:p>
          <w:p>
            <w:pPr>
              <w:keepNext w:val="0"/>
              <w:keepLines w:val="0"/>
              <w:suppressLineNumbers w:val="0"/>
              <w:spacing w:before="0" w:beforeAutospacing="0" w:after="0" w:afterAutospacing="0"/>
              <w:ind w:left="0" w:right="0" w:firstLine="480"/>
              <w:jc w:val="both"/>
            </w:pPr>
            <w:r>
              <w:rPr>
                <w:lang w:val="zh-CN"/>
              </w:rPr>
              <w:t>本项目内设置宿舍，</w:t>
            </w:r>
            <w:r>
              <w:t>根据《云南省地方标准 用水定额》（DB53/T168-2019），</w:t>
            </w:r>
            <w:r>
              <w:rPr>
                <w:bCs/>
              </w:rPr>
              <w:t>工作人员其他生活用水量按60L/人.d计</w:t>
            </w:r>
            <w:r>
              <w:t>。</w:t>
            </w:r>
            <w:r>
              <w:rPr>
                <w:lang w:val="zh-CN"/>
              </w:rPr>
              <w:t>在项目区内最大住宿人数为</w:t>
            </w:r>
            <w:r>
              <w:rPr>
                <w:rFonts w:hint="eastAsia"/>
              </w:rPr>
              <w:t>40</w:t>
            </w:r>
            <w:r>
              <w:rPr>
                <w:lang w:val="zh-CN"/>
              </w:rPr>
              <w:t>人，则其</w:t>
            </w:r>
            <w:r>
              <w:rPr>
                <w:rFonts w:hint="eastAsia"/>
                <w:lang w:val="zh-CN"/>
              </w:rPr>
              <w:t>日常</w:t>
            </w:r>
            <w:r>
              <w:rPr>
                <w:lang w:val="zh-CN"/>
              </w:rPr>
              <w:t>生活用水量约</w:t>
            </w:r>
            <w:r>
              <w:rPr>
                <w:rFonts w:hint="eastAsia"/>
              </w:rPr>
              <w:t>2.4</w:t>
            </w:r>
            <w:r>
              <w:t>m</w:t>
            </w:r>
            <w:r>
              <w:rPr>
                <w:vertAlign w:val="superscript"/>
              </w:rPr>
              <w:t>3</w:t>
            </w:r>
            <w:r>
              <w:t>/d</w:t>
            </w:r>
            <w:r>
              <w:rPr>
                <w:rFonts w:hint="eastAsia"/>
              </w:rPr>
              <w:t>（720</w:t>
            </w:r>
            <w:r>
              <w:t>m</w:t>
            </w:r>
            <w:r>
              <w:rPr>
                <w:vertAlign w:val="superscript"/>
              </w:rPr>
              <w:t>3</w:t>
            </w:r>
            <w:r>
              <w:t>/a</w:t>
            </w:r>
            <w:r>
              <w:rPr>
                <w:rFonts w:hint="eastAsia"/>
              </w:rPr>
              <w:t>）。</w:t>
            </w:r>
            <w:r>
              <w:t>废水产生量按用水量的80%计，则废水量为</w:t>
            </w:r>
            <w:r>
              <w:rPr>
                <w:rFonts w:hint="eastAsia"/>
              </w:rPr>
              <w:t>1.92</w:t>
            </w:r>
            <w:r>
              <w:t>m</w:t>
            </w:r>
            <w:r>
              <w:rPr>
                <w:vertAlign w:val="superscript"/>
              </w:rPr>
              <w:t>3</w:t>
            </w:r>
            <w:r>
              <w:t>/d</w:t>
            </w:r>
            <w:r>
              <w:rPr>
                <w:rFonts w:hint="eastAsia"/>
              </w:rPr>
              <w:t>（576</w:t>
            </w:r>
            <w:r>
              <w:t>m</w:t>
            </w:r>
            <w:r>
              <w:rPr>
                <w:vertAlign w:val="superscript"/>
              </w:rPr>
              <w:t>3</w:t>
            </w:r>
            <w:r>
              <w:t>/a</w:t>
            </w:r>
            <w:r>
              <w:rPr>
                <w:rFonts w:hint="eastAsia"/>
              </w:rPr>
              <w:t>），主要污染物为</w:t>
            </w:r>
            <w:r>
              <w:t>SS:250mg/L、COD:300 mg/L、BOD</w:t>
            </w:r>
            <w:r>
              <w:rPr>
                <w:vertAlign w:val="subscript"/>
              </w:rPr>
              <w:t>5</w:t>
            </w:r>
            <w:r>
              <w:t>：150 mg/L、NH</w:t>
            </w:r>
            <w:r>
              <w:rPr>
                <w:vertAlign w:val="subscript"/>
              </w:rPr>
              <w:t>3</w:t>
            </w:r>
            <w:r>
              <w:t>-N：35 mg/L</w:t>
            </w:r>
            <w:r>
              <w:rPr>
                <w:rFonts w:hint="eastAsia"/>
              </w:rPr>
              <w:t>，</w:t>
            </w:r>
            <w:r>
              <w:t>产生的废水经化粪池处理后排入园区污水管网。</w:t>
            </w:r>
          </w:p>
          <w:p>
            <w:pPr>
              <w:pStyle w:val="2"/>
              <w:keepNext w:val="0"/>
              <w:keepLines w:val="0"/>
              <w:numPr>
                <w:ilvl w:val="0"/>
                <w:numId w:val="1"/>
              </w:numPr>
              <w:suppressLineNumbers w:val="0"/>
              <w:spacing w:before="0" w:beforeAutospacing="0" w:after="0" w:afterAutospacing="0"/>
              <w:ind w:right="0" w:firstLineChars="0"/>
              <w:jc w:val="both"/>
            </w:pPr>
            <w:r>
              <w:t>食堂含油废水</w:t>
            </w:r>
          </w:p>
          <w:p>
            <w:pPr>
              <w:keepNext w:val="0"/>
              <w:keepLines w:val="0"/>
              <w:suppressLineNumbers w:val="0"/>
              <w:spacing w:before="0" w:beforeAutospacing="0" w:after="0" w:afterAutospacing="0"/>
              <w:ind w:left="0" w:right="0" w:firstLine="480"/>
              <w:jc w:val="both"/>
            </w:pPr>
            <w:r>
              <w:rPr>
                <w:lang w:val="zh-CN"/>
              </w:rPr>
              <w:t>本项目内设置的食堂供全厂职工就餐，根据</w:t>
            </w:r>
            <w:r>
              <w:t>《云南省地方标准 用水定额》（DB53/T168-2019），项目区工作人员厨房用水定额按照30L/人.d计。</w:t>
            </w:r>
            <w:r>
              <w:rPr>
                <w:lang w:val="zh-CN"/>
              </w:rPr>
              <w:t>工程用餐人数为</w:t>
            </w:r>
            <w:r>
              <w:rPr>
                <w:rFonts w:hint="eastAsia"/>
              </w:rPr>
              <w:t>40</w:t>
            </w:r>
            <w:r>
              <w:rPr>
                <w:lang w:val="zh-CN"/>
              </w:rPr>
              <w:t>人，则食堂用水量约</w:t>
            </w:r>
            <w:r>
              <w:rPr>
                <w:rFonts w:hint="eastAsia"/>
              </w:rPr>
              <w:t>1.2</w:t>
            </w:r>
            <w:r>
              <w:t>m</w:t>
            </w:r>
            <w:r>
              <w:rPr>
                <w:vertAlign w:val="superscript"/>
              </w:rPr>
              <w:t>3</w:t>
            </w:r>
            <w:r>
              <w:t>/d</w:t>
            </w:r>
            <w:r>
              <w:rPr>
                <w:rFonts w:hint="eastAsia"/>
              </w:rPr>
              <w:t>（360</w:t>
            </w:r>
            <w:r>
              <w:t>m</w:t>
            </w:r>
            <w:r>
              <w:rPr>
                <w:vertAlign w:val="superscript"/>
              </w:rPr>
              <w:t>3</w:t>
            </w:r>
            <w:r>
              <w:t>/a</w:t>
            </w:r>
            <w:r>
              <w:rPr>
                <w:rFonts w:hint="eastAsia"/>
              </w:rPr>
              <w:t>）</w:t>
            </w:r>
            <w:r>
              <w:t>；废水产生量按用水量的80%计，则废水量为</w:t>
            </w:r>
            <w:r>
              <w:rPr>
                <w:rFonts w:hint="eastAsia"/>
              </w:rPr>
              <w:t>0.96</w:t>
            </w:r>
            <w:r>
              <w:t>m</w:t>
            </w:r>
            <w:r>
              <w:rPr>
                <w:vertAlign w:val="superscript"/>
              </w:rPr>
              <w:t>3</w:t>
            </w:r>
            <w:r>
              <w:t>/d</w:t>
            </w:r>
            <w:r>
              <w:rPr>
                <w:rFonts w:hint="eastAsia"/>
              </w:rPr>
              <w:t>（288</w:t>
            </w:r>
            <w:r>
              <w:t>m</w:t>
            </w:r>
            <w:r>
              <w:rPr>
                <w:vertAlign w:val="superscript"/>
              </w:rPr>
              <w:t>3</w:t>
            </w:r>
            <w:r>
              <w:t>/a</w:t>
            </w:r>
            <w:r>
              <w:rPr>
                <w:rFonts w:hint="eastAsia"/>
              </w:rPr>
              <w:t>），产生的废水经隔油池后进入化粪池处理后排入园区污水管网</w:t>
            </w:r>
            <w:r>
              <w:t>。</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t>生产废水</w:t>
            </w:r>
          </w:p>
          <w:p>
            <w:pPr>
              <w:pStyle w:val="2"/>
              <w:keepNext w:val="0"/>
              <w:keepLines w:val="0"/>
              <w:suppressLineNumbers w:val="0"/>
              <w:spacing w:before="0" w:beforeAutospacing="0" w:after="0" w:afterAutospacing="0"/>
              <w:ind w:left="0" w:right="0" w:firstLine="480"/>
              <w:jc w:val="both"/>
            </w:pPr>
            <w:r>
              <w:rPr>
                <w:rFonts w:hint="eastAsia"/>
              </w:rPr>
              <w:t>A、打孔工段冷却水</w:t>
            </w:r>
          </w:p>
          <w:p>
            <w:pPr>
              <w:pStyle w:val="30"/>
              <w:keepNext w:val="0"/>
              <w:keepLines w:val="0"/>
              <w:suppressLineNumbers w:val="0"/>
              <w:spacing w:before="0" w:beforeAutospacing="0" w:after="0" w:afterAutospacing="0"/>
              <w:ind w:left="0" w:right="0" w:firstLine="480" w:firstLineChars="0"/>
              <w:jc w:val="both"/>
            </w:pPr>
            <w:r>
              <w:rPr>
                <w:rFonts w:hint="eastAsia"/>
              </w:rPr>
              <w:t>本项目2个生产厂房内各设置3台冲床，打孔面设置喷头对钢材进行快速冷却，喷淋水量约2.5L/min，根据业主介绍，项目每日冲床使用时间为3h，则单个喷头用水量为4.5m</w:t>
            </w:r>
            <w:r>
              <w:rPr>
                <w:rFonts w:hint="eastAsia"/>
                <w:vertAlign w:val="superscript"/>
              </w:rPr>
              <w:t>3</w:t>
            </w:r>
            <w:r>
              <w:rPr>
                <w:rFonts w:hint="eastAsia"/>
              </w:rPr>
              <w:t>/d（1350 m</w:t>
            </w:r>
            <w:r>
              <w:rPr>
                <w:rFonts w:hint="eastAsia"/>
                <w:vertAlign w:val="superscript"/>
              </w:rPr>
              <w:t>3</w:t>
            </w:r>
            <w:r>
              <w:rPr>
                <w:rFonts w:hint="eastAsia"/>
              </w:rPr>
              <w:t>/a），6台冲床合计用水量为27m</w:t>
            </w:r>
            <w:r>
              <w:rPr>
                <w:rFonts w:hint="eastAsia"/>
                <w:vertAlign w:val="superscript"/>
              </w:rPr>
              <w:t>3</w:t>
            </w:r>
            <w:r>
              <w:rPr>
                <w:rFonts w:hint="eastAsia"/>
              </w:rPr>
              <w:t>/d（8100 m</w:t>
            </w:r>
            <w:r>
              <w:rPr>
                <w:rFonts w:hint="eastAsia"/>
                <w:vertAlign w:val="superscript"/>
              </w:rPr>
              <w:t>3</w:t>
            </w:r>
            <w:r>
              <w:rPr>
                <w:rFonts w:hint="eastAsia"/>
              </w:rPr>
              <w:t>/a）。喷淋后约15%的水自然蒸发或钢材带走，则单台冲床废水产生量为3.825m</w:t>
            </w:r>
            <w:r>
              <w:rPr>
                <w:rFonts w:hint="eastAsia"/>
                <w:vertAlign w:val="superscript"/>
              </w:rPr>
              <w:t>3</w:t>
            </w:r>
            <w:r>
              <w:rPr>
                <w:rFonts w:hint="eastAsia"/>
              </w:rPr>
              <w:t>/d（1147.5m</w:t>
            </w:r>
            <w:r>
              <w:rPr>
                <w:rFonts w:hint="eastAsia"/>
                <w:vertAlign w:val="superscript"/>
              </w:rPr>
              <w:t>3</w:t>
            </w:r>
            <w:r>
              <w:rPr>
                <w:rFonts w:hint="eastAsia"/>
              </w:rPr>
              <w:t>/a），6台冲床合计废水量为22.95m</w:t>
            </w:r>
            <w:r>
              <w:rPr>
                <w:rFonts w:hint="eastAsia"/>
                <w:vertAlign w:val="superscript"/>
              </w:rPr>
              <w:t>3</w:t>
            </w:r>
            <w:r>
              <w:rPr>
                <w:rFonts w:hint="eastAsia"/>
              </w:rPr>
              <w:t>/d（6885 m</w:t>
            </w:r>
            <w:r>
              <w:rPr>
                <w:rFonts w:hint="eastAsia"/>
                <w:vertAlign w:val="superscript"/>
              </w:rPr>
              <w:t>3</w:t>
            </w:r>
            <w:r>
              <w:rPr>
                <w:rFonts w:hint="eastAsia"/>
              </w:rPr>
              <w:t>/a）。产生的废水进入冲床下方的冷却水收集池，收集池有效容积为4m</w:t>
            </w:r>
            <w:r>
              <w:rPr>
                <w:rFonts w:hint="eastAsia"/>
                <w:vertAlign w:val="superscript"/>
              </w:rPr>
              <w:t>3</w:t>
            </w:r>
            <w:r>
              <w:rPr>
                <w:rFonts w:hint="eastAsia"/>
              </w:rPr>
              <w:t>，废水主要的污染物为金属碎屑，浓度为200mg/L，经滤网快速过滤后回用于原环节。此工段单台冲床新鲜水补充量为0.675 m</w:t>
            </w:r>
            <w:r>
              <w:rPr>
                <w:rFonts w:hint="eastAsia"/>
                <w:vertAlign w:val="superscript"/>
              </w:rPr>
              <w:t>3</w:t>
            </w:r>
            <w:r>
              <w:rPr>
                <w:rFonts w:hint="eastAsia"/>
              </w:rPr>
              <w:t>/d（202.5 m</w:t>
            </w:r>
            <w:r>
              <w:rPr>
                <w:rFonts w:hint="eastAsia"/>
                <w:vertAlign w:val="superscript"/>
              </w:rPr>
              <w:t>3</w:t>
            </w:r>
            <w:r>
              <w:rPr>
                <w:rFonts w:hint="eastAsia"/>
              </w:rPr>
              <w:t>/a），6台冲床合计新鲜水补充量为4.05m</w:t>
            </w:r>
            <w:r>
              <w:rPr>
                <w:rFonts w:hint="eastAsia"/>
                <w:vertAlign w:val="superscript"/>
              </w:rPr>
              <w:t>3</w:t>
            </w:r>
            <w:r>
              <w:rPr>
                <w:rFonts w:hint="eastAsia"/>
              </w:rPr>
              <w:t>/d（1215 m</w:t>
            </w:r>
            <w:r>
              <w:rPr>
                <w:rFonts w:hint="eastAsia"/>
                <w:vertAlign w:val="superscript"/>
              </w:rPr>
              <w:t>3</w:t>
            </w:r>
            <w:r>
              <w:rPr>
                <w:rFonts w:hint="eastAsia"/>
              </w:rPr>
              <w:t>/a）。</w:t>
            </w:r>
          </w:p>
          <w:p>
            <w:pPr>
              <w:keepNext w:val="0"/>
              <w:keepLines w:val="0"/>
              <w:suppressLineNumbers w:val="0"/>
              <w:spacing w:before="0" w:beforeAutospacing="0" w:after="0" w:afterAutospacing="0"/>
              <w:ind w:left="0" w:right="0" w:firstLine="480" w:firstLineChars="0"/>
              <w:jc w:val="both"/>
            </w:pPr>
            <w:r>
              <w:rPr>
                <w:rFonts w:hint="eastAsia"/>
              </w:rPr>
              <w:t>B、涂料回收池废液</w:t>
            </w:r>
          </w:p>
          <w:p>
            <w:pPr>
              <w:keepNext w:val="0"/>
              <w:keepLines w:val="0"/>
              <w:suppressLineNumbers w:val="0"/>
              <w:spacing w:before="0" w:beforeAutospacing="0" w:after="0" w:afterAutospacing="0"/>
              <w:ind w:left="0" w:right="0" w:firstLine="480"/>
              <w:jc w:val="both"/>
            </w:pPr>
            <w:r>
              <w:rPr>
                <w:rFonts w:hint="eastAsia"/>
              </w:rPr>
              <w:t>喷漆过程中，未附着的涂料部分进入到喷漆房底部的涂料废液收集池内被水吸收，本项目涂料废液收集池存水量为有效容积的10%，约6m</w:t>
            </w:r>
            <w:r>
              <w:rPr>
                <w:rFonts w:hint="eastAsia"/>
                <w:vertAlign w:val="superscript"/>
              </w:rPr>
              <w:t>3</w:t>
            </w:r>
            <w:r>
              <w:rPr>
                <w:rFonts w:hint="eastAsia"/>
              </w:rPr>
              <w:t>，每半年更换一次，更换出的废水用桶收集后最终回用于调漆。则本环节废水产生量为12m</w:t>
            </w:r>
            <w:r>
              <w:rPr>
                <w:rFonts w:hint="eastAsia"/>
                <w:vertAlign w:val="superscript"/>
              </w:rPr>
              <w:t>3</w:t>
            </w:r>
            <w:r>
              <w:rPr>
                <w:rFonts w:hint="eastAsia"/>
              </w:rPr>
              <w:t>/a(不考虑吸收漆雾后产生的体积变化)。</w:t>
            </w:r>
          </w:p>
          <w:p>
            <w:pPr>
              <w:pStyle w:val="2"/>
              <w:keepNext w:val="0"/>
              <w:keepLines w:val="0"/>
              <w:suppressLineNumbers w:val="0"/>
              <w:spacing w:before="0" w:beforeAutospacing="0" w:after="0" w:afterAutospacing="0"/>
              <w:ind w:left="0" w:right="0" w:firstLine="480"/>
              <w:jc w:val="both"/>
            </w:pPr>
            <w:r>
              <w:rPr>
                <w:rFonts w:hint="eastAsia"/>
              </w:rPr>
              <w:t>本项目运营期废水产生与排放情况见下表5-4.</w:t>
            </w:r>
          </w:p>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表5-4 本项目运营期废水产生与排放情况表</w:t>
            </w:r>
          </w:p>
          <w:tbl>
            <w:tblPr>
              <w:tblStyle w:val="18"/>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1612"/>
              <w:gridCol w:w="1611"/>
              <w:gridCol w:w="915"/>
              <w:gridCol w:w="895"/>
              <w:gridCol w:w="695"/>
              <w:gridCol w:w="187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1381" w:type="pct"/>
                  <w:gridSpan w:val="2"/>
                  <w:vMerge w:val="restart"/>
                  <w:vAlign w:val="center"/>
                </w:tcPr>
                <w:p>
                  <w:pPr>
                    <w:pStyle w:val="39"/>
                    <w:keepNext w:val="0"/>
                    <w:keepLines w:val="0"/>
                    <w:suppressLineNumbers w:val="0"/>
                    <w:spacing w:before="0" w:beforeAutospacing="0" w:after="0" w:afterAutospacing="0"/>
                    <w:ind w:left="0" w:right="1"/>
                    <w:jc w:val="center"/>
                    <w:rPr>
                      <w:rFonts w:ascii="Times New Roman" w:hAnsi="Times New Roman"/>
                      <w:b/>
                      <w:sz w:val="21"/>
                      <w:szCs w:val="21"/>
                      <w:lang w:eastAsia="zh-CN"/>
                    </w:rPr>
                  </w:pPr>
                  <w:r>
                    <w:rPr>
                      <w:rFonts w:hint="eastAsia" w:ascii="Times New Roman" w:hAnsi="Times New Roman"/>
                      <w:b/>
                      <w:sz w:val="21"/>
                      <w:szCs w:val="21"/>
                      <w:lang w:eastAsia="zh-CN"/>
                    </w:rPr>
                    <w:t>产生环节</w:t>
                  </w:r>
                </w:p>
              </w:tc>
              <w:tc>
                <w:tcPr>
                  <w:tcW w:w="973"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b/>
                      <w:szCs w:val="21"/>
                    </w:rPr>
                  </w:pPr>
                  <w:r>
                    <w:rPr>
                      <w:rFonts w:hAnsi="宋体"/>
                      <w:b/>
                      <w:szCs w:val="21"/>
                    </w:rPr>
                    <w:t>产生量</w:t>
                  </w:r>
                </w:p>
              </w:tc>
              <w:tc>
                <w:tcPr>
                  <w:tcW w:w="553" w:type="pct"/>
                  <w:vMerge w:val="restart"/>
                  <w:vAlign w:val="center"/>
                </w:tcPr>
                <w:p>
                  <w:pPr>
                    <w:pStyle w:val="39"/>
                    <w:keepNext w:val="0"/>
                    <w:keepLines w:val="0"/>
                    <w:suppressLineNumbers w:val="0"/>
                    <w:spacing w:before="46" w:beforeAutospacing="0" w:after="0" w:afterAutospacing="0"/>
                    <w:ind w:left="0" w:right="191"/>
                    <w:rPr>
                      <w:rFonts w:ascii="Times New Roman" w:hAnsi="Times New Roman"/>
                      <w:b/>
                      <w:sz w:val="21"/>
                      <w:szCs w:val="21"/>
                      <w:lang w:eastAsia="zh-CN"/>
                    </w:rPr>
                  </w:pPr>
                  <w:r>
                    <w:rPr>
                      <w:rFonts w:ascii="Times New Roman" w:hAnsi="宋体"/>
                      <w:b/>
                      <w:sz w:val="21"/>
                      <w:szCs w:val="21"/>
                      <w:lang w:eastAsia="zh-CN"/>
                    </w:rPr>
                    <w:t>污染物</w:t>
                  </w:r>
                </w:p>
              </w:tc>
              <w:tc>
                <w:tcPr>
                  <w:tcW w:w="961" w:type="pct"/>
                  <w:gridSpan w:val="2"/>
                  <w:vAlign w:val="center"/>
                </w:tcPr>
                <w:p>
                  <w:pPr>
                    <w:pStyle w:val="39"/>
                    <w:keepNext w:val="0"/>
                    <w:keepLines w:val="0"/>
                    <w:suppressLineNumbers w:val="0"/>
                    <w:spacing w:before="41" w:beforeAutospacing="0" w:after="0" w:afterAutospacing="0"/>
                    <w:ind w:left="0" w:right="0"/>
                    <w:jc w:val="center"/>
                    <w:rPr>
                      <w:rFonts w:ascii="Times New Roman" w:hAnsi="Times New Roman"/>
                      <w:b/>
                      <w:sz w:val="21"/>
                      <w:szCs w:val="21"/>
                      <w:lang w:eastAsia="zh-CN"/>
                    </w:rPr>
                  </w:pPr>
                  <w:r>
                    <w:rPr>
                      <w:rFonts w:ascii="Times New Roman" w:hAnsi="宋体"/>
                      <w:b/>
                      <w:sz w:val="21"/>
                      <w:szCs w:val="21"/>
                      <w:lang w:eastAsia="zh-CN"/>
                    </w:rPr>
                    <w:t>产生情况</w:t>
                  </w:r>
                </w:p>
              </w:tc>
              <w:tc>
                <w:tcPr>
                  <w:tcW w:w="1132" w:type="pct"/>
                  <w:vMerge w:val="restart"/>
                  <w:vAlign w:val="center"/>
                </w:tcPr>
                <w:p>
                  <w:pPr>
                    <w:pStyle w:val="39"/>
                    <w:keepNext w:val="0"/>
                    <w:keepLines w:val="0"/>
                    <w:suppressLineNumbers w:val="0"/>
                    <w:spacing w:before="92" w:beforeAutospacing="0" w:after="0" w:afterAutospacing="0"/>
                    <w:ind w:left="0" w:right="0"/>
                    <w:jc w:val="center"/>
                    <w:rPr>
                      <w:rFonts w:ascii="Times New Roman" w:hAnsi="Times New Roman"/>
                      <w:b/>
                      <w:sz w:val="21"/>
                      <w:szCs w:val="21"/>
                      <w:lang w:eastAsia="zh-CN"/>
                    </w:rPr>
                  </w:pPr>
                  <w:r>
                    <w:rPr>
                      <w:rFonts w:hint="eastAsia" w:ascii="Times New Roman" w:hAnsi="Times New Roman"/>
                      <w:b/>
                      <w:sz w:val="21"/>
                      <w:szCs w:val="21"/>
                      <w:lang w:eastAsia="zh-CN"/>
                    </w:rPr>
                    <w:t>排放情况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1380" w:type="pct"/>
                  <w:gridSpan w:val="2"/>
                  <w:vMerge w:val="continue"/>
                  <w:vAlign w:val="center"/>
                </w:tcPr>
                <w:p>
                  <w:pPr>
                    <w:keepNext w:val="0"/>
                    <w:keepLines w:val="0"/>
                    <w:suppressLineNumbers w:val="0"/>
                    <w:spacing w:before="0" w:beforeAutospacing="0" w:after="0" w:afterAutospacing="0" w:line="240" w:lineRule="auto"/>
                    <w:ind w:left="0" w:right="0" w:firstLine="482"/>
                    <w:jc w:val="center"/>
                    <w:rPr>
                      <w:b/>
                      <w:szCs w:val="21"/>
                    </w:rPr>
                  </w:pPr>
                </w:p>
              </w:tc>
              <w:tc>
                <w:tcPr>
                  <w:tcW w:w="973" w:type="pct"/>
                  <w:vMerge w:val="continue"/>
                  <w:vAlign w:val="center"/>
                </w:tcPr>
                <w:p>
                  <w:pPr>
                    <w:keepNext w:val="0"/>
                    <w:keepLines w:val="0"/>
                    <w:suppressLineNumbers w:val="0"/>
                    <w:spacing w:before="0" w:beforeAutospacing="0" w:after="0" w:afterAutospacing="0" w:line="240" w:lineRule="auto"/>
                    <w:ind w:left="0" w:right="0" w:firstLine="482"/>
                    <w:jc w:val="center"/>
                    <w:rPr>
                      <w:b/>
                      <w:szCs w:val="21"/>
                    </w:rPr>
                  </w:pPr>
                </w:p>
              </w:tc>
              <w:tc>
                <w:tcPr>
                  <w:tcW w:w="553" w:type="pct"/>
                  <w:vMerge w:val="continue"/>
                  <w:vAlign w:val="center"/>
                </w:tcPr>
                <w:p>
                  <w:pPr>
                    <w:keepNext w:val="0"/>
                    <w:keepLines w:val="0"/>
                    <w:suppressLineNumbers w:val="0"/>
                    <w:spacing w:before="0" w:beforeAutospacing="0" w:after="0" w:afterAutospacing="0" w:line="240" w:lineRule="auto"/>
                    <w:ind w:left="0" w:right="0" w:firstLine="482"/>
                    <w:jc w:val="center"/>
                    <w:rPr>
                      <w:b/>
                      <w:szCs w:val="21"/>
                    </w:rPr>
                  </w:pPr>
                </w:p>
              </w:tc>
              <w:tc>
                <w:tcPr>
                  <w:tcW w:w="541" w:type="pct"/>
                  <w:vAlign w:val="center"/>
                </w:tcPr>
                <w:p>
                  <w:pPr>
                    <w:pStyle w:val="39"/>
                    <w:keepNext w:val="0"/>
                    <w:keepLines w:val="0"/>
                    <w:suppressLineNumbers w:val="0"/>
                    <w:spacing w:before="92" w:beforeAutospacing="0" w:after="0" w:afterAutospacing="0"/>
                    <w:ind w:left="0" w:right="0"/>
                    <w:jc w:val="center"/>
                    <w:rPr>
                      <w:rFonts w:ascii="Times New Roman" w:hAnsi="Times New Roman"/>
                      <w:b/>
                      <w:sz w:val="21"/>
                      <w:szCs w:val="21"/>
                      <w:lang w:eastAsia="zh-CN"/>
                    </w:rPr>
                  </w:pPr>
                  <w:r>
                    <w:rPr>
                      <w:rFonts w:ascii="Times New Roman" w:hAnsi="Times New Roman"/>
                      <w:b/>
                      <w:sz w:val="21"/>
                      <w:szCs w:val="21"/>
                      <w:lang w:eastAsia="zh-CN"/>
                    </w:rPr>
                    <w:t>mg/L</w:t>
                  </w:r>
                </w:p>
              </w:tc>
              <w:tc>
                <w:tcPr>
                  <w:tcW w:w="420" w:type="pct"/>
                  <w:vAlign w:val="center"/>
                </w:tcPr>
                <w:p>
                  <w:pPr>
                    <w:pStyle w:val="39"/>
                    <w:keepNext w:val="0"/>
                    <w:keepLines w:val="0"/>
                    <w:suppressLineNumbers w:val="0"/>
                    <w:spacing w:before="92" w:beforeAutospacing="0" w:after="0" w:afterAutospacing="0"/>
                    <w:ind w:left="0" w:right="0"/>
                    <w:jc w:val="center"/>
                    <w:rPr>
                      <w:rFonts w:ascii="Times New Roman" w:hAnsi="Times New Roman"/>
                      <w:b/>
                      <w:sz w:val="21"/>
                      <w:szCs w:val="21"/>
                      <w:lang w:eastAsia="zh-CN"/>
                    </w:rPr>
                  </w:pPr>
                  <w:r>
                    <w:rPr>
                      <w:rFonts w:ascii="Times New Roman" w:hAnsi="Times New Roman"/>
                      <w:b/>
                      <w:sz w:val="21"/>
                      <w:szCs w:val="21"/>
                      <w:lang w:eastAsia="zh-CN"/>
                    </w:rPr>
                    <w:t>t/a</w:t>
                  </w:r>
                </w:p>
              </w:tc>
              <w:tc>
                <w:tcPr>
                  <w:tcW w:w="1133" w:type="pct"/>
                  <w:vMerge w:val="continue"/>
                  <w:vAlign w:val="center"/>
                </w:tcPr>
                <w:p>
                  <w:pPr>
                    <w:pStyle w:val="39"/>
                    <w:keepNext w:val="0"/>
                    <w:keepLines w:val="0"/>
                    <w:suppressLineNumbers w:val="0"/>
                    <w:spacing w:before="92" w:beforeAutospacing="0" w:after="0" w:afterAutospacing="0"/>
                    <w:ind w:left="0" w:right="0" w:firstLine="422"/>
                    <w:jc w:val="center"/>
                    <w:rPr>
                      <w:rFonts w:ascii="Times New Roman" w:hAnsi="Times New Roman"/>
                      <w:b/>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407" w:type="pct"/>
                  <w:vMerge w:val="restart"/>
                  <w:vAlign w:val="center"/>
                </w:tcPr>
                <w:p>
                  <w:pPr>
                    <w:pStyle w:val="39"/>
                    <w:keepNext w:val="0"/>
                    <w:keepLines w:val="0"/>
                    <w:suppressLineNumbers w:val="0"/>
                    <w:spacing w:before="0"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生活废水</w:t>
                  </w:r>
                </w:p>
              </w:tc>
              <w:tc>
                <w:tcPr>
                  <w:tcW w:w="974" w:type="pct"/>
                  <w:vMerge w:val="restart"/>
                  <w:vAlign w:val="center"/>
                </w:tcPr>
                <w:p>
                  <w:pPr>
                    <w:pStyle w:val="39"/>
                    <w:keepNext w:val="0"/>
                    <w:keepLines w:val="0"/>
                    <w:suppressLineNumbers w:val="0"/>
                    <w:spacing w:before="0" w:beforeAutospacing="0" w:after="0" w:afterAutospacing="0"/>
                    <w:ind w:left="3" w:right="0"/>
                    <w:jc w:val="center"/>
                    <w:rPr>
                      <w:rFonts w:ascii="Times New Roman" w:hAnsi="Times New Roman"/>
                      <w:sz w:val="21"/>
                      <w:szCs w:val="21"/>
                      <w:lang w:eastAsia="zh-CN"/>
                    </w:rPr>
                  </w:pPr>
                  <w:r>
                    <w:rPr>
                      <w:rFonts w:hint="eastAsia" w:ascii="Times New Roman" w:hAnsi="宋体"/>
                      <w:sz w:val="21"/>
                      <w:szCs w:val="21"/>
                      <w:lang w:eastAsia="zh-CN"/>
                    </w:rPr>
                    <w:t>员工日常</w:t>
                  </w:r>
                  <w:r>
                    <w:rPr>
                      <w:rFonts w:ascii="Times New Roman" w:hAnsi="宋体"/>
                      <w:sz w:val="21"/>
                      <w:szCs w:val="21"/>
                      <w:lang w:eastAsia="zh-CN"/>
                    </w:rPr>
                    <w:t>生活废水</w:t>
                  </w:r>
                </w:p>
              </w:tc>
              <w:tc>
                <w:tcPr>
                  <w:tcW w:w="973"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576m</w:t>
                  </w:r>
                  <w:r>
                    <w:rPr>
                      <w:rFonts w:hint="eastAsia"/>
                      <w:sz w:val="21"/>
                      <w:szCs w:val="21"/>
                      <w:vertAlign w:val="superscript"/>
                    </w:rPr>
                    <w:t>3</w:t>
                  </w:r>
                  <w:r>
                    <w:rPr>
                      <w:rFonts w:hint="eastAsia"/>
                      <w:sz w:val="21"/>
                      <w:szCs w:val="21"/>
                    </w:rPr>
                    <w:t>/a</w:t>
                  </w:r>
                </w:p>
              </w:tc>
              <w:tc>
                <w:tcPr>
                  <w:tcW w:w="553" w:type="pct"/>
                  <w:vAlign w:val="center"/>
                </w:tcPr>
                <w:p>
                  <w:pPr>
                    <w:pStyle w:val="39"/>
                    <w:keepNext w:val="0"/>
                    <w:keepLines w:val="0"/>
                    <w:suppressLineNumbers w:val="0"/>
                    <w:spacing w:before="90" w:beforeAutospacing="0" w:after="0" w:afterAutospacing="0"/>
                    <w:ind w:left="0" w:right="2"/>
                    <w:jc w:val="center"/>
                    <w:rPr>
                      <w:rFonts w:ascii="Times New Roman" w:hAnsi="Times New Roman"/>
                      <w:sz w:val="21"/>
                      <w:szCs w:val="21"/>
                      <w:lang w:eastAsia="zh-CN"/>
                    </w:rPr>
                  </w:pPr>
                  <w:r>
                    <w:rPr>
                      <w:rFonts w:ascii="Times New Roman" w:hAnsi="Times New Roman"/>
                      <w:sz w:val="21"/>
                      <w:szCs w:val="21"/>
                      <w:lang w:eastAsia="zh-CN"/>
                    </w:rPr>
                    <w:t>COD</w:t>
                  </w:r>
                </w:p>
              </w:tc>
              <w:tc>
                <w:tcPr>
                  <w:tcW w:w="541" w:type="pct"/>
                  <w:vAlign w:val="center"/>
                </w:tcPr>
                <w:p>
                  <w:pPr>
                    <w:pStyle w:val="39"/>
                    <w:keepNext w:val="0"/>
                    <w:keepLines w:val="0"/>
                    <w:suppressLineNumbers w:val="0"/>
                    <w:spacing w:before="90"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300</w:t>
                  </w:r>
                </w:p>
              </w:tc>
              <w:tc>
                <w:tcPr>
                  <w:tcW w:w="420" w:type="pct"/>
                  <w:vAlign w:val="center"/>
                </w:tcPr>
                <w:p>
                  <w:pPr>
                    <w:pStyle w:val="39"/>
                    <w:keepNext w:val="0"/>
                    <w:keepLines w:val="0"/>
                    <w:suppressLineNumbers w:val="0"/>
                    <w:spacing w:before="90"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0.173</w:t>
                  </w:r>
                </w:p>
              </w:tc>
              <w:tc>
                <w:tcPr>
                  <w:tcW w:w="1133" w:type="pct"/>
                  <w:vMerge w:val="restart"/>
                  <w:vAlign w:val="center"/>
                </w:tcPr>
                <w:p>
                  <w:pPr>
                    <w:pStyle w:val="39"/>
                    <w:keepNext w:val="0"/>
                    <w:keepLines w:val="0"/>
                    <w:suppressLineNumbers w:val="0"/>
                    <w:spacing w:before="90"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经化粪池处理后排入园区污水管网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407" w:type="pct"/>
                  <w:vMerge w:val="continue"/>
                  <w:vAlign w:val="center"/>
                </w:tcPr>
                <w:p>
                  <w:pPr>
                    <w:keepNext w:val="0"/>
                    <w:keepLines w:val="0"/>
                    <w:suppressLineNumbers w:val="0"/>
                    <w:spacing w:before="0" w:beforeAutospacing="0" w:after="0" w:afterAutospacing="0" w:line="240" w:lineRule="auto"/>
                    <w:ind w:left="0" w:right="0" w:firstLine="480"/>
                    <w:jc w:val="center"/>
                    <w:rPr>
                      <w:szCs w:val="21"/>
                    </w:rPr>
                  </w:pPr>
                </w:p>
              </w:tc>
              <w:tc>
                <w:tcPr>
                  <w:tcW w:w="974" w:type="pct"/>
                  <w:vMerge w:val="continue"/>
                  <w:vAlign w:val="center"/>
                </w:tcPr>
                <w:p>
                  <w:pPr>
                    <w:keepNext w:val="0"/>
                    <w:keepLines w:val="0"/>
                    <w:suppressLineNumbers w:val="0"/>
                    <w:spacing w:before="0" w:beforeAutospacing="0" w:after="0" w:afterAutospacing="0" w:line="240" w:lineRule="auto"/>
                    <w:ind w:left="0" w:right="0" w:firstLine="480"/>
                    <w:jc w:val="center"/>
                    <w:rPr>
                      <w:szCs w:val="21"/>
                    </w:rPr>
                  </w:pPr>
                </w:p>
              </w:tc>
              <w:tc>
                <w:tcPr>
                  <w:tcW w:w="973" w:type="pct"/>
                  <w:vMerge w:val="continue"/>
                  <w:vAlign w:val="center"/>
                </w:tcPr>
                <w:p>
                  <w:pPr>
                    <w:keepNext w:val="0"/>
                    <w:keepLines w:val="0"/>
                    <w:suppressLineNumbers w:val="0"/>
                    <w:spacing w:before="0" w:beforeAutospacing="0" w:after="0" w:afterAutospacing="0" w:line="240" w:lineRule="auto"/>
                    <w:ind w:left="0" w:right="0" w:firstLine="480"/>
                    <w:jc w:val="center"/>
                    <w:rPr>
                      <w:szCs w:val="21"/>
                    </w:rPr>
                  </w:pPr>
                </w:p>
              </w:tc>
              <w:tc>
                <w:tcPr>
                  <w:tcW w:w="553" w:type="pct"/>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ascii="Times New Roman" w:hAnsi="Times New Roman"/>
                      <w:sz w:val="21"/>
                      <w:szCs w:val="21"/>
                      <w:lang w:eastAsia="zh-CN"/>
                    </w:rPr>
                    <w:t>SS</w:t>
                  </w:r>
                </w:p>
              </w:tc>
              <w:tc>
                <w:tcPr>
                  <w:tcW w:w="541" w:type="pct"/>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250</w:t>
                  </w:r>
                </w:p>
              </w:tc>
              <w:tc>
                <w:tcPr>
                  <w:tcW w:w="420" w:type="pct"/>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0.144</w:t>
                  </w:r>
                </w:p>
              </w:tc>
              <w:tc>
                <w:tcPr>
                  <w:tcW w:w="1133" w:type="pct"/>
                  <w:vMerge w:val="continue"/>
                  <w:vAlign w:val="center"/>
                </w:tcPr>
                <w:p>
                  <w:pPr>
                    <w:pStyle w:val="39"/>
                    <w:keepNext w:val="0"/>
                    <w:keepLines w:val="0"/>
                    <w:suppressLineNumbers w:val="0"/>
                    <w:spacing w:before="92" w:beforeAutospacing="0" w:after="0" w:afterAutospacing="0"/>
                    <w:ind w:left="0" w:right="0" w:firstLine="420"/>
                    <w:jc w:val="center"/>
                    <w:rPr>
                      <w:rFonts w:ascii="Times New Roman" w:hAnsi="Times New Roman"/>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407" w:type="pct"/>
                  <w:vMerge w:val="continue"/>
                  <w:vAlign w:val="center"/>
                </w:tcPr>
                <w:p>
                  <w:pPr>
                    <w:keepNext w:val="0"/>
                    <w:keepLines w:val="0"/>
                    <w:suppressLineNumbers w:val="0"/>
                    <w:spacing w:before="0" w:beforeAutospacing="0" w:after="0" w:afterAutospacing="0" w:line="240" w:lineRule="auto"/>
                    <w:ind w:left="0" w:right="0" w:firstLine="480"/>
                    <w:jc w:val="center"/>
                    <w:rPr>
                      <w:szCs w:val="21"/>
                    </w:rPr>
                  </w:pPr>
                </w:p>
              </w:tc>
              <w:tc>
                <w:tcPr>
                  <w:tcW w:w="974" w:type="pct"/>
                  <w:vMerge w:val="continue"/>
                  <w:vAlign w:val="center"/>
                </w:tcPr>
                <w:p>
                  <w:pPr>
                    <w:keepNext w:val="0"/>
                    <w:keepLines w:val="0"/>
                    <w:suppressLineNumbers w:val="0"/>
                    <w:spacing w:before="0" w:beforeAutospacing="0" w:after="0" w:afterAutospacing="0" w:line="240" w:lineRule="auto"/>
                    <w:ind w:left="0" w:right="0" w:firstLine="480"/>
                    <w:jc w:val="center"/>
                    <w:rPr>
                      <w:szCs w:val="21"/>
                    </w:rPr>
                  </w:pPr>
                </w:p>
              </w:tc>
              <w:tc>
                <w:tcPr>
                  <w:tcW w:w="973" w:type="pct"/>
                  <w:vMerge w:val="continue"/>
                  <w:vAlign w:val="center"/>
                </w:tcPr>
                <w:p>
                  <w:pPr>
                    <w:keepNext w:val="0"/>
                    <w:keepLines w:val="0"/>
                    <w:suppressLineNumbers w:val="0"/>
                    <w:spacing w:before="0" w:beforeAutospacing="0" w:after="0" w:afterAutospacing="0" w:line="240" w:lineRule="auto"/>
                    <w:ind w:left="0" w:right="0" w:firstLine="480"/>
                    <w:jc w:val="center"/>
                    <w:rPr>
                      <w:szCs w:val="21"/>
                    </w:rPr>
                  </w:pPr>
                </w:p>
              </w:tc>
              <w:tc>
                <w:tcPr>
                  <w:tcW w:w="553" w:type="pct"/>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BOD</w:t>
                  </w:r>
                  <w:r>
                    <w:rPr>
                      <w:rFonts w:hint="eastAsia" w:ascii="Times New Roman" w:hAnsi="Times New Roman"/>
                      <w:sz w:val="21"/>
                      <w:szCs w:val="21"/>
                      <w:vertAlign w:val="subscript"/>
                      <w:lang w:eastAsia="zh-CN"/>
                    </w:rPr>
                    <w:t>5</w:t>
                  </w:r>
                </w:p>
              </w:tc>
              <w:tc>
                <w:tcPr>
                  <w:tcW w:w="541" w:type="pct"/>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150</w:t>
                  </w:r>
                </w:p>
              </w:tc>
              <w:tc>
                <w:tcPr>
                  <w:tcW w:w="420" w:type="pct"/>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0.087</w:t>
                  </w:r>
                </w:p>
              </w:tc>
              <w:tc>
                <w:tcPr>
                  <w:tcW w:w="1133" w:type="pct"/>
                  <w:vMerge w:val="continue"/>
                  <w:vAlign w:val="center"/>
                </w:tcPr>
                <w:p>
                  <w:pPr>
                    <w:pStyle w:val="39"/>
                    <w:keepNext w:val="0"/>
                    <w:keepLines w:val="0"/>
                    <w:suppressLineNumbers w:val="0"/>
                    <w:spacing w:before="92" w:beforeAutospacing="0" w:after="0" w:afterAutospacing="0"/>
                    <w:ind w:left="0" w:right="0" w:firstLine="420"/>
                    <w:jc w:val="center"/>
                    <w:rPr>
                      <w:rFonts w:ascii="Times New Roman" w:hAnsi="Times New Roman"/>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407" w:type="pct"/>
                  <w:vMerge w:val="continue"/>
                  <w:vAlign w:val="center"/>
                </w:tcPr>
                <w:p>
                  <w:pPr>
                    <w:keepNext w:val="0"/>
                    <w:keepLines w:val="0"/>
                    <w:suppressLineNumbers w:val="0"/>
                    <w:spacing w:before="0" w:beforeAutospacing="0" w:after="0" w:afterAutospacing="0" w:line="240" w:lineRule="auto"/>
                    <w:ind w:left="0" w:right="0" w:firstLine="480"/>
                    <w:jc w:val="center"/>
                    <w:rPr>
                      <w:szCs w:val="21"/>
                    </w:rPr>
                  </w:pPr>
                </w:p>
              </w:tc>
              <w:tc>
                <w:tcPr>
                  <w:tcW w:w="974" w:type="pct"/>
                  <w:vMerge w:val="continue"/>
                  <w:vAlign w:val="center"/>
                </w:tcPr>
                <w:p>
                  <w:pPr>
                    <w:keepNext w:val="0"/>
                    <w:keepLines w:val="0"/>
                    <w:suppressLineNumbers w:val="0"/>
                    <w:spacing w:before="0" w:beforeAutospacing="0" w:after="0" w:afterAutospacing="0" w:line="240" w:lineRule="auto"/>
                    <w:ind w:left="0" w:right="0" w:firstLine="480"/>
                    <w:jc w:val="center"/>
                    <w:rPr>
                      <w:szCs w:val="21"/>
                    </w:rPr>
                  </w:pPr>
                </w:p>
              </w:tc>
              <w:tc>
                <w:tcPr>
                  <w:tcW w:w="973" w:type="pct"/>
                  <w:vMerge w:val="continue"/>
                  <w:vAlign w:val="center"/>
                </w:tcPr>
                <w:p>
                  <w:pPr>
                    <w:keepNext w:val="0"/>
                    <w:keepLines w:val="0"/>
                    <w:suppressLineNumbers w:val="0"/>
                    <w:spacing w:before="0" w:beforeAutospacing="0" w:after="0" w:afterAutospacing="0" w:line="240" w:lineRule="auto"/>
                    <w:ind w:left="0" w:right="0" w:firstLine="480"/>
                    <w:jc w:val="center"/>
                    <w:rPr>
                      <w:position w:val="2"/>
                      <w:szCs w:val="21"/>
                    </w:rPr>
                  </w:pPr>
                </w:p>
              </w:tc>
              <w:tc>
                <w:tcPr>
                  <w:tcW w:w="553" w:type="pct"/>
                  <w:vAlign w:val="center"/>
                </w:tcPr>
                <w:p>
                  <w:pPr>
                    <w:pStyle w:val="39"/>
                    <w:keepNext w:val="0"/>
                    <w:keepLines w:val="0"/>
                    <w:suppressLineNumbers w:val="0"/>
                    <w:spacing w:before="88" w:beforeAutospacing="0" w:after="0" w:afterAutospacing="0"/>
                    <w:ind w:left="0" w:right="0"/>
                    <w:jc w:val="center"/>
                    <w:rPr>
                      <w:rFonts w:ascii="Times New Roman" w:hAnsi="Times New Roman"/>
                      <w:sz w:val="21"/>
                      <w:szCs w:val="21"/>
                      <w:lang w:eastAsia="zh-CN"/>
                    </w:rPr>
                  </w:pPr>
                  <w:r>
                    <w:rPr>
                      <w:rFonts w:ascii="Times New Roman" w:hAnsi="Times New Roman"/>
                      <w:position w:val="2"/>
                      <w:sz w:val="21"/>
                      <w:szCs w:val="21"/>
                      <w:lang w:eastAsia="zh-CN"/>
                    </w:rPr>
                    <w:t>NH</w:t>
                  </w:r>
                  <w:r>
                    <w:rPr>
                      <w:rFonts w:ascii="Times New Roman" w:hAnsi="Times New Roman"/>
                      <w:sz w:val="21"/>
                      <w:szCs w:val="21"/>
                      <w:vertAlign w:val="subscript"/>
                      <w:lang w:eastAsia="zh-CN"/>
                    </w:rPr>
                    <w:t>3</w:t>
                  </w:r>
                  <w:r>
                    <w:rPr>
                      <w:rFonts w:ascii="Times New Roman" w:hAnsi="Times New Roman"/>
                      <w:position w:val="2"/>
                      <w:sz w:val="21"/>
                      <w:szCs w:val="21"/>
                      <w:lang w:eastAsia="zh-CN"/>
                    </w:rPr>
                    <w:t>-N</w:t>
                  </w:r>
                </w:p>
              </w:tc>
              <w:tc>
                <w:tcPr>
                  <w:tcW w:w="541" w:type="pct"/>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35</w:t>
                  </w:r>
                </w:p>
              </w:tc>
              <w:tc>
                <w:tcPr>
                  <w:tcW w:w="420" w:type="pct"/>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0.020</w:t>
                  </w:r>
                </w:p>
              </w:tc>
              <w:tc>
                <w:tcPr>
                  <w:tcW w:w="1133" w:type="pct"/>
                  <w:vMerge w:val="continue"/>
                  <w:vAlign w:val="center"/>
                </w:tcPr>
                <w:p>
                  <w:pPr>
                    <w:pStyle w:val="39"/>
                    <w:keepNext w:val="0"/>
                    <w:keepLines w:val="0"/>
                    <w:suppressLineNumbers w:val="0"/>
                    <w:spacing w:before="92" w:beforeAutospacing="0" w:after="0" w:afterAutospacing="0"/>
                    <w:ind w:left="0" w:right="0" w:firstLine="420"/>
                    <w:jc w:val="center"/>
                    <w:rPr>
                      <w:rFonts w:ascii="Times New Roman" w:hAnsi="Times New Roman"/>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407" w:type="pct"/>
                  <w:vMerge w:val="continue"/>
                  <w:vAlign w:val="center"/>
                </w:tcPr>
                <w:p>
                  <w:pPr>
                    <w:keepNext w:val="0"/>
                    <w:keepLines w:val="0"/>
                    <w:suppressLineNumbers w:val="0"/>
                    <w:spacing w:before="0" w:beforeAutospacing="0" w:after="0" w:afterAutospacing="0" w:line="240" w:lineRule="auto"/>
                    <w:ind w:left="0" w:right="0" w:firstLine="480"/>
                    <w:jc w:val="center"/>
                    <w:rPr>
                      <w:szCs w:val="21"/>
                    </w:rPr>
                  </w:pPr>
                </w:p>
              </w:tc>
              <w:tc>
                <w:tcPr>
                  <w:tcW w:w="974"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食堂废水</w:t>
                  </w:r>
                </w:p>
              </w:tc>
              <w:tc>
                <w:tcPr>
                  <w:tcW w:w="973"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position w:val="2"/>
                      <w:sz w:val="21"/>
                      <w:szCs w:val="21"/>
                    </w:rPr>
                  </w:pPr>
                  <w:r>
                    <w:rPr>
                      <w:rFonts w:hint="eastAsia"/>
                      <w:sz w:val="21"/>
                      <w:szCs w:val="21"/>
                    </w:rPr>
                    <w:t>288m</w:t>
                  </w:r>
                  <w:r>
                    <w:rPr>
                      <w:rFonts w:hint="eastAsia"/>
                      <w:sz w:val="21"/>
                      <w:szCs w:val="21"/>
                      <w:vertAlign w:val="superscript"/>
                    </w:rPr>
                    <w:t>3</w:t>
                  </w:r>
                  <w:r>
                    <w:rPr>
                      <w:rFonts w:hint="eastAsia"/>
                      <w:sz w:val="21"/>
                      <w:szCs w:val="21"/>
                    </w:rPr>
                    <w:t>/a</w:t>
                  </w:r>
                </w:p>
              </w:tc>
              <w:tc>
                <w:tcPr>
                  <w:tcW w:w="553" w:type="pct"/>
                  <w:vAlign w:val="center"/>
                </w:tcPr>
                <w:p>
                  <w:pPr>
                    <w:pStyle w:val="39"/>
                    <w:keepNext w:val="0"/>
                    <w:keepLines w:val="0"/>
                    <w:suppressLineNumbers w:val="0"/>
                    <w:spacing w:before="90" w:beforeAutospacing="0" w:after="0" w:afterAutospacing="0"/>
                    <w:ind w:left="0" w:right="2"/>
                    <w:jc w:val="center"/>
                    <w:rPr>
                      <w:rFonts w:ascii="Times New Roman" w:hAnsi="Times New Roman"/>
                      <w:sz w:val="21"/>
                      <w:szCs w:val="21"/>
                    </w:rPr>
                  </w:pPr>
                  <w:r>
                    <w:rPr>
                      <w:rFonts w:ascii="Times New Roman" w:hAnsi="Times New Roman"/>
                      <w:sz w:val="21"/>
                      <w:szCs w:val="21"/>
                    </w:rPr>
                    <w:t>COD</w:t>
                  </w:r>
                </w:p>
              </w:tc>
              <w:tc>
                <w:tcPr>
                  <w:tcW w:w="541" w:type="pct"/>
                  <w:vAlign w:val="center"/>
                </w:tcPr>
                <w:p>
                  <w:pPr>
                    <w:pStyle w:val="39"/>
                    <w:keepNext w:val="0"/>
                    <w:keepLines w:val="0"/>
                    <w:suppressLineNumbers w:val="0"/>
                    <w:spacing w:before="90"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400</w:t>
                  </w:r>
                </w:p>
              </w:tc>
              <w:tc>
                <w:tcPr>
                  <w:tcW w:w="420" w:type="pct"/>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0.115</w:t>
                  </w:r>
                </w:p>
              </w:tc>
              <w:tc>
                <w:tcPr>
                  <w:tcW w:w="1133" w:type="pct"/>
                  <w:vMerge w:val="restart"/>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经本项目隔油池、化粪池处理后排入园区污水管网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407" w:type="pct"/>
                  <w:vMerge w:val="continue"/>
                  <w:vAlign w:val="center"/>
                </w:tcPr>
                <w:p>
                  <w:pPr>
                    <w:keepNext w:val="0"/>
                    <w:keepLines w:val="0"/>
                    <w:suppressLineNumbers w:val="0"/>
                    <w:spacing w:before="0" w:beforeAutospacing="0" w:after="0" w:afterAutospacing="0" w:line="240" w:lineRule="auto"/>
                    <w:ind w:left="0" w:right="0" w:firstLine="480"/>
                    <w:jc w:val="center"/>
                    <w:rPr>
                      <w:szCs w:val="21"/>
                    </w:rPr>
                  </w:pPr>
                </w:p>
              </w:tc>
              <w:tc>
                <w:tcPr>
                  <w:tcW w:w="974"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973" w:type="pct"/>
                  <w:vMerge w:val="continue"/>
                  <w:vAlign w:val="center"/>
                </w:tcPr>
                <w:p>
                  <w:pPr>
                    <w:keepNext w:val="0"/>
                    <w:keepLines w:val="0"/>
                    <w:suppressLineNumbers w:val="0"/>
                    <w:spacing w:before="0" w:beforeAutospacing="0" w:after="0" w:afterAutospacing="0" w:line="240" w:lineRule="auto"/>
                    <w:ind w:left="0" w:right="0" w:firstLine="420"/>
                    <w:jc w:val="center"/>
                    <w:rPr>
                      <w:position w:val="2"/>
                      <w:sz w:val="21"/>
                      <w:szCs w:val="21"/>
                    </w:rPr>
                  </w:pPr>
                </w:p>
              </w:tc>
              <w:tc>
                <w:tcPr>
                  <w:tcW w:w="553" w:type="pct"/>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ascii="Times New Roman" w:hAnsi="Times New Roman"/>
                      <w:sz w:val="21"/>
                      <w:szCs w:val="21"/>
                      <w:lang w:eastAsia="zh-CN"/>
                    </w:rPr>
                    <w:t>SS</w:t>
                  </w:r>
                </w:p>
              </w:tc>
              <w:tc>
                <w:tcPr>
                  <w:tcW w:w="541" w:type="pct"/>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200</w:t>
                  </w:r>
                </w:p>
              </w:tc>
              <w:tc>
                <w:tcPr>
                  <w:tcW w:w="420" w:type="pct"/>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0.058</w:t>
                  </w:r>
                </w:p>
              </w:tc>
              <w:tc>
                <w:tcPr>
                  <w:tcW w:w="1133" w:type="pct"/>
                  <w:vMerge w:val="continue"/>
                  <w:vAlign w:val="center"/>
                </w:tcPr>
                <w:p>
                  <w:pPr>
                    <w:pStyle w:val="39"/>
                    <w:keepNext w:val="0"/>
                    <w:keepLines w:val="0"/>
                    <w:suppressLineNumbers w:val="0"/>
                    <w:spacing w:before="92" w:beforeAutospacing="0" w:after="0" w:afterAutospacing="0"/>
                    <w:ind w:left="0" w:right="0" w:firstLine="420"/>
                    <w:jc w:val="center"/>
                    <w:rPr>
                      <w:rFonts w:ascii="Times New Roman" w:hAnsi="Times New Roman"/>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407" w:type="pct"/>
                  <w:vMerge w:val="continue"/>
                  <w:vAlign w:val="center"/>
                </w:tcPr>
                <w:p>
                  <w:pPr>
                    <w:keepNext w:val="0"/>
                    <w:keepLines w:val="0"/>
                    <w:suppressLineNumbers w:val="0"/>
                    <w:spacing w:before="0" w:beforeAutospacing="0" w:after="0" w:afterAutospacing="0" w:line="240" w:lineRule="auto"/>
                    <w:ind w:left="0" w:right="0" w:firstLine="480"/>
                    <w:jc w:val="center"/>
                    <w:rPr>
                      <w:szCs w:val="21"/>
                    </w:rPr>
                  </w:pPr>
                </w:p>
              </w:tc>
              <w:tc>
                <w:tcPr>
                  <w:tcW w:w="974"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973" w:type="pct"/>
                  <w:vMerge w:val="continue"/>
                  <w:vAlign w:val="center"/>
                </w:tcPr>
                <w:p>
                  <w:pPr>
                    <w:keepNext w:val="0"/>
                    <w:keepLines w:val="0"/>
                    <w:suppressLineNumbers w:val="0"/>
                    <w:spacing w:before="0" w:beforeAutospacing="0" w:after="0" w:afterAutospacing="0" w:line="240" w:lineRule="auto"/>
                    <w:ind w:left="0" w:right="0" w:firstLine="420"/>
                    <w:jc w:val="center"/>
                    <w:rPr>
                      <w:position w:val="2"/>
                      <w:sz w:val="21"/>
                      <w:szCs w:val="21"/>
                    </w:rPr>
                  </w:pPr>
                </w:p>
              </w:tc>
              <w:tc>
                <w:tcPr>
                  <w:tcW w:w="553" w:type="pct"/>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BOD</w:t>
                  </w:r>
                  <w:r>
                    <w:rPr>
                      <w:rFonts w:hint="eastAsia" w:ascii="Times New Roman" w:hAnsi="Times New Roman"/>
                      <w:sz w:val="21"/>
                      <w:szCs w:val="21"/>
                      <w:vertAlign w:val="subscript"/>
                      <w:lang w:eastAsia="zh-CN"/>
                    </w:rPr>
                    <w:t>5</w:t>
                  </w:r>
                </w:p>
              </w:tc>
              <w:tc>
                <w:tcPr>
                  <w:tcW w:w="541" w:type="pct"/>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250</w:t>
                  </w:r>
                </w:p>
              </w:tc>
              <w:tc>
                <w:tcPr>
                  <w:tcW w:w="420" w:type="pct"/>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0.072</w:t>
                  </w:r>
                </w:p>
              </w:tc>
              <w:tc>
                <w:tcPr>
                  <w:tcW w:w="1133" w:type="pct"/>
                  <w:vMerge w:val="continue"/>
                  <w:vAlign w:val="center"/>
                </w:tcPr>
                <w:p>
                  <w:pPr>
                    <w:pStyle w:val="39"/>
                    <w:keepNext w:val="0"/>
                    <w:keepLines w:val="0"/>
                    <w:suppressLineNumbers w:val="0"/>
                    <w:spacing w:before="92" w:beforeAutospacing="0" w:after="0" w:afterAutospacing="0"/>
                    <w:ind w:left="0" w:right="0" w:firstLine="420"/>
                    <w:jc w:val="center"/>
                    <w:rPr>
                      <w:rFonts w:ascii="Times New Roman" w:hAnsi="Times New Roman"/>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407" w:type="pct"/>
                  <w:vMerge w:val="continue"/>
                  <w:vAlign w:val="center"/>
                </w:tcPr>
                <w:p>
                  <w:pPr>
                    <w:keepNext w:val="0"/>
                    <w:keepLines w:val="0"/>
                    <w:suppressLineNumbers w:val="0"/>
                    <w:spacing w:before="0" w:beforeAutospacing="0" w:after="0" w:afterAutospacing="0" w:line="240" w:lineRule="auto"/>
                    <w:ind w:left="0" w:right="0" w:firstLine="480"/>
                    <w:jc w:val="center"/>
                    <w:rPr>
                      <w:szCs w:val="21"/>
                    </w:rPr>
                  </w:pPr>
                </w:p>
              </w:tc>
              <w:tc>
                <w:tcPr>
                  <w:tcW w:w="974"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973" w:type="pct"/>
                  <w:vMerge w:val="continue"/>
                  <w:vAlign w:val="center"/>
                </w:tcPr>
                <w:p>
                  <w:pPr>
                    <w:keepNext w:val="0"/>
                    <w:keepLines w:val="0"/>
                    <w:suppressLineNumbers w:val="0"/>
                    <w:spacing w:before="0" w:beforeAutospacing="0" w:after="0" w:afterAutospacing="0" w:line="240" w:lineRule="auto"/>
                    <w:ind w:left="0" w:right="0" w:firstLine="420"/>
                    <w:jc w:val="center"/>
                    <w:rPr>
                      <w:position w:val="2"/>
                      <w:sz w:val="21"/>
                      <w:szCs w:val="21"/>
                    </w:rPr>
                  </w:pPr>
                </w:p>
              </w:tc>
              <w:tc>
                <w:tcPr>
                  <w:tcW w:w="553" w:type="pct"/>
                  <w:vAlign w:val="center"/>
                </w:tcPr>
                <w:p>
                  <w:pPr>
                    <w:pStyle w:val="39"/>
                    <w:keepNext w:val="0"/>
                    <w:keepLines w:val="0"/>
                    <w:suppressLineNumbers w:val="0"/>
                    <w:spacing w:before="88" w:beforeAutospacing="0" w:after="0" w:afterAutospacing="0"/>
                    <w:ind w:left="0" w:right="0"/>
                    <w:jc w:val="center"/>
                    <w:rPr>
                      <w:rFonts w:ascii="Times New Roman" w:hAnsi="Times New Roman"/>
                      <w:sz w:val="21"/>
                      <w:szCs w:val="21"/>
                      <w:lang w:eastAsia="zh-CN"/>
                    </w:rPr>
                  </w:pPr>
                  <w:r>
                    <w:rPr>
                      <w:rFonts w:ascii="Times New Roman" w:hAnsi="Times New Roman"/>
                      <w:position w:val="2"/>
                      <w:sz w:val="21"/>
                      <w:szCs w:val="21"/>
                      <w:lang w:eastAsia="zh-CN"/>
                    </w:rPr>
                    <w:t>NH</w:t>
                  </w:r>
                  <w:r>
                    <w:rPr>
                      <w:rFonts w:ascii="Times New Roman" w:hAnsi="Times New Roman"/>
                      <w:sz w:val="21"/>
                      <w:szCs w:val="21"/>
                      <w:vertAlign w:val="subscript"/>
                      <w:lang w:eastAsia="zh-CN"/>
                    </w:rPr>
                    <w:t>3</w:t>
                  </w:r>
                  <w:r>
                    <w:rPr>
                      <w:rFonts w:ascii="Times New Roman" w:hAnsi="Times New Roman"/>
                      <w:position w:val="2"/>
                      <w:sz w:val="21"/>
                      <w:szCs w:val="21"/>
                      <w:lang w:eastAsia="zh-CN"/>
                    </w:rPr>
                    <w:t>-N</w:t>
                  </w:r>
                </w:p>
              </w:tc>
              <w:tc>
                <w:tcPr>
                  <w:tcW w:w="541" w:type="pct"/>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25</w:t>
                  </w:r>
                </w:p>
              </w:tc>
              <w:tc>
                <w:tcPr>
                  <w:tcW w:w="420" w:type="pct"/>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0.007</w:t>
                  </w:r>
                </w:p>
              </w:tc>
              <w:tc>
                <w:tcPr>
                  <w:tcW w:w="1133" w:type="pct"/>
                  <w:vMerge w:val="continue"/>
                  <w:vAlign w:val="center"/>
                </w:tcPr>
                <w:p>
                  <w:pPr>
                    <w:pStyle w:val="39"/>
                    <w:keepNext w:val="0"/>
                    <w:keepLines w:val="0"/>
                    <w:suppressLineNumbers w:val="0"/>
                    <w:spacing w:before="92" w:beforeAutospacing="0" w:after="0" w:afterAutospacing="0"/>
                    <w:ind w:left="0" w:right="0" w:firstLine="420"/>
                    <w:jc w:val="center"/>
                    <w:rPr>
                      <w:rFonts w:ascii="Times New Roman" w:hAnsi="Times New Roman"/>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407" w:type="pct"/>
                  <w:vMerge w:val="continue"/>
                  <w:vAlign w:val="center"/>
                </w:tcPr>
                <w:p>
                  <w:pPr>
                    <w:keepNext w:val="0"/>
                    <w:keepLines w:val="0"/>
                    <w:suppressLineNumbers w:val="0"/>
                    <w:spacing w:before="0" w:beforeAutospacing="0" w:after="0" w:afterAutospacing="0" w:line="240" w:lineRule="auto"/>
                    <w:ind w:left="0" w:right="0" w:firstLine="480"/>
                    <w:jc w:val="center"/>
                    <w:rPr>
                      <w:szCs w:val="21"/>
                    </w:rPr>
                  </w:pPr>
                </w:p>
              </w:tc>
              <w:tc>
                <w:tcPr>
                  <w:tcW w:w="974"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973" w:type="pct"/>
                  <w:vMerge w:val="continue"/>
                  <w:vAlign w:val="center"/>
                </w:tcPr>
                <w:p>
                  <w:pPr>
                    <w:keepNext w:val="0"/>
                    <w:keepLines w:val="0"/>
                    <w:suppressLineNumbers w:val="0"/>
                    <w:spacing w:before="0" w:beforeAutospacing="0" w:after="0" w:afterAutospacing="0" w:line="240" w:lineRule="auto"/>
                    <w:ind w:left="0" w:right="0" w:firstLine="420"/>
                    <w:jc w:val="center"/>
                    <w:rPr>
                      <w:position w:val="2"/>
                      <w:sz w:val="21"/>
                      <w:szCs w:val="21"/>
                    </w:rPr>
                  </w:pPr>
                </w:p>
              </w:tc>
              <w:tc>
                <w:tcPr>
                  <w:tcW w:w="553" w:type="pct"/>
                  <w:vAlign w:val="center"/>
                </w:tcPr>
                <w:p>
                  <w:pPr>
                    <w:pStyle w:val="39"/>
                    <w:keepNext w:val="0"/>
                    <w:keepLines w:val="0"/>
                    <w:suppressLineNumbers w:val="0"/>
                    <w:spacing w:before="88" w:beforeAutospacing="0" w:after="0" w:afterAutospacing="0"/>
                    <w:ind w:left="0" w:right="0"/>
                    <w:jc w:val="center"/>
                    <w:rPr>
                      <w:rFonts w:ascii="Times New Roman" w:hAnsi="Times New Roman"/>
                      <w:position w:val="2"/>
                      <w:sz w:val="21"/>
                      <w:szCs w:val="21"/>
                      <w:lang w:eastAsia="zh-CN"/>
                    </w:rPr>
                  </w:pPr>
                  <w:r>
                    <w:rPr>
                      <w:rFonts w:hint="eastAsia" w:ascii="Times New Roman" w:hAnsi="Times New Roman"/>
                      <w:position w:val="2"/>
                      <w:sz w:val="21"/>
                      <w:szCs w:val="21"/>
                      <w:lang w:eastAsia="zh-CN"/>
                    </w:rPr>
                    <w:t>动植物油</w:t>
                  </w:r>
                </w:p>
              </w:tc>
              <w:tc>
                <w:tcPr>
                  <w:tcW w:w="541" w:type="pct"/>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30</w:t>
                  </w:r>
                </w:p>
              </w:tc>
              <w:tc>
                <w:tcPr>
                  <w:tcW w:w="420" w:type="pct"/>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0.009</w:t>
                  </w:r>
                </w:p>
              </w:tc>
              <w:tc>
                <w:tcPr>
                  <w:tcW w:w="1133" w:type="pct"/>
                  <w:vMerge w:val="continue"/>
                  <w:vAlign w:val="center"/>
                </w:tcPr>
                <w:p>
                  <w:pPr>
                    <w:pStyle w:val="39"/>
                    <w:keepNext w:val="0"/>
                    <w:keepLines w:val="0"/>
                    <w:suppressLineNumbers w:val="0"/>
                    <w:spacing w:before="92" w:beforeAutospacing="0" w:after="0" w:afterAutospacing="0"/>
                    <w:ind w:left="0" w:right="0" w:firstLine="420"/>
                    <w:jc w:val="center"/>
                    <w:rPr>
                      <w:rFonts w:ascii="Times New Roman" w:hAnsi="Times New Roman"/>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407"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生产废水</w:t>
                  </w:r>
                </w:p>
              </w:tc>
              <w:tc>
                <w:tcPr>
                  <w:tcW w:w="974" w:type="pct"/>
                  <w:vAlign w:val="center"/>
                </w:tcPr>
                <w:p>
                  <w:pPr>
                    <w:keepNext w:val="0"/>
                    <w:keepLines w:val="0"/>
                    <w:suppressLineNumbers w:val="0"/>
                    <w:spacing w:before="0" w:beforeAutospacing="0" w:after="0" w:afterAutospacing="0" w:line="240" w:lineRule="auto"/>
                    <w:ind w:left="0" w:right="0" w:firstLine="105" w:firstLineChars="50"/>
                    <w:jc w:val="center"/>
                    <w:rPr>
                      <w:sz w:val="21"/>
                      <w:szCs w:val="21"/>
                    </w:rPr>
                  </w:pPr>
                  <w:r>
                    <w:rPr>
                      <w:sz w:val="21"/>
                      <w:szCs w:val="21"/>
                    </w:rPr>
                    <w:t>打孔冷却水</w:t>
                  </w:r>
                </w:p>
              </w:tc>
              <w:tc>
                <w:tcPr>
                  <w:tcW w:w="973" w:type="pct"/>
                  <w:vAlign w:val="center"/>
                </w:tcPr>
                <w:p>
                  <w:pPr>
                    <w:keepNext w:val="0"/>
                    <w:keepLines w:val="0"/>
                    <w:suppressLineNumbers w:val="0"/>
                    <w:spacing w:before="0" w:beforeAutospacing="0" w:after="0" w:afterAutospacing="0" w:line="240" w:lineRule="auto"/>
                    <w:ind w:left="0" w:right="0" w:firstLine="0" w:firstLineChars="0"/>
                    <w:jc w:val="center"/>
                    <w:rPr>
                      <w:position w:val="2"/>
                      <w:sz w:val="21"/>
                      <w:szCs w:val="21"/>
                    </w:rPr>
                  </w:pPr>
                  <w:r>
                    <w:rPr>
                      <w:rFonts w:hint="eastAsia"/>
                      <w:sz w:val="21"/>
                      <w:szCs w:val="21"/>
                    </w:rPr>
                    <w:t>6885 m</w:t>
                  </w:r>
                  <w:r>
                    <w:rPr>
                      <w:rFonts w:hint="eastAsia"/>
                      <w:sz w:val="21"/>
                      <w:szCs w:val="21"/>
                      <w:vertAlign w:val="superscript"/>
                    </w:rPr>
                    <w:t>3</w:t>
                  </w:r>
                  <w:r>
                    <w:rPr>
                      <w:rFonts w:hint="eastAsia"/>
                      <w:sz w:val="21"/>
                      <w:szCs w:val="21"/>
                    </w:rPr>
                    <w:t>/a</w:t>
                  </w:r>
                </w:p>
              </w:tc>
              <w:tc>
                <w:tcPr>
                  <w:tcW w:w="553" w:type="pct"/>
                  <w:vAlign w:val="center"/>
                </w:tcPr>
                <w:p>
                  <w:pPr>
                    <w:pStyle w:val="39"/>
                    <w:keepNext w:val="0"/>
                    <w:keepLines w:val="0"/>
                    <w:suppressLineNumbers w:val="0"/>
                    <w:spacing w:before="88" w:beforeAutospacing="0" w:after="0" w:afterAutospacing="0"/>
                    <w:ind w:left="0" w:right="0"/>
                    <w:jc w:val="center"/>
                    <w:rPr>
                      <w:rFonts w:ascii="Times New Roman" w:hAnsi="Times New Roman"/>
                      <w:position w:val="2"/>
                      <w:sz w:val="21"/>
                      <w:szCs w:val="21"/>
                      <w:lang w:eastAsia="zh-CN"/>
                    </w:rPr>
                  </w:pPr>
                  <w:r>
                    <w:rPr>
                      <w:rFonts w:hint="eastAsia" w:ascii="Times New Roman" w:hAnsi="Times New Roman"/>
                      <w:position w:val="2"/>
                      <w:sz w:val="21"/>
                      <w:szCs w:val="21"/>
                      <w:lang w:eastAsia="zh-CN"/>
                    </w:rPr>
                    <w:t>SS</w:t>
                  </w:r>
                </w:p>
              </w:tc>
              <w:tc>
                <w:tcPr>
                  <w:tcW w:w="541" w:type="pct"/>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200</w:t>
                  </w:r>
                </w:p>
              </w:tc>
              <w:tc>
                <w:tcPr>
                  <w:tcW w:w="420" w:type="pct"/>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1.38</w:t>
                  </w:r>
                </w:p>
              </w:tc>
              <w:tc>
                <w:tcPr>
                  <w:tcW w:w="1133" w:type="pct"/>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ascii="Times New Roman" w:hAnsi="Times New Roman"/>
                      <w:sz w:val="21"/>
                      <w:szCs w:val="21"/>
                      <w:lang w:eastAsia="zh-CN"/>
                    </w:rPr>
                    <w:t>滤网快速过滤后回用于原环节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407" w:type="pct"/>
                  <w:vMerge w:val="continue"/>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p>
              </w:tc>
              <w:tc>
                <w:tcPr>
                  <w:tcW w:w="974" w:type="pct"/>
                  <w:vAlign w:val="center"/>
                </w:tcPr>
                <w:p>
                  <w:pPr>
                    <w:keepNext w:val="0"/>
                    <w:keepLines w:val="0"/>
                    <w:suppressLineNumbers w:val="0"/>
                    <w:spacing w:before="0" w:beforeAutospacing="0" w:after="0" w:afterAutospacing="0" w:line="240" w:lineRule="auto"/>
                    <w:ind w:left="0" w:right="0" w:firstLine="105" w:firstLineChars="50"/>
                    <w:jc w:val="center"/>
                    <w:rPr>
                      <w:sz w:val="21"/>
                      <w:szCs w:val="21"/>
                    </w:rPr>
                  </w:pPr>
                  <w:r>
                    <w:rPr>
                      <w:rFonts w:hint="eastAsia"/>
                      <w:sz w:val="21"/>
                      <w:szCs w:val="21"/>
                    </w:rPr>
                    <w:t>涂料回收池废液</w:t>
                  </w:r>
                </w:p>
              </w:tc>
              <w:tc>
                <w:tcPr>
                  <w:tcW w:w="97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12m</w:t>
                  </w:r>
                  <w:r>
                    <w:rPr>
                      <w:rFonts w:hint="eastAsia"/>
                      <w:sz w:val="21"/>
                      <w:szCs w:val="21"/>
                      <w:vertAlign w:val="superscript"/>
                    </w:rPr>
                    <w:t>3</w:t>
                  </w:r>
                  <w:r>
                    <w:rPr>
                      <w:rFonts w:hint="eastAsia"/>
                      <w:sz w:val="21"/>
                      <w:szCs w:val="21"/>
                    </w:rPr>
                    <w:t>/a</w:t>
                  </w:r>
                </w:p>
              </w:tc>
              <w:tc>
                <w:tcPr>
                  <w:tcW w:w="553" w:type="pct"/>
                  <w:vAlign w:val="center"/>
                </w:tcPr>
                <w:p>
                  <w:pPr>
                    <w:pStyle w:val="39"/>
                    <w:keepNext w:val="0"/>
                    <w:keepLines w:val="0"/>
                    <w:suppressLineNumbers w:val="0"/>
                    <w:spacing w:before="88" w:beforeAutospacing="0" w:after="0" w:afterAutospacing="0"/>
                    <w:ind w:left="0" w:right="0"/>
                    <w:jc w:val="center"/>
                    <w:rPr>
                      <w:rFonts w:ascii="Times New Roman" w:hAnsi="Times New Roman"/>
                      <w:position w:val="2"/>
                      <w:sz w:val="21"/>
                      <w:szCs w:val="21"/>
                      <w:lang w:eastAsia="zh-CN"/>
                    </w:rPr>
                  </w:pPr>
                  <w:r>
                    <w:rPr>
                      <w:rFonts w:hint="eastAsia" w:ascii="Times New Roman" w:hAnsi="Times New Roman"/>
                      <w:position w:val="2"/>
                      <w:sz w:val="21"/>
                      <w:szCs w:val="21"/>
                      <w:lang w:eastAsia="zh-CN"/>
                    </w:rPr>
                    <w:t>/</w:t>
                  </w:r>
                </w:p>
              </w:tc>
              <w:tc>
                <w:tcPr>
                  <w:tcW w:w="541" w:type="pct"/>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w:t>
                  </w:r>
                </w:p>
              </w:tc>
              <w:tc>
                <w:tcPr>
                  <w:tcW w:w="420" w:type="pct"/>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w:t>
                  </w:r>
                </w:p>
              </w:tc>
              <w:tc>
                <w:tcPr>
                  <w:tcW w:w="1132" w:type="pct"/>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收集后回用于调漆</w:t>
                  </w:r>
                </w:p>
              </w:tc>
            </w:tr>
          </w:tbl>
          <w:p>
            <w:pPr>
              <w:keepNext w:val="0"/>
              <w:keepLines w:val="0"/>
              <w:suppressLineNumbers w:val="0"/>
              <w:spacing w:before="0" w:beforeAutospacing="0" w:after="0" w:afterAutospacing="0"/>
              <w:ind w:left="0" w:right="0" w:firstLine="480"/>
              <w:jc w:val="both"/>
            </w:pPr>
            <w:r>
              <w:rPr>
                <w:rFonts w:hint="eastAsia"/>
              </w:rPr>
              <w:t>本项目运营期水平衡见图5-3。</w:t>
            </w:r>
          </w:p>
          <w:p>
            <w:pPr>
              <w:pStyle w:val="2"/>
              <w:keepNext w:val="0"/>
              <w:keepLines w:val="0"/>
              <w:suppressLineNumbers w:val="0"/>
              <w:spacing w:before="0" w:beforeAutospacing="0" w:after="0" w:afterAutospacing="0"/>
              <w:ind w:left="0" w:right="0" w:firstLine="0" w:firstLineChars="0"/>
              <w:jc w:val="both"/>
            </w:pPr>
            <w:r>
              <w:pict>
                <v:shape id="_x0000_i1026" o:spt="75" type="#_x0000_t75" style="height:247.95pt;width:415.1pt;" filled="f" o:preferrelative="t" stroked="f" coordsize="21600,21600">
                  <v:path/>
                  <v:fill on="f" focussize="0,0"/>
                  <v:stroke on="f" joinstyle="miter"/>
                  <v:imagedata r:id="rId14" o:title=""/>
                  <o:lock v:ext="edit" aspectratio="t"/>
                  <w10:wrap type="none"/>
                  <w10:anchorlock/>
                </v:shape>
              </w:pict>
            </w:r>
          </w:p>
          <w:p>
            <w:pPr>
              <w:keepNext w:val="0"/>
              <w:keepLines w:val="0"/>
              <w:suppressLineNumbers w:val="0"/>
              <w:spacing w:before="0" w:beforeAutospacing="0" w:after="0" w:afterAutospacing="0"/>
              <w:ind w:left="0" w:right="0" w:firstLine="360" w:firstLineChars="150"/>
              <w:jc w:val="both"/>
            </w:pPr>
            <w:r>
              <w:rPr>
                <w:rFonts w:hint="eastAsia"/>
              </w:rPr>
              <w:t>（3）噪声</w:t>
            </w:r>
          </w:p>
          <w:p>
            <w:pPr>
              <w:keepNext w:val="0"/>
              <w:keepLines w:val="0"/>
              <w:suppressLineNumbers w:val="0"/>
              <w:spacing w:before="0" w:beforeAutospacing="0" w:after="0" w:afterAutospacing="0"/>
              <w:ind w:left="0" w:right="0" w:firstLine="480"/>
              <w:jc w:val="both"/>
            </w:pPr>
            <w:r>
              <w:t>项目营运期噪声主要为设备噪声，其中设备噪声源为</w:t>
            </w:r>
            <w:r>
              <w:rPr>
                <w:rFonts w:hint="eastAsia"/>
              </w:rPr>
              <w:t>剪板机、折弯机、冲床、焊机等</w:t>
            </w:r>
            <w:r>
              <w:t>，其主要噪声源强见表5-</w:t>
            </w:r>
            <w:r>
              <w:rPr>
                <w:rFonts w:hint="eastAsia"/>
              </w:rPr>
              <w:t>5</w:t>
            </w:r>
            <w:r>
              <w:t>。</w:t>
            </w:r>
          </w:p>
          <w:p>
            <w:pPr>
              <w:pStyle w:val="25"/>
              <w:keepNext w:val="0"/>
              <w:keepLines w:val="0"/>
              <w:suppressLineNumbers w:val="0"/>
              <w:spacing w:before="0" w:beforeAutospacing="0" w:after="0" w:afterAutospacing="0" w:line="240" w:lineRule="auto"/>
              <w:ind w:left="0" w:right="0"/>
            </w:pPr>
          </w:p>
          <w:p>
            <w:pPr>
              <w:pStyle w:val="25"/>
              <w:keepNext w:val="0"/>
              <w:keepLines w:val="0"/>
              <w:suppressLineNumbers w:val="0"/>
              <w:spacing w:before="0" w:beforeAutospacing="0" w:after="0" w:afterAutospacing="0" w:line="240" w:lineRule="auto"/>
              <w:ind w:left="0" w:right="0"/>
            </w:pPr>
            <w:r>
              <w:t>表5-</w:t>
            </w:r>
            <w:r>
              <w:rPr>
                <w:rFonts w:hint="eastAsia"/>
              </w:rPr>
              <w:t>5</w:t>
            </w:r>
            <w:r>
              <w:t xml:space="preserve"> 运营期各类噪声源强及治理措施</w:t>
            </w:r>
          </w:p>
          <w:tbl>
            <w:tblPr>
              <w:tblStyle w:val="19"/>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36"/>
              <w:gridCol w:w="1896"/>
              <w:gridCol w:w="727"/>
              <w:gridCol w:w="1648"/>
              <w:gridCol w:w="336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8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序号</w:t>
                  </w:r>
                </w:p>
              </w:tc>
              <w:tc>
                <w:tcPr>
                  <w:tcW w:w="114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设备名称</w:t>
                  </w:r>
                </w:p>
              </w:tc>
              <w:tc>
                <w:tcPr>
                  <w:tcW w:w="444"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数量</w:t>
                  </w:r>
                </w:p>
              </w:tc>
              <w:tc>
                <w:tcPr>
                  <w:tcW w:w="100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源强</w:t>
                  </w:r>
                </w:p>
              </w:tc>
              <w:tc>
                <w:tcPr>
                  <w:tcW w:w="202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8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w:t>
                  </w:r>
                </w:p>
              </w:tc>
              <w:tc>
                <w:tcPr>
                  <w:tcW w:w="114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激光剪板机</w:t>
                  </w:r>
                </w:p>
              </w:tc>
              <w:tc>
                <w:tcPr>
                  <w:tcW w:w="444"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4台</w:t>
                  </w:r>
                </w:p>
              </w:tc>
              <w:tc>
                <w:tcPr>
                  <w:tcW w:w="100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85</w:t>
                  </w:r>
                </w:p>
              </w:tc>
              <w:tc>
                <w:tcPr>
                  <w:tcW w:w="2029" w:type="pct"/>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低噪声设备、基础减震、车间隔声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8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w:t>
                  </w:r>
                </w:p>
              </w:tc>
              <w:tc>
                <w:tcPr>
                  <w:tcW w:w="114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数控板料折弯机</w:t>
                  </w:r>
                </w:p>
              </w:tc>
              <w:tc>
                <w:tcPr>
                  <w:tcW w:w="444"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2台</w:t>
                  </w:r>
                </w:p>
              </w:tc>
              <w:tc>
                <w:tcPr>
                  <w:tcW w:w="100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90</w:t>
                  </w:r>
                </w:p>
              </w:tc>
              <w:tc>
                <w:tcPr>
                  <w:tcW w:w="2029"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8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w:t>
                  </w:r>
                </w:p>
              </w:tc>
              <w:tc>
                <w:tcPr>
                  <w:tcW w:w="114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冲床</w:t>
                  </w:r>
                </w:p>
              </w:tc>
              <w:tc>
                <w:tcPr>
                  <w:tcW w:w="444"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6台</w:t>
                  </w:r>
                </w:p>
              </w:tc>
              <w:tc>
                <w:tcPr>
                  <w:tcW w:w="100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80</w:t>
                  </w:r>
                </w:p>
              </w:tc>
              <w:tc>
                <w:tcPr>
                  <w:tcW w:w="2029"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8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4</w:t>
                  </w:r>
                </w:p>
              </w:tc>
              <w:tc>
                <w:tcPr>
                  <w:tcW w:w="114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数控自动化切割机</w:t>
                  </w:r>
                </w:p>
              </w:tc>
              <w:tc>
                <w:tcPr>
                  <w:tcW w:w="444"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2台</w:t>
                  </w:r>
                </w:p>
              </w:tc>
              <w:tc>
                <w:tcPr>
                  <w:tcW w:w="100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90</w:t>
                  </w:r>
                </w:p>
              </w:tc>
              <w:tc>
                <w:tcPr>
                  <w:tcW w:w="2029"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8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5</w:t>
                  </w:r>
                </w:p>
              </w:tc>
              <w:tc>
                <w:tcPr>
                  <w:tcW w:w="114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激光切割机</w:t>
                  </w:r>
                </w:p>
              </w:tc>
              <w:tc>
                <w:tcPr>
                  <w:tcW w:w="444"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1台</w:t>
                  </w:r>
                </w:p>
              </w:tc>
              <w:tc>
                <w:tcPr>
                  <w:tcW w:w="100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80</w:t>
                  </w:r>
                </w:p>
              </w:tc>
              <w:tc>
                <w:tcPr>
                  <w:tcW w:w="2029"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8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6</w:t>
                  </w:r>
                </w:p>
              </w:tc>
              <w:tc>
                <w:tcPr>
                  <w:tcW w:w="114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焊机</w:t>
                  </w:r>
                </w:p>
              </w:tc>
              <w:tc>
                <w:tcPr>
                  <w:tcW w:w="444"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20套</w:t>
                  </w:r>
                </w:p>
              </w:tc>
              <w:tc>
                <w:tcPr>
                  <w:tcW w:w="100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75</w:t>
                  </w:r>
                </w:p>
              </w:tc>
              <w:tc>
                <w:tcPr>
                  <w:tcW w:w="2029"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8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7</w:t>
                  </w:r>
                </w:p>
              </w:tc>
              <w:tc>
                <w:tcPr>
                  <w:tcW w:w="1143"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行车</w:t>
                  </w:r>
                </w:p>
              </w:tc>
              <w:tc>
                <w:tcPr>
                  <w:tcW w:w="444"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6台</w:t>
                  </w:r>
                </w:p>
              </w:tc>
              <w:tc>
                <w:tcPr>
                  <w:tcW w:w="1000"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75</w:t>
                  </w:r>
                </w:p>
              </w:tc>
              <w:tc>
                <w:tcPr>
                  <w:tcW w:w="2029"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bl>
          <w:p>
            <w:pPr>
              <w:keepNext w:val="0"/>
              <w:keepLines w:val="0"/>
              <w:suppressLineNumbers w:val="0"/>
              <w:spacing w:before="0" w:beforeAutospacing="0" w:after="0" w:afterAutospacing="0"/>
              <w:ind w:left="0" w:right="0" w:firstLine="360" w:firstLineChars="0"/>
              <w:jc w:val="both"/>
            </w:pPr>
            <w:r>
              <w:rPr>
                <w:rFonts w:hint="eastAsia"/>
              </w:rPr>
              <w:t>（4）固体废物</w:t>
            </w:r>
          </w:p>
          <w:p>
            <w:pPr>
              <w:keepNext w:val="0"/>
              <w:keepLines w:val="0"/>
              <w:suppressLineNumbers w:val="0"/>
              <w:spacing w:before="0" w:beforeAutospacing="0" w:after="0" w:afterAutospacing="0"/>
              <w:ind w:left="0" w:right="0" w:firstLine="480"/>
              <w:contextualSpacing/>
              <w:jc w:val="both"/>
            </w:pPr>
            <w:r>
              <w:t>项目运营期产生的固废主要有边角废料、收集的机加工粉尘、焊渣、废包装材料、</w:t>
            </w:r>
            <w:r>
              <w:rPr>
                <w:rFonts w:hint="eastAsia"/>
              </w:rPr>
              <w:t>冷却水收集池滤渣、</w:t>
            </w:r>
            <w:r>
              <w:t>废</w:t>
            </w:r>
            <w:r>
              <w:rPr>
                <w:rFonts w:hint="eastAsia"/>
              </w:rPr>
              <w:t>机</w:t>
            </w:r>
            <w:r>
              <w:t>油、废</w:t>
            </w:r>
            <w:r>
              <w:rPr>
                <w:rFonts w:hint="eastAsia"/>
              </w:rPr>
              <w:t>过滤棉、废活性炭</w:t>
            </w:r>
            <w:r>
              <w:t>、废原料桶、生活垃圾。</w:t>
            </w:r>
          </w:p>
          <w:p>
            <w:pPr>
              <w:keepNext w:val="0"/>
              <w:keepLines w:val="0"/>
              <w:suppressLineNumbers w:val="0"/>
              <w:spacing w:before="0" w:beforeAutospacing="0" w:after="0" w:afterAutospacing="0"/>
              <w:ind w:left="0" w:right="0" w:firstLine="480"/>
              <w:contextualSpacing/>
              <w:jc w:val="both"/>
            </w:pPr>
            <w:r>
              <w:rPr>
                <w:rFonts w:hint="eastAsia"/>
              </w:rPr>
              <w:fldChar w:fldCharType="begin"/>
            </w:r>
            <w:r>
              <w:instrText xml:space="preserve"> = 1 \* GB3 </w:instrText>
            </w:r>
            <w:r>
              <w:rPr>
                <w:rFonts w:hint="eastAsia"/>
              </w:rPr>
              <w:fldChar w:fldCharType="separate"/>
            </w:r>
            <w:r>
              <w:rPr>
                <w:rFonts w:hint="eastAsia"/>
              </w:rPr>
              <w:t>①</w:t>
            </w:r>
            <w:r>
              <w:rPr>
                <w:rFonts w:hint="eastAsia"/>
              </w:rPr>
              <w:fldChar w:fldCharType="end"/>
            </w:r>
            <w:r>
              <w:t>生活垃圾</w:t>
            </w:r>
          </w:p>
          <w:p>
            <w:pPr>
              <w:keepNext w:val="0"/>
              <w:keepLines w:val="0"/>
              <w:suppressLineNumbers w:val="0"/>
              <w:spacing w:before="0" w:beforeAutospacing="0" w:after="0" w:afterAutospacing="0"/>
              <w:ind w:left="0" w:right="0" w:firstLine="480"/>
              <w:jc w:val="both"/>
            </w:pPr>
            <w:r>
              <w:t>项目年工作300天，项目定员</w:t>
            </w:r>
            <w:r>
              <w:rPr>
                <w:rFonts w:hint="eastAsia"/>
              </w:rPr>
              <w:t>40</w:t>
            </w:r>
            <w:r>
              <w:t>人，生活垃圾产生量按0.5kg/(人·d)计，则项目生活垃圾产生量为</w:t>
            </w:r>
            <w:r>
              <w:rPr>
                <w:rFonts w:hint="eastAsia"/>
              </w:rPr>
              <w:t>20</w:t>
            </w:r>
            <w:r>
              <w:t>kg/d，年产生垃圾量为</w:t>
            </w:r>
            <w:r>
              <w:rPr>
                <w:rFonts w:hint="eastAsia"/>
              </w:rPr>
              <w:t>6</w:t>
            </w:r>
            <w:r>
              <w:t>t/a。生活垃圾集中收集清运至园区垃圾收集处后，由环卫部门处理。</w:t>
            </w:r>
          </w:p>
          <w:p>
            <w:pPr>
              <w:keepNext w:val="0"/>
              <w:keepLines w:val="0"/>
              <w:suppressLineNumbers w:val="0"/>
              <w:spacing w:before="0" w:beforeAutospacing="0" w:after="0" w:afterAutospacing="0"/>
              <w:ind w:left="0" w:right="0" w:firstLine="480"/>
              <w:contextualSpacing/>
              <w:jc w:val="both"/>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rPr>
                <w:rFonts w:hint="eastAsia"/>
              </w:rPr>
              <w:t>边角废料</w:t>
            </w:r>
          </w:p>
          <w:p>
            <w:pPr>
              <w:keepNext w:val="0"/>
              <w:keepLines w:val="0"/>
              <w:suppressLineNumbers w:val="0"/>
              <w:spacing w:before="0" w:beforeAutospacing="0" w:after="0" w:afterAutospacing="0"/>
              <w:ind w:left="0" w:right="0" w:firstLine="480"/>
              <w:contextualSpacing/>
              <w:jc w:val="both"/>
            </w:pPr>
            <w:r>
              <w:rPr>
                <w:rFonts w:hint="eastAsia"/>
              </w:rPr>
              <w:t>本项目产品在生产加工过程中，开料、剪板等工序会产生废钢板等边角料，边角料产量约为原料钢材用量的1%，原料钢材用量约30000t/a，则本项目边角余料产生量为300t/a，集中收集后外售。</w:t>
            </w:r>
          </w:p>
          <w:p>
            <w:pPr>
              <w:keepNext w:val="0"/>
              <w:keepLines w:val="0"/>
              <w:suppressLineNumbers w:val="0"/>
              <w:spacing w:before="0" w:beforeAutospacing="0" w:after="0" w:afterAutospacing="0"/>
              <w:ind w:left="0" w:right="0" w:firstLine="480"/>
              <w:contextualSpacing/>
              <w:jc w:val="both"/>
            </w:pPr>
            <w:r>
              <w:rPr>
                <w:rFonts w:hint="eastAsia"/>
              </w:rPr>
              <w:fldChar w:fldCharType="begin"/>
            </w:r>
            <w:r>
              <w:instrText xml:space="preserve"> = 3 \* GB3 </w:instrText>
            </w:r>
            <w:r>
              <w:rPr>
                <w:rFonts w:hint="eastAsia"/>
              </w:rPr>
              <w:fldChar w:fldCharType="separate"/>
            </w:r>
            <w:r>
              <w:rPr>
                <w:rFonts w:hint="eastAsia"/>
              </w:rPr>
              <w:t>③</w:t>
            </w:r>
            <w:r>
              <w:rPr>
                <w:rFonts w:hint="eastAsia"/>
              </w:rPr>
              <w:fldChar w:fldCharType="end"/>
            </w:r>
            <w:r>
              <w:rPr>
                <w:rFonts w:hint="eastAsia"/>
              </w:rPr>
              <w:t>包装材料</w:t>
            </w:r>
          </w:p>
          <w:p>
            <w:pPr>
              <w:keepNext w:val="0"/>
              <w:keepLines w:val="0"/>
              <w:suppressLineNumbers w:val="0"/>
              <w:spacing w:before="0" w:beforeAutospacing="0" w:after="0" w:afterAutospacing="0"/>
              <w:ind w:left="0" w:right="0" w:firstLine="480"/>
              <w:contextualSpacing/>
              <w:jc w:val="both"/>
            </w:pPr>
            <w:r>
              <w:t>本项目生产过程中会产生一定量的原辅材料包装材料，其主要成分为纸质、塑料等，根据建设单位提供的资料，废包装材料产生量约为</w:t>
            </w:r>
            <w:r>
              <w:rPr>
                <w:rFonts w:hint="eastAsia"/>
              </w:rPr>
              <w:t>1</w:t>
            </w:r>
            <w:r>
              <w:t>t/a，集中收集</w:t>
            </w:r>
            <w:r>
              <w:rPr>
                <w:rFonts w:hint="eastAsia"/>
              </w:rPr>
              <w:t>后外售</w:t>
            </w:r>
            <w:r>
              <w:t>。</w:t>
            </w:r>
          </w:p>
          <w:p>
            <w:pPr>
              <w:pStyle w:val="2"/>
              <w:keepNext w:val="0"/>
              <w:keepLines w:val="0"/>
              <w:suppressLineNumbers w:val="0"/>
              <w:spacing w:before="0" w:beforeAutospacing="0" w:after="0" w:afterAutospacing="0"/>
              <w:ind w:left="0" w:right="0" w:firstLine="480"/>
              <w:jc w:val="both"/>
            </w:pPr>
            <w:r>
              <w:rPr>
                <w:rFonts w:hint="eastAsia"/>
              </w:rPr>
              <w:fldChar w:fldCharType="begin"/>
            </w:r>
            <w:r>
              <w:instrText xml:space="preserve"> = 4 \* GB3 </w:instrText>
            </w:r>
            <w:r>
              <w:rPr>
                <w:rFonts w:hint="eastAsia"/>
              </w:rPr>
              <w:fldChar w:fldCharType="separate"/>
            </w:r>
            <w:r>
              <w:rPr>
                <w:rFonts w:hint="eastAsia"/>
              </w:rPr>
              <w:t>④</w:t>
            </w:r>
            <w:r>
              <w:rPr>
                <w:rFonts w:hint="eastAsia"/>
              </w:rPr>
              <w:fldChar w:fldCharType="end"/>
            </w:r>
            <w:r>
              <w:rPr>
                <w:rFonts w:hint="eastAsia"/>
              </w:rPr>
              <w:t>焊渣</w:t>
            </w:r>
          </w:p>
          <w:p>
            <w:pPr>
              <w:pStyle w:val="2"/>
              <w:keepNext w:val="0"/>
              <w:keepLines w:val="0"/>
              <w:suppressLineNumbers w:val="0"/>
              <w:spacing w:before="0" w:beforeAutospacing="0" w:after="0" w:afterAutospacing="0"/>
              <w:ind w:left="0" w:right="0" w:firstLine="480"/>
              <w:jc w:val="both"/>
            </w:pPr>
            <w:r>
              <w:rPr>
                <w:rFonts w:hint="eastAsia"/>
              </w:rPr>
              <w:t>焊接工序中焊材夹持部分使用后和清理焊缝后产生废弃物--焊渣，根据《机加工行业环境影响评价中常见污染物源强估算及污染治理》（湖南大学学报，2010.9）可知，夹持部分占焊材量（40t/a）的1/11，约3.64t/a；清理焊缝时焊渣量为焊材使用量的4%左右，约1.6t/a，共计约0.79t/a，焊材不含铅，属于一般固体废物，收集后外售处置。</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5 \* GB3 </w:instrText>
            </w:r>
            <w:r>
              <w:rPr>
                <w:rFonts w:hint="eastAsia"/>
              </w:rPr>
              <w:fldChar w:fldCharType="separate"/>
            </w:r>
            <w:r>
              <w:rPr>
                <w:rFonts w:hint="eastAsia"/>
              </w:rPr>
              <w:t>⑤</w:t>
            </w:r>
            <w:r>
              <w:rPr>
                <w:rFonts w:hint="eastAsia"/>
              </w:rPr>
              <w:fldChar w:fldCharType="end"/>
            </w:r>
            <w:r>
              <w:rPr>
                <w:rFonts w:hint="eastAsia"/>
              </w:rPr>
              <w:t>移动式除尘器收集的机加工粉尘</w:t>
            </w:r>
          </w:p>
          <w:p>
            <w:pPr>
              <w:pStyle w:val="2"/>
              <w:keepNext w:val="0"/>
              <w:keepLines w:val="0"/>
              <w:suppressLineNumbers w:val="0"/>
              <w:spacing w:before="0" w:beforeAutospacing="0" w:after="0" w:afterAutospacing="0"/>
              <w:ind w:left="0" w:right="0" w:firstLine="480"/>
              <w:jc w:val="both"/>
            </w:pPr>
            <w:r>
              <w:rPr>
                <w:rFonts w:hint="eastAsia"/>
              </w:rPr>
              <w:t>根据废气工程分析部分，本项目机加工粉尘产生量为7.5t，移动式布袋除尘器收集量为60%，则移动式除尘器收集的机加工粉尘约为4.5t/a，处理效率为99%，则除尘器收集尘量为4.455t/</w:t>
            </w:r>
            <w:r>
              <w:t>a</w:t>
            </w:r>
            <w:r>
              <w:rPr>
                <w:rFonts w:hint="eastAsia"/>
              </w:rPr>
              <w:t>。焊接环节</w:t>
            </w:r>
            <w:r>
              <w:t>烟尘产生量为</w:t>
            </w:r>
            <w:r>
              <w:rPr>
                <w:rFonts w:hint="eastAsia"/>
              </w:rPr>
              <w:t>0.32t/</w:t>
            </w:r>
            <w:r>
              <w:t>a</w:t>
            </w:r>
            <w:r>
              <w:rPr>
                <w:rFonts w:hint="eastAsia"/>
              </w:rPr>
              <w:t>，</w:t>
            </w:r>
            <w:r>
              <w:t>移动式除尘器收集效率以90%计，则收集的烟尘量为</w:t>
            </w:r>
            <w:r>
              <w:rPr>
                <w:rFonts w:hint="eastAsia"/>
              </w:rPr>
              <w:t>0.2882t/</w:t>
            </w:r>
            <w:r>
              <w:t>a</w:t>
            </w:r>
            <w:r>
              <w:rPr>
                <w:rFonts w:hint="eastAsia"/>
              </w:rPr>
              <w:t>，处理效率为99%，则除尘器收集尘量为0.285 t/</w:t>
            </w:r>
            <w:r>
              <w:t>a</w:t>
            </w:r>
            <w:r>
              <w:rPr>
                <w:rFonts w:hint="eastAsia"/>
              </w:rPr>
              <w:t>。</w:t>
            </w:r>
          </w:p>
          <w:p>
            <w:pPr>
              <w:keepNext w:val="0"/>
              <w:keepLines w:val="0"/>
              <w:suppressLineNumbers w:val="0"/>
              <w:spacing w:before="0" w:beforeAutospacing="0" w:after="0" w:afterAutospacing="0"/>
              <w:ind w:left="0" w:right="0" w:firstLine="480"/>
              <w:jc w:val="both"/>
            </w:pPr>
            <w:r>
              <w:rPr>
                <w:rFonts w:hint="eastAsia"/>
              </w:rPr>
              <w:t>综上，移动式除尘器收集的机加工粉尘量为4.74t/a。收集的粉尘主要为金属颗粒，收集后暂存于一般固废暂存间外售。</w:t>
            </w:r>
          </w:p>
          <w:p>
            <w:pPr>
              <w:pStyle w:val="2"/>
              <w:keepNext w:val="0"/>
              <w:keepLines w:val="0"/>
              <w:suppressLineNumbers w:val="0"/>
              <w:spacing w:before="0" w:beforeAutospacing="0" w:after="0" w:afterAutospacing="0"/>
              <w:ind w:left="0" w:right="0" w:firstLine="480"/>
              <w:jc w:val="both"/>
            </w:pPr>
            <w:r>
              <w:rPr>
                <w:rFonts w:hint="eastAsia"/>
              </w:rPr>
              <w:fldChar w:fldCharType="begin"/>
            </w:r>
            <w:r>
              <w:instrText xml:space="preserve"> = 6 \* GB3 </w:instrText>
            </w:r>
            <w:r>
              <w:rPr>
                <w:rFonts w:hint="eastAsia"/>
              </w:rPr>
              <w:fldChar w:fldCharType="separate"/>
            </w:r>
            <w:r>
              <w:rPr>
                <w:rFonts w:hint="eastAsia"/>
              </w:rPr>
              <w:t>⑥</w:t>
            </w:r>
            <w:r>
              <w:rPr>
                <w:rFonts w:hint="eastAsia"/>
              </w:rPr>
              <w:fldChar w:fldCharType="end"/>
            </w:r>
            <w:r>
              <w:t>冷却回收池滤渣</w:t>
            </w:r>
          </w:p>
          <w:p>
            <w:pPr>
              <w:keepNext w:val="0"/>
              <w:keepLines w:val="0"/>
              <w:suppressLineNumbers w:val="0"/>
              <w:spacing w:before="0" w:beforeAutospacing="0" w:after="0" w:afterAutospacing="0"/>
              <w:ind w:left="0" w:right="0" w:firstLine="480"/>
              <w:jc w:val="both"/>
            </w:pPr>
            <w:r>
              <w:rPr>
                <w:rFonts w:hint="eastAsia"/>
              </w:rPr>
              <w:t>滤渣的主要成分为金属碎屑，根据废水工程分析部分，滤渣SS浓度为</w:t>
            </w:r>
            <w:r>
              <w:t>200mg/L, 废水产生量为6885 m</w:t>
            </w:r>
            <w:r>
              <w:rPr>
                <w:vertAlign w:val="superscript"/>
              </w:rPr>
              <w:t>3</w:t>
            </w:r>
            <w:r>
              <w:t>/a</w:t>
            </w:r>
            <w:r>
              <w:rPr>
                <w:rFonts w:hint="eastAsia"/>
              </w:rPr>
              <w:t>，</w:t>
            </w:r>
            <w:r>
              <w:t>则产生的滤渣为</w:t>
            </w:r>
            <w:r>
              <w:rPr>
                <w:rFonts w:hint="eastAsia"/>
              </w:rPr>
              <w:t>1.38t/a。</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7 \* GB3 </w:instrText>
            </w:r>
            <w:r>
              <w:rPr>
                <w:rFonts w:hint="eastAsia"/>
              </w:rPr>
              <w:fldChar w:fldCharType="separate"/>
            </w:r>
            <w:r>
              <w:rPr>
                <w:rFonts w:hint="eastAsia"/>
              </w:rPr>
              <w:t>⑦</w:t>
            </w:r>
            <w:r>
              <w:rPr>
                <w:rFonts w:hint="eastAsia"/>
              </w:rPr>
              <w:fldChar w:fldCharType="end"/>
            </w:r>
            <w:r>
              <w:t>危险</w:t>
            </w:r>
            <w:r>
              <w:rPr>
                <w:rFonts w:hint="eastAsia"/>
              </w:rPr>
              <w:t>废物</w:t>
            </w:r>
          </w:p>
          <w:p>
            <w:pPr>
              <w:keepNext w:val="0"/>
              <w:keepLines w:val="0"/>
              <w:suppressLineNumbers w:val="0"/>
              <w:spacing w:before="0" w:beforeAutospacing="0" w:after="0" w:afterAutospacing="0"/>
              <w:ind w:left="0" w:right="0" w:firstLine="480"/>
              <w:jc w:val="both"/>
            </w:pPr>
            <w:r>
              <w:rPr>
                <w:rFonts w:hint="eastAsia"/>
              </w:rPr>
              <w:t>A、废过滤棉、废活性炭</w:t>
            </w:r>
          </w:p>
          <w:p>
            <w:pPr>
              <w:keepNext w:val="0"/>
              <w:keepLines w:val="0"/>
              <w:suppressLineNumbers w:val="0"/>
              <w:spacing w:before="0" w:beforeAutospacing="0" w:after="0" w:afterAutospacing="0"/>
              <w:ind w:left="0" w:right="0" w:firstLine="480"/>
              <w:jc w:val="both"/>
            </w:pPr>
            <w:r>
              <w:rPr>
                <w:rFonts w:hint="eastAsia"/>
              </w:rPr>
              <w:t>废过滤棉（含漆雾）：项目喷漆过程采用过滤棉吸附喷漆漆渣，按1kg过滤棉吸附5kg漆雾计算，吸附漆雾量约0.917t/a，则需要过滤棉0.183t，则产生废过滤棉（含漆雾）量约为0.183t/a。经查阅《国家危险废物名录》（2016年），废过滤棉属于HW49其他废物非特定行业中的“含有或沾染毒性、感染性危险废物的废弃包装物、容器、过滤吸附介质”类别，危险废物编号为900-041-49。</w:t>
            </w:r>
          </w:p>
          <w:p>
            <w:pPr>
              <w:keepNext w:val="0"/>
              <w:keepLines w:val="0"/>
              <w:suppressLineNumbers w:val="0"/>
              <w:spacing w:before="0" w:beforeAutospacing="0" w:after="0" w:afterAutospacing="0"/>
              <w:ind w:left="0" w:right="0" w:firstLine="480"/>
              <w:jc w:val="both"/>
            </w:pPr>
            <w:r>
              <w:rPr>
                <w:rFonts w:hint="eastAsia"/>
              </w:rPr>
              <w:t>废活性炭：根据《简明通风设计手册》，每公斤活性炭可有效吸附0.24kg的挥发性有机物。根据本项目废气工程分析环节，项目有组织挥发性有机物收集量为0.085t/a</w:t>
            </w:r>
            <w:r>
              <w:rPr>
                <w:rFonts w:hint="eastAsia"/>
                <w:szCs w:val="21"/>
              </w:rPr>
              <w:t>，</w:t>
            </w:r>
            <w:r>
              <w:rPr>
                <w:rFonts w:hint="eastAsia"/>
              </w:rPr>
              <w:t>则废活性炭产生量为0.35t/a。废活性炭为危险废物，类别代码为HW49(900-041-49)，环评要求收集后暂存于危废暂存间，委托有相关处理资质的单位处理。经查阅《国家危险废物名录》（2016 年），废过滤棉+活性炭属于HW49其他废物非特定行业中的“含有或沾染毒性、感染性危险废物的废弃包装物、容器、过滤吸附介质”类别，危险废物编号为900-041-49。</w:t>
            </w:r>
          </w:p>
          <w:p>
            <w:pPr>
              <w:keepNext w:val="0"/>
              <w:keepLines w:val="0"/>
              <w:suppressLineNumbers w:val="0"/>
              <w:spacing w:before="0" w:beforeAutospacing="0" w:after="0" w:afterAutospacing="0"/>
              <w:ind w:left="0" w:right="0" w:firstLine="489" w:firstLineChars="204"/>
              <w:jc w:val="both"/>
            </w:pPr>
            <w:r>
              <w:rPr>
                <w:rFonts w:hint="eastAsia"/>
              </w:rPr>
              <w:t>B、废机油</w:t>
            </w:r>
          </w:p>
          <w:p>
            <w:pPr>
              <w:keepNext w:val="0"/>
              <w:keepLines w:val="0"/>
              <w:suppressLineNumbers w:val="0"/>
              <w:spacing w:before="0" w:beforeAutospacing="0" w:after="0" w:afterAutospacing="0"/>
              <w:ind w:left="0" w:right="0" w:firstLine="489" w:firstLineChars="204"/>
              <w:jc w:val="both"/>
            </w:pPr>
            <w:r>
              <w:rPr>
                <w:rFonts w:hint="eastAsia"/>
              </w:rPr>
              <w:t>本项目生产过程中产生废机油0.3t/a，经查阅《国家危险废物名录》（2016年），废机油属于HW08废矿物油与含矿物油废物非特定行业中的“车辆、机械维修和拆解过程中产生的废发动机油、制动器油、自动变速器油、齿轮油等废润滑油”类别，危险废物编号为900-214-08。</w:t>
            </w:r>
          </w:p>
          <w:p>
            <w:pPr>
              <w:keepNext w:val="0"/>
              <w:keepLines w:val="0"/>
              <w:suppressLineNumbers w:val="0"/>
              <w:spacing w:before="0" w:beforeAutospacing="0" w:after="0" w:afterAutospacing="0"/>
              <w:ind w:left="0" w:right="0" w:firstLine="489" w:firstLineChars="204"/>
              <w:jc w:val="both"/>
            </w:pPr>
            <w:r>
              <w:rPr>
                <w:rFonts w:hint="eastAsia"/>
              </w:rPr>
              <w:t>C、废原料桶</w:t>
            </w:r>
          </w:p>
          <w:p>
            <w:pPr>
              <w:keepNext w:val="0"/>
              <w:keepLines w:val="0"/>
              <w:suppressLineNumbers w:val="0"/>
              <w:spacing w:before="0" w:beforeAutospacing="0" w:after="0" w:afterAutospacing="0"/>
              <w:ind w:left="0" w:right="0" w:firstLine="489" w:firstLineChars="204"/>
              <w:jc w:val="both"/>
            </w:pPr>
            <w:r>
              <w:t>本项目桶装涂料使用量为</w:t>
            </w:r>
            <w:r>
              <w:rPr>
                <w:rFonts w:hint="eastAsia"/>
              </w:rPr>
              <w:t>8.49</w:t>
            </w:r>
            <w:r>
              <w:t>t/a，每桶重量为</w:t>
            </w:r>
            <w:r>
              <w:rPr>
                <w:rFonts w:hint="eastAsia"/>
              </w:rPr>
              <w:t>5</w:t>
            </w:r>
            <w:r>
              <w:t>0kg，则年使用</w:t>
            </w:r>
            <w:r>
              <w:rPr>
                <w:rFonts w:hint="eastAsia"/>
              </w:rPr>
              <w:t>170</w:t>
            </w:r>
            <w:r>
              <w:t>桶涂料，涂料使用后产生废料桶，每个废料桶重量按5kg计算，则废料桶产生量为</w:t>
            </w:r>
            <w:r>
              <w:rPr>
                <w:rFonts w:hint="eastAsia"/>
              </w:rPr>
              <w:t>0.85</w:t>
            </w:r>
            <w:r>
              <w:t>t/a。经查阅《国家危险废物名录》（2016 年），废料桶属于HW49其</w:t>
            </w:r>
            <w:r>
              <w:rPr>
                <w:rFonts w:hint="eastAsia"/>
              </w:rPr>
              <w:t>他废物非特定行业中的“含有或沾染毒性、感染性危险废物的废弃包装物、容器、过滤吸附介质”类别，危险废物编号为900-041-49。</w:t>
            </w:r>
          </w:p>
          <w:p>
            <w:pPr>
              <w:keepNext w:val="0"/>
              <w:keepLines w:val="0"/>
              <w:suppressLineNumbers w:val="0"/>
              <w:spacing w:before="0" w:beforeAutospacing="0" w:after="0" w:afterAutospacing="0"/>
              <w:ind w:left="0" w:right="0" w:firstLine="489" w:firstLineChars="204"/>
              <w:jc w:val="both"/>
            </w:pPr>
            <w:r>
              <w:t>根据《国家危险废物名录》（2016）进行危险废物识别，具体见下表5-</w:t>
            </w:r>
            <w:r>
              <w:rPr>
                <w:rFonts w:hint="eastAsia"/>
              </w:rPr>
              <w:t>6</w:t>
            </w:r>
            <w:r>
              <w:t>。</w:t>
            </w:r>
          </w:p>
          <w:p>
            <w:pPr>
              <w:pStyle w:val="25"/>
              <w:keepNext w:val="0"/>
              <w:keepLines w:val="0"/>
              <w:suppressLineNumbers w:val="0"/>
              <w:spacing w:before="0" w:beforeAutospacing="0" w:after="0" w:afterAutospacing="0" w:line="240" w:lineRule="auto"/>
              <w:ind w:left="0" w:right="0"/>
            </w:pPr>
            <w:r>
              <w:t>表5-</w:t>
            </w:r>
            <w:r>
              <w:rPr>
                <w:rFonts w:hint="eastAsia"/>
              </w:rPr>
              <w:t>6</w:t>
            </w:r>
            <w:r>
              <w:t xml:space="preserve"> 项目危险废物识别一览表</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56"/>
              <w:gridCol w:w="2539"/>
              <w:gridCol w:w="2462"/>
              <w:gridCol w:w="1545"/>
              <w:gridCol w:w="107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658"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序号</w:t>
                  </w:r>
                </w:p>
              </w:tc>
              <w:tc>
                <w:tcPr>
                  <w:tcW w:w="2545"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固废种类</w:t>
                  </w:r>
                </w:p>
              </w:tc>
              <w:tc>
                <w:tcPr>
                  <w:tcW w:w="2468"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危险类别</w:t>
                  </w:r>
                </w:p>
              </w:tc>
              <w:tc>
                <w:tcPr>
                  <w:tcW w:w="1549"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危废代码</w:t>
                  </w:r>
                </w:p>
              </w:tc>
              <w:tc>
                <w:tcPr>
                  <w:tcW w:w="1076"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危险特性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58"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1</w:t>
                  </w:r>
                </w:p>
              </w:tc>
              <w:tc>
                <w:tcPr>
                  <w:tcW w:w="2545"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废过滤棉+活性炭</w:t>
                  </w:r>
                </w:p>
              </w:tc>
              <w:tc>
                <w:tcPr>
                  <w:tcW w:w="2468"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HW06</w:t>
                  </w:r>
                </w:p>
              </w:tc>
              <w:tc>
                <w:tcPr>
                  <w:tcW w:w="1549"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900-041-49</w:t>
                  </w:r>
                </w:p>
              </w:tc>
              <w:tc>
                <w:tcPr>
                  <w:tcW w:w="1076"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658"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2</w:t>
                  </w:r>
                </w:p>
              </w:tc>
              <w:tc>
                <w:tcPr>
                  <w:tcW w:w="2545"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废机油</w:t>
                  </w:r>
                </w:p>
              </w:tc>
              <w:tc>
                <w:tcPr>
                  <w:tcW w:w="2468"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HW08</w:t>
                  </w:r>
                </w:p>
              </w:tc>
              <w:tc>
                <w:tcPr>
                  <w:tcW w:w="1549"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900-214-08</w:t>
                  </w:r>
                </w:p>
              </w:tc>
              <w:tc>
                <w:tcPr>
                  <w:tcW w:w="1076"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58"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w:t>
                  </w:r>
                </w:p>
              </w:tc>
              <w:tc>
                <w:tcPr>
                  <w:tcW w:w="2545"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废原料桶</w:t>
                  </w:r>
                </w:p>
              </w:tc>
              <w:tc>
                <w:tcPr>
                  <w:tcW w:w="2468"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HW49</w:t>
                  </w:r>
                </w:p>
              </w:tc>
              <w:tc>
                <w:tcPr>
                  <w:tcW w:w="1549"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900-041-49</w:t>
                  </w:r>
                </w:p>
              </w:tc>
              <w:tc>
                <w:tcPr>
                  <w:tcW w:w="1076"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T</w:t>
                  </w:r>
                </w:p>
              </w:tc>
            </w:tr>
          </w:tbl>
          <w:p>
            <w:pPr>
              <w:keepNext w:val="0"/>
              <w:keepLines w:val="0"/>
              <w:suppressLineNumbers w:val="0"/>
              <w:spacing w:before="0" w:beforeAutospacing="0" w:after="0" w:afterAutospacing="0"/>
              <w:ind w:left="0" w:right="0" w:firstLine="489" w:firstLineChars="204"/>
              <w:jc w:val="both"/>
            </w:pPr>
            <w:r>
              <w:rPr>
                <w:rFonts w:hint="eastAsia"/>
              </w:rPr>
              <w:t>拟在1#生产厂房内设置1间危险废物暂存间，</w:t>
            </w:r>
            <w:r>
              <w:t>面积为</w:t>
            </w:r>
            <w:r>
              <w:rPr>
                <w:rFonts w:hint="eastAsia"/>
              </w:rPr>
              <w:t>8m</w:t>
            </w:r>
            <w:r>
              <w:rPr>
                <w:rFonts w:hint="eastAsia"/>
                <w:vertAlign w:val="superscript"/>
              </w:rPr>
              <w:t>2</w:t>
            </w:r>
            <w:r>
              <w:t>，危险废物暂存间需严格按照《危险废物贮存污染控制标准》（GB 18597-2001）进行建设，基础必须防渗，防渗层为不少于1m后粘土层（渗透系数≤10 -7cm/s），或2mm后高密度聚乙烯，或至少2mm后其他人工材料，渗透系数≤10-10cm/s，地面及与裙角要用坚固、防渗的材料建造。危险废物暂存间需进行分区，不相容的危险废物必须分开存放。废</w:t>
            </w:r>
            <w:r>
              <w:rPr>
                <w:rFonts w:hint="eastAsia"/>
              </w:rPr>
              <w:t>机</w:t>
            </w:r>
            <w:r>
              <w:t>油、废</w:t>
            </w:r>
            <w:r>
              <w:rPr>
                <w:rFonts w:hint="eastAsia"/>
              </w:rPr>
              <w:t>过滤棉+活性炭</w:t>
            </w:r>
            <w:r>
              <w:t>需分别收集盛装于危险废物收集容器内，废原料桶无法装入常用容器，可用防胶袋盛装。项目区产生的危险废物分类、分区收集暂存于危险废物暂存间，</w:t>
            </w:r>
            <w:r>
              <w:rPr>
                <w:rFonts w:hint="eastAsia"/>
              </w:rPr>
              <w:t>废机油作为项目运营过程中设备润滑使用，废过滤棉+活性炭交由有资质的单位进行处理，废原料桶交由有资质的单位进行处理</w:t>
            </w:r>
            <w:r>
              <w:t>。</w:t>
            </w:r>
          </w:p>
          <w:p>
            <w:pPr>
              <w:keepNext w:val="0"/>
              <w:keepLines w:val="0"/>
              <w:suppressLineNumbers w:val="0"/>
              <w:spacing w:before="0" w:beforeAutospacing="0" w:after="0" w:afterAutospacing="0"/>
              <w:ind w:left="0" w:right="0" w:firstLine="480"/>
              <w:jc w:val="both"/>
            </w:pPr>
            <w:r>
              <w:t>项目运营期的固体废物产生量见表5-</w:t>
            </w:r>
            <w:r>
              <w:rPr>
                <w:rFonts w:hint="eastAsia"/>
              </w:rPr>
              <w:t>7</w:t>
            </w:r>
            <w:r>
              <w:t xml:space="preserve">。 </w:t>
            </w:r>
          </w:p>
          <w:p>
            <w:pPr>
              <w:pStyle w:val="25"/>
              <w:keepNext w:val="0"/>
              <w:keepLines w:val="0"/>
              <w:suppressLineNumbers w:val="0"/>
              <w:spacing w:before="0" w:beforeAutospacing="0" w:after="0" w:afterAutospacing="0" w:line="240" w:lineRule="auto"/>
              <w:ind w:left="0" w:right="0"/>
            </w:pPr>
            <w:r>
              <w:t>表5-</w:t>
            </w:r>
            <w:r>
              <w:rPr>
                <w:rFonts w:hint="eastAsia"/>
              </w:rPr>
              <w:t xml:space="preserve">7 </w:t>
            </w:r>
            <w:r>
              <w:t>项目固废产生情况一览表</w:t>
            </w:r>
          </w:p>
          <w:tbl>
            <w:tblPr>
              <w:tblStyle w:val="1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72"/>
              <w:gridCol w:w="1639"/>
              <w:gridCol w:w="972"/>
              <w:gridCol w:w="1283"/>
              <w:gridCol w:w="927"/>
              <w:gridCol w:w="288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1" w:hRule="atLeast"/>
                <w:tblHeader/>
                <w:jc w:val="center"/>
              </w:trPr>
              <w:tc>
                <w:tcPr>
                  <w:tcW w:w="351" w:type="pc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序号</w:t>
                  </w:r>
                </w:p>
              </w:tc>
              <w:tc>
                <w:tcPr>
                  <w:tcW w:w="902" w:type="pc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名称</w:t>
                  </w:r>
                </w:p>
              </w:tc>
              <w:tc>
                <w:tcPr>
                  <w:tcW w:w="599" w:type="pc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产生量t/a</w:t>
                  </w:r>
                </w:p>
              </w:tc>
              <w:tc>
                <w:tcPr>
                  <w:tcW w:w="792" w:type="pc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属性</w:t>
                  </w:r>
                </w:p>
              </w:tc>
              <w:tc>
                <w:tcPr>
                  <w:tcW w:w="571" w:type="pc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危险</w:t>
                  </w:r>
                  <w:r>
                    <w:rPr>
                      <w:rFonts w:hint="eastAsia"/>
                      <w:b w:val="0"/>
                      <w:bCs w:val="0"/>
                      <w:color w:val="auto"/>
                    </w:rPr>
                    <w:t>类别</w:t>
                  </w:r>
                </w:p>
              </w:tc>
              <w:tc>
                <w:tcPr>
                  <w:tcW w:w="1785" w:type="pc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处理去向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351" w:type="pc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1</w:t>
                  </w:r>
                </w:p>
              </w:tc>
              <w:tc>
                <w:tcPr>
                  <w:tcW w:w="9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金属边角料</w:t>
                  </w:r>
                </w:p>
              </w:tc>
              <w:tc>
                <w:tcPr>
                  <w:tcW w:w="59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300</w:t>
                  </w:r>
                </w:p>
              </w:tc>
              <w:tc>
                <w:tcPr>
                  <w:tcW w:w="792" w:type="pct"/>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一般工业固废</w:t>
                  </w:r>
                </w:p>
              </w:tc>
              <w:tc>
                <w:tcPr>
                  <w:tcW w:w="571" w:type="pc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w:t>
                  </w:r>
                </w:p>
              </w:tc>
              <w:tc>
                <w:tcPr>
                  <w:tcW w:w="1785" w:type="pct"/>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收集后外售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6" w:hRule="atLeast"/>
                <w:jc w:val="center"/>
              </w:trPr>
              <w:tc>
                <w:tcPr>
                  <w:tcW w:w="351" w:type="pc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2</w:t>
                  </w:r>
                </w:p>
              </w:tc>
              <w:tc>
                <w:tcPr>
                  <w:tcW w:w="9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加工粉尘</w:t>
                  </w:r>
                </w:p>
              </w:tc>
              <w:tc>
                <w:tcPr>
                  <w:tcW w:w="59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4.74</w:t>
                  </w:r>
                </w:p>
              </w:tc>
              <w:tc>
                <w:tcPr>
                  <w:tcW w:w="792"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571" w:type="pc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w:t>
                  </w:r>
                </w:p>
              </w:tc>
              <w:tc>
                <w:tcPr>
                  <w:tcW w:w="1785"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351"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w:t>
                  </w:r>
                </w:p>
              </w:tc>
              <w:tc>
                <w:tcPr>
                  <w:tcW w:w="9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焊渣</w:t>
                  </w:r>
                </w:p>
              </w:tc>
              <w:tc>
                <w:tcPr>
                  <w:tcW w:w="59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0.79</w:t>
                  </w:r>
                </w:p>
              </w:tc>
              <w:tc>
                <w:tcPr>
                  <w:tcW w:w="792"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571" w:type="pc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w:t>
                  </w:r>
                </w:p>
              </w:tc>
              <w:tc>
                <w:tcPr>
                  <w:tcW w:w="1785"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0" w:hRule="atLeast"/>
                <w:jc w:val="center"/>
              </w:trPr>
              <w:tc>
                <w:tcPr>
                  <w:tcW w:w="351"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4</w:t>
                  </w:r>
                </w:p>
              </w:tc>
              <w:tc>
                <w:tcPr>
                  <w:tcW w:w="9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废包装材料</w:t>
                  </w:r>
                </w:p>
              </w:tc>
              <w:tc>
                <w:tcPr>
                  <w:tcW w:w="59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w:t>
                  </w:r>
                </w:p>
              </w:tc>
              <w:tc>
                <w:tcPr>
                  <w:tcW w:w="792"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571" w:type="pc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w:t>
                  </w:r>
                </w:p>
              </w:tc>
              <w:tc>
                <w:tcPr>
                  <w:tcW w:w="1785"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0" w:hRule="atLeast"/>
                <w:jc w:val="center"/>
              </w:trPr>
              <w:tc>
                <w:tcPr>
                  <w:tcW w:w="351"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5</w:t>
                  </w:r>
                </w:p>
              </w:tc>
              <w:tc>
                <w:tcPr>
                  <w:tcW w:w="9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冷却水回收池滤渣</w:t>
                  </w:r>
                </w:p>
              </w:tc>
              <w:tc>
                <w:tcPr>
                  <w:tcW w:w="59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1.38</w:t>
                  </w:r>
                </w:p>
              </w:tc>
              <w:tc>
                <w:tcPr>
                  <w:tcW w:w="792"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571" w:type="pc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w:t>
                  </w:r>
                </w:p>
              </w:tc>
              <w:tc>
                <w:tcPr>
                  <w:tcW w:w="1785"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1"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6</w:t>
                  </w:r>
                </w:p>
              </w:tc>
              <w:tc>
                <w:tcPr>
                  <w:tcW w:w="9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生活垃圾</w:t>
                  </w:r>
                </w:p>
              </w:tc>
              <w:tc>
                <w:tcPr>
                  <w:tcW w:w="59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6</w:t>
                  </w:r>
                </w:p>
              </w:tc>
              <w:tc>
                <w:tcPr>
                  <w:tcW w:w="79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生活垃圾</w:t>
                  </w:r>
                </w:p>
              </w:tc>
              <w:tc>
                <w:tcPr>
                  <w:tcW w:w="571" w:type="pc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w:t>
                  </w:r>
                </w:p>
              </w:tc>
              <w:tc>
                <w:tcPr>
                  <w:tcW w:w="1785" w:type="pc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收集清运由环卫部门处理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6" w:hRule="atLeast"/>
                <w:jc w:val="center"/>
              </w:trPr>
              <w:tc>
                <w:tcPr>
                  <w:tcW w:w="351"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7</w:t>
                  </w:r>
                </w:p>
              </w:tc>
              <w:tc>
                <w:tcPr>
                  <w:tcW w:w="9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废过滤棉</w:t>
                  </w:r>
                </w:p>
              </w:tc>
              <w:tc>
                <w:tcPr>
                  <w:tcW w:w="59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0.183</w:t>
                  </w:r>
                </w:p>
              </w:tc>
              <w:tc>
                <w:tcPr>
                  <w:tcW w:w="792" w:type="pct"/>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危险废物</w:t>
                  </w:r>
                </w:p>
              </w:tc>
              <w:tc>
                <w:tcPr>
                  <w:tcW w:w="571"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HW06</w:t>
                  </w:r>
                </w:p>
              </w:tc>
              <w:tc>
                <w:tcPr>
                  <w:tcW w:w="1785" w:type="pct"/>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收集后交由有资质的单位进行处理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6" w:hRule="atLeast"/>
                <w:jc w:val="center"/>
              </w:trPr>
              <w:tc>
                <w:tcPr>
                  <w:tcW w:w="351"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8</w:t>
                  </w:r>
                </w:p>
              </w:tc>
              <w:tc>
                <w:tcPr>
                  <w:tcW w:w="9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废活性炭</w:t>
                  </w:r>
                </w:p>
              </w:tc>
              <w:tc>
                <w:tcPr>
                  <w:tcW w:w="59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0.35</w:t>
                  </w:r>
                </w:p>
              </w:tc>
              <w:tc>
                <w:tcPr>
                  <w:tcW w:w="792"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571"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HW06</w:t>
                  </w:r>
                </w:p>
              </w:tc>
              <w:tc>
                <w:tcPr>
                  <w:tcW w:w="1785"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351"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9</w:t>
                  </w:r>
                </w:p>
              </w:tc>
              <w:tc>
                <w:tcPr>
                  <w:tcW w:w="9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废原料桶</w:t>
                  </w:r>
                </w:p>
              </w:tc>
              <w:tc>
                <w:tcPr>
                  <w:tcW w:w="59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0.85</w:t>
                  </w:r>
                </w:p>
              </w:tc>
              <w:tc>
                <w:tcPr>
                  <w:tcW w:w="792"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571"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HW49</w:t>
                  </w:r>
                </w:p>
              </w:tc>
              <w:tc>
                <w:tcPr>
                  <w:tcW w:w="1785"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1" w:hRule="atLeast"/>
                <w:jc w:val="center"/>
              </w:trPr>
              <w:tc>
                <w:tcPr>
                  <w:tcW w:w="351"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10</w:t>
                  </w:r>
                </w:p>
              </w:tc>
              <w:tc>
                <w:tcPr>
                  <w:tcW w:w="902"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废机油</w:t>
                  </w:r>
                </w:p>
              </w:tc>
              <w:tc>
                <w:tcPr>
                  <w:tcW w:w="59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0.3</w:t>
                  </w:r>
                </w:p>
              </w:tc>
              <w:tc>
                <w:tcPr>
                  <w:tcW w:w="792"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571"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HW08</w:t>
                  </w:r>
                </w:p>
              </w:tc>
              <w:tc>
                <w:tcPr>
                  <w:tcW w:w="1785" w:type="pct"/>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1253" w:type="pct"/>
                  <w:gridSpan w:val="2"/>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合计</w:t>
                  </w:r>
                </w:p>
              </w:tc>
              <w:tc>
                <w:tcPr>
                  <w:tcW w:w="59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315.59</w:t>
                  </w:r>
                </w:p>
              </w:tc>
              <w:tc>
                <w:tcPr>
                  <w:tcW w:w="792" w:type="pc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w:t>
                  </w:r>
                </w:p>
              </w:tc>
              <w:tc>
                <w:tcPr>
                  <w:tcW w:w="571" w:type="pc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w:t>
                  </w:r>
                </w:p>
              </w:tc>
              <w:tc>
                <w:tcPr>
                  <w:tcW w:w="1785" w:type="pc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100%处置</w:t>
                  </w:r>
                </w:p>
              </w:tc>
            </w:tr>
          </w:tbl>
          <w:p>
            <w:pPr>
              <w:keepNext w:val="0"/>
              <w:keepLines w:val="0"/>
              <w:suppressLineNumbers w:val="0"/>
              <w:spacing w:before="0" w:beforeAutospacing="0" w:after="0" w:afterAutospacing="0"/>
              <w:ind w:left="0" w:right="0" w:firstLine="0" w:firstLineChars="0"/>
              <w:jc w:val="both"/>
            </w:pPr>
          </w:p>
          <w:p>
            <w:pPr>
              <w:pStyle w:val="2"/>
              <w:keepNext w:val="0"/>
              <w:keepLines w:val="0"/>
              <w:suppressLineNumbers w:val="0"/>
              <w:spacing w:before="0" w:beforeAutospacing="0" w:after="0" w:afterAutospacing="0"/>
              <w:ind w:left="0" w:right="0" w:firstLine="480"/>
              <w:jc w:val="both"/>
            </w:pPr>
          </w:p>
          <w:p>
            <w:pPr>
              <w:keepNext w:val="0"/>
              <w:keepLines w:val="0"/>
              <w:suppressLineNumbers w:val="0"/>
              <w:spacing w:before="0" w:beforeAutospacing="0" w:after="0" w:afterAutospacing="0"/>
              <w:ind w:left="0" w:right="0" w:firstLine="480"/>
              <w:jc w:val="both"/>
            </w:pPr>
          </w:p>
          <w:p>
            <w:pPr>
              <w:pStyle w:val="2"/>
              <w:keepNext w:val="0"/>
              <w:keepLines w:val="0"/>
              <w:suppressLineNumbers w:val="0"/>
              <w:spacing w:before="0" w:beforeAutospacing="0" w:after="0" w:afterAutospacing="0"/>
              <w:ind w:left="0" w:right="0" w:firstLine="480"/>
              <w:jc w:val="both"/>
            </w:pPr>
          </w:p>
          <w:p>
            <w:pPr>
              <w:keepNext w:val="0"/>
              <w:keepLines w:val="0"/>
              <w:suppressLineNumbers w:val="0"/>
              <w:spacing w:before="0" w:beforeAutospacing="0" w:after="0" w:afterAutospacing="0"/>
              <w:ind w:left="0" w:right="0" w:firstLine="480"/>
              <w:jc w:val="both"/>
            </w:pPr>
          </w:p>
          <w:p>
            <w:pPr>
              <w:pStyle w:val="2"/>
              <w:keepNext w:val="0"/>
              <w:keepLines w:val="0"/>
              <w:suppressLineNumbers w:val="0"/>
              <w:spacing w:before="0" w:beforeAutospacing="0" w:after="0" w:afterAutospacing="0"/>
              <w:ind w:left="0" w:right="0" w:firstLine="480"/>
              <w:jc w:val="both"/>
            </w:pPr>
          </w:p>
          <w:p>
            <w:pPr>
              <w:keepNext w:val="0"/>
              <w:keepLines w:val="0"/>
              <w:suppressLineNumbers w:val="0"/>
              <w:spacing w:before="0" w:beforeAutospacing="0" w:after="0" w:afterAutospacing="0"/>
              <w:ind w:left="0" w:right="0" w:firstLine="480"/>
              <w:jc w:val="both"/>
            </w:pPr>
          </w:p>
          <w:p>
            <w:pPr>
              <w:pStyle w:val="2"/>
              <w:keepNext w:val="0"/>
              <w:keepLines w:val="0"/>
              <w:suppressLineNumbers w:val="0"/>
              <w:spacing w:before="0" w:beforeAutospacing="0" w:after="0" w:afterAutospacing="0"/>
              <w:ind w:left="0" w:right="0" w:firstLine="0" w:firstLineChars="0"/>
            </w:pPr>
          </w:p>
        </w:tc>
      </w:tr>
    </w:tbl>
    <w:p>
      <w:pPr>
        <w:pStyle w:val="3"/>
        <w:jc w:val="both"/>
      </w:pPr>
      <w:bookmarkStart w:id="77" w:name="_Toc6614"/>
      <w:bookmarkStart w:id="78" w:name="_Toc8813"/>
      <w:bookmarkStart w:id="79" w:name="_Toc15745"/>
      <w:bookmarkStart w:id="80" w:name="_Toc6245"/>
      <w:bookmarkStart w:id="81" w:name="_Toc26509"/>
      <w:bookmarkStart w:id="82" w:name="_Toc27811"/>
      <w:bookmarkStart w:id="83" w:name="_Toc4688"/>
      <w:r>
        <w:t>表六项目主要污染物产生及预计排放情况</w:t>
      </w:r>
      <w:bookmarkEnd w:id="77"/>
      <w:bookmarkEnd w:id="78"/>
      <w:bookmarkEnd w:id="79"/>
      <w:bookmarkEnd w:id="80"/>
      <w:bookmarkEnd w:id="81"/>
      <w:bookmarkEnd w:id="82"/>
      <w:bookmarkEnd w:id="83"/>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
        <w:gridCol w:w="426"/>
        <w:gridCol w:w="2027"/>
        <w:gridCol w:w="1113"/>
        <w:gridCol w:w="1788"/>
        <w:gridCol w:w="22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550" w:type="pct"/>
            <w:tcBorders>
              <w:bottom w:val="single" w:color="auto" w:sz="4" w:space="0"/>
              <w:tl2br w:val="single" w:color="auto" w:sz="4" w:space="0"/>
            </w:tcBorders>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bookmarkStart w:id="84" w:name="_Toc6783"/>
            <w:bookmarkStart w:id="85" w:name="_Toc24163"/>
            <w:bookmarkStart w:id="86" w:name="_Toc25061"/>
            <w:bookmarkStart w:id="87" w:name="_Toc18385"/>
            <w:bookmarkStart w:id="88" w:name="_Toc15101"/>
            <w:bookmarkStart w:id="89" w:name="_Toc1874"/>
            <w:r>
              <w:rPr>
                <w:rFonts w:hint="eastAsia"/>
                <w:sz w:val="21"/>
                <w:szCs w:val="21"/>
              </w:rPr>
              <w:t>内容</w:t>
            </w:r>
          </w:p>
          <w:p>
            <w:pPr>
              <w:pStyle w:val="2"/>
              <w:keepNext w:val="0"/>
              <w:keepLines w:val="0"/>
              <w:suppressLineNumbers w:val="0"/>
              <w:spacing w:before="0" w:beforeAutospacing="0" w:after="0" w:afterAutospacing="0" w:line="240" w:lineRule="auto"/>
              <w:ind w:left="0" w:right="0" w:firstLine="420"/>
              <w:jc w:val="center"/>
              <w:rPr>
                <w:sz w:val="21"/>
                <w:szCs w:val="21"/>
              </w:rPr>
            </w:pPr>
          </w:p>
          <w:p>
            <w:pPr>
              <w:pStyle w:val="2"/>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类别</w:t>
            </w:r>
          </w:p>
        </w:tc>
        <w:tc>
          <w:tcPr>
            <w:tcW w:w="1439" w:type="pct"/>
            <w:gridSpan w:val="2"/>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排放源</w:t>
            </w:r>
          </w:p>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（编号）</w:t>
            </w: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污染物</w:t>
            </w:r>
          </w:p>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名称</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处理前产生浓度及产生量（单位）</w:t>
            </w:r>
          </w:p>
        </w:tc>
        <w:tc>
          <w:tcPr>
            <w:tcW w:w="130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排放浓度及排放量</w:t>
            </w:r>
          </w:p>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550" w:type="pct"/>
            <w:vMerge w:val="restart"/>
            <w:tcBorders>
              <w:tl2br w:val="nil"/>
            </w:tcBorders>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大气污染物</w:t>
            </w:r>
          </w:p>
        </w:tc>
        <w:tc>
          <w:tcPr>
            <w:tcW w:w="250"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施工期</w:t>
            </w: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施工作业</w:t>
            </w: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粉尘、扬尘</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少量</w:t>
            </w:r>
          </w:p>
        </w:tc>
        <w:tc>
          <w:tcPr>
            <w:tcW w:w="130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少量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highlight w:val="red"/>
              </w:rPr>
            </w:pPr>
          </w:p>
        </w:tc>
        <w:tc>
          <w:tcPr>
            <w:tcW w:w="250"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营运期</w:t>
            </w:r>
          </w:p>
        </w:tc>
        <w:tc>
          <w:tcPr>
            <w:tcW w:w="1189" w:type="pct"/>
            <w:vMerge w:val="restart"/>
            <w:vAlign w:val="center"/>
          </w:tcPr>
          <w:p>
            <w:pPr>
              <w:keepNext w:val="0"/>
              <w:keepLines w:val="0"/>
              <w:suppressLineNumbers w:val="0"/>
              <w:spacing w:before="0" w:beforeAutospacing="0" w:after="0" w:afterAutospacing="0" w:line="240" w:lineRule="auto"/>
              <w:ind w:left="0" w:right="-120" w:rightChars="-50" w:firstLine="0" w:firstLineChars="0"/>
              <w:jc w:val="center"/>
              <w:rPr>
                <w:sz w:val="21"/>
                <w:szCs w:val="21"/>
              </w:rPr>
            </w:pPr>
            <w:r>
              <w:rPr>
                <w:rFonts w:hint="eastAsia"/>
                <w:sz w:val="21"/>
                <w:szCs w:val="21"/>
              </w:rPr>
              <w:t>喷漆</w:t>
            </w: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VOC</w:t>
            </w:r>
            <w:r>
              <w:rPr>
                <w:rFonts w:hint="eastAsia"/>
                <w:sz w:val="21"/>
                <w:szCs w:val="21"/>
                <w:vertAlign w:val="subscript"/>
              </w:rPr>
              <w:t>S</w:t>
            </w:r>
          </w:p>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(有组织）</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8.1mg/m</w:t>
            </w:r>
            <w:r>
              <w:rPr>
                <w:rFonts w:hint="eastAsia"/>
                <w:sz w:val="21"/>
                <w:szCs w:val="21"/>
                <w:vertAlign w:val="superscript"/>
              </w:rPr>
              <w:t>3</w:t>
            </w:r>
            <w:r>
              <w:rPr>
                <w:rFonts w:hint="eastAsia"/>
                <w:sz w:val="21"/>
                <w:szCs w:val="21"/>
              </w:rPr>
              <w:t>，</w:t>
            </w:r>
          </w:p>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0.085</w:t>
            </w:r>
            <w:r>
              <w:rPr>
                <w:sz w:val="21"/>
                <w:szCs w:val="21"/>
              </w:rPr>
              <w:t>t/a</w:t>
            </w:r>
          </w:p>
        </w:tc>
        <w:tc>
          <w:tcPr>
            <w:tcW w:w="130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1.62mg/m</w:t>
            </w:r>
            <w:r>
              <w:rPr>
                <w:rFonts w:hint="eastAsia"/>
                <w:sz w:val="21"/>
                <w:szCs w:val="21"/>
                <w:vertAlign w:val="superscript"/>
              </w:rPr>
              <w:t>3</w:t>
            </w:r>
          </w:p>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0.017</w:t>
            </w:r>
            <w:r>
              <w:rPr>
                <w:sz w:val="21"/>
                <w:szCs w:val="21"/>
              </w:rPr>
              <w:t xml:space="preserve"> 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highlight w:val="red"/>
              </w:rPr>
            </w:pPr>
          </w:p>
        </w:tc>
        <w:tc>
          <w:tcPr>
            <w:tcW w:w="250" w:type="pct"/>
            <w:vMerge w:val="continue"/>
            <w:vAlign w:val="center"/>
          </w:tcPr>
          <w:p>
            <w:pPr>
              <w:keepNext w:val="0"/>
              <w:keepLines w:val="0"/>
              <w:suppressLineNumbers w:val="0"/>
              <w:spacing w:before="0" w:beforeAutospacing="0" w:after="0" w:afterAutospacing="0" w:line="240" w:lineRule="auto"/>
              <w:ind w:left="-120" w:leftChars="-50" w:right="-120" w:rightChars="-50" w:firstLine="420"/>
              <w:jc w:val="center"/>
              <w:rPr>
                <w:sz w:val="21"/>
                <w:szCs w:val="21"/>
              </w:rPr>
            </w:pPr>
          </w:p>
        </w:tc>
        <w:tc>
          <w:tcPr>
            <w:tcW w:w="1189" w:type="pct"/>
            <w:vMerge w:val="continue"/>
            <w:vAlign w:val="center"/>
          </w:tcPr>
          <w:p>
            <w:pPr>
              <w:keepNext w:val="0"/>
              <w:keepLines w:val="0"/>
              <w:suppressLineNumbers w:val="0"/>
              <w:spacing w:before="0" w:beforeAutospacing="0" w:after="0" w:afterAutospacing="0" w:line="240" w:lineRule="auto"/>
              <w:ind w:left="-120" w:leftChars="-50" w:right="-120" w:rightChars="-50" w:firstLine="420"/>
              <w:jc w:val="center"/>
              <w:rPr>
                <w:sz w:val="21"/>
                <w:szCs w:val="21"/>
              </w:rPr>
            </w:pP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VOC</w:t>
            </w:r>
            <w:r>
              <w:rPr>
                <w:rFonts w:hint="eastAsia"/>
                <w:sz w:val="21"/>
                <w:szCs w:val="21"/>
                <w:vertAlign w:val="subscript"/>
              </w:rPr>
              <w:t>S</w:t>
            </w:r>
          </w:p>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(无组织）</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0.0091</w:t>
            </w:r>
            <w:r>
              <w:rPr>
                <w:sz w:val="21"/>
                <w:szCs w:val="21"/>
              </w:rPr>
              <w:t>t/a</w:t>
            </w:r>
          </w:p>
        </w:tc>
        <w:tc>
          <w:tcPr>
            <w:tcW w:w="130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0.009</w:t>
            </w:r>
            <w:r>
              <w:rPr>
                <w:sz w:val="21"/>
                <w:szCs w:val="21"/>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highlight w:val="red"/>
              </w:rPr>
            </w:pPr>
          </w:p>
        </w:tc>
        <w:tc>
          <w:tcPr>
            <w:tcW w:w="250" w:type="pct"/>
            <w:vMerge w:val="continue"/>
            <w:vAlign w:val="center"/>
          </w:tcPr>
          <w:p>
            <w:pPr>
              <w:keepNext w:val="0"/>
              <w:keepLines w:val="0"/>
              <w:suppressLineNumbers w:val="0"/>
              <w:spacing w:before="0" w:beforeAutospacing="0" w:after="0" w:afterAutospacing="0" w:line="240" w:lineRule="auto"/>
              <w:ind w:left="-120" w:leftChars="-50" w:right="-120" w:rightChars="-50" w:firstLine="420"/>
              <w:jc w:val="center"/>
              <w:rPr>
                <w:sz w:val="21"/>
                <w:szCs w:val="21"/>
              </w:rPr>
            </w:pPr>
          </w:p>
        </w:tc>
        <w:tc>
          <w:tcPr>
            <w:tcW w:w="1189" w:type="pct"/>
            <w:vMerge w:val="continue"/>
            <w:vAlign w:val="center"/>
          </w:tcPr>
          <w:p>
            <w:pPr>
              <w:keepNext w:val="0"/>
              <w:keepLines w:val="0"/>
              <w:suppressLineNumbers w:val="0"/>
              <w:spacing w:before="0" w:beforeAutospacing="0" w:after="0" w:afterAutospacing="0" w:line="240" w:lineRule="auto"/>
              <w:ind w:left="-120" w:leftChars="-50" w:right="-120" w:rightChars="-50" w:firstLine="420"/>
              <w:jc w:val="center"/>
              <w:rPr>
                <w:sz w:val="21"/>
                <w:szCs w:val="21"/>
              </w:rPr>
            </w:pP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漆雾</w:t>
            </w:r>
          </w:p>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(有组织）</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87.3mg/m</w:t>
            </w:r>
            <w:r>
              <w:rPr>
                <w:rFonts w:hint="eastAsia"/>
                <w:sz w:val="21"/>
                <w:szCs w:val="21"/>
                <w:vertAlign w:val="superscript"/>
              </w:rPr>
              <w:t>3</w:t>
            </w:r>
            <w:r>
              <w:rPr>
                <w:rFonts w:hint="eastAsia"/>
                <w:sz w:val="21"/>
                <w:szCs w:val="21"/>
              </w:rPr>
              <w:t>，</w:t>
            </w:r>
          </w:p>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0.917</w:t>
            </w:r>
            <w:r>
              <w:rPr>
                <w:sz w:val="21"/>
                <w:szCs w:val="21"/>
              </w:rPr>
              <w:t xml:space="preserve"> t/a</w:t>
            </w:r>
          </w:p>
        </w:tc>
        <w:tc>
          <w:tcPr>
            <w:tcW w:w="130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4.365mg/m</w:t>
            </w:r>
            <w:r>
              <w:rPr>
                <w:rFonts w:hint="eastAsia"/>
                <w:sz w:val="21"/>
                <w:szCs w:val="21"/>
                <w:vertAlign w:val="superscript"/>
              </w:rPr>
              <w:t>3</w:t>
            </w:r>
          </w:p>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0.046</w:t>
            </w:r>
            <w:r>
              <w:rPr>
                <w:sz w:val="21"/>
                <w:szCs w:val="21"/>
              </w:rPr>
              <w:t xml:space="preserve"> 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highlight w:val="red"/>
              </w:rPr>
            </w:pPr>
          </w:p>
        </w:tc>
        <w:tc>
          <w:tcPr>
            <w:tcW w:w="250" w:type="pct"/>
            <w:vMerge w:val="continue"/>
            <w:vAlign w:val="center"/>
          </w:tcPr>
          <w:p>
            <w:pPr>
              <w:keepNext w:val="0"/>
              <w:keepLines w:val="0"/>
              <w:suppressLineNumbers w:val="0"/>
              <w:spacing w:before="0" w:beforeAutospacing="0" w:after="0" w:afterAutospacing="0" w:line="240" w:lineRule="auto"/>
              <w:ind w:left="-120" w:leftChars="-50" w:right="-120" w:rightChars="-50" w:firstLine="420"/>
              <w:jc w:val="center"/>
              <w:rPr>
                <w:sz w:val="21"/>
                <w:szCs w:val="21"/>
              </w:rPr>
            </w:pPr>
          </w:p>
        </w:tc>
        <w:tc>
          <w:tcPr>
            <w:tcW w:w="1189" w:type="pct"/>
            <w:vMerge w:val="continue"/>
            <w:vAlign w:val="center"/>
          </w:tcPr>
          <w:p>
            <w:pPr>
              <w:keepNext w:val="0"/>
              <w:keepLines w:val="0"/>
              <w:suppressLineNumbers w:val="0"/>
              <w:spacing w:before="0" w:beforeAutospacing="0" w:after="0" w:afterAutospacing="0" w:line="240" w:lineRule="auto"/>
              <w:ind w:left="-120" w:leftChars="-50" w:right="-120" w:rightChars="-50" w:firstLine="420"/>
              <w:jc w:val="center"/>
              <w:rPr>
                <w:sz w:val="21"/>
                <w:szCs w:val="21"/>
              </w:rPr>
            </w:pP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漆雾</w:t>
            </w:r>
          </w:p>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(无组织）</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0.102</w:t>
            </w:r>
            <w:r>
              <w:rPr>
                <w:sz w:val="21"/>
                <w:szCs w:val="21"/>
              </w:rPr>
              <w:t>t/a</w:t>
            </w:r>
          </w:p>
        </w:tc>
        <w:tc>
          <w:tcPr>
            <w:tcW w:w="130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0.102</w:t>
            </w:r>
            <w:r>
              <w:rPr>
                <w:sz w:val="21"/>
                <w:szCs w:val="21"/>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highlight w:val="red"/>
              </w:rPr>
            </w:pPr>
          </w:p>
        </w:tc>
        <w:tc>
          <w:tcPr>
            <w:tcW w:w="250" w:type="pct"/>
            <w:vMerge w:val="continue"/>
            <w:vAlign w:val="center"/>
          </w:tcPr>
          <w:p>
            <w:pPr>
              <w:keepNext w:val="0"/>
              <w:keepLines w:val="0"/>
              <w:suppressLineNumbers w:val="0"/>
              <w:spacing w:before="0" w:beforeAutospacing="0" w:after="0" w:afterAutospacing="0" w:line="240" w:lineRule="auto"/>
              <w:ind w:left="-120" w:leftChars="-50" w:right="-120" w:rightChars="-50" w:firstLine="420"/>
              <w:jc w:val="center"/>
              <w:rPr>
                <w:sz w:val="21"/>
                <w:szCs w:val="21"/>
              </w:rPr>
            </w:pPr>
          </w:p>
        </w:tc>
        <w:tc>
          <w:tcPr>
            <w:tcW w:w="1189" w:type="pct"/>
            <w:vAlign w:val="center"/>
          </w:tcPr>
          <w:p>
            <w:pPr>
              <w:keepNext w:val="0"/>
              <w:keepLines w:val="0"/>
              <w:suppressLineNumbers w:val="0"/>
              <w:spacing w:before="0" w:beforeAutospacing="0" w:after="0" w:afterAutospacing="0" w:line="240" w:lineRule="auto"/>
              <w:ind w:left="0" w:right="-120" w:rightChars="-50" w:firstLine="0" w:firstLineChars="0"/>
              <w:jc w:val="center"/>
              <w:rPr>
                <w:sz w:val="21"/>
                <w:szCs w:val="21"/>
              </w:rPr>
            </w:pPr>
            <w:r>
              <w:rPr>
                <w:rFonts w:hint="eastAsia"/>
                <w:sz w:val="21"/>
                <w:szCs w:val="21"/>
              </w:rPr>
              <w:t>机加工</w:t>
            </w: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粉尘</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7.5</w:t>
            </w:r>
            <w:r>
              <w:rPr>
                <w:sz w:val="21"/>
                <w:szCs w:val="21"/>
              </w:rPr>
              <w:t>t/a</w:t>
            </w:r>
          </w:p>
        </w:tc>
        <w:tc>
          <w:tcPr>
            <w:tcW w:w="130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0.075</w:t>
            </w:r>
            <w:r>
              <w:rPr>
                <w:sz w:val="21"/>
                <w:szCs w:val="21"/>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highlight w:val="red"/>
              </w:rPr>
            </w:pPr>
          </w:p>
        </w:tc>
        <w:tc>
          <w:tcPr>
            <w:tcW w:w="250" w:type="pct"/>
            <w:vMerge w:val="continue"/>
            <w:vAlign w:val="center"/>
          </w:tcPr>
          <w:p>
            <w:pPr>
              <w:keepNext w:val="0"/>
              <w:keepLines w:val="0"/>
              <w:suppressLineNumbers w:val="0"/>
              <w:spacing w:before="0" w:beforeAutospacing="0" w:after="0" w:afterAutospacing="0" w:line="240" w:lineRule="auto"/>
              <w:ind w:left="-120" w:leftChars="-50" w:right="-120" w:rightChars="-50" w:firstLine="420"/>
              <w:jc w:val="center"/>
              <w:rPr>
                <w:sz w:val="21"/>
                <w:szCs w:val="21"/>
              </w:rPr>
            </w:pPr>
          </w:p>
        </w:tc>
        <w:tc>
          <w:tcPr>
            <w:tcW w:w="1189" w:type="pct"/>
            <w:vAlign w:val="center"/>
          </w:tcPr>
          <w:p>
            <w:pPr>
              <w:keepNext w:val="0"/>
              <w:keepLines w:val="0"/>
              <w:suppressLineNumbers w:val="0"/>
              <w:spacing w:before="0" w:beforeAutospacing="0" w:after="0" w:afterAutospacing="0" w:line="240" w:lineRule="auto"/>
              <w:ind w:left="0" w:right="-120" w:rightChars="-50" w:firstLine="0" w:firstLineChars="0"/>
              <w:jc w:val="center"/>
              <w:rPr>
                <w:sz w:val="21"/>
                <w:szCs w:val="21"/>
              </w:rPr>
            </w:pPr>
            <w:r>
              <w:rPr>
                <w:rFonts w:hint="eastAsia"/>
                <w:sz w:val="21"/>
                <w:szCs w:val="21"/>
              </w:rPr>
              <w:t>焊接</w:t>
            </w: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烟尘</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0.32</w:t>
            </w:r>
            <w:r>
              <w:rPr>
                <w:sz w:val="21"/>
                <w:szCs w:val="21"/>
              </w:rPr>
              <w:t>t/a</w:t>
            </w:r>
          </w:p>
        </w:tc>
        <w:tc>
          <w:tcPr>
            <w:tcW w:w="130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0.0349</w:t>
            </w:r>
            <w:r>
              <w:rPr>
                <w:sz w:val="21"/>
                <w:szCs w:val="21"/>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highlight w:val="red"/>
              </w:rPr>
            </w:pPr>
            <w:r>
              <w:rPr>
                <w:rFonts w:hint="eastAsia"/>
                <w:sz w:val="21"/>
                <w:szCs w:val="21"/>
              </w:rPr>
              <w:t>水</w:t>
            </w:r>
            <w:r>
              <w:rPr>
                <w:sz w:val="21"/>
                <w:szCs w:val="21"/>
              </w:rPr>
              <w:t>污染物</w:t>
            </w:r>
          </w:p>
        </w:tc>
        <w:tc>
          <w:tcPr>
            <w:tcW w:w="250"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施工期</w:t>
            </w:r>
          </w:p>
        </w:tc>
        <w:tc>
          <w:tcPr>
            <w:tcW w:w="1189"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生活污水</w:t>
            </w:r>
          </w:p>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9.6</w:t>
            </w:r>
            <w:r>
              <w:rPr>
                <w:sz w:val="21"/>
                <w:szCs w:val="21"/>
              </w:rPr>
              <w:t>m</w:t>
            </w:r>
            <w:r>
              <w:rPr>
                <w:sz w:val="21"/>
                <w:szCs w:val="21"/>
                <w:vertAlign w:val="superscript"/>
              </w:rPr>
              <w:t>3</w:t>
            </w: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COD</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300mg/L，</w:t>
            </w:r>
            <w:r>
              <w:rPr>
                <w:rFonts w:hint="eastAsia"/>
                <w:sz w:val="21"/>
                <w:szCs w:val="21"/>
              </w:rPr>
              <w:t>0.0028</w:t>
            </w:r>
            <w:r>
              <w:rPr>
                <w:sz w:val="21"/>
                <w:szCs w:val="21"/>
              </w:rPr>
              <w:t>t</w:t>
            </w:r>
          </w:p>
        </w:tc>
        <w:tc>
          <w:tcPr>
            <w:tcW w:w="1309"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w:t>
            </w:r>
            <w:r>
              <w:rPr>
                <w:rFonts w:hint="eastAsia"/>
                <w:sz w:val="21"/>
                <w:szCs w:val="21"/>
              </w:rPr>
              <w:t>经园区化粪池处理后排入园区污水管网</w:t>
            </w:r>
            <w:r>
              <w:rPr>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highlight w:val="red"/>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SS</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200</w:t>
            </w:r>
            <w:r>
              <w:rPr>
                <w:sz w:val="21"/>
                <w:szCs w:val="21"/>
              </w:rPr>
              <w:t>mg/L，</w:t>
            </w:r>
            <w:r>
              <w:rPr>
                <w:rFonts w:hint="eastAsia"/>
                <w:sz w:val="21"/>
                <w:szCs w:val="21"/>
              </w:rPr>
              <w:t>0.0019</w:t>
            </w:r>
            <w:r>
              <w:rPr>
                <w:sz w:val="21"/>
                <w:szCs w:val="21"/>
              </w:rPr>
              <w:t>t</w:t>
            </w:r>
          </w:p>
        </w:tc>
        <w:tc>
          <w:tcPr>
            <w:tcW w:w="1309"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highlight w:val="red"/>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NH</w:t>
            </w:r>
            <w:r>
              <w:rPr>
                <w:sz w:val="21"/>
                <w:szCs w:val="21"/>
                <w:vertAlign w:val="subscript"/>
              </w:rPr>
              <w:t>3</w:t>
            </w:r>
            <w:r>
              <w:rPr>
                <w:sz w:val="21"/>
                <w:szCs w:val="21"/>
              </w:rPr>
              <w:t>-N</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25</w:t>
            </w:r>
            <w:r>
              <w:rPr>
                <w:sz w:val="21"/>
                <w:szCs w:val="21"/>
              </w:rPr>
              <w:t>mg/L，0.0002t</w:t>
            </w:r>
          </w:p>
        </w:tc>
        <w:tc>
          <w:tcPr>
            <w:tcW w:w="1309"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highlight w:val="red"/>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BOD</w:t>
            </w:r>
            <w:r>
              <w:rPr>
                <w:sz w:val="21"/>
                <w:szCs w:val="21"/>
                <w:vertAlign w:val="subscript"/>
              </w:rPr>
              <w:t>5</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150</w:t>
            </w:r>
            <w:r>
              <w:rPr>
                <w:sz w:val="21"/>
                <w:szCs w:val="21"/>
              </w:rPr>
              <w:t>mg/L，</w:t>
            </w:r>
            <w:r>
              <w:rPr>
                <w:rFonts w:hint="eastAsia"/>
                <w:sz w:val="21"/>
                <w:szCs w:val="21"/>
              </w:rPr>
              <w:t>0.0014</w:t>
            </w:r>
            <w:r>
              <w:rPr>
                <w:sz w:val="21"/>
                <w:szCs w:val="21"/>
              </w:rPr>
              <w:t>t</w:t>
            </w:r>
          </w:p>
        </w:tc>
        <w:tc>
          <w:tcPr>
            <w:tcW w:w="1309"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营运期</w:t>
            </w:r>
          </w:p>
        </w:tc>
        <w:tc>
          <w:tcPr>
            <w:tcW w:w="1189"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员工日常生活污水</w:t>
            </w:r>
          </w:p>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576</w:t>
            </w:r>
            <w:r>
              <w:rPr>
                <w:sz w:val="21"/>
                <w:szCs w:val="21"/>
              </w:rPr>
              <w:t>m</w:t>
            </w:r>
            <w:r>
              <w:rPr>
                <w:sz w:val="21"/>
                <w:szCs w:val="21"/>
                <w:vertAlign w:val="superscript"/>
              </w:rPr>
              <w:t>3</w:t>
            </w:r>
            <w:r>
              <w:rPr>
                <w:sz w:val="21"/>
                <w:szCs w:val="21"/>
              </w:rPr>
              <w:t>/a</w:t>
            </w: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COD</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300mg/L，</w:t>
            </w:r>
            <w:r>
              <w:rPr>
                <w:rFonts w:hint="eastAsia"/>
                <w:sz w:val="21"/>
                <w:szCs w:val="21"/>
              </w:rPr>
              <w:t>0.173</w:t>
            </w:r>
            <w:r>
              <w:rPr>
                <w:sz w:val="21"/>
                <w:szCs w:val="21"/>
              </w:rPr>
              <w:t>t/a</w:t>
            </w:r>
          </w:p>
        </w:tc>
        <w:tc>
          <w:tcPr>
            <w:tcW w:w="1309"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w:t>
            </w:r>
            <w:r>
              <w:rPr>
                <w:rFonts w:hint="eastAsia"/>
                <w:sz w:val="21"/>
                <w:szCs w:val="21"/>
              </w:rPr>
              <w:t>经化粪池处理后排入园区污水管网</w:t>
            </w:r>
            <w:r>
              <w:rPr>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BOD</w:t>
            </w:r>
            <w:r>
              <w:rPr>
                <w:sz w:val="21"/>
                <w:szCs w:val="21"/>
                <w:vertAlign w:val="subscript"/>
              </w:rPr>
              <w:t>5</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150mg/L，</w:t>
            </w:r>
            <w:r>
              <w:rPr>
                <w:rFonts w:hint="eastAsia"/>
                <w:sz w:val="21"/>
                <w:szCs w:val="21"/>
              </w:rPr>
              <w:t>0.087</w:t>
            </w:r>
            <w:r>
              <w:rPr>
                <w:sz w:val="21"/>
                <w:szCs w:val="21"/>
              </w:rPr>
              <w:t>t/a</w:t>
            </w:r>
          </w:p>
        </w:tc>
        <w:tc>
          <w:tcPr>
            <w:tcW w:w="1309"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SS</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250mg/L，</w:t>
            </w:r>
            <w:r>
              <w:rPr>
                <w:rFonts w:hint="eastAsia"/>
                <w:sz w:val="21"/>
                <w:szCs w:val="21"/>
              </w:rPr>
              <w:t>0.144</w:t>
            </w:r>
            <w:r>
              <w:rPr>
                <w:sz w:val="21"/>
                <w:szCs w:val="21"/>
              </w:rPr>
              <w:t>t/a</w:t>
            </w:r>
          </w:p>
        </w:tc>
        <w:tc>
          <w:tcPr>
            <w:tcW w:w="1309"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NH</w:t>
            </w:r>
            <w:r>
              <w:rPr>
                <w:sz w:val="21"/>
                <w:szCs w:val="21"/>
                <w:vertAlign w:val="subscript"/>
              </w:rPr>
              <w:t>3</w:t>
            </w:r>
            <w:r>
              <w:rPr>
                <w:sz w:val="21"/>
                <w:szCs w:val="21"/>
              </w:rPr>
              <w:t>-N</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35mg/L，</w:t>
            </w:r>
            <w:r>
              <w:rPr>
                <w:rFonts w:hint="eastAsia"/>
                <w:sz w:val="21"/>
                <w:szCs w:val="21"/>
              </w:rPr>
              <w:t>0.020</w:t>
            </w:r>
            <w:r>
              <w:rPr>
                <w:sz w:val="21"/>
                <w:szCs w:val="21"/>
              </w:rPr>
              <w:t>t/a</w:t>
            </w:r>
          </w:p>
        </w:tc>
        <w:tc>
          <w:tcPr>
            <w:tcW w:w="1309"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食堂废水</w:t>
            </w:r>
          </w:p>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288m</w:t>
            </w:r>
            <w:r>
              <w:rPr>
                <w:rFonts w:hint="eastAsia"/>
                <w:sz w:val="21"/>
                <w:szCs w:val="21"/>
                <w:vertAlign w:val="superscript"/>
              </w:rPr>
              <w:t>3</w:t>
            </w:r>
            <w:r>
              <w:rPr>
                <w:rFonts w:hint="eastAsia"/>
                <w:sz w:val="21"/>
                <w:szCs w:val="21"/>
              </w:rPr>
              <w:t>/a</w:t>
            </w:r>
          </w:p>
        </w:tc>
        <w:tc>
          <w:tcPr>
            <w:tcW w:w="653" w:type="pct"/>
            <w:vAlign w:val="center"/>
          </w:tcPr>
          <w:p>
            <w:pPr>
              <w:pStyle w:val="39"/>
              <w:keepNext w:val="0"/>
              <w:keepLines w:val="0"/>
              <w:suppressLineNumbers w:val="0"/>
              <w:spacing w:before="90" w:beforeAutospacing="0" w:after="0" w:afterAutospacing="0"/>
              <w:ind w:left="0" w:right="2"/>
              <w:jc w:val="center"/>
              <w:rPr>
                <w:rFonts w:ascii="Times New Roman" w:hAnsi="Times New Roman"/>
                <w:sz w:val="21"/>
                <w:szCs w:val="21"/>
              </w:rPr>
            </w:pPr>
            <w:r>
              <w:rPr>
                <w:rFonts w:ascii="Times New Roman" w:hAnsi="Times New Roman"/>
                <w:sz w:val="21"/>
                <w:szCs w:val="21"/>
              </w:rPr>
              <w:t>COD</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400mg/L，</w:t>
            </w:r>
            <w:r>
              <w:rPr>
                <w:rFonts w:hint="eastAsia"/>
                <w:sz w:val="21"/>
                <w:szCs w:val="21"/>
              </w:rPr>
              <w:t>0.115</w:t>
            </w:r>
            <w:r>
              <w:rPr>
                <w:sz w:val="21"/>
                <w:szCs w:val="21"/>
              </w:rPr>
              <w:t>t/a</w:t>
            </w:r>
          </w:p>
        </w:tc>
        <w:tc>
          <w:tcPr>
            <w:tcW w:w="1309"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w:t>
            </w:r>
            <w:r>
              <w:rPr>
                <w:rFonts w:hint="eastAsia"/>
                <w:sz w:val="21"/>
                <w:szCs w:val="21"/>
              </w:rPr>
              <w:t>经本项目隔油池、化粪池处理后排入园区污水管网</w:t>
            </w:r>
            <w:r>
              <w:rPr>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653" w:type="pct"/>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ascii="Times New Roman" w:hAnsi="Times New Roman"/>
                <w:sz w:val="21"/>
                <w:szCs w:val="21"/>
                <w:lang w:eastAsia="zh-CN"/>
              </w:rPr>
              <w:t>SS</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200mg/L，</w:t>
            </w:r>
            <w:r>
              <w:rPr>
                <w:rFonts w:hint="eastAsia"/>
                <w:sz w:val="21"/>
                <w:szCs w:val="21"/>
              </w:rPr>
              <w:t>0.058</w:t>
            </w:r>
            <w:r>
              <w:rPr>
                <w:sz w:val="21"/>
                <w:szCs w:val="21"/>
              </w:rPr>
              <w:t>t/a</w:t>
            </w:r>
          </w:p>
        </w:tc>
        <w:tc>
          <w:tcPr>
            <w:tcW w:w="1309"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653" w:type="pct"/>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BOD</w:t>
            </w:r>
            <w:r>
              <w:rPr>
                <w:rFonts w:hint="eastAsia" w:ascii="Times New Roman" w:hAnsi="Times New Roman"/>
                <w:sz w:val="21"/>
                <w:szCs w:val="21"/>
                <w:vertAlign w:val="subscript"/>
                <w:lang w:eastAsia="zh-CN"/>
              </w:rPr>
              <w:t>5</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250mg/L，</w:t>
            </w:r>
            <w:r>
              <w:rPr>
                <w:rFonts w:hint="eastAsia"/>
                <w:sz w:val="21"/>
                <w:szCs w:val="21"/>
              </w:rPr>
              <w:t>0.072</w:t>
            </w:r>
            <w:r>
              <w:rPr>
                <w:sz w:val="21"/>
                <w:szCs w:val="21"/>
              </w:rPr>
              <w:t>t/a</w:t>
            </w:r>
          </w:p>
        </w:tc>
        <w:tc>
          <w:tcPr>
            <w:tcW w:w="1309"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653" w:type="pct"/>
            <w:vAlign w:val="center"/>
          </w:tcPr>
          <w:p>
            <w:pPr>
              <w:pStyle w:val="39"/>
              <w:keepNext w:val="0"/>
              <w:keepLines w:val="0"/>
              <w:suppressLineNumbers w:val="0"/>
              <w:spacing w:before="88" w:beforeAutospacing="0" w:after="0" w:afterAutospacing="0"/>
              <w:ind w:left="0" w:right="0"/>
              <w:jc w:val="center"/>
              <w:rPr>
                <w:rFonts w:ascii="Times New Roman" w:hAnsi="Times New Roman"/>
                <w:sz w:val="21"/>
                <w:szCs w:val="21"/>
                <w:lang w:eastAsia="zh-CN"/>
              </w:rPr>
            </w:pPr>
            <w:r>
              <w:rPr>
                <w:rFonts w:ascii="Times New Roman" w:hAnsi="Times New Roman"/>
                <w:position w:val="2"/>
                <w:sz w:val="21"/>
                <w:szCs w:val="21"/>
                <w:lang w:eastAsia="zh-CN"/>
              </w:rPr>
              <w:t>NH</w:t>
            </w:r>
            <w:r>
              <w:rPr>
                <w:rFonts w:ascii="Times New Roman" w:hAnsi="Times New Roman"/>
                <w:sz w:val="21"/>
                <w:szCs w:val="21"/>
                <w:vertAlign w:val="subscript"/>
                <w:lang w:eastAsia="zh-CN"/>
              </w:rPr>
              <w:t>3</w:t>
            </w:r>
            <w:r>
              <w:rPr>
                <w:rFonts w:ascii="Times New Roman" w:hAnsi="Times New Roman"/>
                <w:position w:val="2"/>
                <w:sz w:val="21"/>
                <w:szCs w:val="21"/>
                <w:lang w:eastAsia="zh-CN"/>
              </w:rPr>
              <w:t>-N</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25mg/L，</w:t>
            </w:r>
            <w:r>
              <w:rPr>
                <w:rFonts w:hint="eastAsia"/>
                <w:sz w:val="21"/>
                <w:szCs w:val="21"/>
              </w:rPr>
              <w:t>0.007</w:t>
            </w:r>
            <w:r>
              <w:rPr>
                <w:sz w:val="21"/>
                <w:szCs w:val="21"/>
              </w:rPr>
              <w:t>t/a</w:t>
            </w:r>
          </w:p>
        </w:tc>
        <w:tc>
          <w:tcPr>
            <w:tcW w:w="1309"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653" w:type="pct"/>
            <w:vAlign w:val="center"/>
          </w:tcPr>
          <w:p>
            <w:pPr>
              <w:pStyle w:val="39"/>
              <w:keepNext w:val="0"/>
              <w:keepLines w:val="0"/>
              <w:suppressLineNumbers w:val="0"/>
              <w:spacing w:before="88" w:beforeAutospacing="0" w:after="0" w:afterAutospacing="0"/>
              <w:ind w:left="0" w:right="0"/>
              <w:jc w:val="center"/>
              <w:rPr>
                <w:rFonts w:ascii="Times New Roman" w:hAnsi="Times New Roman"/>
                <w:position w:val="2"/>
                <w:sz w:val="21"/>
                <w:szCs w:val="21"/>
                <w:lang w:eastAsia="zh-CN"/>
              </w:rPr>
            </w:pPr>
            <w:r>
              <w:rPr>
                <w:rFonts w:hint="eastAsia" w:ascii="Times New Roman" w:hAnsi="Times New Roman"/>
                <w:position w:val="2"/>
                <w:sz w:val="21"/>
                <w:szCs w:val="21"/>
                <w:lang w:eastAsia="zh-CN"/>
              </w:rPr>
              <w:t>动植物油</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30mg/L，</w:t>
            </w:r>
            <w:r>
              <w:rPr>
                <w:rFonts w:hint="eastAsia"/>
                <w:sz w:val="21"/>
                <w:szCs w:val="21"/>
              </w:rPr>
              <w:t xml:space="preserve"> 0.009</w:t>
            </w:r>
            <w:r>
              <w:rPr>
                <w:sz w:val="21"/>
                <w:szCs w:val="21"/>
              </w:rPr>
              <w:t>t/a</w:t>
            </w:r>
          </w:p>
        </w:tc>
        <w:tc>
          <w:tcPr>
            <w:tcW w:w="1309"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喷漆</w:t>
            </w:r>
            <w:r>
              <w:rPr>
                <w:rFonts w:hint="eastAsia"/>
                <w:position w:val="2"/>
                <w:sz w:val="21"/>
                <w:szCs w:val="21"/>
              </w:rPr>
              <w:t>废液</w:t>
            </w:r>
          </w:p>
        </w:tc>
        <w:tc>
          <w:tcPr>
            <w:tcW w:w="653" w:type="pct"/>
            <w:vAlign w:val="center"/>
          </w:tcPr>
          <w:p>
            <w:pPr>
              <w:pStyle w:val="39"/>
              <w:keepNext w:val="0"/>
              <w:keepLines w:val="0"/>
              <w:suppressLineNumbers w:val="0"/>
              <w:spacing w:before="88" w:beforeAutospacing="0" w:after="0" w:afterAutospacing="0"/>
              <w:ind w:left="0" w:right="0"/>
              <w:jc w:val="center"/>
              <w:rPr>
                <w:rFonts w:ascii="Times New Roman" w:hAnsi="Times New Roman"/>
                <w:position w:val="2"/>
                <w:sz w:val="21"/>
                <w:szCs w:val="21"/>
                <w:lang w:eastAsia="zh-CN"/>
              </w:rPr>
            </w:pPr>
            <w:r>
              <w:rPr>
                <w:rFonts w:hint="eastAsia" w:ascii="Times New Roman" w:hAnsi="Times New Roman"/>
                <w:position w:val="2"/>
                <w:sz w:val="21"/>
                <w:szCs w:val="21"/>
                <w:lang w:eastAsia="zh-CN"/>
              </w:rPr>
              <w:t>涂料</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12</w:t>
            </w:r>
            <w:r>
              <w:rPr>
                <w:rFonts w:hint="eastAsia"/>
                <w:sz w:val="21"/>
                <w:szCs w:val="21"/>
              </w:rPr>
              <w:t>m</w:t>
            </w:r>
            <w:r>
              <w:rPr>
                <w:rFonts w:hint="eastAsia"/>
                <w:sz w:val="21"/>
                <w:szCs w:val="21"/>
                <w:vertAlign w:val="superscript"/>
              </w:rPr>
              <w:t>3</w:t>
            </w:r>
            <w:r>
              <w:rPr>
                <w:rFonts w:hint="eastAsia"/>
                <w:sz w:val="21"/>
                <w:szCs w:val="21"/>
              </w:rPr>
              <w:t>/a</w:t>
            </w:r>
          </w:p>
        </w:tc>
        <w:tc>
          <w:tcPr>
            <w:tcW w:w="130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0(收集后回用于调漆)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打孔冷却水</w:t>
            </w:r>
          </w:p>
          <w:p>
            <w:pPr>
              <w:pStyle w:val="2"/>
              <w:keepNext w:val="0"/>
              <w:keepLines w:val="0"/>
              <w:suppressLineNumbers w:val="0"/>
              <w:spacing w:before="0" w:beforeAutospacing="0" w:after="0" w:afterAutospacing="0"/>
              <w:ind w:left="0" w:right="0" w:firstLine="0" w:firstLineChars="0"/>
              <w:jc w:val="center"/>
            </w:pPr>
            <w:r>
              <w:rPr>
                <w:rFonts w:hint="eastAsia"/>
                <w:sz w:val="21"/>
                <w:szCs w:val="21"/>
              </w:rPr>
              <w:t>6885 m</w:t>
            </w:r>
            <w:r>
              <w:rPr>
                <w:rFonts w:hint="eastAsia"/>
                <w:sz w:val="21"/>
                <w:szCs w:val="21"/>
                <w:vertAlign w:val="superscript"/>
              </w:rPr>
              <w:t>3</w:t>
            </w:r>
            <w:r>
              <w:rPr>
                <w:rFonts w:hint="eastAsia"/>
                <w:sz w:val="21"/>
                <w:szCs w:val="21"/>
              </w:rPr>
              <w:t>/a</w:t>
            </w:r>
          </w:p>
        </w:tc>
        <w:tc>
          <w:tcPr>
            <w:tcW w:w="653" w:type="pct"/>
            <w:vAlign w:val="center"/>
          </w:tcPr>
          <w:p>
            <w:pPr>
              <w:pStyle w:val="39"/>
              <w:keepNext w:val="0"/>
              <w:keepLines w:val="0"/>
              <w:suppressLineNumbers w:val="0"/>
              <w:spacing w:before="88" w:beforeAutospacing="0" w:after="0" w:afterAutospacing="0"/>
              <w:ind w:left="0" w:right="0"/>
              <w:jc w:val="center"/>
              <w:rPr>
                <w:rFonts w:ascii="Times New Roman" w:hAnsi="Times New Roman"/>
                <w:position w:val="2"/>
                <w:sz w:val="21"/>
                <w:szCs w:val="21"/>
                <w:lang w:eastAsia="zh-CN"/>
              </w:rPr>
            </w:pPr>
            <w:r>
              <w:rPr>
                <w:rFonts w:hint="eastAsia" w:ascii="Times New Roman" w:hAnsi="Times New Roman"/>
                <w:position w:val="2"/>
                <w:sz w:val="21"/>
                <w:szCs w:val="21"/>
                <w:lang w:eastAsia="zh-CN"/>
              </w:rPr>
              <w:t>SS</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2</w:t>
            </w:r>
            <w:r>
              <w:rPr>
                <w:rFonts w:hint="eastAsia"/>
                <w:sz w:val="21"/>
                <w:szCs w:val="21"/>
              </w:rPr>
              <w:t>00</w:t>
            </w:r>
            <w:r>
              <w:rPr>
                <w:sz w:val="21"/>
                <w:szCs w:val="21"/>
              </w:rPr>
              <w:t>mg/L，</w:t>
            </w:r>
            <w:r>
              <w:rPr>
                <w:rFonts w:hint="eastAsia"/>
                <w:sz w:val="21"/>
                <w:szCs w:val="21"/>
              </w:rPr>
              <w:t>1.38</w:t>
            </w:r>
            <w:r>
              <w:rPr>
                <w:sz w:val="21"/>
                <w:szCs w:val="21"/>
              </w:rPr>
              <w:t>t/a</w:t>
            </w:r>
          </w:p>
        </w:tc>
        <w:tc>
          <w:tcPr>
            <w:tcW w:w="130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w:t>
            </w:r>
            <w:r>
              <w:rPr>
                <w:sz w:val="21"/>
                <w:szCs w:val="21"/>
              </w:rPr>
              <w:t>滤网快速过滤后回用于原环节</w:t>
            </w: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固</w:t>
            </w:r>
          </w:p>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体</w:t>
            </w:r>
          </w:p>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废</w:t>
            </w:r>
          </w:p>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物</w:t>
            </w:r>
          </w:p>
        </w:tc>
        <w:tc>
          <w:tcPr>
            <w:tcW w:w="250"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施工期</w:t>
            </w: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设备安装</w:t>
            </w: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废包装材料</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0.2t</w:t>
            </w:r>
          </w:p>
        </w:tc>
        <w:tc>
          <w:tcPr>
            <w:tcW w:w="130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w:t>
            </w:r>
            <w:r>
              <w:rPr>
                <w:rFonts w:hint="eastAsia" w:hAnsiTheme="minorEastAsia" w:eastAsiaTheme="minorEastAsia"/>
                <w:sz w:val="21"/>
                <w:szCs w:val="21"/>
              </w:rPr>
              <w:t>部分回收、部分作为生活垃圾清运至</w:t>
            </w:r>
            <w:r>
              <w:rPr>
                <w:rFonts w:hAnsiTheme="minorEastAsia" w:eastAsiaTheme="minorEastAsia"/>
                <w:sz w:val="21"/>
                <w:szCs w:val="21"/>
              </w:rPr>
              <w:t>园区垃圾收集处，由环卫部门处理</w:t>
            </w:r>
            <w:r>
              <w:rPr>
                <w:rFonts w:hAnsiTheme="minorEastAsia" w:eastAsiaTheme="minorEastAsia"/>
              </w:rPr>
              <w:t>。</w:t>
            </w:r>
            <w:r>
              <w:rPr>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施工人员</w:t>
            </w: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生活垃圾</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0.1t</w:t>
            </w:r>
          </w:p>
        </w:tc>
        <w:tc>
          <w:tcPr>
            <w:tcW w:w="130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hAnsiTheme="minorEastAsia" w:eastAsiaTheme="minorEastAsia"/>
                <w:sz w:val="21"/>
                <w:szCs w:val="21"/>
              </w:rPr>
              <w:t>0（</w:t>
            </w:r>
            <w:r>
              <w:rPr>
                <w:sz w:val="21"/>
                <w:szCs w:val="21"/>
              </w:rPr>
              <w:t>统一收集清运至园区垃圾收集处，由环卫部门处理</w:t>
            </w:r>
            <w:r>
              <w:rPr>
                <w:rFonts w:hAnsiTheme="minorEastAsia" w:eastAsia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营运期</w:t>
            </w: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员工</w:t>
            </w:r>
          </w:p>
        </w:tc>
        <w:tc>
          <w:tcPr>
            <w:tcW w:w="653" w:type="pct"/>
            <w:vAlign w:val="center"/>
          </w:tcPr>
          <w:p>
            <w:pPr>
              <w:keepNext w:val="0"/>
              <w:keepLines w:val="0"/>
              <w:suppressLineNumbers w:val="0"/>
              <w:spacing w:before="0" w:beforeAutospacing="0" w:after="0" w:afterAutospacing="0" w:line="240" w:lineRule="auto"/>
              <w:ind w:left="-120" w:leftChars="-50" w:right="-120" w:rightChars="-50" w:firstLine="0" w:firstLineChars="0"/>
              <w:jc w:val="center"/>
              <w:rPr>
                <w:sz w:val="21"/>
                <w:szCs w:val="21"/>
              </w:rPr>
            </w:pPr>
            <w:r>
              <w:rPr>
                <w:sz w:val="21"/>
                <w:szCs w:val="21"/>
              </w:rPr>
              <w:t>生活垃圾</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6</w:t>
            </w:r>
            <w:r>
              <w:rPr>
                <w:sz w:val="21"/>
                <w:szCs w:val="21"/>
              </w:rPr>
              <w:t>t/a</w:t>
            </w:r>
          </w:p>
        </w:tc>
        <w:tc>
          <w:tcPr>
            <w:tcW w:w="130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bCs/>
                <w:sz w:val="21"/>
                <w:szCs w:val="21"/>
              </w:rPr>
              <w:t>0（</w:t>
            </w:r>
            <w:r>
              <w:rPr>
                <w:sz w:val="21"/>
                <w:szCs w:val="21"/>
              </w:rPr>
              <w:t>收集清运由环卫部门处理</w:t>
            </w:r>
            <w:r>
              <w:rPr>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生产加工</w:t>
            </w:r>
          </w:p>
        </w:tc>
        <w:tc>
          <w:tcPr>
            <w:tcW w:w="653" w:type="pct"/>
            <w:vAlign w:val="center"/>
          </w:tcPr>
          <w:p>
            <w:pPr>
              <w:keepNext w:val="0"/>
              <w:keepLines w:val="0"/>
              <w:suppressLineNumbers w:val="0"/>
              <w:spacing w:before="0" w:beforeAutospacing="0" w:after="0" w:afterAutospacing="0" w:line="240" w:lineRule="auto"/>
              <w:ind w:left="-120" w:leftChars="-50" w:right="-120" w:rightChars="-50" w:firstLine="0" w:firstLineChars="0"/>
              <w:jc w:val="center"/>
              <w:rPr>
                <w:sz w:val="21"/>
                <w:szCs w:val="21"/>
              </w:rPr>
            </w:pPr>
            <w:r>
              <w:rPr>
                <w:rFonts w:hint="eastAsia"/>
                <w:sz w:val="21"/>
                <w:szCs w:val="21"/>
              </w:rPr>
              <w:t>金属边角料</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300</w:t>
            </w:r>
            <w:r>
              <w:rPr>
                <w:sz w:val="21"/>
                <w:szCs w:val="21"/>
              </w:rPr>
              <w:t xml:space="preserve"> t/a</w:t>
            </w:r>
          </w:p>
        </w:tc>
        <w:tc>
          <w:tcPr>
            <w:tcW w:w="1309"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bCs/>
                <w:sz w:val="21"/>
                <w:szCs w:val="21"/>
              </w:rPr>
            </w:pPr>
            <w:r>
              <w:rPr>
                <w:bCs/>
                <w:sz w:val="21"/>
                <w:szCs w:val="21"/>
              </w:rPr>
              <w:t>0（</w:t>
            </w:r>
            <w:r>
              <w:rPr>
                <w:rFonts w:hint="eastAsia"/>
                <w:sz w:val="21"/>
                <w:szCs w:val="21"/>
              </w:rPr>
              <w:t>收集后一般固废暂存间存放，定期外售</w:t>
            </w:r>
            <w:r>
              <w:rPr>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移动除尘器</w:t>
            </w:r>
          </w:p>
        </w:tc>
        <w:tc>
          <w:tcPr>
            <w:tcW w:w="653" w:type="pct"/>
            <w:vAlign w:val="center"/>
          </w:tcPr>
          <w:p>
            <w:pPr>
              <w:keepNext w:val="0"/>
              <w:keepLines w:val="0"/>
              <w:suppressLineNumbers w:val="0"/>
              <w:spacing w:before="0" w:beforeAutospacing="0" w:after="0" w:afterAutospacing="0" w:line="240" w:lineRule="auto"/>
              <w:ind w:left="-120" w:leftChars="-50" w:right="-120" w:rightChars="-50" w:firstLine="0" w:firstLineChars="0"/>
              <w:jc w:val="center"/>
              <w:rPr>
                <w:sz w:val="21"/>
                <w:szCs w:val="21"/>
              </w:rPr>
            </w:pPr>
            <w:r>
              <w:rPr>
                <w:rFonts w:hint="eastAsia"/>
                <w:sz w:val="21"/>
                <w:szCs w:val="21"/>
              </w:rPr>
              <w:t>收集粉尘</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4.74t/a</w:t>
            </w:r>
          </w:p>
        </w:tc>
        <w:tc>
          <w:tcPr>
            <w:tcW w:w="1309" w:type="pct"/>
            <w:vMerge w:val="continue"/>
            <w:vAlign w:val="center"/>
          </w:tcPr>
          <w:p>
            <w:pPr>
              <w:keepNext w:val="0"/>
              <w:keepLines w:val="0"/>
              <w:suppressLineNumbers w:val="0"/>
              <w:spacing w:before="0" w:beforeAutospacing="0" w:after="0" w:afterAutospacing="0" w:line="240" w:lineRule="auto"/>
              <w:ind w:left="0" w:right="0"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焊接</w:t>
            </w:r>
          </w:p>
        </w:tc>
        <w:tc>
          <w:tcPr>
            <w:tcW w:w="653" w:type="pct"/>
            <w:vAlign w:val="center"/>
          </w:tcPr>
          <w:p>
            <w:pPr>
              <w:keepNext w:val="0"/>
              <w:keepLines w:val="0"/>
              <w:suppressLineNumbers w:val="0"/>
              <w:spacing w:before="0" w:beforeAutospacing="0" w:after="0" w:afterAutospacing="0" w:line="240" w:lineRule="auto"/>
              <w:ind w:left="-120" w:leftChars="-50" w:right="-120" w:rightChars="-50" w:firstLine="0" w:firstLineChars="0"/>
              <w:jc w:val="center"/>
              <w:rPr>
                <w:sz w:val="21"/>
                <w:szCs w:val="21"/>
              </w:rPr>
            </w:pPr>
            <w:r>
              <w:rPr>
                <w:rFonts w:hint="eastAsia"/>
                <w:sz w:val="21"/>
                <w:szCs w:val="21"/>
              </w:rPr>
              <w:t>焊渣</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0.79 t/a</w:t>
            </w:r>
          </w:p>
        </w:tc>
        <w:tc>
          <w:tcPr>
            <w:tcW w:w="1309" w:type="pct"/>
            <w:vMerge w:val="continue"/>
            <w:vAlign w:val="center"/>
          </w:tcPr>
          <w:p>
            <w:pPr>
              <w:keepNext w:val="0"/>
              <w:keepLines w:val="0"/>
              <w:suppressLineNumbers w:val="0"/>
              <w:spacing w:before="0" w:beforeAutospacing="0" w:after="0" w:afterAutospacing="0" w:line="240" w:lineRule="auto"/>
              <w:ind w:left="0" w:right="0"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原料包装</w:t>
            </w:r>
          </w:p>
        </w:tc>
        <w:tc>
          <w:tcPr>
            <w:tcW w:w="653" w:type="pct"/>
            <w:vAlign w:val="center"/>
          </w:tcPr>
          <w:p>
            <w:pPr>
              <w:keepNext w:val="0"/>
              <w:keepLines w:val="0"/>
              <w:suppressLineNumbers w:val="0"/>
              <w:spacing w:before="0" w:beforeAutospacing="0" w:after="0" w:afterAutospacing="0" w:line="240" w:lineRule="auto"/>
              <w:ind w:left="-120" w:leftChars="-50" w:right="-120" w:rightChars="-50" w:firstLine="0" w:firstLineChars="0"/>
              <w:jc w:val="center"/>
              <w:rPr>
                <w:sz w:val="21"/>
                <w:szCs w:val="21"/>
              </w:rPr>
            </w:pPr>
            <w:r>
              <w:rPr>
                <w:rFonts w:hint="eastAsia"/>
                <w:sz w:val="21"/>
                <w:szCs w:val="21"/>
              </w:rPr>
              <w:t>废包装材料</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 t/a</w:t>
            </w:r>
          </w:p>
        </w:tc>
        <w:tc>
          <w:tcPr>
            <w:tcW w:w="1309" w:type="pct"/>
            <w:vMerge w:val="continue"/>
            <w:vAlign w:val="center"/>
          </w:tcPr>
          <w:p>
            <w:pPr>
              <w:keepNext w:val="0"/>
              <w:keepLines w:val="0"/>
              <w:suppressLineNumbers w:val="0"/>
              <w:spacing w:before="0" w:beforeAutospacing="0" w:after="0" w:afterAutospacing="0" w:line="240" w:lineRule="auto"/>
              <w:ind w:left="0" w:right="0"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冷却水回收池</w:t>
            </w:r>
          </w:p>
        </w:tc>
        <w:tc>
          <w:tcPr>
            <w:tcW w:w="653" w:type="pct"/>
            <w:vAlign w:val="center"/>
          </w:tcPr>
          <w:p>
            <w:pPr>
              <w:keepNext w:val="0"/>
              <w:keepLines w:val="0"/>
              <w:suppressLineNumbers w:val="0"/>
              <w:spacing w:before="0" w:beforeAutospacing="0" w:after="0" w:afterAutospacing="0" w:line="240" w:lineRule="auto"/>
              <w:ind w:left="-120" w:leftChars="-50" w:right="-120" w:rightChars="-50" w:firstLine="0" w:firstLineChars="0"/>
              <w:jc w:val="center"/>
              <w:rPr>
                <w:sz w:val="21"/>
                <w:szCs w:val="21"/>
              </w:rPr>
            </w:pPr>
            <w:r>
              <w:rPr>
                <w:rFonts w:hint="eastAsia"/>
                <w:sz w:val="21"/>
                <w:szCs w:val="21"/>
              </w:rPr>
              <w:t>滤渣</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1.38 t/a</w:t>
            </w:r>
          </w:p>
        </w:tc>
        <w:tc>
          <w:tcPr>
            <w:tcW w:w="1309" w:type="pct"/>
            <w:vMerge w:val="continue"/>
            <w:vAlign w:val="center"/>
          </w:tcPr>
          <w:p>
            <w:pPr>
              <w:keepNext w:val="0"/>
              <w:keepLines w:val="0"/>
              <w:suppressLineNumbers w:val="0"/>
              <w:spacing w:before="0" w:beforeAutospacing="0" w:after="0" w:afterAutospacing="0" w:line="240" w:lineRule="auto"/>
              <w:ind w:left="0" w:right="0"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废气处理</w:t>
            </w:r>
          </w:p>
        </w:tc>
        <w:tc>
          <w:tcPr>
            <w:tcW w:w="653" w:type="pct"/>
            <w:vAlign w:val="center"/>
          </w:tcPr>
          <w:p>
            <w:pPr>
              <w:keepNext w:val="0"/>
              <w:keepLines w:val="0"/>
              <w:suppressLineNumbers w:val="0"/>
              <w:spacing w:before="0" w:beforeAutospacing="0" w:after="0" w:afterAutospacing="0" w:line="240" w:lineRule="auto"/>
              <w:ind w:left="-120" w:leftChars="-50" w:right="-120" w:rightChars="-50" w:firstLine="0" w:firstLineChars="0"/>
              <w:jc w:val="center"/>
              <w:rPr>
                <w:sz w:val="21"/>
                <w:szCs w:val="21"/>
              </w:rPr>
            </w:pPr>
            <w:r>
              <w:rPr>
                <w:rFonts w:hint="eastAsia"/>
                <w:sz w:val="21"/>
                <w:szCs w:val="21"/>
              </w:rPr>
              <w:t>废过滤棉</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0.183 t/a</w:t>
            </w:r>
          </w:p>
        </w:tc>
        <w:tc>
          <w:tcPr>
            <w:tcW w:w="1309"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bCs/>
                <w:sz w:val="21"/>
                <w:szCs w:val="21"/>
              </w:rPr>
            </w:pPr>
            <w:r>
              <w:rPr>
                <w:bCs/>
                <w:sz w:val="21"/>
                <w:szCs w:val="21"/>
              </w:rPr>
              <w:t>0（</w:t>
            </w:r>
            <w:r>
              <w:rPr>
                <w:rFonts w:hint="eastAsia"/>
                <w:sz w:val="21"/>
                <w:szCs w:val="21"/>
              </w:rPr>
              <w:t>收集后暂存于危废暂存间，委托有相关处理资质的单位处理</w:t>
            </w:r>
            <w:r>
              <w:rPr>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Merge w:val="continue"/>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p>
        </w:tc>
        <w:tc>
          <w:tcPr>
            <w:tcW w:w="653" w:type="pct"/>
            <w:vAlign w:val="center"/>
          </w:tcPr>
          <w:p>
            <w:pPr>
              <w:keepNext w:val="0"/>
              <w:keepLines w:val="0"/>
              <w:suppressLineNumbers w:val="0"/>
              <w:spacing w:before="0" w:beforeAutospacing="0" w:after="0" w:afterAutospacing="0" w:line="240" w:lineRule="auto"/>
              <w:ind w:left="-120" w:leftChars="-50" w:right="-120" w:rightChars="-50" w:firstLine="0" w:firstLineChars="0"/>
              <w:jc w:val="center"/>
              <w:rPr>
                <w:sz w:val="21"/>
                <w:szCs w:val="21"/>
              </w:rPr>
            </w:pPr>
            <w:r>
              <w:rPr>
                <w:rFonts w:hint="eastAsia"/>
                <w:sz w:val="21"/>
                <w:szCs w:val="21"/>
              </w:rPr>
              <w:t>废活性炭</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0.35 t/a</w:t>
            </w:r>
          </w:p>
        </w:tc>
        <w:tc>
          <w:tcPr>
            <w:tcW w:w="1309" w:type="pct"/>
            <w:vMerge w:val="continue"/>
            <w:vAlign w:val="center"/>
          </w:tcPr>
          <w:p>
            <w:pPr>
              <w:keepNext w:val="0"/>
              <w:keepLines w:val="0"/>
              <w:suppressLineNumbers w:val="0"/>
              <w:spacing w:before="0" w:beforeAutospacing="0" w:after="0" w:afterAutospacing="0"/>
              <w:ind w:left="0" w:right="0" w:firstLine="42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涂料</w:t>
            </w:r>
          </w:p>
        </w:tc>
        <w:tc>
          <w:tcPr>
            <w:tcW w:w="653" w:type="pct"/>
            <w:vAlign w:val="center"/>
          </w:tcPr>
          <w:p>
            <w:pPr>
              <w:keepNext w:val="0"/>
              <w:keepLines w:val="0"/>
              <w:suppressLineNumbers w:val="0"/>
              <w:spacing w:before="0" w:beforeAutospacing="0" w:after="0" w:afterAutospacing="0" w:line="240" w:lineRule="auto"/>
              <w:ind w:left="-120" w:leftChars="-50" w:right="-120" w:rightChars="-50" w:firstLine="0" w:firstLineChars="0"/>
              <w:jc w:val="center"/>
              <w:rPr>
                <w:sz w:val="21"/>
                <w:szCs w:val="21"/>
              </w:rPr>
            </w:pPr>
            <w:r>
              <w:rPr>
                <w:rFonts w:hint="eastAsia"/>
                <w:sz w:val="21"/>
                <w:szCs w:val="21"/>
              </w:rPr>
              <w:t>废原料桶</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0.85t/a</w:t>
            </w:r>
          </w:p>
        </w:tc>
        <w:tc>
          <w:tcPr>
            <w:tcW w:w="1309" w:type="pct"/>
            <w:vMerge w:val="continue"/>
            <w:vAlign w:val="center"/>
          </w:tcPr>
          <w:p>
            <w:pPr>
              <w:keepNext w:val="0"/>
              <w:keepLines w:val="0"/>
              <w:suppressLineNumbers w:val="0"/>
              <w:spacing w:before="0" w:beforeAutospacing="0" w:after="0" w:afterAutospacing="0" w:line="240" w:lineRule="auto"/>
              <w:ind w:left="0" w:right="0"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设备维护</w:t>
            </w:r>
          </w:p>
        </w:tc>
        <w:tc>
          <w:tcPr>
            <w:tcW w:w="653" w:type="pct"/>
            <w:vAlign w:val="center"/>
          </w:tcPr>
          <w:p>
            <w:pPr>
              <w:keepNext w:val="0"/>
              <w:keepLines w:val="0"/>
              <w:suppressLineNumbers w:val="0"/>
              <w:spacing w:before="0" w:beforeAutospacing="0" w:after="0" w:afterAutospacing="0" w:line="240" w:lineRule="auto"/>
              <w:ind w:left="-120" w:leftChars="-50" w:right="-120" w:rightChars="-50" w:firstLine="0" w:firstLineChars="0"/>
              <w:jc w:val="center"/>
              <w:rPr>
                <w:sz w:val="21"/>
                <w:szCs w:val="21"/>
              </w:rPr>
            </w:pPr>
            <w:r>
              <w:rPr>
                <w:rFonts w:hint="eastAsia"/>
                <w:sz w:val="21"/>
                <w:szCs w:val="21"/>
              </w:rPr>
              <w:t>废机油</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0.3 t/a</w:t>
            </w:r>
          </w:p>
        </w:tc>
        <w:tc>
          <w:tcPr>
            <w:tcW w:w="1309" w:type="pct"/>
            <w:vMerge w:val="continue"/>
            <w:vAlign w:val="center"/>
          </w:tcPr>
          <w:p>
            <w:pPr>
              <w:keepNext w:val="0"/>
              <w:keepLines w:val="0"/>
              <w:suppressLineNumbers w:val="0"/>
              <w:spacing w:before="0" w:beforeAutospacing="0" w:after="0" w:afterAutospacing="0" w:line="240" w:lineRule="auto"/>
              <w:ind w:left="0" w:right="0"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jc w:val="center"/>
        </w:trPr>
        <w:tc>
          <w:tcPr>
            <w:tcW w:w="550"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噪</w:t>
            </w:r>
          </w:p>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声</w:t>
            </w:r>
          </w:p>
        </w:tc>
        <w:tc>
          <w:tcPr>
            <w:tcW w:w="4450" w:type="pct"/>
            <w:gridSpan w:val="5"/>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施工期的噪声主要为施工现场安装设备噪声及施工人员吆喝声，噪声源强62</w:t>
            </w:r>
            <w:r>
              <w:rPr>
                <w:snapToGrid w:val="0"/>
                <w:sz w:val="21"/>
                <w:szCs w:val="21"/>
              </w:rPr>
              <w:t>～</w:t>
            </w:r>
            <w:r>
              <w:rPr>
                <w:rFonts w:hint="eastAsia"/>
                <w:snapToGrid w:val="0"/>
                <w:sz w:val="21"/>
                <w:szCs w:val="21"/>
              </w:rPr>
              <w:t>100</w:t>
            </w:r>
            <w:r>
              <w:rPr>
                <w:snapToGrid w:val="0"/>
                <w:sz w:val="21"/>
                <w:szCs w:val="21"/>
              </w:rPr>
              <w:t>dB（A）</w:t>
            </w:r>
            <w:r>
              <w:rPr>
                <w:rFonts w:hint="eastAsia"/>
                <w:snapToGrid w:val="0"/>
                <w:sz w:val="21"/>
                <w:szCs w:val="21"/>
              </w:rPr>
              <w:t>；运营期间的主要噪声为设备噪声，</w:t>
            </w:r>
            <w:r>
              <w:rPr>
                <w:rFonts w:hint="eastAsia"/>
                <w:sz w:val="21"/>
                <w:szCs w:val="21"/>
              </w:rPr>
              <w:t>噪声源强75</w:t>
            </w:r>
            <w:r>
              <w:rPr>
                <w:snapToGrid w:val="0"/>
                <w:sz w:val="21"/>
                <w:szCs w:val="21"/>
              </w:rPr>
              <w:t>～</w:t>
            </w:r>
            <w:r>
              <w:rPr>
                <w:rFonts w:hint="eastAsia"/>
                <w:snapToGrid w:val="0"/>
                <w:sz w:val="21"/>
                <w:szCs w:val="21"/>
              </w:rPr>
              <w:t>90</w:t>
            </w:r>
            <w:r>
              <w:rPr>
                <w:snapToGrid w:val="0"/>
                <w:sz w:val="21"/>
                <w:szCs w:val="21"/>
              </w:rPr>
              <w:t>dB（A）</w:t>
            </w:r>
            <w:r>
              <w:rPr>
                <w:rFonts w:hint="eastAsia"/>
                <w:snapToGrid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50"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其他</w:t>
            </w:r>
          </w:p>
        </w:tc>
        <w:tc>
          <w:tcPr>
            <w:tcW w:w="4450" w:type="pct"/>
            <w:gridSpan w:val="5"/>
            <w:vAlign w:val="center"/>
          </w:tcPr>
          <w:p>
            <w:pPr>
              <w:keepNext w:val="0"/>
              <w:keepLines w:val="0"/>
              <w:suppressLineNumbers w:val="0"/>
              <w:spacing w:before="0" w:beforeAutospacing="0" w:after="0" w:afterAutospacing="0" w:line="240" w:lineRule="auto"/>
              <w:ind w:left="0" w:right="0" w:firstLine="420"/>
              <w:jc w:val="center"/>
              <w:rPr>
                <w:sz w:val="21"/>
                <w:szCs w:val="21"/>
              </w:rPr>
            </w:pPr>
            <w:r>
              <w:rPr>
                <w:sz w:val="21"/>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vAlign w:val="center"/>
          </w:tcPr>
          <w:p>
            <w:pPr>
              <w:keepNext w:val="0"/>
              <w:keepLines w:val="0"/>
              <w:suppressLineNumbers w:val="0"/>
              <w:spacing w:before="0" w:beforeAutospacing="0" w:after="0" w:afterAutospacing="0" w:line="240" w:lineRule="auto"/>
              <w:ind w:left="0" w:right="0" w:firstLine="0" w:firstLineChars="0"/>
              <w:rPr>
                <w:b/>
                <w:sz w:val="21"/>
                <w:szCs w:val="21"/>
              </w:rPr>
            </w:pPr>
            <w:r>
              <w:rPr>
                <w:b/>
                <w:sz w:val="21"/>
                <w:szCs w:val="21"/>
              </w:rPr>
              <w:t>主要生态影响（不够时可附另页）</w:t>
            </w:r>
          </w:p>
          <w:p>
            <w:pPr>
              <w:keepNext w:val="0"/>
              <w:keepLines w:val="0"/>
              <w:suppressLineNumbers w:val="0"/>
              <w:spacing w:before="0" w:beforeAutospacing="0" w:after="0" w:afterAutospacing="0" w:line="240" w:lineRule="auto"/>
              <w:ind w:left="0" w:right="0" w:firstLine="420"/>
              <w:rPr>
                <w:snapToGrid w:val="0"/>
                <w:sz w:val="21"/>
                <w:szCs w:val="21"/>
              </w:rPr>
            </w:pPr>
            <w:r>
              <w:rPr>
                <w:rFonts w:hint="eastAsia"/>
                <w:sz w:val="21"/>
                <w:szCs w:val="21"/>
              </w:rPr>
              <w:t>拟建项目位于富民县工业园区哨菁机械加工园，</w:t>
            </w:r>
            <w:r>
              <w:rPr>
                <w:rFonts w:hint="eastAsia"/>
                <w:snapToGrid w:val="0"/>
                <w:sz w:val="21"/>
                <w:szCs w:val="21"/>
              </w:rPr>
              <w:t>项目施工期主要进行设备安装，对周围生态环境影响较小。项目运营期间项目废气经活性炭吸附后达标排放，废水经化粪池处理后也妥当处理，项目运营期对周围生态环境影响较小。</w:t>
            </w:r>
          </w:p>
          <w:p>
            <w:pPr>
              <w:pStyle w:val="2"/>
              <w:keepNext w:val="0"/>
              <w:keepLines w:val="0"/>
              <w:suppressLineNumbers w:val="0"/>
              <w:spacing w:before="0" w:beforeAutospacing="0" w:after="0" w:afterAutospacing="0"/>
              <w:ind w:left="0" w:right="0" w:firstLine="480"/>
            </w:pPr>
          </w:p>
          <w:p>
            <w:pPr>
              <w:keepNext w:val="0"/>
              <w:keepLines w:val="0"/>
              <w:suppressLineNumbers w:val="0"/>
              <w:spacing w:before="0" w:beforeAutospacing="0" w:after="0" w:afterAutospacing="0"/>
              <w:ind w:left="0" w:right="0" w:firstLine="480"/>
            </w:pPr>
          </w:p>
          <w:p>
            <w:pPr>
              <w:pStyle w:val="2"/>
              <w:keepNext w:val="0"/>
              <w:keepLines w:val="0"/>
              <w:suppressLineNumbers w:val="0"/>
              <w:spacing w:before="0" w:beforeAutospacing="0" w:after="0" w:afterAutospacing="0"/>
              <w:ind w:left="0" w:right="0" w:firstLine="480"/>
            </w:pPr>
          </w:p>
          <w:p>
            <w:pPr>
              <w:keepNext w:val="0"/>
              <w:keepLines w:val="0"/>
              <w:suppressLineNumbers w:val="0"/>
              <w:spacing w:before="0" w:beforeAutospacing="0" w:after="0" w:afterAutospacing="0"/>
              <w:ind w:left="0" w:right="0" w:firstLine="480"/>
            </w:pPr>
          </w:p>
          <w:p>
            <w:pPr>
              <w:pStyle w:val="2"/>
              <w:keepNext w:val="0"/>
              <w:keepLines w:val="0"/>
              <w:suppressLineNumbers w:val="0"/>
              <w:spacing w:before="0" w:beforeAutospacing="0" w:after="0" w:afterAutospacing="0"/>
              <w:ind w:left="0" w:right="0" w:firstLine="480"/>
            </w:pPr>
          </w:p>
          <w:p>
            <w:pPr>
              <w:keepNext w:val="0"/>
              <w:keepLines w:val="0"/>
              <w:suppressLineNumbers w:val="0"/>
              <w:spacing w:before="0" w:beforeAutospacing="0" w:after="0" w:afterAutospacing="0"/>
              <w:ind w:left="0" w:right="0" w:firstLine="480"/>
            </w:pPr>
          </w:p>
          <w:p>
            <w:pPr>
              <w:pStyle w:val="2"/>
              <w:keepNext w:val="0"/>
              <w:keepLines w:val="0"/>
              <w:suppressLineNumbers w:val="0"/>
              <w:spacing w:before="0" w:beforeAutospacing="0" w:after="0" w:afterAutospacing="0"/>
              <w:ind w:left="0" w:right="0" w:firstLine="480"/>
            </w:pPr>
          </w:p>
          <w:p>
            <w:pPr>
              <w:keepNext w:val="0"/>
              <w:keepLines w:val="0"/>
              <w:suppressLineNumbers w:val="0"/>
              <w:spacing w:before="0" w:beforeAutospacing="0" w:after="0" w:afterAutospacing="0"/>
              <w:ind w:left="0" w:right="0" w:firstLine="480"/>
            </w:pPr>
          </w:p>
          <w:p>
            <w:pPr>
              <w:pStyle w:val="2"/>
              <w:keepNext w:val="0"/>
              <w:keepLines w:val="0"/>
              <w:suppressLineNumbers w:val="0"/>
              <w:spacing w:before="0" w:beforeAutospacing="0" w:after="0" w:afterAutospacing="0"/>
              <w:ind w:left="0" w:right="0" w:firstLine="480"/>
            </w:pPr>
          </w:p>
          <w:p>
            <w:pPr>
              <w:keepNext w:val="0"/>
              <w:keepLines w:val="0"/>
              <w:suppressLineNumbers w:val="0"/>
              <w:spacing w:before="0" w:beforeAutospacing="0" w:after="0" w:afterAutospacing="0"/>
              <w:ind w:left="0" w:right="0" w:firstLine="480"/>
            </w:pPr>
          </w:p>
          <w:p>
            <w:pPr>
              <w:pStyle w:val="2"/>
              <w:keepNext w:val="0"/>
              <w:keepLines w:val="0"/>
              <w:suppressLineNumbers w:val="0"/>
              <w:spacing w:before="0" w:beforeAutospacing="0" w:after="0" w:afterAutospacing="0"/>
              <w:ind w:left="0" w:right="0" w:firstLine="480"/>
            </w:pPr>
          </w:p>
          <w:p>
            <w:pPr>
              <w:keepNext w:val="0"/>
              <w:keepLines w:val="0"/>
              <w:suppressLineNumbers w:val="0"/>
              <w:spacing w:before="0" w:beforeAutospacing="0" w:after="0" w:afterAutospacing="0"/>
              <w:ind w:left="0" w:right="0" w:firstLine="480"/>
            </w:pPr>
          </w:p>
          <w:p>
            <w:pPr>
              <w:keepNext w:val="0"/>
              <w:keepLines w:val="0"/>
              <w:suppressLineNumbers w:val="0"/>
              <w:spacing w:before="0" w:beforeAutospacing="0" w:after="0" w:afterAutospacing="0"/>
              <w:ind w:left="0" w:right="0" w:firstLine="0" w:firstLineChars="0"/>
            </w:pPr>
          </w:p>
        </w:tc>
      </w:tr>
    </w:tbl>
    <w:p>
      <w:pPr>
        <w:pStyle w:val="3"/>
        <w:jc w:val="both"/>
        <w:rPr>
          <w:bCs w:val="0"/>
          <w:szCs w:val="30"/>
        </w:rPr>
      </w:pPr>
      <w:r>
        <w:t>表七环境影响分析</w:t>
      </w:r>
      <w:bookmarkEnd w:id="84"/>
      <w:bookmarkEnd w:id="85"/>
      <w:bookmarkEnd w:id="86"/>
      <w:bookmarkEnd w:id="87"/>
      <w:bookmarkEnd w:id="88"/>
      <w:bookmarkEnd w:id="89"/>
    </w:p>
    <w:tbl>
      <w:tblPr>
        <w:tblStyle w:val="1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52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528" w:hRule="atLeast"/>
          <w:jc w:val="center"/>
        </w:trPr>
        <w:tc>
          <w:tcPr>
            <w:tcW w:w="9071" w:type="dxa"/>
            <w:tcBorders>
              <w:bottom w:val="single" w:color="auto" w:sz="6" w:space="0"/>
            </w:tcBorders>
            <w:noWrap/>
          </w:tcPr>
          <w:p>
            <w:pPr>
              <w:pStyle w:val="30"/>
              <w:keepNext w:val="0"/>
              <w:keepLines w:val="0"/>
              <w:widowControl/>
              <w:numPr>
                <w:ilvl w:val="0"/>
                <w:numId w:val="2"/>
              </w:numPr>
              <w:suppressLineNumbers w:val="0"/>
              <w:spacing w:before="0" w:beforeAutospacing="0" w:after="0" w:afterAutospacing="0"/>
              <w:ind w:right="0" w:firstLineChars="0"/>
              <w:jc w:val="both"/>
              <w:rPr>
                <w:b/>
                <w:kern w:val="0"/>
              </w:rPr>
            </w:pPr>
            <w:r>
              <w:rPr>
                <w:b/>
                <w:kern w:val="0"/>
              </w:rPr>
              <w:t>施工期简要环境影响分析及防治措施</w:t>
            </w:r>
          </w:p>
          <w:p>
            <w:pPr>
              <w:keepNext w:val="0"/>
              <w:keepLines w:val="0"/>
              <w:widowControl/>
              <w:suppressLineNumbers w:val="0"/>
              <w:spacing w:before="0" w:beforeAutospacing="0" w:after="0" w:afterAutospacing="0"/>
              <w:ind w:left="0" w:right="0" w:firstLine="480"/>
              <w:jc w:val="both"/>
              <w:rPr>
                <w:kern w:val="0"/>
              </w:rPr>
            </w:pPr>
            <w:r>
              <w:rPr>
                <w:rFonts w:hint="eastAsia"/>
                <w:kern w:val="0"/>
              </w:rPr>
              <w:t>本项目生产车间租用</w:t>
            </w:r>
            <w:r>
              <w:rPr>
                <w:rFonts w:hint="eastAsia"/>
              </w:rPr>
              <w:t>云南鸿发机械制造有限公司现有标准厂房及办公楼</w:t>
            </w:r>
            <w:r>
              <w:rPr>
                <w:rFonts w:hint="eastAsia"/>
                <w:kern w:val="0"/>
              </w:rPr>
              <w:t>，施工期主要为淋浴间搭建、环保设施的安装，施工周期短，无需建设施工生活营地；项目办公主要依托租用厂区综合办公楼进行，施工期仅进行办公设备的安装，无需再进行装修。</w:t>
            </w:r>
          </w:p>
          <w:p>
            <w:pPr>
              <w:keepNext w:val="0"/>
              <w:keepLines w:val="0"/>
              <w:suppressLineNumbers w:val="0"/>
              <w:spacing w:before="0" w:beforeAutospacing="0" w:after="0" w:afterAutospacing="0"/>
              <w:ind w:left="0" w:right="0" w:firstLine="472" w:firstLineChars="196"/>
              <w:jc w:val="both"/>
              <w:rPr>
                <w:b/>
              </w:rPr>
            </w:pPr>
            <w:r>
              <w:rPr>
                <w:b/>
              </w:rPr>
              <w:t>1、施工期大气环境影响分析及污染防治措施</w:t>
            </w:r>
          </w:p>
          <w:p>
            <w:pPr>
              <w:keepNext w:val="0"/>
              <w:keepLines w:val="0"/>
              <w:suppressLineNumbers w:val="0"/>
              <w:spacing w:before="0" w:beforeAutospacing="0" w:after="0" w:afterAutospacing="0"/>
              <w:ind w:left="0" w:right="0" w:firstLine="480"/>
              <w:jc w:val="both"/>
            </w:pPr>
            <w:r>
              <w:rPr>
                <w:rFonts w:hint="eastAsia"/>
              </w:rPr>
              <w:t>本项目施工期间主要的大气污染物为生产设备、环保设施安装过程中产生的少量的粉尘。产生的粉尘对周围环境影响较小，但对厂区内施工人员会造成一定的影响，施工人员可佩戴口罩进行施工，定期在厂区内洒水减少粉尘的产生量。</w:t>
            </w:r>
          </w:p>
          <w:p>
            <w:pPr>
              <w:keepNext w:val="0"/>
              <w:keepLines w:val="0"/>
              <w:suppressLineNumbers w:val="0"/>
              <w:spacing w:before="0" w:beforeAutospacing="0" w:after="0" w:afterAutospacing="0"/>
              <w:ind w:left="0" w:right="0" w:firstLine="480"/>
              <w:jc w:val="both"/>
            </w:pPr>
            <w:r>
              <w:rPr>
                <w:rFonts w:hint="eastAsia"/>
              </w:rPr>
              <w:t>采取以上措施后，项目施工期废气对周围环境影响较小。</w:t>
            </w:r>
          </w:p>
          <w:p>
            <w:pPr>
              <w:keepNext w:val="0"/>
              <w:keepLines w:val="0"/>
              <w:suppressLineNumbers w:val="0"/>
              <w:spacing w:before="0" w:beforeAutospacing="0" w:after="0" w:afterAutospacing="0"/>
              <w:ind w:left="0" w:right="0" w:firstLine="511" w:firstLineChars="196"/>
              <w:jc w:val="both"/>
              <w:rPr>
                <w:b/>
                <w:bCs/>
                <w:spacing w:val="10"/>
              </w:rPr>
            </w:pPr>
            <w:r>
              <w:rPr>
                <w:rFonts w:hint="eastAsia"/>
                <w:b/>
                <w:bCs/>
                <w:spacing w:val="10"/>
              </w:rPr>
              <w:t>2</w:t>
            </w:r>
            <w:r>
              <w:rPr>
                <w:b/>
                <w:bCs/>
                <w:spacing w:val="10"/>
              </w:rPr>
              <w:t>、施工期水环境影响分析及防治措施</w:t>
            </w:r>
          </w:p>
          <w:p>
            <w:pPr>
              <w:keepNext w:val="0"/>
              <w:keepLines w:val="0"/>
              <w:suppressLineNumbers w:val="0"/>
              <w:spacing w:before="0" w:beforeAutospacing="0" w:after="0" w:afterAutospacing="0"/>
              <w:ind w:left="0" w:right="0" w:firstLine="390" w:firstLineChars="150"/>
              <w:jc w:val="both"/>
              <w:rPr>
                <w:bCs/>
                <w:spacing w:val="10"/>
              </w:rPr>
            </w:pPr>
            <w:r>
              <w:rPr>
                <w:bCs/>
                <w:spacing w:val="10"/>
              </w:rPr>
              <w:t>（1）水环境影响分析</w:t>
            </w:r>
          </w:p>
          <w:p>
            <w:pPr>
              <w:keepNext w:val="0"/>
              <w:keepLines w:val="0"/>
              <w:suppressLineNumbers w:val="0"/>
              <w:spacing w:before="0" w:beforeAutospacing="0" w:after="0" w:afterAutospacing="0"/>
              <w:ind w:left="0" w:right="0" w:firstLine="520"/>
              <w:jc w:val="both"/>
              <w:rPr>
                <w:bCs/>
                <w:spacing w:val="10"/>
              </w:rPr>
            </w:pPr>
            <w:r>
              <w:rPr>
                <w:bCs/>
                <w:spacing w:val="10"/>
              </w:rPr>
              <w:t>本项目施工期防尘用水喷洒后基本蒸发，不考虑防尘产生的废水，所以施工期的废水主要为生活污水。</w:t>
            </w:r>
          </w:p>
          <w:p>
            <w:pPr>
              <w:keepNext w:val="0"/>
              <w:keepLines w:val="0"/>
              <w:suppressLineNumbers w:val="0"/>
              <w:spacing w:before="0" w:beforeAutospacing="0" w:after="0" w:afterAutospacing="0"/>
              <w:ind w:left="0" w:right="0" w:firstLine="520"/>
              <w:jc w:val="both"/>
              <w:rPr>
                <w:lang w:val="zh-CN"/>
              </w:rPr>
            </w:pPr>
            <w:r>
              <w:rPr>
                <w:rFonts w:hint="eastAsia"/>
                <w:bCs/>
                <w:spacing w:val="10"/>
              </w:rPr>
              <w:t>施工生活污水根据工程分析部分产生量为</w:t>
            </w:r>
            <w:r>
              <w:rPr>
                <w:rFonts w:hint="eastAsia"/>
              </w:rPr>
              <w:t>9.8</w:t>
            </w:r>
            <w:r>
              <w:t>m</w:t>
            </w:r>
            <w:r>
              <w:rPr>
                <w:vertAlign w:val="superscript"/>
              </w:rPr>
              <w:t>3</w:t>
            </w:r>
            <w:r>
              <w:t>，</w:t>
            </w:r>
            <w:r>
              <w:rPr>
                <w:rFonts w:hint="eastAsia"/>
              </w:rPr>
              <w:t>主要污染物为SS:200mg/L、COD:300 mg/L、BOD</w:t>
            </w:r>
            <w:r>
              <w:rPr>
                <w:rFonts w:hint="eastAsia"/>
                <w:vertAlign w:val="subscript"/>
              </w:rPr>
              <w:t>5</w:t>
            </w:r>
            <w:r>
              <w:rPr>
                <w:rFonts w:hint="eastAsia"/>
              </w:rPr>
              <w:t>：150 mg/L、NH</w:t>
            </w:r>
            <w:r>
              <w:rPr>
                <w:rFonts w:hint="eastAsia"/>
                <w:vertAlign w:val="subscript"/>
              </w:rPr>
              <w:t>3</w:t>
            </w:r>
            <w:r>
              <w:rPr>
                <w:rFonts w:hint="eastAsia"/>
              </w:rPr>
              <w:t>-N：25 mg/L，期间产生的生活污水主要来源为员工入厕废水，产生的废水经园区厕所进入到化粪池，处理后</w:t>
            </w:r>
            <w:r>
              <w:rPr>
                <w:rFonts w:hint="eastAsia"/>
                <w:lang w:val="zh-CN"/>
              </w:rPr>
              <w:t>进入园区污水管网。</w:t>
            </w:r>
          </w:p>
          <w:p>
            <w:pPr>
              <w:keepNext w:val="0"/>
              <w:keepLines w:val="0"/>
              <w:suppressLineNumbers w:val="0"/>
              <w:spacing w:before="0" w:beforeAutospacing="0" w:after="0" w:afterAutospacing="0"/>
              <w:ind w:left="0" w:right="0" w:firstLine="480"/>
              <w:jc w:val="both"/>
              <w:rPr>
                <w:lang w:val="zh-CN"/>
              </w:rPr>
            </w:pPr>
            <w:r>
              <w:rPr>
                <w:rFonts w:hint="eastAsia"/>
                <w:lang w:val="zh-CN"/>
              </w:rPr>
              <w:t>目前，园区化粪池容量尚足，可容纳本项目员工所产生的污水，所以依托园区内污水处理设施处理是合理的。</w:t>
            </w:r>
          </w:p>
          <w:p>
            <w:pPr>
              <w:keepNext w:val="0"/>
              <w:keepLines w:val="0"/>
              <w:suppressLineNumbers w:val="0"/>
              <w:spacing w:before="0" w:beforeAutospacing="0" w:after="0" w:afterAutospacing="0"/>
              <w:ind w:left="0" w:right="0" w:firstLine="480"/>
              <w:jc w:val="both"/>
            </w:pPr>
            <w:r>
              <w:rPr>
                <w:rFonts w:hint="eastAsia"/>
              </w:rPr>
              <w:t>采取以上措施后，项目施工期废水对周围环境影响较小。</w:t>
            </w:r>
          </w:p>
          <w:p>
            <w:pPr>
              <w:keepNext w:val="0"/>
              <w:keepLines w:val="0"/>
              <w:suppressLineNumbers w:val="0"/>
              <w:spacing w:before="0" w:beforeAutospacing="0" w:after="0" w:afterAutospacing="0"/>
              <w:ind w:left="0" w:right="0" w:firstLine="522"/>
              <w:jc w:val="both"/>
              <w:rPr>
                <w:b/>
                <w:bCs/>
                <w:spacing w:val="10"/>
              </w:rPr>
            </w:pPr>
            <w:r>
              <w:rPr>
                <w:rFonts w:hint="eastAsia"/>
                <w:b/>
                <w:bCs/>
                <w:spacing w:val="10"/>
              </w:rPr>
              <w:t>3、</w:t>
            </w:r>
            <w:r>
              <w:rPr>
                <w:b/>
                <w:bCs/>
                <w:spacing w:val="10"/>
              </w:rPr>
              <w:t>声环境影响分析及防治措施</w:t>
            </w:r>
          </w:p>
          <w:p>
            <w:pPr>
              <w:keepNext w:val="0"/>
              <w:keepLines w:val="0"/>
              <w:suppressLineNumbers w:val="0"/>
              <w:spacing w:before="0" w:beforeAutospacing="0" w:after="0" w:afterAutospacing="0"/>
              <w:ind w:left="0" w:right="0" w:firstLine="480"/>
              <w:jc w:val="both"/>
            </w:pPr>
            <w:r>
              <w:rPr>
                <w:rFonts w:hint="eastAsia"/>
              </w:rPr>
              <w:t>施工期间主要的噪声为设备、环保设施安装所产生的噪声，噪声源强较小，且在棚内进行安装，对周围环境影响较小。本项目最近的敏感点为厂区南边界南侧20m处的住宅楼，主要为园区内员工居住，为减小对住宅楼居民的影响，项目禁止在夜间22：00后进行施工。</w:t>
            </w:r>
          </w:p>
          <w:p>
            <w:pPr>
              <w:keepNext w:val="0"/>
              <w:keepLines w:val="0"/>
              <w:suppressLineNumbers w:val="0"/>
              <w:spacing w:before="0" w:beforeAutospacing="0" w:after="0" w:afterAutospacing="0"/>
              <w:ind w:left="0" w:right="0" w:firstLine="480"/>
              <w:jc w:val="both"/>
            </w:pPr>
            <w:r>
              <w:rPr>
                <w:rFonts w:hint="eastAsia"/>
              </w:rPr>
              <w:t>采取以上措施后，项目施工期噪声对周围环境影响较小。</w:t>
            </w:r>
          </w:p>
          <w:p>
            <w:pPr>
              <w:keepNext w:val="0"/>
              <w:keepLines w:val="0"/>
              <w:suppressLineNumbers w:val="0"/>
              <w:spacing w:before="0" w:beforeAutospacing="0" w:after="0" w:afterAutospacing="0"/>
              <w:ind w:left="0" w:right="0" w:firstLine="519" w:firstLineChars="199"/>
              <w:jc w:val="both"/>
              <w:rPr>
                <w:b/>
                <w:bCs/>
                <w:spacing w:val="10"/>
              </w:rPr>
            </w:pPr>
            <w:r>
              <w:rPr>
                <w:b/>
                <w:bCs/>
                <w:spacing w:val="10"/>
              </w:rPr>
              <w:t>4、固体废物</w:t>
            </w:r>
            <w:r>
              <w:rPr>
                <w:rFonts w:hint="eastAsia"/>
                <w:b/>
                <w:bCs/>
                <w:spacing w:val="10"/>
              </w:rPr>
              <w:t>环境影响分析及防治措施</w:t>
            </w:r>
          </w:p>
          <w:p>
            <w:pPr>
              <w:keepNext w:val="0"/>
              <w:keepLines w:val="0"/>
              <w:suppressLineNumbers w:val="0"/>
              <w:spacing w:before="0" w:beforeAutospacing="0" w:after="0" w:afterAutospacing="0"/>
              <w:ind w:left="0" w:right="0" w:firstLine="480"/>
              <w:jc w:val="both"/>
              <w:rPr>
                <w:kern w:val="0"/>
                <w:lang w:val="zh-CN"/>
              </w:rPr>
            </w:pPr>
            <w:r>
              <w:rPr>
                <w:rFonts w:hint="eastAsia"/>
                <w:kern w:val="0"/>
                <w:lang w:val="zh-CN"/>
              </w:rPr>
              <w:t>项目施工期间主要的固体废物为生活垃圾及废包装材料。</w:t>
            </w:r>
          </w:p>
          <w:p>
            <w:pPr>
              <w:keepNext w:val="0"/>
              <w:keepLines w:val="0"/>
              <w:suppressLineNumbers w:val="0"/>
              <w:spacing w:before="0" w:beforeAutospacing="0" w:after="0" w:afterAutospacing="0"/>
              <w:ind w:left="0" w:right="0" w:firstLine="480"/>
              <w:jc w:val="both"/>
              <w:rPr>
                <w:kern w:val="0"/>
                <w:lang w:val="zh-CN"/>
              </w:rPr>
            </w:pPr>
            <w:r>
              <w:rPr>
                <w:rFonts w:hint="eastAsia"/>
                <w:kern w:val="0"/>
                <w:lang w:val="zh-CN"/>
              </w:rPr>
              <w:t>（1）施工人员生活垃圾环境影响及防治措施</w:t>
            </w:r>
          </w:p>
          <w:p>
            <w:pPr>
              <w:keepNext w:val="0"/>
              <w:keepLines w:val="0"/>
              <w:suppressLineNumbers w:val="0"/>
              <w:spacing w:before="0" w:beforeAutospacing="0" w:after="0" w:afterAutospacing="0"/>
              <w:ind w:left="0" w:right="0" w:firstLine="530" w:firstLineChars="221"/>
              <w:jc w:val="both"/>
              <w:rPr>
                <w:rFonts w:eastAsiaTheme="minorEastAsia"/>
              </w:rPr>
            </w:pPr>
            <w:r>
              <w:rPr>
                <w:rFonts w:hint="eastAsia"/>
                <w:kern w:val="0"/>
                <w:lang w:val="zh-CN"/>
              </w:rPr>
              <w:t>根据工程分析部分，项目施工期间产生的生活垃圾产生量为</w:t>
            </w:r>
            <w:r>
              <w:rPr>
                <w:rFonts w:hint="eastAsia" w:eastAsiaTheme="minorEastAsia"/>
              </w:rPr>
              <w:t>0.15</w:t>
            </w:r>
            <w:r>
              <w:rPr>
                <w:rFonts w:eastAsiaTheme="minorEastAsia"/>
              </w:rPr>
              <w:t>t，</w:t>
            </w:r>
            <w:r>
              <w:rPr>
                <w:rFonts w:hint="eastAsia" w:eastAsiaTheme="minorEastAsia"/>
              </w:rPr>
              <w:t>产生的生活垃圾若随意堆放，产生的臭气会对周围环境产生一定的影响。施工期间产生的</w:t>
            </w:r>
            <w:r>
              <w:rPr>
                <w:rFonts w:hint="eastAsia" w:hAnsiTheme="minorEastAsia" w:eastAsiaTheme="minorEastAsia"/>
              </w:rPr>
              <w:t>生活垃圾</w:t>
            </w:r>
            <w:r>
              <w:t>统一收集清运至园区垃圾收集处，由环卫部门处理</w:t>
            </w:r>
            <w:r>
              <w:rPr>
                <w:rFonts w:hAnsiTheme="minorEastAsia" w:eastAsiaTheme="minorEastAsia"/>
              </w:rPr>
              <w:t>。</w:t>
            </w:r>
          </w:p>
          <w:p>
            <w:pPr>
              <w:keepNext w:val="0"/>
              <w:keepLines w:val="0"/>
              <w:suppressLineNumbers w:val="0"/>
              <w:spacing w:before="0" w:beforeAutospacing="0" w:after="0" w:afterAutospacing="0"/>
              <w:ind w:left="0" w:right="0" w:firstLine="480"/>
              <w:jc w:val="both"/>
            </w:pPr>
            <w:r>
              <w:rPr>
                <w:kern w:val="0"/>
                <w:lang w:val="zh-CN"/>
              </w:rPr>
              <w:t>（2）</w:t>
            </w:r>
            <w:r>
              <w:rPr>
                <w:rFonts w:hint="eastAsia"/>
              </w:rPr>
              <w:t>废包装材料</w:t>
            </w:r>
          </w:p>
          <w:p>
            <w:pPr>
              <w:keepNext w:val="0"/>
              <w:keepLines w:val="0"/>
              <w:suppressLineNumbers w:val="0"/>
              <w:overflowPunct w:val="0"/>
              <w:autoSpaceDE w:val="0"/>
              <w:autoSpaceDN w:val="0"/>
              <w:snapToGrid w:val="0"/>
              <w:spacing w:before="0" w:beforeAutospacing="0" w:after="0" w:afterAutospacing="0"/>
              <w:ind w:left="0" w:right="0" w:firstLine="600" w:firstLineChars="250"/>
              <w:jc w:val="both"/>
            </w:pPr>
            <w:r>
              <w:rPr>
                <w:rFonts w:hint="eastAsia"/>
              </w:rPr>
              <w:t>生产设备、环保设备的包装材料多为纸质、木质箱子，产生量约0.2t，这些包装材料可以进行回收利用，无法回收的拆分后作为生活垃圾处置。</w:t>
            </w:r>
          </w:p>
          <w:p>
            <w:pPr>
              <w:keepNext w:val="0"/>
              <w:keepLines w:val="0"/>
              <w:suppressLineNumbers w:val="0"/>
              <w:overflowPunct w:val="0"/>
              <w:autoSpaceDE w:val="0"/>
              <w:autoSpaceDN w:val="0"/>
              <w:snapToGrid w:val="0"/>
              <w:spacing w:before="0" w:beforeAutospacing="0" w:after="0" w:afterAutospacing="0"/>
              <w:ind w:left="0" w:right="0" w:firstLine="600" w:firstLineChars="250"/>
              <w:jc w:val="both"/>
            </w:pPr>
            <w:r>
              <w:rPr>
                <w:rFonts w:hint="eastAsia"/>
              </w:rPr>
              <w:t>采取以上措施后，项目施工期产生的固体废物对环境影响较小。</w:t>
            </w:r>
          </w:p>
          <w:p>
            <w:pPr>
              <w:keepNext w:val="0"/>
              <w:keepLines w:val="0"/>
              <w:suppressLineNumbers w:val="0"/>
              <w:spacing w:before="0" w:beforeAutospacing="0" w:after="0" w:afterAutospacing="0"/>
              <w:ind w:left="0" w:right="0" w:firstLine="482"/>
              <w:jc w:val="both"/>
              <w:rPr>
                <w:b/>
              </w:rPr>
            </w:pPr>
            <w:r>
              <w:rPr>
                <w:b/>
              </w:rPr>
              <w:t>二、营运期环境影响分析及防治措施</w:t>
            </w:r>
          </w:p>
          <w:p>
            <w:pPr>
              <w:keepNext w:val="0"/>
              <w:keepLines w:val="0"/>
              <w:suppressLineNumbers w:val="0"/>
              <w:spacing w:before="0" w:beforeAutospacing="0" w:after="0" w:afterAutospacing="0"/>
              <w:ind w:left="0" w:right="0" w:firstLine="480"/>
              <w:jc w:val="both"/>
            </w:pPr>
            <w:r>
              <w:t>1、大气环境的影响分析及防治措施</w:t>
            </w:r>
          </w:p>
          <w:p>
            <w:pPr>
              <w:keepNext w:val="0"/>
              <w:keepLines w:val="0"/>
              <w:suppressLineNumbers w:val="0"/>
              <w:spacing w:before="0" w:beforeAutospacing="0" w:after="0" w:afterAutospacing="0"/>
              <w:ind w:left="0" w:right="0" w:firstLine="480"/>
              <w:jc w:val="both"/>
            </w:pPr>
            <w:r>
              <w:rPr>
                <w:rFonts w:hint="eastAsia"/>
                <w:snapToGrid w:val="0"/>
              </w:rPr>
              <w:t>项目营运期废气有机械加工产生的粉尘、焊接烟尘、喷漆废气及食堂油烟</w:t>
            </w:r>
            <w:r>
              <w:rPr>
                <w:rFonts w:hint="eastAsia"/>
              </w:rPr>
              <w:t>。机械加工粉尘及焊接烟尘经车间的移动式除尘器处理后厂房内无组织排放、喷漆废气经管道收集至1台过滤棉+活性炭吸附装置处理后经15m高的排气筒排放。项目产生的食堂油烟经高效食堂油烟净化器后经专用烟管引至楼顶排放。</w:t>
            </w:r>
          </w:p>
          <w:p>
            <w:pPr>
              <w:keepNext w:val="0"/>
              <w:keepLines w:val="0"/>
              <w:suppressLineNumbers w:val="0"/>
              <w:spacing w:before="0" w:beforeAutospacing="0" w:after="0" w:afterAutospacing="0"/>
              <w:ind w:left="0" w:right="0" w:firstLine="480"/>
              <w:jc w:val="both"/>
            </w:pPr>
            <w:r>
              <w:rPr>
                <w:rFonts w:hint="eastAsia"/>
              </w:rPr>
              <w:t>（1）评价等级判定</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1 \* GB3</w:instrText>
            </w:r>
            <w:r>
              <w:rPr>
                <w:rFonts w:hint="eastAsia"/>
              </w:rPr>
              <w:fldChar w:fldCharType="separate"/>
            </w:r>
            <w:r>
              <w:rPr>
                <w:rFonts w:hint="eastAsia"/>
              </w:rPr>
              <w:t>①</w:t>
            </w:r>
            <w:r>
              <w:rPr>
                <w:rFonts w:hint="eastAsia"/>
              </w:rPr>
              <w:fldChar w:fldCharType="end"/>
            </w:r>
            <w:r>
              <w:rPr>
                <w:rFonts w:hint="eastAsia"/>
              </w:rPr>
              <w:t>排放源情况</w:t>
            </w:r>
          </w:p>
          <w:p>
            <w:pPr>
              <w:keepNext w:val="0"/>
              <w:keepLines w:val="0"/>
              <w:suppressLineNumbers w:val="0"/>
              <w:spacing w:before="0" w:beforeAutospacing="0" w:after="0" w:afterAutospacing="0"/>
              <w:ind w:left="0" w:right="0" w:firstLine="480"/>
              <w:jc w:val="both"/>
            </w:pPr>
            <w:r>
              <w:rPr>
                <w:rFonts w:hint="eastAsia"/>
              </w:rPr>
              <w:t>本项目选取喷漆过程有组织及无组织排放的挥发性有机物、机械加工及焊接无组织排放的TSP作为评价因子，排放情况如下表7-1，7-2。</w:t>
            </w:r>
          </w:p>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表7-1正常情况下本项目有组织排放挥发性有机物参数</w:t>
            </w:r>
          </w:p>
          <w:tbl>
            <w:tblPr>
              <w:tblStyle w:val="19"/>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0"/>
              <w:gridCol w:w="872"/>
              <w:gridCol w:w="416"/>
              <w:gridCol w:w="783"/>
              <w:gridCol w:w="783"/>
              <w:gridCol w:w="783"/>
              <w:gridCol w:w="915"/>
              <w:gridCol w:w="817"/>
              <w:gridCol w:w="728"/>
              <w:gridCol w:w="416"/>
              <w:gridCol w:w="99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8"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编号</w:t>
                  </w:r>
                </w:p>
              </w:tc>
              <w:tc>
                <w:tcPr>
                  <w:tcW w:w="433" w:type="dxa"/>
                  <w:shd w:val="clear" w:color="auto" w:fill="auto"/>
                  <w:vAlign w:val="center"/>
                </w:tcPr>
                <w:p>
                  <w:pPr>
                    <w:keepNext w:val="0"/>
                    <w:keepLines w:val="0"/>
                    <w:suppressLineNumbers w:val="0"/>
                    <w:spacing w:before="0" w:beforeAutospacing="0" w:after="0" w:afterAutospacing="0" w:line="240" w:lineRule="auto"/>
                    <w:ind w:left="0" w:right="0" w:firstLine="422"/>
                    <w:jc w:val="center"/>
                    <w:rPr>
                      <w:b/>
                      <w:sz w:val="21"/>
                      <w:szCs w:val="21"/>
                    </w:rPr>
                  </w:pPr>
                  <w:r>
                    <w:rPr>
                      <w:rFonts w:hint="eastAsia"/>
                      <w:b/>
                      <w:sz w:val="21"/>
                      <w:szCs w:val="21"/>
                    </w:rPr>
                    <w:t>污染物名称</w:t>
                  </w:r>
                </w:p>
              </w:tc>
              <w:tc>
                <w:tcPr>
                  <w:tcW w:w="676"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排气筒中心坐标</w:t>
                  </w:r>
                </w:p>
              </w:tc>
              <w:tc>
                <w:tcPr>
                  <w:tcW w:w="993"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排气筒底部海拔高度（m）</w:t>
                  </w:r>
                </w:p>
              </w:tc>
              <w:tc>
                <w:tcPr>
                  <w:tcW w:w="820"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排气筒高度（m）</w:t>
                  </w:r>
                </w:p>
              </w:tc>
              <w:tc>
                <w:tcPr>
                  <w:tcW w:w="821"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排气筒出口内径（m）</w:t>
                  </w:r>
                </w:p>
              </w:tc>
              <w:tc>
                <w:tcPr>
                  <w:tcW w:w="958"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烟气流速（m/s）</w:t>
                  </w:r>
                </w:p>
              </w:tc>
              <w:tc>
                <w:tcPr>
                  <w:tcW w:w="854"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烟气温度（</w:t>
                  </w:r>
                  <w:r>
                    <w:rPr>
                      <w:rFonts w:hint="eastAsia" w:ascii="宋体" w:hAnsi="宋体"/>
                      <w:b/>
                      <w:sz w:val="21"/>
                      <w:szCs w:val="21"/>
                    </w:rPr>
                    <w:t>℃</w:t>
                  </w:r>
                  <w:r>
                    <w:rPr>
                      <w:rFonts w:hint="eastAsia"/>
                      <w:b/>
                      <w:sz w:val="21"/>
                      <w:szCs w:val="21"/>
                    </w:rPr>
                    <w:t>）</w:t>
                  </w:r>
                </w:p>
              </w:tc>
              <w:tc>
                <w:tcPr>
                  <w:tcW w:w="762"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年排放小时数（h）</w:t>
                  </w:r>
                </w:p>
              </w:tc>
              <w:tc>
                <w:tcPr>
                  <w:tcW w:w="431"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排放工况</w:t>
                  </w:r>
                </w:p>
              </w:tc>
              <w:tc>
                <w:tcPr>
                  <w:tcW w:w="1040"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排放速率（kg/h）</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8" w:type="dxa"/>
                  <w:shd w:val="clear" w:color="auto" w:fill="auto"/>
                  <w:vAlign w:val="center"/>
                </w:tcPr>
                <w:p>
                  <w:pPr>
                    <w:keepNext w:val="0"/>
                    <w:keepLines w:val="0"/>
                    <w:suppressLineNumbers w:val="0"/>
                    <w:spacing w:before="0" w:beforeAutospacing="0" w:after="0" w:afterAutospacing="0" w:line="240" w:lineRule="auto"/>
                    <w:ind w:left="0" w:right="0" w:firstLine="420"/>
                    <w:jc w:val="center"/>
                    <w:rPr>
                      <w:sz w:val="21"/>
                      <w:szCs w:val="21"/>
                    </w:rPr>
                  </w:pPr>
                  <w:r>
                    <w:rPr>
                      <w:rFonts w:hint="eastAsia"/>
                      <w:sz w:val="21"/>
                      <w:szCs w:val="21"/>
                    </w:rPr>
                    <w:t>1</w:t>
                  </w:r>
                </w:p>
              </w:tc>
              <w:tc>
                <w:tcPr>
                  <w:tcW w:w="433" w:type="dxa"/>
                  <w:shd w:val="clear" w:color="auto" w:fill="auto"/>
                  <w:vAlign w:val="center"/>
                </w:tcPr>
                <w:p>
                  <w:pPr>
                    <w:keepNext w:val="0"/>
                    <w:keepLines w:val="0"/>
                    <w:suppressLineNumbers w:val="0"/>
                    <w:spacing w:before="0" w:beforeAutospacing="0" w:after="0" w:afterAutospacing="0" w:line="240" w:lineRule="auto"/>
                    <w:ind w:left="0" w:right="0" w:firstLine="0" w:firstLineChars="0"/>
                    <w:rPr>
                      <w:sz w:val="21"/>
                      <w:szCs w:val="21"/>
                    </w:rPr>
                  </w:pPr>
                  <w:r>
                    <w:rPr>
                      <w:rFonts w:hint="eastAsia"/>
                      <w:sz w:val="21"/>
                      <w:szCs w:val="21"/>
                    </w:rPr>
                    <w:t>挥发性有机物</w:t>
                  </w:r>
                </w:p>
              </w:tc>
              <w:tc>
                <w:tcPr>
                  <w:tcW w:w="676"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w:t>
                  </w:r>
                </w:p>
              </w:tc>
              <w:tc>
                <w:tcPr>
                  <w:tcW w:w="993"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w:t>
                  </w:r>
                </w:p>
              </w:tc>
              <w:tc>
                <w:tcPr>
                  <w:tcW w:w="820"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15</w:t>
                  </w:r>
                </w:p>
              </w:tc>
              <w:tc>
                <w:tcPr>
                  <w:tcW w:w="821"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0.5</w:t>
                  </w:r>
                </w:p>
              </w:tc>
              <w:tc>
                <w:tcPr>
                  <w:tcW w:w="958"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14.15</w:t>
                  </w:r>
                </w:p>
              </w:tc>
              <w:tc>
                <w:tcPr>
                  <w:tcW w:w="854"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25</w:t>
                  </w:r>
                </w:p>
              </w:tc>
              <w:tc>
                <w:tcPr>
                  <w:tcW w:w="762"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1050</w:t>
                  </w:r>
                </w:p>
              </w:tc>
              <w:tc>
                <w:tcPr>
                  <w:tcW w:w="431"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正常</w:t>
                  </w:r>
                </w:p>
              </w:tc>
              <w:tc>
                <w:tcPr>
                  <w:tcW w:w="1040" w:type="dxa"/>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0.016</w:t>
                  </w:r>
                </w:p>
              </w:tc>
            </w:tr>
          </w:tbl>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表7-2正常情况下本项目无组织排放源参数</w:t>
            </w:r>
          </w:p>
          <w:tbl>
            <w:tblPr>
              <w:tblStyle w:val="19"/>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04"/>
              <w:gridCol w:w="904"/>
              <w:gridCol w:w="904"/>
              <w:gridCol w:w="904"/>
              <w:gridCol w:w="904"/>
              <w:gridCol w:w="904"/>
              <w:gridCol w:w="904"/>
              <w:gridCol w:w="904"/>
              <w:gridCol w:w="104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6" w:type="pc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编号</w:t>
                  </w:r>
                </w:p>
              </w:tc>
              <w:tc>
                <w:tcPr>
                  <w:tcW w:w="546" w:type="pc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名称</w:t>
                  </w:r>
                </w:p>
              </w:tc>
              <w:tc>
                <w:tcPr>
                  <w:tcW w:w="546" w:type="pc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面源海拔高度（m）</w:t>
                  </w:r>
                </w:p>
              </w:tc>
              <w:tc>
                <w:tcPr>
                  <w:tcW w:w="546" w:type="pc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面源长度（m）</w:t>
                  </w:r>
                </w:p>
              </w:tc>
              <w:tc>
                <w:tcPr>
                  <w:tcW w:w="546" w:type="pc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面源宽度（m）</w:t>
                  </w:r>
                </w:p>
              </w:tc>
              <w:tc>
                <w:tcPr>
                  <w:tcW w:w="546" w:type="pc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面源有效排放高度高度（m）</w:t>
                  </w:r>
                </w:p>
              </w:tc>
              <w:tc>
                <w:tcPr>
                  <w:tcW w:w="546" w:type="pc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年排放小时（h）</w:t>
                  </w:r>
                </w:p>
              </w:tc>
              <w:tc>
                <w:tcPr>
                  <w:tcW w:w="546" w:type="pc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排放工况</w:t>
                  </w:r>
                </w:p>
              </w:tc>
              <w:tc>
                <w:tcPr>
                  <w:tcW w:w="630" w:type="pc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污染物排放速率（kg/h）</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w:t>
                  </w:r>
                </w:p>
              </w:tc>
              <w:tc>
                <w:tcPr>
                  <w:tcW w:w="54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挥发性有机物</w:t>
                  </w:r>
                </w:p>
              </w:tc>
              <w:tc>
                <w:tcPr>
                  <w:tcW w:w="54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w:t>
                  </w:r>
                </w:p>
              </w:tc>
              <w:tc>
                <w:tcPr>
                  <w:tcW w:w="54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150</w:t>
                  </w:r>
                </w:p>
              </w:tc>
              <w:tc>
                <w:tcPr>
                  <w:tcW w:w="54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102</w:t>
                  </w:r>
                </w:p>
              </w:tc>
              <w:tc>
                <w:tcPr>
                  <w:tcW w:w="54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9.6</w:t>
                  </w:r>
                </w:p>
              </w:tc>
              <w:tc>
                <w:tcPr>
                  <w:tcW w:w="54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1050</w:t>
                  </w:r>
                </w:p>
              </w:tc>
              <w:tc>
                <w:tcPr>
                  <w:tcW w:w="54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正常</w:t>
                  </w:r>
                </w:p>
              </w:tc>
              <w:tc>
                <w:tcPr>
                  <w:tcW w:w="630"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0.009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2</w:t>
                  </w:r>
                </w:p>
              </w:tc>
              <w:tc>
                <w:tcPr>
                  <w:tcW w:w="54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TSP</w:t>
                  </w:r>
                </w:p>
              </w:tc>
              <w:tc>
                <w:tcPr>
                  <w:tcW w:w="54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w:t>
                  </w:r>
                </w:p>
              </w:tc>
              <w:tc>
                <w:tcPr>
                  <w:tcW w:w="54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150</w:t>
                  </w:r>
                </w:p>
              </w:tc>
              <w:tc>
                <w:tcPr>
                  <w:tcW w:w="54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102</w:t>
                  </w:r>
                </w:p>
              </w:tc>
              <w:tc>
                <w:tcPr>
                  <w:tcW w:w="54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9.6</w:t>
                  </w:r>
                </w:p>
              </w:tc>
              <w:tc>
                <w:tcPr>
                  <w:tcW w:w="54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1200</w:t>
                  </w:r>
                </w:p>
              </w:tc>
              <w:tc>
                <w:tcPr>
                  <w:tcW w:w="54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正常</w:t>
                  </w:r>
                </w:p>
              </w:tc>
              <w:tc>
                <w:tcPr>
                  <w:tcW w:w="630"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0.0916</w:t>
                  </w:r>
                </w:p>
              </w:tc>
            </w:tr>
          </w:tbl>
          <w:p>
            <w:pPr>
              <w:pStyle w:val="2"/>
              <w:keepNext w:val="0"/>
              <w:keepLines w:val="0"/>
              <w:suppressLineNumbers w:val="0"/>
              <w:spacing w:before="0" w:beforeAutospacing="0" w:after="0" w:afterAutospacing="0" w:line="240" w:lineRule="auto"/>
              <w:ind w:left="842" w:leftChars="176" w:right="0" w:hanging="420" w:hangingChars="200"/>
              <w:jc w:val="both"/>
              <w:rPr>
                <w:sz w:val="21"/>
                <w:szCs w:val="21"/>
              </w:rPr>
            </w:pPr>
            <w:r>
              <w:rPr>
                <w:sz w:val="21"/>
                <w:szCs w:val="21"/>
              </w:rPr>
              <w:t>注</w:t>
            </w:r>
            <w:r>
              <w:rPr>
                <w:rFonts w:hint="eastAsia"/>
                <w:sz w:val="21"/>
                <w:szCs w:val="21"/>
              </w:rPr>
              <w:t>：A、厂区两个生产厂房之间相距仅4m，且有效高度一致，所以将2个生产厂房等效为一个面源；</w:t>
            </w:r>
          </w:p>
          <w:p>
            <w:pPr>
              <w:keepNext w:val="0"/>
              <w:keepLines w:val="0"/>
              <w:suppressLineNumbers w:val="0"/>
              <w:spacing w:before="0" w:beforeAutospacing="0" w:after="0" w:afterAutospacing="0" w:line="240" w:lineRule="auto"/>
              <w:ind w:left="0" w:right="0" w:firstLine="840" w:firstLineChars="400"/>
              <w:jc w:val="both"/>
              <w:rPr>
                <w:sz w:val="21"/>
                <w:szCs w:val="21"/>
              </w:rPr>
            </w:pPr>
            <w:r>
              <w:rPr>
                <w:rFonts w:hint="eastAsia"/>
                <w:sz w:val="21"/>
                <w:szCs w:val="21"/>
              </w:rPr>
              <w:t>B、表中TSP的排放速率为机加工及焊接产生之和。</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2 \* GB3</w:instrText>
            </w:r>
            <w:r>
              <w:rPr>
                <w:rFonts w:hint="eastAsia"/>
              </w:rPr>
              <w:fldChar w:fldCharType="separate"/>
            </w:r>
            <w:r>
              <w:rPr>
                <w:rFonts w:hint="eastAsia"/>
              </w:rPr>
              <w:t>②</w:t>
            </w:r>
            <w:r>
              <w:rPr>
                <w:rFonts w:hint="eastAsia"/>
              </w:rPr>
              <w:fldChar w:fldCharType="end"/>
            </w:r>
            <w:r>
              <w:rPr>
                <w:rFonts w:hint="eastAsia"/>
              </w:rPr>
              <w:t>评价标准和评价因子筛选</w:t>
            </w:r>
          </w:p>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表7-3评价因子和评价标准筛选表</w:t>
            </w:r>
          </w:p>
          <w:tbl>
            <w:tblPr>
              <w:tblStyle w:val="19"/>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069"/>
              <w:gridCol w:w="2069"/>
              <w:gridCol w:w="2069"/>
              <w:gridCol w:w="206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1250" w:type="pc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评价因子</w:t>
                  </w:r>
                </w:p>
              </w:tc>
              <w:tc>
                <w:tcPr>
                  <w:tcW w:w="1250" w:type="pc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评价时段</w:t>
                  </w:r>
                </w:p>
              </w:tc>
              <w:tc>
                <w:tcPr>
                  <w:tcW w:w="1250" w:type="pc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标准值（</w:t>
                  </w:r>
                  <w:r>
                    <w:rPr>
                      <w:rFonts w:eastAsiaTheme="minorEastAsia"/>
                      <w:b/>
                      <w:sz w:val="21"/>
                      <w:szCs w:val="21"/>
                    </w:rPr>
                    <w:t>ug/m</w:t>
                  </w:r>
                  <w:r>
                    <w:rPr>
                      <w:rFonts w:eastAsiaTheme="minorEastAsia"/>
                      <w:b/>
                      <w:position w:val="8"/>
                      <w:sz w:val="21"/>
                      <w:szCs w:val="21"/>
                    </w:rPr>
                    <w:t>3</w:t>
                  </w:r>
                  <w:r>
                    <w:rPr>
                      <w:rFonts w:hint="eastAsia"/>
                      <w:b/>
                      <w:sz w:val="21"/>
                      <w:szCs w:val="21"/>
                    </w:rPr>
                    <w:t>）</w:t>
                  </w:r>
                </w:p>
              </w:tc>
              <w:tc>
                <w:tcPr>
                  <w:tcW w:w="1250" w:type="pc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标准来源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50"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总挥发性有机物</w:t>
                  </w:r>
                </w:p>
              </w:tc>
              <w:tc>
                <w:tcPr>
                  <w:tcW w:w="1250"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8小时平均</w:t>
                  </w:r>
                </w:p>
              </w:tc>
              <w:tc>
                <w:tcPr>
                  <w:tcW w:w="1250"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600</w:t>
                  </w:r>
                </w:p>
              </w:tc>
              <w:tc>
                <w:tcPr>
                  <w:tcW w:w="1250"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《环境影响评价技术导则大气环境》（HJ2.2-2018）附录D标准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50"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TSP</w:t>
                  </w:r>
                </w:p>
              </w:tc>
              <w:tc>
                <w:tcPr>
                  <w:tcW w:w="1250"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日均值</w:t>
                  </w:r>
                </w:p>
              </w:tc>
              <w:tc>
                <w:tcPr>
                  <w:tcW w:w="1250"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300</w:t>
                  </w:r>
                </w:p>
              </w:tc>
              <w:tc>
                <w:tcPr>
                  <w:tcW w:w="1250"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《环境空气质量标准》（GB3095-2012）</w:t>
                  </w:r>
                </w:p>
              </w:tc>
            </w:tr>
          </w:tbl>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2 \* GB3</w:instrText>
            </w:r>
            <w:r>
              <w:rPr>
                <w:rFonts w:hint="eastAsia"/>
              </w:rPr>
              <w:fldChar w:fldCharType="separate"/>
            </w:r>
            <w:r>
              <w:rPr>
                <w:rFonts w:hint="eastAsia"/>
              </w:rPr>
              <w:t>②</w:t>
            </w:r>
            <w:r>
              <w:rPr>
                <w:rFonts w:hint="eastAsia"/>
              </w:rPr>
              <w:fldChar w:fldCharType="end"/>
            </w:r>
            <w:r>
              <w:rPr>
                <w:rFonts w:hint="eastAsia"/>
              </w:rPr>
              <w:t>估算模型参数</w:t>
            </w:r>
          </w:p>
          <w:p>
            <w:pPr>
              <w:keepNext w:val="0"/>
              <w:keepLines w:val="0"/>
              <w:suppressLineNumbers w:val="0"/>
              <w:autoSpaceDE w:val="0"/>
              <w:autoSpaceDN w:val="0"/>
              <w:adjustRightInd w:val="0"/>
              <w:spacing w:before="0" w:beforeAutospacing="0" w:after="0" w:afterAutospacing="0"/>
              <w:ind w:left="0" w:right="0" w:firstLine="480"/>
              <w:jc w:val="both"/>
              <w:rPr>
                <w:kern w:val="0"/>
                <w:lang w:val="zh-CN"/>
              </w:rPr>
            </w:pPr>
            <w:r>
              <w:rPr>
                <w:kern w:val="0"/>
                <w:lang w:val="zh-CN"/>
              </w:rPr>
              <w:t>根据《环境影响评价技术导则大气环境》（HJ2.2-2018）的规定，选择项目污染源正常排放的主要污染物及排放系数，才用附录A推荐的AERSCREEN估算模型计算项目污染源的大气环境影响，按评价工作分级判据进行分级。评价等级按照下</w:t>
            </w:r>
            <w:r>
              <w:rPr>
                <w:rFonts w:hint="eastAsia"/>
                <w:kern w:val="0"/>
                <w:lang w:val="zh-CN"/>
              </w:rPr>
              <w:t>表的分级判断进行划分。</w:t>
            </w:r>
          </w:p>
          <w:p>
            <w:pPr>
              <w:keepNext w:val="0"/>
              <w:keepLines w:val="0"/>
              <w:suppressLineNumbers w:val="0"/>
              <w:autoSpaceDE w:val="0"/>
              <w:autoSpaceDN w:val="0"/>
              <w:adjustRightInd w:val="0"/>
              <w:spacing w:before="0" w:beforeAutospacing="0" w:after="0" w:afterAutospacing="0" w:line="240" w:lineRule="auto"/>
              <w:ind w:left="0" w:right="0" w:firstLine="422"/>
              <w:jc w:val="center"/>
              <w:rPr>
                <w:b/>
                <w:kern w:val="0"/>
                <w:sz w:val="21"/>
                <w:szCs w:val="21"/>
                <w:lang w:val="zh-CN"/>
              </w:rPr>
            </w:pPr>
            <w:r>
              <w:rPr>
                <w:rFonts w:hint="eastAsia"/>
                <w:b/>
                <w:kern w:val="0"/>
                <w:sz w:val="21"/>
                <w:szCs w:val="21"/>
                <w:lang w:val="zh-CN"/>
              </w:rPr>
              <w:t>表7-4评价等级划分表</w:t>
            </w:r>
          </w:p>
          <w:tbl>
            <w:tblPr>
              <w:tblStyle w:val="19"/>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138"/>
              <w:gridCol w:w="4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500" w:type="pct"/>
                  <w:vAlign w:val="center"/>
                </w:tcPr>
                <w:p>
                  <w:pPr>
                    <w:keepNext w:val="0"/>
                    <w:keepLines w:val="0"/>
                    <w:suppressLineNumbers w:val="0"/>
                    <w:spacing w:before="0" w:beforeAutospacing="0" w:after="0" w:afterAutospacing="0" w:line="240" w:lineRule="auto"/>
                    <w:ind w:left="0" w:right="0" w:firstLine="422"/>
                    <w:jc w:val="center"/>
                    <w:rPr>
                      <w:b/>
                      <w:sz w:val="21"/>
                      <w:szCs w:val="21"/>
                    </w:rPr>
                  </w:pPr>
                  <w:r>
                    <w:rPr>
                      <w:rFonts w:hint="eastAsia"/>
                      <w:b/>
                      <w:sz w:val="21"/>
                      <w:szCs w:val="21"/>
                    </w:rPr>
                    <w:t>评价工作等级</w:t>
                  </w:r>
                </w:p>
              </w:tc>
              <w:tc>
                <w:tcPr>
                  <w:tcW w:w="2500" w:type="pct"/>
                  <w:vAlign w:val="center"/>
                </w:tcPr>
                <w:p>
                  <w:pPr>
                    <w:keepNext w:val="0"/>
                    <w:keepLines w:val="0"/>
                    <w:suppressLineNumbers w:val="0"/>
                    <w:spacing w:before="0" w:beforeAutospacing="0" w:after="0" w:afterAutospacing="0" w:line="240" w:lineRule="auto"/>
                    <w:ind w:left="0" w:right="0" w:firstLine="422"/>
                    <w:jc w:val="center"/>
                    <w:rPr>
                      <w:b/>
                      <w:sz w:val="21"/>
                      <w:szCs w:val="21"/>
                    </w:rPr>
                  </w:pPr>
                  <w:r>
                    <w:rPr>
                      <w:rFonts w:hint="eastAsia"/>
                      <w:b/>
                      <w:sz w:val="21"/>
                      <w:szCs w:val="21"/>
                    </w:rPr>
                    <w:t>评价工作等级分级依据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500" w:type="pct"/>
                  <w:vAlign w:val="center"/>
                </w:tcPr>
                <w:p>
                  <w:pPr>
                    <w:keepNext w:val="0"/>
                    <w:keepLines w:val="0"/>
                    <w:suppressLineNumbers w:val="0"/>
                    <w:spacing w:before="0" w:beforeAutospacing="0" w:after="0" w:afterAutospacing="0" w:line="240" w:lineRule="auto"/>
                    <w:ind w:left="0" w:right="0" w:firstLine="420"/>
                    <w:jc w:val="center"/>
                    <w:rPr>
                      <w:sz w:val="21"/>
                      <w:szCs w:val="21"/>
                    </w:rPr>
                  </w:pPr>
                  <w:r>
                    <w:rPr>
                      <w:rFonts w:hint="eastAsia"/>
                      <w:sz w:val="21"/>
                      <w:szCs w:val="21"/>
                    </w:rPr>
                    <w:t>一级</w:t>
                  </w:r>
                </w:p>
              </w:tc>
              <w:tc>
                <w:tcPr>
                  <w:tcW w:w="2500" w:type="pct"/>
                  <w:vAlign w:val="center"/>
                </w:tcPr>
                <w:p>
                  <w:pPr>
                    <w:keepNext w:val="0"/>
                    <w:keepLines w:val="0"/>
                    <w:suppressLineNumbers w:val="0"/>
                    <w:spacing w:before="0" w:beforeAutospacing="0" w:after="0" w:afterAutospacing="0" w:line="240" w:lineRule="auto"/>
                    <w:ind w:left="0" w:right="0" w:firstLine="420"/>
                    <w:jc w:val="center"/>
                    <w:rPr>
                      <w:sz w:val="21"/>
                      <w:szCs w:val="21"/>
                    </w:rPr>
                  </w:pPr>
                  <w:r>
                    <w:rPr>
                      <w:rFonts w:hint="eastAsia"/>
                      <w:sz w:val="21"/>
                      <w:szCs w:val="21"/>
                    </w:rPr>
                    <w:t>P</w:t>
                  </w:r>
                  <w:r>
                    <w:rPr>
                      <w:rFonts w:hint="eastAsia"/>
                      <w:sz w:val="21"/>
                      <w:szCs w:val="21"/>
                      <w:vertAlign w:val="subscript"/>
                    </w:rPr>
                    <w:t>max</w:t>
                  </w:r>
                  <w:r>
                    <w:rPr>
                      <w:rFonts w:hint="eastAsia"/>
                      <w:sz w:val="21"/>
                      <w:szCs w:val="21"/>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500" w:type="pct"/>
                  <w:vAlign w:val="center"/>
                </w:tcPr>
                <w:p>
                  <w:pPr>
                    <w:keepNext w:val="0"/>
                    <w:keepLines w:val="0"/>
                    <w:suppressLineNumbers w:val="0"/>
                    <w:spacing w:before="0" w:beforeAutospacing="0" w:after="0" w:afterAutospacing="0" w:line="240" w:lineRule="auto"/>
                    <w:ind w:left="0" w:right="0" w:firstLine="420"/>
                    <w:jc w:val="center"/>
                    <w:rPr>
                      <w:sz w:val="21"/>
                      <w:szCs w:val="21"/>
                    </w:rPr>
                  </w:pPr>
                  <w:r>
                    <w:rPr>
                      <w:rFonts w:hint="eastAsia"/>
                      <w:sz w:val="21"/>
                      <w:szCs w:val="21"/>
                    </w:rPr>
                    <w:t>二级</w:t>
                  </w:r>
                </w:p>
              </w:tc>
              <w:tc>
                <w:tcPr>
                  <w:tcW w:w="2500" w:type="pct"/>
                  <w:vAlign w:val="center"/>
                </w:tcPr>
                <w:p>
                  <w:pPr>
                    <w:keepNext w:val="0"/>
                    <w:keepLines w:val="0"/>
                    <w:suppressLineNumbers w:val="0"/>
                    <w:spacing w:before="0" w:beforeAutospacing="0" w:after="0" w:afterAutospacing="0" w:line="240" w:lineRule="auto"/>
                    <w:ind w:left="0" w:right="0" w:firstLine="420"/>
                    <w:jc w:val="center"/>
                    <w:rPr>
                      <w:sz w:val="21"/>
                      <w:szCs w:val="21"/>
                    </w:rPr>
                  </w:pPr>
                  <w:r>
                    <w:rPr>
                      <w:rFonts w:hint="eastAsia"/>
                      <w:sz w:val="21"/>
                      <w:szCs w:val="21"/>
                    </w:rPr>
                    <w:t>1%﹤P</w:t>
                  </w:r>
                  <w:r>
                    <w:rPr>
                      <w:rFonts w:hint="eastAsia"/>
                      <w:sz w:val="21"/>
                      <w:szCs w:val="21"/>
                      <w:vertAlign w:val="subscript"/>
                    </w:rPr>
                    <w:t>max</w:t>
                  </w:r>
                  <w:r>
                    <w:rPr>
                      <w:rFonts w:hint="eastAsia"/>
                      <w:sz w:val="21"/>
                      <w:szCs w:val="21"/>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500" w:type="pct"/>
                  <w:vAlign w:val="center"/>
                </w:tcPr>
                <w:p>
                  <w:pPr>
                    <w:keepNext w:val="0"/>
                    <w:keepLines w:val="0"/>
                    <w:suppressLineNumbers w:val="0"/>
                    <w:spacing w:before="0" w:beforeAutospacing="0" w:after="0" w:afterAutospacing="0" w:line="240" w:lineRule="auto"/>
                    <w:ind w:left="0" w:right="0" w:firstLine="420"/>
                    <w:jc w:val="center"/>
                    <w:rPr>
                      <w:sz w:val="21"/>
                      <w:szCs w:val="21"/>
                    </w:rPr>
                  </w:pPr>
                  <w:r>
                    <w:rPr>
                      <w:rFonts w:hint="eastAsia"/>
                      <w:sz w:val="21"/>
                      <w:szCs w:val="21"/>
                    </w:rPr>
                    <w:t>三级</w:t>
                  </w:r>
                </w:p>
              </w:tc>
              <w:tc>
                <w:tcPr>
                  <w:tcW w:w="2500" w:type="pct"/>
                  <w:vAlign w:val="center"/>
                </w:tcPr>
                <w:p>
                  <w:pPr>
                    <w:keepNext w:val="0"/>
                    <w:keepLines w:val="0"/>
                    <w:suppressLineNumbers w:val="0"/>
                    <w:spacing w:before="0" w:beforeAutospacing="0" w:after="0" w:afterAutospacing="0" w:line="240" w:lineRule="auto"/>
                    <w:ind w:left="0" w:right="0" w:firstLine="420"/>
                    <w:jc w:val="center"/>
                    <w:rPr>
                      <w:sz w:val="21"/>
                      <w:szCs w:val="21"/>
                    </w:rPr>
                  </w:pPr>
                  <w:r>
                    <w:rPr>
                      <w:rFonts w:hint="eastAsia"/>
                      <w:sz w:val="21"/>
                      <w:szCs w:val="21"/>
                    </w:rPr>
                    <w:t>P</w:t>
                  </w:r>
                  <w:r>
                    <w:rPr>
                      <w:rFonts w:hint="eastAsia"/>
                      <w:sz w:val="21"/>
                      <w:szCs w:val="21"/>
                      <w:vertAlign w:val="subscript"/>
                    </w:rPr>
                    <w:t>max</w:t>
                  </w:r>
                  <w:r>
                    <w:rPr>
                      <w:rFonts w:hint="eastAsia"/>
                      <w:sz w:val="21"/>
                      <w:szCs w:val="21"/>
                    </w:rPr>
                    <w:t>﹤1%</w:t>
                  </w:r>
                </w:p>
              </w:tc>
            </w:tr>
          </w:tbl>
          <w:p>
            <w:pPr>
              <w:keepNext w:val="0"/>
              <w:keepLines w:val="0"/>
              <w:suppressLineNumbers w:val="0"/>
              <w:spacing w:before="0" w:beforeAutospacing="0" w:after="0" w:afterAutospacing="0"/>
              <w:ind w:left="0" w:right="0" w:firstLine="480"/>
              <w:jc w:val="both"/>
            </w:pPr>
            <w:r>
              <w:rPr>
                <w:rFonts w:hint="eastAsia"/>
              </w:rPr>
              <w:t>估算模型参数见下表7-5</w:t>
            </w:r>
          </w:p>
          <w:p>
            <w:pPr>
              <w:keepNext w:val="0"/>
              <w:keepLines w:val="0"/>
              <w:suppressLineNumbers w:val="0"/>
              <w:spacing w:before="0" w:beforeAutospacing="0" w:after="0" w:afterAutospacing="0" w:line="240" w:lineRule="auto"/>
              <w:ind w:left="0" w:right="0" w:firstLine="422"/>
              <w:jc w:val="center"/>
              <w:rPr>
                <w:b/>
                <w:sz w:val="21"/>
                <w:szCs w:val="21"/>
              </w:rPr>
            </w:pPr>
            <w:r>
              <w:rPr>
                <w:rFonts w:hint="eastAsia"/>
                <w:b/>
                <w:sz w:val="21"/>
                <w:szCs w:val="21"/>
              </w:rPr>
              <w:t>表7-5本项目估算模型参数表</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933"/>
              <w:gridCol w:w="2279"/>
              <w:gridCol w:w="406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4501" w:type="dxa"/>
                  <w:gridSpan w:val="2"/>
                  <w:vAlign w:val="center"/>
                </w:tcPr>
                <w:p>
                  <w:pPr>
                    <w:pStyle w:val="41"/>
                    <w:keepNext w:val="0"/>
                    <w:keepLines w:val="0"/>
                    <w:suppressLineNumbers w:val="0"/>
                    <w:spacing w:before="0" w:beforeAutospacing="0" w:after="0" w:afterAutospacing="0" w:line="240" w:lineRule="auto"/>
                    <w:ind w:left="0" w:right="0" w:firstLine="482"/>
                    <w:rPr>
                      <w:b/>
                      <w:bCs/>
                      <w:szCs w:val="21"/>
                    </w:rPr>
                  </w:pPr>
                  <w:r>
                    <w:rPr>
                      <w:b/>
                      <w:bCs/>
                      <w:szCs w:val="21"/>
                    </w:rPr>
                    <w:t>参数</w:t>
                  </w:r>
                </w:p>
              </w:tc>
              <w:tc>
                <w:tcPr>
                  <w:tcW w:w="4345" w:type="dxa"/>
                  <w:vAlign w:val="center"/>
                </w:tcPr>
                <w:p>
                  <w:pPr>
                    <w:pStyle w:val="41"/>
                    <w:keepNext w:val="0"/>
                    <w:keepLines w:val="0"/>
                    <w:suppressLineNumbers w:val="0"/>
                    <w:spacing w:before="0" w:beforeAutospacing="0" w:after="0" w:afterAutospacing="0" w:line="240" w:lineRule="auto"/>
                    <w:ind w:left="0" w:right="0" w:firstLine="482"/>
                    <w:rPr>
                      <w:b/>
                      <w:bCs/>
                      <w:szCs w:val="21"/>
                    </w:rPr>
                  </w:pPr>
                  <w:r>
                    <w:rPr>
                      <w:b/>
                      <w:bCs/>
                      <w:szCs w:val="21"/>
                    </w:rPr>
                    <w:t>取值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1" w:hRule="atLeast"/>
                <w:jc w:val="center"/>
              </w:trPr>
              <w:tc>
                <w:tcPr>
                  <w:tcW w:w="2068" w:type="dxa"/>
                  <w:vMerge w:val="restart"/>
                  <w:vAlign w:val="center"/>
                </w:tcPr>
                <w:p>
                  <w:pPr>
                    <w:pStyle w:val="41"/>
                    <w:keepNext w:val="0"/>
                    <w:keepLines w:val="0"/>
                    <w:suppressLineNumbers w:val="0"/>
                    <w:spacing w:before="0" w:beforeAutospacing="0" w:after="0" w:afterAutospacing="0" w:line="240" w:lineRule="auto"/>
                    <w:ind w:left="0" w:right="0"/>
                    <w:rPr>
                      <w:szCs w:val="21"/>
                    </w:rPr>
                  </w:pPr>
                  <w:r>
                    <w:rPr>
                      <w:szCs w:val="21"/>
                    </w:rPr>
                    <w:t>城市农村/选项</w:t>
                  </w:r>
                </w:p>
              </w:tc>
              <w:tc>
                <w:tcPr>
                  <w:tcW w:w="2433" w:type="dxa"/>
                  <w:vAlign w:val="center"/>
                </w:tcPr>
                <w:p>
                  <w:pPr>
                    <w:pStyle w:val="41"/>
                    <w:keepNext w:val="0"/>
                    <w:keepLines w:val="0"/>
                    <w:suppressLineNumbers w:val="0"/>
                    <w:spacing w:before="0" w:beforeAutospacing="0" w:after="0" w:afterAutospacing="0" w:line="240" w:lineRule="auto"/>
                    <w:ind w:left="0" w:right="0"/>
                    <w:rPr>
                      <w:szCs w:val="21"/>
                    </w:rPr>
                  </w:pPr>
                  <w:r>
                    <w:rPr>
                      <w:szCs w:val="21"/>
                    </w:rPr>
                    <w:t>城市/农村</w:t>
                  </w:r>
                </w:p>
              </w:tc>
              <w:tc>
                <w:tcPr>
                  <w:tcW w:w="4345" w:type="dxa"/>
                  <w:vAlign w:val="center"/>
                </w:tcPr>
                <w:p>
                  <w:pPr>
                    <w:pStyle w:val="41"/>
                    <w:keepNext w:val="0"/>
                    <w:keepLines w:val="0"/>
                    <w:suppressLineNumbers w:val="0"/>
                    <w:spacing w:before="0" w:beforeAutospacing="0" w:after="0" w:afterAutospacing="0" w:line="240" w:lineRule="auto"/>
                    <w:ind w:left="0" w:right="0"/>
                    <w:rPr>
                      <w:szCs w:val="21"/>
                    </w:rPr>
                  </w:pPr>
                  <w:r>
                    <w:rPr>
                      <w:rFonts w:hint="eastAsia"/>
                      <w:szCs w:val="21"/>
                    </w:rPr>
                    <w:t>农村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2068" w:type="dxa"/>
                  <w:vMerge w:val="continue"/>
                  <w:vAlign w:val="center"/>
                </w:tcPr>
                <w:p>
                  <w:pPr>
                    <w:pStyle w:val="41"/>
                    <w:keepNext w:val="0"/>
                    <w:keepLines w:val="0"/>
                    <w:suppressLineNumbers w:val="0"/>
                    <w:spacing w:before="0" w:beforeAutospacing="0" w:after="0" w:afterAutospacing="0" w:line="240" w:lineRule="auto"/>
                    <w:ind w:left="0" w:right="0" w:firstLine="480"/>
                    <w:rPr>
                      <w:szCs w:val="21"/>
                    </w:rPr>
                  </w:pPr>
                </w:p>
              </w:tc>
              <w:tc>
                <w:tcPr>
                  <w:tcW w:w="2433" w:type="dxa"/>
                  <w:vAlign w:val="center"/>
                </w:tcPr>
                <w:p>
                  <w:pPr>
                    <w:pStyle w:val="41"/>
                    <w:keepNext w:val="0"/>
                    <w:keepLines w:val="0"/>
                    <w:suppressLineNumbers w:val="0"/>
                    <w:spacing w:before="0" w:beforeAutospacing="0" w:after="0" w:afterAutospacing="0" w:line="240" w:lineRule="auto"/>
                    <w:ind w:left="0" w:right="0"/>
                    <w:rPr>
                      <w:szCs w:val="21"/>
                    </w:rPr>
                  </w:pPr>
                  <w:r>
                    <w:rPr>
                      <w:szCs w:val="21"/>
                    </w:rPr>
                    <w:t>人口数(城市人口数)</w:t>
                  </w:r>
                </w:p>
              </w:tc>
              <w:tc>
                <w:tcPr>
                  <w:tcW w:w="4345" w:type="dxa"/>
                  <w:vAlign w:val="center"/>
                </w:tcPr>
                <w:p>
                  <w:pPr>
                    <w:pStyle w:val="41"/>
                    <w:keepNext w:val="0"/>
                    <w:keepLines w:val="0"/>
                    <w:suppressLineNumbers w:val="0"/>
                    <w:spacing w:before="0" w:beforeAutospacing="0" w:after="0" w:afterAutospacing="0" w:line="240" w:lineRule="auto"/>
                    <w:ind w:left="0" w:right="0"/>
                    <w:rPr>
                      <w:szCs w:val="21"/>
                    </w:rPr>
                  </w:pPr>
                  <w:r>
                    <w:rPr>
                      <w:rFonts w:hint="eastAsia"/>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jc w:val="center"/>
              </w:trPr>
              <w:tc>
                <w:tcPr>
                  <w:tcW w:w="4501" w:type="dxa"/>
                  <w:gridSpan w:val="2"/>
                  <w:vAlign w:val="center"/>
                </w:tcPr>
                <w:p>
                  <w:pPr>
                    <w:pStyle w:val="41"/>
                    <w:keepNext w:val="0"/>
                    <w:keepLines w:val="0"/>
                    <w:suppressLineNumbers w:val="0"/>
                    <w:spacing w:before="0" w:beforeAutospacing="0" w:after="0" w:afterAutospacing="0" w:line="240" w:lineRule="auto"/>
                    <w:ind w:left="0" w:right="0" w:firstLine="480"/>
                    <w:rPr>
                      <w:szCs w:val="21"/>
                    </w:rPr>
                  </w:pPr>
                  <w:r>
                    <w:rPr>
                      <w:szCs w:val="21"/>
                    </w:rPr>
                    <w:t>最高环境温度</w:t>
                  </w:r>
                </w:p>
              </w:tc>
              <w:tc>
                <w:tcPr>
                  <w:tcW w:w="4345" w:type="dxa"/>
                  <w:vAlign w:val="center"/>
                </w:tcPr>
                <w:p>
                  <w:pPr>
                    <w:pStyle w:val="41"/>
                    <w:keepNext w:val="0"/>
                    <w:keepLines w:val="0"/>
                    <w:suppressLineNumbers w:val="0"/>
                    <w:spacing w:before="0" w:beforeAutospacing="0" w:after="0" w:afterAutospacing="0" w:line="240" w:lineRule="auto"/>
                    <w:ind w:left="0" w:right="0"/>
                    <w:rPr>
                      <w:szCs w:val="21"/>
                    </w:rPr>
                  </w:pPr>
                  <w:r>
                    <w:rPr>
                      <w:rFonts w:hint="eastAsia"/>
                      <w:szCs w:val="21"/>
                    </w:rPr>
                    <w:t>33.4</w:t>
                  </w:r>
                  <w:r>
                    <w:rPr>
                      <w:szCs w:val="21"/>
                    </w:rPr>
                    <w:t>°C</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4501" w:type="dxa"/>
                  <w:gridSpan w:val="2"/>
                  <w:vAlign w:val="center"/>
                </w:tcPr>
                <w:p>
                  <w:pPr>
                    <w:pStyle w:val="41"/>
                    <w:keepNext w:val="0"/>
                    <w:keepLines w:val="0"/>
                    <w:suppressLineNumbers w:val="0"/>
                    <w:spacing w:before="0" w:beforeAutospacing="0" w:after="0" w:afterAutospacing="0" w:line="240" w:lineRule="auto"/>
                    <w:ind w:left="0" w:right="0"/>
                    <w:rPr>
                      <w:szCs w:val="21"/>
                    </w:rPr>
                  </w:pPr>
                  <w:r>
                    <w:rPr>
                      <w:szCs w:val="21"/>
                    </w:rPr>
                    <w:t>最低环境温度</w:t>
                  </w:r>
                </w:p>
              </w:tc>
              <w:tc>
                <w:tcPr>
                  <w:tcW w:w="4345" w:type="dxa"/>
                  <w:vAlign w:val="center"/>
                </w:tcPr>
                <w:p>
                  <w:pPr>
                    <w:pStyle w:val="41"/>
                    <w:keepNext w:val="0"/>
                    <w:keepLines w:val="0"/>
                    <w:suppressLineNumbers w:val="0"/>
                    <w:spacing w:before="0" w:beforeAutospacing="0" w:after="0" w:afterAutospacing="0" w:line="240" w:lineRule="auto"/>
                    <w:ind w:left="0" w:right="0"/>
                    <w:rPr>
                      <w:szCs w:val="21"/>
                    </w:rPr>
                  </w:pPr>
                  <w:r>
                    <w:rPr>
                      <w:szCs w:val="21"/>
                    </w:rPr>
                    <w:t>-</w:t>
                  </w:r>
                  <w:r>
                    <w:rPr>
                      <w:rFonts w:hint="eastAsia"/>
                      <w:szCs w:val="21"/>
                    </w:rPr>
                    <w:t>7</w:t>
                  </w:r>
                  <w:r>
                    <w:rPr>
                      <w:szCs w:val="21"/>
                    </w:rPr>
                    <w:t>°C</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jc w:val="center"/>
              </w:trPr>
              <w:tc>
                <w:tcPr>
                  <w:tcW w:w="4501" w:type="dxa"/>
                  <w:gridSpan w:val="2"/>
                  <w:vAlign w:val="center"/>
                </w:tcPr>
                <w:p>
                  <w:pPr>
                    <w:pStyle w:val="41"/>
                    <w:keepNext w:val="0"/>
                    <w:keepLines w:val="0"/>
                    <w:suppressLineNumbers w:val="0"/>
                    <w:spacing w:before="0" w:beforeAutospacing="0" w:after="0" w:afterAutospacing="0" w:line="240" w:lineRule="auto"/>
                    <w:ind w:left="0" w:right="0"/>
                    <w:rPr>
                      <w:szCs w:val="21"/>
                    </w:rPr>
                  </w:pPr>
                  <w:r>
                    <w:rPr>
                      <w:szCs w:val="21"/>
                    </w:rPr>
                    <w:t>土地利用类型</w:t>
                  </w:r>
                </w:p>
              </w:tc>
              <w:tc>
                <w:tcPr>
                  <w:tcW w:w="4345" w:type="dxa"/>
                  <w:vAlign w:val="center"/>
                </w:tcPr>
                <w:p>
                  <w:pPr>
                    <w:pStyle w:val="41"/>
                    <w:keepNext w:val="0"/>
                    <w:keepLines w:val="0"/>
                    <w:suppressLineNumbers w:val="0"/>
                    <w:spacing w:before="0" w:beforeAutospacing="0" w:after="0" w:afterAutospacing="0" w:line="240" w:lineRule="auto"/>
                    <w:ind w:left="0" w:right="0"/>
                    <w:rPr>
                      <w:szCs w:val="21"/>
                    </w:rPr>
                  </w:pPr>
                  <w:r>
                    <w:rPr>
                      <w:rFonts w:hint="eastAsia"/>
                      <w:szCs w:val="21"/>
                    </w:rPr>
                    <w:t>农村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4501" w:type="dxa"/>
                  <w:gridSpan w:val="2"/>
                  <w:vAlign w:val="center"/>
                </w:tcPr>
                <w:p>
                  <w:pPr>
                    <w:pStyle w:val="41"/>
                    <w:keepNext w:val="0"/>
                    <w:keepLines w:val="0"/>
                    <w:suppressLineNumbers w:val="0"/>
                    <w:spacing w:before="0" w:beforeAutospacing="0" w:after="0" w:afterAutospacing="0" w:line="240" w:lineRule="auto"/>
                    <w:ind w:left="0" w:right="0"/>
                    <w:rPr>
                      <w:szCs w:val="21"/>
                    </w:rPr>
                  </w:pPr>
                  <w:r>
                    <w:rPr>
                      <w:szCs w:val="21"/>
                    </w:rPr>
                    <w:t>区域湿度条件</w:t>
                  </w:r>
                </w:p>
              </w:tc>
              <w:tc>
                <w:tcPr>
                  <w:tcW w:w="4345" w:type="dxa"/>
                  <w:vAlign w:val="center"/>
                </w:tcPr>
                <w:p>
                  <w:pPr>
                    <w:pStyle w:val="41"/>
                    <w:keepNext w:val="0"/>
                    <w:keepLines w:val="0"/>
                    <w:suppressLineNumbers w:val="0"/>
                    <w:spacing w:before="0" w:beforeAutospacing="0" w:after="0" w:afterAutospacing="0" w:line="240" w:lineRule="auto"/>
                    <w:ind w:left="0" w:right="0"/>
                    <w:rPr>
                      <w:szCs w:val="21"/>
                    </w:rPr>
                  </w:pPr>
                  <w:r>
                    <w:rPr>
                      <w:rFonts w:hint="eastAsia"/>
                      <w:szCs w:val="21"/>
                    </w:rPr>
                    <w:t>湿润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2068" w:type="dxa"/>
                  <w:vMerge w:val="restart"/>
                  <w:vAlign w:val="center"/>
                </w:tcPr>
                <w:p>
                  <w:pPr>
                    <w:pStyle w:val="41"/>
                    <w:keepNext w:val="0"/>
                    <w:keepLines w:val="0"/>
                    <w:suppressLineNumbers w:val="0"/>
                    <w:spacing w:before="0" w:beforeAutospacing="0" w:after="0" w:afterAutospacing="0" w:line="240" w:lineRule="auto"/>
                    <w:ind w:left="0" w:right="0"/>
                    <w:rPr>
                      <w:szCs w:val="21"/>
                    </w:rPr>
                  </w:pPr>
                  <w:r>
                    <w:rPr>
                      <w:szCs w:val="21"/>
                    </w:rPr>
                    <w:t>是否考虑地形</w:t>
                  </w:r>
                </w:p>
              </w:tc>
              <w:tc>
                <w:tcPr>
                  <w:tcW w:w="2433" w:type="dxa"/>
                  <w:vAlign w:val="center"/>
                </w:tcPr>
                <w:p>
                  <w:pPr>
                    <w:pStyle w:val="41"/>
                    <w:keepNext w:val="0"/>
                    <w:keepLines w:val="0"/>
                    <w:suppressLineNumbers w:val="0"/>
                    <w:spacing w:before="0" w:beforeAutospacing="0" w:after="0" w:afterAutospacing="0" w:line="240" w:lineRule="auto"/>
                    <w:ind w:left="0" w:right="0"/>
                    <w:rPr>
                      <w:szCs w:val="21"/>
                    </w:rPr>
                  </w:pPr>
                  <w:r>
                    <w:rPr>
                      <w:szCs w:val="21"/>
                    </w:rPr>
                    <w:t>考虑地形</w:t>
                  </w:r>
                </w:p>
              </w:tc>
              <w:tc>
                <w:tcPr>
                  <w:tcW w:w="4345" w:type="dxa"/>
                  <w:vAlign w:val="center"/>
                </w:tcPr>
                <w:p>
                  <w:pPr>
                    <w:pStyle w:val="41"/>
                    <w:keepNext w:val="0"/>
                    <w:keepLines w:val="0"/>
                    <w:suppressLineNumbers w:val="0"/>
                    <w:spacing w:before="0" w:beforeAutospacing="0" w:after="0" w:afterAutospacing="0" w:line="240" w:lineRule="auto"/>
                    <w:ind w:left="0" w:right="0"/>
                    <w:rPr>
                      <w:szCs w:val="21"/>
                    </w:rPr>
                  </w:pPr>
                  <w:r>
                    <w:rPr>
                      <w:rFonts w:hint="eastAsia"/>
                      <w:szCs w:val="21"/>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2068" w:type="dxa"/>
                  <w:vMerge w:val="continue"/>
                  <w:vAlign w:val="center"/>
                </w:tcPr>
                <w:p>
                  <w:pPr>
                    <w:pStyle w:val="41"/>
                    <w:keepNext w:val="0"/>
                    <w:keepLines w:val="0"/>
                    <w:suppressLineNumbers w:val="0"/>
                    <w:spacing w:before="0" w:beforeAutospacing="0" w:after="0" w:afterAutospacing="0" w:line="240" w:lineRule="auto"/>
                    <w:ind w:left="0" w:right="0" w:firstLine="480"/>
                    <w:rPr>
                      <w:szCs w:val="21"/>
                    </w:rPr>
                  </w:pPr>
                </w:p>
              </w:tc>
              <w:tc>
                <w:tcPr>
                  <w:tcW w:w="2433" w:type="dxa"/>
                  <w:vAlign w:val="center"/>
                </w:tcPr>
                <w:p>
                  <w:pPr>
                    <w:pStyle w:val="41"/>
                    <w:keepNext w:val="0"/>
                    <w:keepLines w:val="0"/>
                    <w:suppressLineNumbers w:val="0"/>
                    <w:spacing w:before="0" w:beforeAutospacing="0" w:after="0" w:afterAutospacing="0" w:line="240" w:lineRule="auto"/>
                    <w:ind w:left="0" w:right="0"/>
                    <w:rPr>
                      <w:szCs w:val="21"/>
                    </w:rPr>
                  </w:pPr>
                  <w:r>
                    <w:rPr>
                      <w:szCs w:val="21"/>
                    </w:rPr>
                    <w:t>地形数据分辨率(m)</w:t>
                  </w:r>
                </w:p>
              </w:tc>
              <w:tc>
                <w:tcPr>
                  <w:tcW w:w="4345" w:type="dxa"/>
                  <w:vAlign w:val="center"/>
                </w:tcPr>
                <w:p>
                  <w:pPr>
                    <w:pStyle w:val="41"/>
                    <w:keepNext w:val="0"/>
                    <w:keepLines w:val="0"/>
                    <w:suppressLineNumbers w:val="0"/>
                    <w:spacing w:before="0" w:beforeAutospacing="0" w:after="0" w:afterAutospacing="0" w:line="240" w:lineRule="auto"/>
                    <w:ind w:left="0" w:right="0"/>
                    <w:rPr>
                      <w:rFonts w:ascii="Times New Roman" w:hAnsi="Times New Roman" w:cs="Times New Roman"/>
                      <w:szCs w:val="21"/>
                    </w:rPr>
                  </w:pPr>
                  <w:r>
                    <w:rPr>
                      <w:rFonts w:ascii="Times New Roman" w:hAnsi="Times New Roman" w:cs="Times New Roman"/>
                      <w:szCs w:val="21"/>
                    </w:rPr>
                    <w:t>90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2068" w:type="dxa"/>
                  <w:vMerge w:val="restart"/>
                  <w:vAlign w:val="center"/>
                </w:tcPr>
                <w:p>
                  <w:pPr>
                    <w:pStyle w:val="41"/>
                    <w:keepNext w:val="0"/>
                    <w:keepLines w:val="0"/>
                    <w:suppressLineNumbers w:val="0"/>
                    <w:spacing w:before="0" w:beforeAutospacing="0" w:after="0" w:afterAutospacing="0" w:line="240" w:lineRule="auto"/>
                    <w:ind w:left="0" w:right="0"/>
                    <w:rPr>
                      <w:szCs w:val="21"/>
                    </w:rPr>
                  </w:pPr>
                  <w:r>
                    <w:rPr>
                      <w:rFonts w:hint="eastAsia"/>
                      <w:szCs w:val="21"/>
                    </w:rPr>
                    <w:t>是否考虑岸线熏烟</w:t>
                  </w:r>
                </w:p>
              </w:tc>
              <w:tc>
                <w:tcPr>
                  <w:tcW w:w="2433" w:type="dxa"/>
                  <w:vAlign w:val="center"/>
                </w:tcPr>
                <w:p>
                  <w:pPr>
                    <w:pStyle w:val="41"/>
                    <w:keepNext w:val="0"/>
                    <w:keepLines w:val="0"/>
                    <w:suppressLineNumbers w:val="0"/>
                    <w:spacing w:before="0" w:beforeAutospacing="0" w:after="0" w:afterAutospacing="0" w:line="240" w:lineRule="auto"/>
                    <w:ind w:left="0" w:right="0"/>
                    <w:rPr>
                      <w:szCs w:val="21"/>
                    </w:rPr>
                  </w:pPr>
                  <w:r>
                    <w:rPr>
                      <w:rFonts w:hint="eastAsia"/>
                      <w:szCs w:val="21"/>
                    </w:rPr>
                    <w:t>考虑岸线熏烟</w:t>
                  </w:r>
                </w:p>
              </w:tc>
              <w:tc>
                <w:tcPr>
                  <w:tcW w:w="4345" w:type="dxa"/>
                  <w:vAlign w:val="center"/>
                </w:tcPr>
                <w:p>
                  <w:pPr>
                    <w:pStyle w:val="41"/>
                    <w:keepNext w:val="0"/>
                    <w:keepLines w:val="0"/>
                    <w:suppressLineNumbers w:val="0"/>
                    <w:spacing w:before="0" w:beforeAutospacing="0" w:after="0" w:afterAutospacing="0" w:line="240" w:lineRule="auto"/>
                    <w:ind w:left="0" w:right="0"/>
                    <w:rPr>
                      <w:szCs w:val="21"/>
                    </w:rPr>
                  </w:pPr>
                  <w:r>
                    <w:rPr>
                      <w:rFonts w:hint="eastAsia"/>
                      <w:szCs w:val="21"/>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2068" w:type="dxa"/>
                  <w:vMerge w:val="continue"/>
                  <w:vAlign w:val="center"/>
                </w:tcPr>
                <w:p>
                  <w:pPr>
                    <w:pStyle w:val="41"/>
                    <w:keepNext w:val="0"/>
                    <w:keepLines w:val="0"/>
                    <w:suppressLineNumbers w:val="0"/>
                    <w:spacing w:before="0" w:beforeAutospacing="0" w:after="0" w:afterAutospacing="0" w:line="240" w:lineRule="auto"/>
                    <w:ind w:left="0" w:right="0" w:firstLine="480"/>
                    <w:rPr>
                      <w:szCs w:val="21"/>
                    </w:rPr>
                  </w:pPr>
                </w:p>
              </w:tc>
              <w:tc>
                <w:tcPr>
                  <w:tcW w:w="2433" w:type="dxa"/>
                  <w:vAlign w:val="center"/>
                </w:tcPr>
                <w:p>
                  <w:pPr>
                    <w:pStyle w:val="41"/>
                    <w:keepNext w:val="0"/>
                    <w:keepLines w:val="0"/>
                    <w:suppressLineNumbers w:val="0"/>
                    <w:spacing w:before="0" w:beforeAutospacing="0" w:after="0" w:afterAutospacing="0" w:line="240" w:lineRule="auto"/>
                    <w:ind w:left="0" w:right="0"/>
                    <w:rPr>
                      <w:szCs w:val="21"/>
                    </w:rPr>
                  </w:pPr>
                  <w:r>
                    <w:rPr>
                      <w:rFonts w:hint="eastAsia"/>
                      <w:szCs w:val="21"/>
                    </w:rPr>
                    <w:t>岸线距离/km</w:t>
                  </w:r>
                </w:p>
              </w:tc>
              <w:tc>
                <w:tcPr>
                  <w:tcW w:w="4345" w:type="dxa"/>
                  <w:vAlign w:val="center"/>
                </w:tcPr>
                <w:p>
                  <w:pPr>
                    <w:pStyle w:val="41"/>
                    <w:keepNext w:val="0"/>
                    <w:keepLines w:val="0"/>
                    <w:suppressLineNumbers w:val="0"/>
                    <w:spacing w:before="0" w:beforeAutospacing="0" w:after="0" w:afterAutospacing="0" w:line="240" w:lineRule="auto"/>
                    <w:ind w:left="0" w:right="0"/>
                    <w:rPr>
                      <w:szCs w:val="21"/>
                    </w:rPr>
                  </w:pPr>
                  <w:r>
                    <w:rPr>
                      <w:rFonts w:hint="eastAsia"/>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2068" w:type="dxa"/>
                  <w:vMerge w:val="continue"/>
                  <w:vAlign w:val="center"/>
                </w:tcPr>
                <w:p>
                  <w:pPr>
                    <w:pStyle w:val="41"/>
                    <w:keepNext w:val="0"/>
                    <w:keepLines w:val="0"/>
                    <w:suppressLineNumbers w:val="0"/>
                    <w:spacing w:before="0" w:beforeAutospacing="0" w:after="0" w:afterAutospacing="0" w:line="240" w:lineRule="auto"/>
                    <w:ind w:left="0" w:right="0" w:firstLine="480"/>
                    <w:rPr>
                      <w:szCs w:val="21"/>
                    </w:rPr>
                  </w:pPr>
                </w:p>
              </w:tc>
              <w:tc>
                <w:tcPr>
                  <w:tcW w:w="2433" w:type="dxa"/>
                  <w:vAlign w:val="center"/>
                </w:tcPr>
                <w:p>
                  <w:pPr>
                    <w:pStyle w:val="41"/>
                    <w:keepNext w:val="0"/>
                    <w:keepLines w:val="0"/>
                    <w:suppressLineNumbers w:val="0"/>
                    <w:spacing w:before="0" w:beforeAutospacing="0" w:after="0" w:afterAutospacing="0" w:line="240" w:lineRule="auto"/>
                    <w:ind w:left="0" w:right="0"/>
                    <w:rPr>
                      <w:szCs w:val="21"/>
                    </w:rPr>
                  </w:pPr>
                  <w:r>
                    <w:rPr>
                      <w:rFonts w:hint="eastAsia"/>
                      <w:szCs w:val="21"/>
                    </w:rPr>
                    <w:t>岸线方向/°</w:t>
                  </w:r>
                </w:p>
              </w:tc>
              <w:tc>
                <w:tcPr>
                  <w:tcW w:w="4345" w:type="dxa"/>
                  <w:vAlign w:val="center"/>
                </w:tcPr>
                <w:p>
                  <w:pPr>
                    <w:pStyle w:val="41"/>
                    <w:keepNext w:val="0"/>
                    <w:keepLines w:val="0"/>
                    <w:suppressLineNumbers w:val="0"/>
                    <w:spacing w:before="0" w:beforeAutospacing="0" w:after="0" w:afterAutospacing="0" w:line="240" w:lineRule="auto"/>
                    <w:ind w:left="0" w:right="0"/>
                    <w:rPr>
                      <w:szCs w:val="21"/>
                    </w:rPr>
                  </w:pPr>
                  <w:r>
                    <w:rPr>
                      <w:rFonts w:hint="eastAsia"/>
                      <w:szCs w:val="21"/>
                    </w:rPr>
                    <w:t>/</w:t>
                  </w:r>
                </w:p>
              </w:tc>
            </w:tr>
          </w:tbl>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3 \* GB3</w:instrText>
            </w:r>
            <w:r>
              <w:rPr>
                <w:rFonts w:hint="eastAsia"/>
              </w:rPr>
              <w:fldChar w:fldCharType="separate"/>
            </w:r>
            <w:r>
              <w:rPr>
                <w:rFonts w:hint="eastAsia"/>
              </w:rPr>
              <w:t>③</w:t>
            </w:r>
            <w:r>
              <w:rPr>
                <w:rFonts w:hint="eastAsia"/>
              </w:rPr>
              <w:fldChar w:fldCharType="end"/>
            </w:r>
            <w:r>
              <w:rPr>
                <w:rFonts w:hint="eastAsia"/>
              </w:rPr>
              <w:t>本项目各排放源</w:t>
            </w:r>
            <w:r>
              <w:rPr>
                <w:kern w:val="0"/>
                <w:lang w:val="zh-CN"/>
              </w:rPr>
              <w:t>估算模型计算</w:t>
            </w:r>
          </w:p>
          <w:p>
            <w:pPr>
              <w:keepNext w:val="0"/>
              <w:keepLines w:val="0"/>
              <w:suppressLineNumbers w:val="0"/>
              <w:spacing w:before="0" w:beforeAutospacing="0" w:after="0" w:afterAutospacing="0"/>
              <w:ind w:left="0" w:right="0" w:firstLine="480"/>
              <w:jc w:val="both"/>
            </w:pPr>
            <w:r>
              <w:rPr>
                <w:rFonts w:hint="eastAsia"/>
              </w:rPr>
              <w:t>有组织排放挥发性有机物计算结果见下表7-6。</w:t>
            </w:r>
          </w:p>
          <w:p>
            <w:pPr>
              <w:pStyle w:val="2"/>
              <w:keepNext w:val="0"/>
              <w:keepLines w:val="0"/>
              <w:suppressLineNumbers w:val="0"/>
              <w:spacing w:before="0" w:beforeAutospacing="0" w:after="0" w:afterAutospacing="0" w:line="240" w:lineRule="auto"/>
              <w:ind w:left="0" w:right="0" w:firstLine="124" w:firstLineChars="59"/>
              <w:jc w:val="center"/>
              <w:rPr>
                <w:b/>
                <w:sz w:val="21"/>
                <w:szCs w:val="21"/>
              </w:rPr>
            </w:pPr>
            <w:r>
              <w:rPr>
                <w:rFonts w:hint="eastAsia"/>
                <w:b/>
                <w:sz w:val="21"/>
                <w:szCs w:val="21"/>
              </w:rPr>
              <w:t>表7-6 有组织排放挥发性有机物计算结果</w:t>
            </w:r>
          </w:p>
          <w:tbl>
            <w:tblPr>
              <w:tblStyle w:val="18"/>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75"/>
              <w:gridCol w:w="2542"/>
              <w:gridCol w:w="238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Ansi="宋体"/>
                      <w:b/>
                      <w:sz w:val="21"/>
                      <w:szCs w:val="21"/>
                    </w:rPr>
                    <w:t>下风向距离</w:t>
                  </w:r>
                </w:p>
              </w:tc>
              <w:tc>
                <w:tcPr>
                  <w:tcW w:w="2967" w:type="pct"/>
                  <w:gridSpan w:val="2"/>
                  <w:vAlign w:val="center"/>
                </w:tcPr>
                <w:p>
                  <w:pPr>
                    <w:keepNext w:val="0"/>
                    <w:keepLines w:val="0"/>
                    <w:suppressLineNumbers w:val="0"/>
                    <w:spacing w:before="0" w:beforeAutospacing="0" w:after="0" w:afterAutospacing="0" w:line="240" w:lineRule="auto"/>
                    <w:ind w:left="0" w:right="0" w:firstLine="422"/>
                    <w:jc w:val="center"/>
                    <w:rPr>
                      <w:b/>
                      <w:sz w:val="21"/>
                      <w:szCs w:val="21"/>
                    </w:rPr>
                  </w:pPr>
                  <w:r>
                    <w:rPr>
                      <w:rFonts w:hAnsi="宋体"/>
                      <w:b/>
                      <w:sz w:val="21"/>
                      <w:szCs w:val="21"/>
                    </w:rPr>
                    <w:t>点源</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Merge w:val="continue"/>
                  <w:vAlign w:val="center"/>
                </w:tcPr>
                <w:p>
                  <w:pPr>
                    <w:keepNext w:val="0"/>
                    <w:keepLines w:val="0"/>
                    <w:suppressLineNumbers w:val="0"/>
                    <w:spacing w:before="0" w:beforeAutospacing="0" w:after="0" w:afterAutospacing="0" w:line="240" w:lineRule="auto"/>
                    <w:ind w:left="0" w:right="0" w:firstLine="422"/>
                    <w:jc w:val="center"/>
                    <w:rPr>
                      <w:b/>
                      <w:sz w:val="21"/>
                      <w:szCs w:val="21"/>
                    </w:rPr>
                  </w:pPr>
                </w:p>
              </w:tc>
              <w:tc>
                <w:tcPr>
                  <w:tcW w:w="1531" w:type="pc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b/>
                      <w:sz w:val="21"/>
                      <w:szCs w:val="21"/>
                    </w:rPr>
                    <w:t>TVOC</w:t>
                  </w:r>
                  <w:r>
                    <w:rPr>
                      <w:rFonts w:hAnsi="宋体"/>
                      <w:b/>
                      <w:sz w:val="21"/>
                      <w:szCs w:val="21"/>
                    </w:rPr>
                    <w:t>浓度</w:t>
                  </w:r>
                  <w:r>
                    <w:rPr>
                      <w:b/>
                      <w:sz w:val="21"/>
                      <w:szCs w:val="21"/>
                    </w:rPr>
                    <w:t>(μg/m³)</w:t>
                  </w:r>
                </w:p>
              </w:tc>
              <w:tc>
                <w:tcPr>
                  <w:tcW w:w="1436" w:type="pc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b/>
                      <w:sz w:val="21"/>
                      <w:szCs w:val="21"/>
                    </w:rPr>
                    <w:t>TVOC</w:t>
                  </w:r>
                  <w:r>
                    <w:rPr>
                      <w:rFonts w:hAnsi="宋体"/>
                      <w:b/>
                      <w:sz w:val="21"/>
                      <w:szCs w:val="21"/>
                    </w:rPr>
                    <w:t>占标率</w:t>
                  </w:r>
                  <w:r>
                    <w:rPr>
                      <w:b/>
                      <w:sz w:val="21"/>
                      <w:szCs w:val="21"/>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50.0</w:t>
                  </w:r>
                </w:p>
              </w:tc>
              <w:tc>
                <w:tcPr>
                  <w:tcW w:w="1531"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1.6340</w:t>
                  </w:r>
                </w:p>
              </w:tc>
              <w:tc>
                <w:tcPr>
                  <w:tcW w:w="143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0.1362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100.0</w:t>
                  </w:r>
                </w:p>
              </w:tc>
              <w:tc>
                <w:tcPr>
                  <w:tcW w:w="1531"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2.0999</w:t>
                  </w:r>
                </w:p>
              </w:tc>
              <w:tc>
                <w:tcPr>
                  <w:tcW w:w="143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0.1750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200.0</w:t>
                  </w:r>
                </w:p>
              </w:tc>
              <w:tc>
                <w:tcPr>
                  <w:tcW w:w="1531"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1.4113</w:t>
                  </w:r>
                </w:p>
              </w:tc>
              <w:tc>
                <w:tcPr>
                  <w:tcW w:w="143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0.1176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300.0</w:t>
                  </w:r>
                </w:p>
              </w:tc>
              <w:tc>
                <w:tcPr>
                  <w:tcW w:w="1531"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1.1952</w:t>
                  </w:r>
                </w:p>
              </w:tc>
              <w:tc>
                <w:tcPr>
                  <w:tcW w:w="143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0.0996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400.0</w:t>
                  </w:r>
                </w:p>
              </w:tc>
              <w:tc>
                <w:tcPr>
                  <w:tcW w:w="1531"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0.9943</w:t>
                  </w:r>
                </w:p>
              </w:tc>
              <w:tc>
                <w:tcPr>
                  <w:tcW w:w="143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0.0829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500.0</w:t>
                  </w:r>
                </w:p>
              </w:tc>
              <w:tc>
                <w:tcPr>
                  <w:tcW w:w="1531"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0.8659</w:t>
                  </w:r>
                </w:p>
              </w:tc>
              <w:tc>
                <w:tcPr>
                  <w:tcW w:w="143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0.0722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600.0</w:t>
                  </w:r>
                </w:p>
              </w:tc>
              <w:tc>
                <w:tcPr>
                  <w:tcW w:w="1531"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0.7767</w:t>
                  </w:r>
                </w:p>
              </w:tc>
              <w:tc>
                <w:tcPr>
                  <w:tcW w:w="143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0.0647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700.0</w:t>
                  </w:r>
                </w:p>
              </w:tc>
              <w:tc>
                <w:tcPr>
                  <w:tcW w:w="1531"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0.6934</w:t>
                  </w:r>
                </w:p>
              </w:tc>
              <w:tc>
                <w:tcPr>
                  <w:tcW w:w="143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0.0578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800.0</w:t>
                  </w:r>
                </w:p>
              </w:tc>
              <w:tc>
                <w:tcPr>
                  <w:tcW w:w="1531"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0.6535</w:t>
                  </w:r>
                </w:p>
              </w:tc>
              <w:tc>
                <w:tcPr>
                  <w:tcW w:w="143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0.0545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900.0</w:t>
                  </w:r>
                </w:p>
              </w:tc>
              <w:tc>
                <w:tcPr>
                  <w:tcW w:w="1531"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0.6115</w:t>
                  </w:r>
                </w:p>
              </w:tc>
              <w:tc>
                <w:tcPr>
                  <w:tcW w:w="143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0.0510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1000.0</w:t>
                  </w:r>
                </w:p>
              </w:tc>
              <w:tc>
                <w:tcPr>
                  <w:tcW w:w="1531"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0.5699</w:t>
                  </w:r>
                </w:p>
              </w:tc>
              <w:tc>
                <w:tcPr>
                  <w:tcW w:w="143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0.0475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1200.0</w:t>
                  </w:r>
                </w:p>
              </w:tc>
              <w:tc>
                <w:tcPr>
                  <w:tcW w:w="1531"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0.4985</w:t>
                  </w:r>
                </w:p>
              </w:tc>
              <w:tc>
                <w:tcPr>
                  <w:tcW w:w="143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0.0415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1400.0</w:t>
                  </w:r>
                </w:p>
              </w:tc>
              <w:tc>
                <w:tcPr>
                  <w:tcW w:w="1531"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0.4440</w:t>
                  </w:r>
                </w:p>
              </w:tc>
              <w:tc>
                <w:tcPr>
                  <w:tcW w:w="143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0.0370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1600.0</w:t>
                  </w:r>
                </w:p>
              </w:tc>
              <w:tc>
                <w:tcPr>
                  <w:tcW w:w="1531"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0.3969</w:t>
                  </w:r>
                </w:p>
              </w:tc>
              <w:tc>
                <w:tcPr>
                  <w:tcW w:w="143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0.0331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1800.0</w:t>
                  </w:r>
                </w:p>
              </w:tc>
              <w:tc>
                <w:tcPr>
                  <w:tcW w:w="1531"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0.3565</w:t>
                  </w:r>
                </w:p>
              </w:tc>
              <w:tc>
                <w:tcPr>
                  <w:tcW w:w="143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0.0297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2000.0</w:t>
                  </w:r>
                </w:p>
              </w:tc>
              <w:tc>
                <w:tcPr>
                  <w:tcW w:w="1531"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0.3216</w:t>
                  </w:r>
                </w:p>
              </w:tc>
              <w:tc>
                <w:tcPr>
                  <w:tcW w:w="143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0.0268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2500.0</w:t>
                  </w:r>
                </w:p>
              </w:tc>
              <w:tc>
                <w:tcPr>
                  <w:tcW w:w="1531"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0.2550</w:t>
                  </w:r>
                </w:p>
              </w:tc>
              <w:tc>
                <w:tcPr>
                  <w:tcW w:w="143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0.0213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Ansi="宋体"/>
                      <w:sz w:val="21"/>
                      <w:szCs w:val="21"/>
                    </w:rPr>
                    <w:t>下风向最大浓度</w:t>
                  </w:r>
                </w:p>
              </w:tc>
              <w:tc>
                <w:tcPr>
                  <w:tcW w:w="1531"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2.2799</w:t>
                  </w:r>
                </w:p>
              </w:tc>
              <w:tc>
                <w:tcPr>
                  <w:tcW w:w="143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0.1900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Ansi="宋体"/>
                      <w:sz w:val="21"/>
                      <w:szCs w:val="21"/>
                    </w:rPr>
                    <w:t>下风向最大浓度出现距离</w:t>
                  </w:r>
                </w:p>
              </w:tc>
              <w:tc>
                <w:tcPr>
                  <w:tcW w:w="1531"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74.0</w:t>
                  </w:r>
                </w:p>
              </w:tc>
              <w:tc>
                <w:tcPr>
                  <w:tcW w:w="143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74.0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D10%</w:t>
                  </w:r>
                  <w:r>
                    <w:rPr>
                      <w:rFonts w:hAnsi="宋体"/>
                      <w:sz w:val="21"/>
                      <w:szCs w:val="21"/>
                    </w:rPr>
                    <w:t>最远距离</w:t>
                  </w:r>
                </w:p>
              </w:tc>
              <w:tc>
                <w:tcPr>
                  <w:tcW w:w="1531" w:type="pct"/>
                  <w:vAlign w:val="center"/>
                </w:tcPr>
                <w:p>
                  <w:pPr>
                    <w:keepNext w:val="0"/>
                    <w:keepLines w:val="0"/>
                    <w:suppressLineNumbers w:val="0"/>
                    <w:spacing w:before="0" w:beforeAutospacing="0" w:after="0" w:afterAutospacing="0" w:line="240" w:lineRule="auto"/>
                    <w:ind w:left="0" w:right="0" w:firstLine="420"/>
                    <w:jc w:val="center"/>
                    <w:rPr>
                      <w:sz w:val="21"/>
                      <w:szCs w:val="21"/>
                    </w:rPr>
                  </w:pPr>
                  <w:r>
                    <w:rPr>
                      <w:sz w:val="21"/>
                      <w:szCs w:val="21"/>
                    </w:rPr>
                    <w:t>/</w:t>
                  </w:r>
                </w:p>
              </w:tc>
              <w:tc>
                <w:tcPr>
                  <w:tcW w:w="1436" w:type="pct"/>
                  <w:vAlign w:val="center"/>
                </w:tcPr>
                <w:p>
                  <w:pPr>
                    <w:keepNext w:val="0"/>
                    <w:keepLines w:val="0"/>
                    <w:suppressLineNumbers w:val="0"/>
                    <w:spacing w:before="0" w:beforeAutospacing="0" w:after="0" w:afterAutospacing="0" w:line="240" w:lineRule="auto"/>
                    <w:ind w:left="0" w:right="0" w:firstLine="420"/>
                    <w:jc w:val="center"/>
                    <w:rPr>
                      <w:sz w:val="21"/>
                      <w:szCs w:val="21"/>
                    </w:rPr>
                  </w:pPr>
                  <w:r>
                    <w:rPr>
                      <w:sz w:val="21"/>
                      <w:szCs w:val="21"/>
                    </w:rPr>
                    <w:t>/</w:t>
                  </w:r>
                </w:p>
              </w:tc>
            </w:tr>
          </w:tbl>
          <w:p>
            <w:pPr>
              <w:keepNext w:val="0"/>
              <w:keepLines w:val="0"/>
              <w:suppressLineNumbers w:val="0"/>
              <w:snapToGrid w:val="0"/>
              <w:spacing w:before="240" w:beforeAutospacing="0" w:after="0" w:afterAutospacing="0"/>
              <w:ind w:left="0" w:right="0" w:firstLine="480"/>
              <w:jc w:val="both"/>
            </w:pPr>
            <w:r>
              <w:rPr>
                <w:rFonts w:hint="eastAsia"/>
              </w:rPr>
              <w:t>无组织排放计算结果见下表7-7。</w:t>
            </w:r>
          </w:p>
          <w:p>
            <w:pPr>
              <w:pStyle w:val="2"/>
              <w:keepNext w:val="0"/>
              <w:keepLines w:val="0"/>
              <w:suppressLineNumbers w:val="0"/>
              <w:spacing w:before="0" w:beforeAutospacing="0" w:after="0" w:afterAutospacing="0" w:line="240" w:lineRule="auto"/>
              <w:ind w:left="0" w:right="0" w:firstLine="124" w:firstLineChars="59"/>
              <w:jc w:val="center"/>
              <w:rPr>
                <w:b/>
                <w:sz w:val="21"/>
                <w:szCs w:val="21"/>
              </w:rPr>
            </w:pPr>
            <w:r>
              <w:rPr>
                <w:rFonts w:hint="eastAsia"/>
                <w:b/>
                <w:sz w:val="21"/>
                <w:szCs w:val="21"/>
              </w:rPr>
              <w:t>表7-7 无组织排放挥发性有机物及TSP计算结果</w:t>
            </w:r>
          </w:p>
          <w:tbl>
            <w:tblPr>
              <w:tblStyle w:val="18"/>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135"/>
              <w:gridCol w:w="1667"/>
              <w:gridCol w:w="1561"/>
              <w:gridCol w:w="1514"/>
              <w:gridCol w:w="13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Merge w:val="restar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Ansi="宋体"/>
                      <w:b/>
                      <w:sz w:val="21"/>
                      <w:szCs w:val="21"/>
                    </w:rPr>
                    <w:t>下风向距离</w:t>
                  </w:r>
                </w:p>
              </w:tc>
              <w:tc>
                <w:tcPr>
                  <w:tcW w:w="0" w:type="auto"/>
                  <w:gridSpan w:val="4"/>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Ansi="宋体"/>
                      <w:b/>
                      <w:sz w:val="21"/>
                      <w:szCs w:val="21"/>
                    </w:rPr>
                    <w:t>矩形面源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TVOC</w:t>
                  </w:r>
                  <w:r>
                    <w:rPr>
                      <w:rFonts w:hAnsi="宋体"/>
                      <w:sz w:val="21"/>
                      <w:szCs w:val="21"/>
                    </w:rPr>
                    <w:t>浓度</w:t>
                  </w:r>
                  <w:r>
                    <w:rPr>
                      <w:sz w:val="21"/>
                      <w:szCs w:val="21"/>
                    </w:rPr>
                    <w:t>(μg/m³)</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TVOC</w:t>
                  </w:r>
                  <w:r>
                    <w:rPr>
                      <w:rFonts w:hAnsi="宋体"/>
                      <w:sz w:val="21"/>
                      <w:szCs w:val="21"/>
                    </w:rPr>
                    <w:t>占标率</w:t>
                  </w:r>
                  <w:r>
                    <w:rPr>
                      <w:sz w:val="21"/>
                      <w:szCs w:val="21"/>
                    </w:rPr>
                    <w:t>(%)</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TSP</w:t>
                  </w:r>
                  <w:r>
                    <w:rPr>
                      <w:rFonts w:hAnsi="宋体"/>
                      <w:sz w:val="21"/>
                      <w:szCs w:val="21"/>
                    </w:rPr>
                    <w:t>浓度</w:t>
                  </w:r>
                  <w:r>
                    <w:rPr>
                      <w:sz w:val="21"/>
                      <w:szCs w:val="21"/>
                    </w:rPr>
                    <w:t>(μg/m³)</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TSP</w:t>
                  </w:r>
                  <w:r>
                    <w:rPr>
                      <w:rFonts w:hAnsi="宋体"/>
                      <w:sz w:val="21"/>
                      <w:szCs w:val="21"/>
                    </w:rPr>
                    <w:t>占标率</w:t>
                  </w:r>
                  <w:r>
                    <w:rPr>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50.0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2.8112</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0.2343</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28.6118</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3.1791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100.0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3.4383</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0.2865</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34.9943</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3.8883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200.0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2.9770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0.2481</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30.2992</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3.3666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300.0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2.4435</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0.2036</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24.8694</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2.7633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400.0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2.1219</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0.1768</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21.5962</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2.3996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500.0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1.8459</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0.1538</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18.7872</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2.0875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600.0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1.6604</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0.1384</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16.8992</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1.8777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700.0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1.5023</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0.1252</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15.2901</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1.6989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800.0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1.3745</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0.1145</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13.9894</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1.5544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900.0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1.2680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0.1057</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12.9054</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1.4339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1000.0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1.1767</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0.0981</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11.9762</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1.3307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1200.0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1.0230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0.0852</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10.4119</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1.1569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1400.0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0.8987</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0.0749</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9.1472</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1.0164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1600.0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0.7976</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0.0665</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8.1181</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0.9020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1800.0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0.7142</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0.0595</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7.2692</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0.8077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2000.0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0.6448</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0.0537</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6.5621</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0.7291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2500.0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0.5135</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0.0428</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5.2263</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0.5807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Ansi="宋体"/>
                      <w:sz w:val="21"/>
                      <w:szCs w:val="21"/>
                    </w:rPr>
                    <w:t>下风向最大浓度</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3.4406</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0.2867</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35.0177</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3.8909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Ansi="宋体"/>
                      <w:sz w:val="21"/>
                      <w:szCs w:val="21"/>
                    </w:rPr>
                    <w:t>下风向最大浓度出现距离</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103.0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103.0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103.0</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103.0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D10%</w:t>
                  </w:r>
                  <w:r>
                    <w:rPr>
                      <w:rFonts w:hAnsi="宋体"/>
                      <w:sz w:val="21"/>
                      <w:szCs w:val="21"/>
                    </w:rPr>
                    <w:t>最远距离</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w:t>
                  </w:r>
                </w:p>
              </w:tc>
            </w:tr>
          </w:tbl>
          <w:p>
            <w:pPr>
              <w:keepNext w:val="0"/>
              <w:keepLines w:val="0"/>
              <w:suppressLineNumbers w:val="0"/>
              <w:spacing w:before="0" w:beforeAutospacing="0" w:after="0" w:afterAutospacing="0"/>
              <w:ind w:left="0" w:right="0" w:firstLine="480"/>
              <w:jc w:val="both"/>
              <w:rPr>
                <w:kern w:val="0"/>
                <w:lang w:val="zh-CN"/>
              </w:rPr>
            </w:pPr>
            <w:r>
              <w:t>根据表7-6、7-7计算结果可得。本项目有组织排放挥发性有机物最大占标率为0.19</w:t>
            </w:r>
            <w:r>
              <w:rPr>
                <w:rFonts w:hAnsi="宋体"/>
              </w:rPr>
              <w:t>％，无组织排放挥发性有机物最大占标率为</w:t>
            </w:r>
            <w:r>
              <w:t>0.2867</w:t>
            </w:r>
            <w:r>
              <w:rPr>
                <w:rFonts w:hAnsi="宋体"/>
              </w:rPr>
              <w:t>％，无组织排放的</w:t>
            </w:r>
            <w:r>
              <w:t>TSP</w:t>
            </w:r>
            <w:r>
              <w:rPr>
                <w:rFonts w:hAnsi="宋体"/>
              </w:rPr>
              <w:t>最大占标率为</w:t>
            </w:r>
            <w:r>
              <w:t>3.8909</w:t>
            </w:r>
            <w:r>
              <w:rPr>
                <w:rFonts w:hAnsi="宋体"/>
              </w:rPr>
              <w:t>％，根据</w:t>
            </w:r>
            <w:r>
              <w:rPr>
                <w:kern w:val="0"/>
                <w:lang w:val="zh-CN"/>
              </w:rPr>
              <w:t>《环境影响评价技术导则大气环境》（HJ2.2-2018）评价等级划分要求，本项目为大气环境为二级评价项目。根据导则要求，二级评价项目不进行进一步预测与评价，只对污染物排放量进行核算。污染物排放量核算表包括有组织及无组织排放量、大气污染物年排放量、非正常排放量等。</w:t>
            </w:r>
          </w:p>
          <w:p>
            <w:pPr>
              <w:pStyle w:val="11"/>
              <w:keepNext w:val="0"/>
              <w:keepLines w:val="0"/>
              <w:suppressLineNumbers w:val="0"/>
              <w:spacing w:before="0" w:beforeAutospacing="0" w:after="0" w:afterAutospacing="0"/>
              <w:ind w:left="0" w:right="0" w:firstLine="360" w:firstLineChars="150"/>
              <w:rPr>
                <w:lang w:val="zh-CN"/>
              </w:rPr>
            </w:pPr>
            <w:r>
              <w:rPr>
                <w:rFonts w:hint="eastAsia"/>
                <w:lang w:val="zh-CN"/>
              </w:rPr>
              <w:t>（2）评价范围</w:t>
            </w:r>
          </w:p>
          <w:p>
            <w:pPr>
              <w:pStyle w:val="9"/>
              <w:keepNext w:val="0"/>
              <w:keepLines w:val="0"/>
              <w:suppressLineNumbers w:val="0"/>
              <w:spacing w:before="0" w:beforeAutospacing="0" w:after="0" w:afterAutospacing="0"/>
              <w:ind w:left="0" w:right="0" w:firstLine="480"/>
              <w:rPr>
                <w:lang w:val="zh-CN"/>
              </w:rPr>
            </w:pPr>
            <w:r>
              <w:rPr>
                <w:lang w:val="zh-CN"/>
              </w:rPr>
              <w:t>根据《环境影响评价技术导则大气环境》（HJ2.2-2018）</w:t>
            </w:r>
            <w:r>
              <w:rPr>
                <w:rFonts w:hint="eastAsia"/>
                <w:lang w:val="zh-CN"/>
              </w:rPr>
              <w:t>要求，二级评价的评价范围为以项目为中心的5km为边长的矩形区域。</w:t>
            </w:r>
          </w:p>
          <w:p>
            <w:pPr>
              <w:pStyle w:val="2"/>
              <w:keepNext w:val="0"/>
              <w:keepLines w:val="0"/>
              <w:suppressLineNumbers w:val="0"/>
              <w:spacing w:before="0" w:beforeAutospacing="0" w:after="0" w:afterAutospacing="0"/>
              <w:ind w:left="0" w:right="0" w:firstLine="360" w:firstLineChars="150"/>
              <w:jc w:val="both"/>
            </w:pPr>
            <w:r>
              <w:rPr>
                <w:rFonts w:hint="eastAsia"/>
              </w:rPr>
              <w:t>（3）污染物排放量核算</w:t>
            </w:r>
          </w:p>
          <w:p>
            <w:pPr>
              <w:pStyle w:val="2"/>
              <w:keepNext w:val="0"/>
              <w:keepLines w:val="0"/>
              <w:suppressLineNumbers w:val="0"/>
              <w:spacing w:before="0" w:beforeAutospacing="0" w:after="0" w:afterAutospacing="0"/>
              <w:ind w:left="0" w:right="0" w:firstLine="480"/>
              <w:jc w:val="both"/>
            </w:pPr>
            <w:r>
              <w:rPr>
                <w:rFonts w:hint="eastAsia"/>
              </w:rPr>
              <w:fldChar w:fldCharType="begin"/>
            </w:r>
            <w:r>
              <w:instrText xml:space="preserve"> = 1 \* GB3 </w:instrText>
            </w:r>
            <w:r>
              <w:rPr>
                <w:rFonts w:hint="eastAsia"/>
              </w:rPr>
              <w:fldChar w:fldCharType="separate"/>
            </w:r>
            <w:r>
              <w:rPr>
                <w:rFonts w:hint="eastAsia"/>
              </w:rPr>
              <w:t>①</w:t>
            </w:r>
            <w:r>
              <w:rPr>
                <w:rFonts w:hint="eastAsia"/>
              </w:rPr>
              <w:fldChar w:fldCharType="end"/>
            </w:r>
            <w:r>
              <w:rPr>
                <w:rFonts w:hint="eastAsia"/>
              </w:rPr>
              <w:t>正常情况下的有组织排放</w:t>
            </w:r>
          </w:p>
          <w:p>
            <w:pPr>
              <w:keepNext w:val="0"/>
              <w:keepLines w:val="0"/>
              <w:suppressLineNumbers w:val="0"/>
              <w:spacing w:before="0" w:beforeAutospacing="0" w:after="0" w:afterAutospacing="0"/>
              <w:ind w:left="0" w:right="0" w:firstLine="480"/>
              <w:jc w:val="both"/>
            </w:pPr>
            <w:r>
              <w:t>本项目正常情况下的有组织排放主要为食堂油烟及经挥发性有机物处理系统后排放的</w:t>
            </w:r>
            <w:r>
              <w:rPr>
                <w:rFonts w:hint="eastAsia"/>
              </w:rPr>
              <w:t>VOCs，排放情况见下表7-8</w:t>
            </w:r>
          </w:p>
          <w:p>
            <w:pPr>
              <w:pStyle w:val="2"/>
              <w:keepNext w:val="0"/>
              <w:keepLines w:val="0"/>
              <w:suppressLineNumbers w:val="0"/>
              <w:spacing w:before="0" w:beforeAutospacing="0" w:after="0" w:afterAutospacing="0" w:line="240" w:lineRule="auto"/>
              <w:ind w:left="0" w:right="0" w:firstLine="422"/>
              <w:jc w:val="center"/>
              <w:rPr>
                <w:b/>
                <w:sz w:val="21"/>
                <w:szCs w:val="21"/>
              </w:rPr>
            </w:pPr>
            <w:r>
              <w:rPr>
                <w:rFonts w:hint="eastAsia"/>
                <w:b/>
                <w:sz w:val="21"/>
                <w:szCs w:val="21"/>
              </w:rPr>
              <w:t>表7-8 本项目正常情况下有组织排放情况表</w:t>
            </w:r>
          </w:p>
          <w:tbl>
            <w:tblPr>
              <w:tblStyle w:val="19"/>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37"/>
              <w:gridCol w:w="1336"/>
              <w:gridCol w:w="1336"/>
              <w:gridCol w:w="1445"/>
              <w:gridCol w:w="1423"/>
              <w:gridCol w:w="13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08" w:type="pc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序号</w:t>
                  </w:r>
                </w:p>
              </w:tc>
              <w:tc>
                <w:tcPr>
                  <w:tcW w:w="807" w:type="pc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排放口编号</w:t>
                  </w:r>
                </w:p>
              </w:tc>
              <w:tc>
                <w:tcPr>
                  <w:tcW w:w="807" w:type="pc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污染物</w:t>
                  </w:r>
                </w:p>
              </w:tc>
              <w:tc>
                <w:tcPr>
                  <w:tcW w:w="873" w:type="pc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核算排放浓度（</w:t>
                  </w:r>
                  <w:r>
                    <w:rPr>
                      <w:kern w:val="0"/>
                      <w:sz w:val="21"/>
                      <w:szCs w:val="21"/>
                    </w:rPr>
                    <w:t>mg/m</w:t>
                  </w:r>
                  <w:r>
                    <w:rPr>
                      <w:kern w:val="0"/>
                      <w:sz w:val="21"/>
                      <w:szCs w:val="21"/>
                      <w:vertAlign w:val="superscript"/>
                    </w:rPr>
                    <w:t>3</w:t>
                  </w:r>
                  <w:r>
                    <w:rPr>
                      <w:rFonts w:hint="eastAsia"/>
                      <w:b/>
                      <w:sz w:val="21"/>
                      <w:szCs w:val="21"/>
                    </w:rPr>
                    <w:t>）</w:t>
                  </w:r>
                </w:p>
              </w:tc>
              <w:tc>
                <w:tcPr>
                  <w:tcW w:w="860" w:type="pc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核算排放速率（kg/h）</w:t>
                  </w:r>
                </w:p>
              </w:tc>
              <w:tc>
                <w:tcPr>
                  <w:tcW w:w="846" w:type="pc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核算年排放量（t/a）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08"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w:t>
                  </w:r>
                </w:p>
              </w:tc>
              <w:tc>
                <w:tcPr>
                  <w:tcW w:w="807"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排气筒1</w:t>
                  </w:r>
                </w:p>
              </w:tc>
              <w:tc>
                <w:tcPr>
                  <w:tcW w:w="807"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挥发性有机物</w:t>
                  </w:r>
                </w:p>
              </w:tc>
              <w:tc>
                <w:tcPr>
                  <w:tcW w:w="87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1.62</w:t>
                  </w:r>
                </w:p>
              </w:tc>
              <w:tc>
                <w:tcPr>
                  <w:tcW w:w="860"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0.016</w:t>
                  </w:r>
                </w:p>
              </w:tc>
              <w:tc>
                <w:tcPr>
                  <w:tcW w:w="84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0.017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08"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2</w:t>
                  </w:r>
                </w:p>
              </w:tc>
              <w:tc>
                <w:tcPr>
                  <w:tcW w:w="807"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排气筒2</w:t>
                  </w:r>
                </w:p>
              </w:tc>
              <w:tc>
                <w:tcPr>
                  <w:tcW w:w="807"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油烟</w:t>
                  </w:r>
                </w:p>
              </w:tc>
              <w:tc>
                <w:tcPr>
                  <w:tcW w:w="87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1.6</w:t>
                  </w:r>
                </w:p>
              </w:tc>
              <w:tc>
                <w:tcPr>
                  <w:tcW w:w="860"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0.005</w:t>
                  </w:r>
                </w:p>
              </w:tc>
              <w:tc>
                <w:tcPr>
                  <w:tcW w:w="846"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0.004</w:t>
                  </w:r>
                </w:p>
              </w:tc>
            </w:tr>
          </w:tbl>
          <w:p>
            <w:pPr>
              <w:pStyle w:val="2"/>
              <w:keepNext w:val="0"/>
              <w:keepLines w:val="0"/>
              <w:suppressLineNumbers w:val="0"/>
              <w:spacing w:before="0" w:beforeAutospacing="0" w:after="0" w:afterAutospacing="0"/>
              <w:ind w:left="0" w:right="0" w:firstLine="480"/>
              <w:jc w:val="both"/>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rPr>
                <w:rFonts w:hint="eastAsia"/>
              </w:rPr>
              <w:t>正常情况下的无组织排放</w:t>
            </w:r>
          </w:p>
          <w:p>
            <w:pPr>
              <w:keepNext w:val="0"/>
              <w:keepLines w:val="0"/>
              <w:suppressLineNumbers w:val="0"/>
              <w:spacing w:before="0" w:beforeAutospacing="0" w:after="0" w:afterAutospacing="0"/>
              <w:ind w:left="0" w:right="0" w:firstLine="480"/>
              <w:jc w:val="both"/>
            </w:pPr>
            <w:r>
              <w:t>项目正常情况下</w:t>
            </w:r>
            <w:r>
              <w:rPr>
                <w:rFonts w:hint="eastAsia"/>
              </w:rPr>
              <w:t>，</w:t>
            </w:r>
            <w:r>
              <w:t>无组织排放的废气主要来源于机加工</w:t>
            </w:r>
            <w:r>
              <w:rPr>
                <w:rFonts w:hint="eastAsia"/>
              </w:rPr>
              <w:t>、</w:t>
            </w:r>
            <w:r>
              <w:t>焊接产生的</w:t>
            </w:r>
            <w:r>
              <w:rPr>
                <w:rFonts w:hint="eastAsia"/>
              </w:rPr>
              <w:t>颗粒物</w:t>
            </w:r>
            <w:r>
              <w:t>及喷漆房未收集到的挥发性有机物</w:t>
            </w:r>
            <w:r>
              <w:rPr>
                <w:rFonts w:hint="eastAsia"/>
              </w:rPr>
              <w:t>，排放情况见下表7-9。</w:t>
            </w:r>
          </w:p>
          <w:p>
            <w:pPr>
              <w:keepNext w:val="0"/>
              <w:keepLines w:val="0"/>
              <w:suppressLineNumbers w:val="0"/>
              <w:spacing w:before="0" w:beforeAutospacing="0" w:after="0" w:afterAutospacing="0" w:line="240" w:lineRule="auto"/>
              <w:ind w:left="0" w:right="0" w:firstLine="422"/>
              <w:jc w:val="center"/>
              <w:rPr>
                <w:b/>
                <w:sz w:val="21"/>
                <w:szCs w:val="21"/>
              </w:rPr>
            </w:pPr>
            <w:r>
              <w:rPr>
                <w:rFonts w:hint="eastAsia"/>
                <w:b/>
                <w:sz w:val="21"/>
                <w:szCs w:val="21"/>
              </w:rPr>
              <w:t>表7-9 本项目无组织排放情况表</w:t>
            </w:r>
          </w:p>
          <w:tbl>
            <w:tblPr>
              <w:tblStyle w:val="19"/>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06"/>
              <w:gridCol w:w="535"/>
              <w:gridCol w:w="606"/>
              <w:gridCol w:w="535"/>
              <w:gridCol w:w="607"/>
              <w:gridCol w:w="3098"/>
              <w:gridCol w:w="998"/>
              <w:gridCol w:w="9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Merge w:val="restar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序号</w:t>
                  </w:r>
                </w:p>
              </w:tc>
              <w:tc>
                <w:tcPr>
                  <w:tcW w:w="0" w:type="auto"/>
                  <w:vMerge w:val="restar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排放源</w:t>
                  </w:r>
                </w:p>
              </w:tc>
              <w:tc>
                <w:tcPr>
                  <w:tcW w:w="0" w:type="auto"/>
                  <w:vMerge w:val="restar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污染物</w:t>
                  </w:r>
                </w:p>
              </w:tc>
              <w:tc>
                <w:tcPr>
                  <w:tcW w:w="0" w:type="auto"/>
                  <w:vMerge w:val="restar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产污环节</w:t>
                  </w:r>
                </w:p>
              </w:tc>
              <w:tc>
                <w:tcPr>
                  <w:tcW w:w="0" w:type="auto"/>
                  <w:vMerge w:val="restar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主要治理措施</w:t>
                  </w:r>
                </w:p>
              </w:tc>
              <w:tc>
                <w:tcPr>
                  <w:tcW w:w="0" w:type="auto"/>
                  <w:gridSpan w:val="2"/>
                  <w:vAlign w:val="center"/>
                </w:tcPr>
                <w:p>
                  <w:pPr>
                    <w:keepNext w:val="0"/>
                    <w:keepLines w:val="0"/>
                    <w:suppressLineNumbers w:val="0"/>
                    <w:spacing w:before="0" w:beforeAutospacing="0" w:after="0" w:afterAutospacing="0" w:line="240" w:lineRule="auto"/>
                    <w:ind w:left="0" w:right="0" w:firstLine="422"/>
                    <w:jc w:val="center"/>
                    <w:rPr>
                      <w:b/>
                      <w:sz w:val="21"/>
                      <w:szCs w:val="21"/>
                    </w:rPr>
                  </w:pPr>
                  <w:r>
                    <w:rPr>
                      <w:rFonts w:hint="eastAsia"/>
                      <w:b/>
                      <w:sz w:val="21"/>
                      <w:szCs w:val="21"/>
                    </w:rPr>
                    <w:t>污染物排放标准</w:t>
                  </w:r>
                </w:p>
              </w:tc>
              <w:tc>
                <w:tcPr>
                  <w:tcW w:w="0" w:type="auto"/>
                  <w:vMerge w:val="restar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年排放量（</w:t>
                  </w:r>
                  <w:r>
                    <w:rPr>
                      <w:rFonts w:hint="eastAsia"/>
                      <w:sz w:val="21"/>
                      <w:szCs w:val="21"/>
                    </w:rPr>
                    <w:t>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Merge w:val="continue"/>
                  <w:vAlign w:val="center"/>
                </w:tcPr>
                <w:p>
                  <w:pPr>
                    <w:keepNext w:val="0"/>
                    <w:keepLines w:val="0"/>
                    <w:suppressLineNumbers w:val="0"/>
                    <w:spacing w:before="0" w:beforeAutospacing="0" w:after="0" w:afterAutospacing="0" w:line="240" w:lineRule="auto"/>
                    <w:ind w:left="0" w:right="0" w:firstLine="422"/>
                    <w:jc w:val="center"/>
                    <w:rPr>
                      <w:b/>
                      <w:sz w:val="21"/>
                      <w:szCs w:val="21"/>
                    </w:rPr>
                  </w:pPr>
                </w:p>
              </w:tc>
              <w:tc>
                <w:tcPr>
                  <w:tcW w:w="0" w:type="auto"/>
                  <w:vMerge w:val="continue"/>
                  <w:vAlign w:val="center"/>
                </w:tcPr>
                <w:p>
                  <w:pPr>
                    <w:keepNext w:val="0"/>
                    <w:keepLines w:val="0"/>
                    <w:suppressLineNumbers w:val="0"/>
                    <w:spacing w:before="0" w:beforeAutospacing="0" w:after="0" w:afterAutospacing="0" w:line="240" w:lineRule="auto"/>
                    <w:ind w:left="0" w:right="0" w:firstLine="422"/>
                    <w:jc w:val="center"/>
                    <w:rPr>
                      <w:b/>
                      <w:sz w:val="21"/>
                      <w:szCs w:val="21"/>
                    </w:rPr>
                  </w:pPr>
                </w:p>
              </w:tc>
              <w:tc>
                <w:tcPr>
                  <w:tcW w:w="0" w:type="auto"/>
                  <w:vMerge w:val="continue"/>
                  <w:vAlign w:val="center"/>
                </w:tcPr>
                <w:p>
                  <w:pPr>
                    <w:keepNext w:val="0"/>
                    <w:keepLines w:val="0"/>
                    <w:suppressLineNumbers w:val="0"/>
                    <w:spacing w:before="0" w:beforeAutospacing="0" w:after="0" w:afterAutospacing="0" w:line="240" w:lineRule="auto"/>
                    <w:ind w:left="0" w:right="0" w:firstLine="422"/>
                    <w:jc w:val="center"/>
                    <w:rPr>
                      <w:b/>
                      <w:sz w:val="21"/>
                      <w:szCs w:val="21"/>
                    </w:rPr>
                  </w:pPr>
                </w:p>
              </w:tc>
              <w:tc>
                <w:tcPr>
                  <w:tcW w:w="0" w:type="auto"/>
                  <w:vMerge w:val="continue"/>
                  <w:vAlign w:val="center"/>
                </w:tcPr>
                <w:p>
                  <w:pPr>
                    <w:keepNext w:val="0"/>
                    <w:keepLines w:val="0"/>
                    <w:suppressLineNumbers w:val="0"/>
                    <w:spacing w:before="0" w:beforeAutospacing="0" w:after="0" w:afterAutospacing="0" w:line="240" w:lineRule="auto"/>
                    <w:ind w:left="0" w:right="0" w:firstLine="422"/>
                    <w:jc w:val="center"/>
                    <w:rPr>
                      <w:b/>
                      <w:sz w:val="21"/>
                      <w:szCs w:val="21"/>
                    </w:rPr>
                  </w:pPr>
                </w:p>
              </w:tc>
              <w:tc>
                <w:tcPr>
                  <w:tcW w:w="0" w:type="auto"/>
                  <w:vMerge w:val="continue"/>
                  <w:vAlign w:val="center"/>
                </w:tcPr>
                <w:p>
                  <w:pPr>
                    <w:keepNext w:val="0"/>
                    <w:keepLines w:val="0"/>
                    <w:suppressLineNumbers w:val="0"/>
                    <w:spacing w:before="0" w:beforeAutospacing="0" w:after="0" w:afterAutospacing="0" w:line="240" w:lineRule="auto"/>
                    <w:ind w:left="0" w:right="0" w:firstLine="422"/>
                    <w:jc w:val="center"/>
                    <w:rPr>
                      <w:b/>
                      <w:sz w:val="21"/>
                      <w:szCs w:val="21"/>
                    </w:rPr>
                  </w:pPr>
                </w:p>
              </w:tc>
              <w:tc>
                <w:tcPr>
                  <w:tcW w:w="0" w:type="auto"/>
                  <w:vAlign w:val="center"/>
                </w:tcPr>
                <w:p>
                  <w:pPr>
                    <w:keepNext w:val="0"/>
                    <w:keepLines w:val="0"/>
                    <w:suppressLineNumbers w:val="0"/>
                    <w:spacing w:before="0" w:beforeAutospacing="0" w:after="0" w:afterAutospacing="0" w:line="240" w:lineRule="auto"/>
                    <w:ind w:left="0" w:right="0" w:firstLine="422"/>
                    <w:jc w:val="center"/>
                    <w:rPr>
                      <w:b/>
                      <w:sz w:val="21"/>
                      <w:szCs w:val="21"/>
                    </w:rPr>
                  </w:pPr>
                  <w:r>
                    <w:rPr>
                      <w:rFonts w:hint="eastAsia"/>
                      <w:b/>
                      <w:sz w:val="21"/>
                      <w:szCs w:val="21"/>
                    </w:rPr>
                    <w:t>标准名称</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浓度限值</w:t>
                  </w:r>
                </w:p>
              </w:tc>
              <w:tc>
                <w:tcPr>
                  <w:tcW w:w="0" w:type="auto"/>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keepNext w:val="0"/>
                    <w:keepLines w:val="0"/>
                    <w:suppressLineNumbers w:val="0"/>
                    <w:spacing w:before="0" w:beforeAutospacing="0" w:after="0" w:afterAutospacing="0"/>
                    <w:ind w:left="0" w:right="0" w:firstLine="0" w:firstLineChars="0"/>
                    <w:jc w:val="center"/>
                    <w:rPr>
                      <w:sz w:val="21"/>
                      <w:szCs w:val="21"/>
                    </w:rPr>
                  </w:pPr>
                  <w:r>
                    <w:rPr>
                      <w:rFonts w:hint="eastAsia"/>
                      <w:sz w:val="21"/>
                      <w:szCs w:val="21"/>
                    </w:rPr>
                    <w:t>1</w:t>
                  </w:r>
                </w:p>
              </w:tc>
              <w:tc>
                <w:tcPr>
                  <w:tcW w:w="0" w:type="auto"/>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生产车间</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挥发性有机物</w:t>
                  </w:r>
                </w:p>
              </w:tc>
              <w:tc>
                <w:tcPr>
                  <w:tcW w:w="0" w:type="auto"/>
                  <w:vAlign w:val="center"/>
                </w:tcPr>
                <w:p>
                  <w:pPr>
                    <w:keepNext w:val="0"/>
                    <w:keepLines w:val="0"/>
                    <w:suppressLineNumbers w:val="0"/>
                    <w:spacing w:before="0" w:beforeAutospacing="0" w:after="0" w:afterAutospacing="0"/>
                    <w:ind w:left="0" w:right="0" w:firstLine="0" w:firstLineChars="0"/>
                    <w:jc w:val="center"/>
                    <w:rPr>
                      <w:sz w:val="21"/>
                      <w:szCs w:val="21"/>
                    </w:rPr>
                  </w:pPr>
                  <w:r>
                    <w:rPr>
                      <w:sz w:val="21"/>
                      <w:szCs w:val="21"/>
                    </w:rPr>
                    <w:t>喷漆</w:t>
                  </w:r>
                </w:p>
              </w:tc>
              <w:tc>
                <w:tcPr>
                  <w:tcW w:w="0" w:type="auto"/>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车间通风</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《挥发性有机物无组织排放控制标准》（GB37822-2019）</w:t>
                  </w:r>
                  <w:r>
                    <w:rPr>
                      <w:rFonts w:hint="eastAsia"/>
                      <w:sz w:val="21"/>
                      <w:szCs w:val="21"/>
                    </w:rPr>
                    <w:t>监控点处1h评价浓度值10 mg/m</w:t>
                  </w:r>
                  <w:r>
                    <w:rPr>
                      <w:rFonts w:hint="eastAsia"/>
                      <w:sz w:val="21"/>
                      <w:szCs w:val="21"/>
                      <w:vertAlign w:val="superscript"/>
                    </w:rPr>
                    <w:t>3</w:t>
                  </w:r>
                  <w:r>
                    <w:rPr>
                      <w:sz w:val="21"/>
                      <w:szCs w:val="21"/>
                    </w:rPr>
                    <w:t>。</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10mg/m</w:t>
                  </w:r>
                  <w:r>
                    <w:rPr>
                      <w:rFonts w:hint="eastAsia"/>
                      <w:sz w:val="21"/>
                      <w:szCs w:val="21"/>
                      <w:vertAlign w:val="superscript"/>
                    </w:rPr>
                    <w:t>3</w:t>
                  </w:r>
                </w:p>
              </w:tc>
              <w:tc>
                <w:tcPr>
                  <w:tcW w:w="0" w:type="auto"/>
                  <w:vAlign w:val="center"/>
                </w:tcPr>
                <w:p>
                  <w:pPr>
                    <w:keepNext w:val="0"/>
                    <w:keepLines w:val="0"/>
                    <w:suppressLineNumbers w:val="0"/>
                    <w:spacing w:before="0" w:beforeAutospacing="0" w:after="0" w:afterAutospacing="0"/>
                    <w:ind w:left="0" w:right="0" w:firstLine="0" w:firstLineChars="0"/>
                    <w:jc w:val="center"/>
                    <w:rPr>
                      <w:sz w:val="21"/>
                      <w:szCs w:val="21"/>
                    </w:rPr>
                  </w:pPr>
                  <w:r>
                    <w:rPr>
                      <w:rFonts w:hint="eastAsia"/>
                      <w:sz w:val="21"/>
                      <w:szCs w:val="21"/>
                    </w:rPr>
                    <w:t>0.009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keepNext w:val="0"/>
                    <w:keepLines w:val="0"/>
                    <w:suppressLineNumbers w:val="0"/>
                    <w:spacing w:before="0" w:beforeAutospacing="0" w:after="0" w:afterAutospacing="0"/>
                    <w:ind w:left="0" w:right="0" w:firstLine="0" w:firstLineChars="0"/>
                    <w:jc w:val="center"/>
                    <w:rPr>
                      <w:sz w:val="21"/>
                      <w:szCs w:val="21"/>
                    </w:rPr>
                  </w:pPr>
                  <w:r>
                    <w:rPr>
                      <w:rFonts w:hint="eastAsia"/>
                      <w:sz w:val="21"/>
                      <w:szCs w:val="21"/>
                    </w:rPr>
                    <w:t>2</w:t>
                  </w:r>
                </w:p>
              </w:tc>
              <w:tc>
                <w:tcPr>
                  <w:tcW w:w="0" w:type="auto"/>
                  <w:vMerge w:val="continue"/>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颗粒物</w:t>
                  </w:r>
                </w:p>
              </w:tc>
              <w:tc>
                <w:tcPr>
                  <w:tcW w:w="0" w:type="auto"/>
                  <w:vAlign w:val="center"/>
                </w:tcPr>
                <w:p>
                  <w:pPr>
                    <w:keepNext w:val="0"/>
                    <w:keepLines w:val="0"/>
                    <w:suppressLineNumbers w:val="0"/>
                    <w:spacing w:before="0" w:beforeAutospacing="0" w:after="0" w:afterAutospacing="0"/>
                    <w:ind w:left="0" w:right="0" w:firstLine="0" w:firstLineChars="0"/>
                    <w:jc w:val="center"/>
                    <w:rPr>
                      <w:sz w:val="21"/>
                      <w:szCs w:val="21"/>
                    </w:rPr>
                  </w:pPr>
                  <w:r>
                    <w:rPr>
                      <w:sz w:val="21"/>
                      <w:szCs w:val="21"/>
                    </w:rPr>
                    <w:t>焊接</w:t>
                  </w:r>
                </w:p>
              </w:tc>
              <w:tc>
                <w:tcPr>
                  <w:tcW w:w="0" w:type="auto"/>
                  <w:vMerge w:val="continue"/>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p>
              </w:tc>
              <w:tc>
                <w:tcPr>
                  <w:tcW w:w="0" w:type="auto"/>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《大气污染物综合排放标准》（GB16297-1996）</w:t>
                  </w:r>
                </w:p>
              </w:tc>
              <w:tc>
                <w:tcPr>
                  <w:tcW w:w="0" w:type="auto"/>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1mg/m</w:t>
                  </w:r>
                  <w:r>
                    <w:rPr>
                      <w:rFonts w:hint="eastAsia"/>
                      <w:sz w:val="21"/>
                      <w:szCs w:val="21"/>
                      <w:vertAlign w:val="superscript"/>
                    </w:rPr>
                    <w:t>3</w:t>
                  </w:r>
                </w:p>
              </w:tc>
              <w:tc>
                <w:tcPr>
                  <w:tcW w:w="0" w:type="auto"/>
                  <w:vAlign w:val="center"/>
                </w:tcPr>
                <w:p>
                  <w:pPr>
                    <w:keepNext w:val="0"/>
                    <w:keepLines w:val="0"/>
                    <w:suppressLineNumbers w:val="0"/>
                    <w:spacing w:before="0" w:beforeAutospacing="0" w:after="0" w:afterAutospacing="0"/>
                    <w:ind w:left="0" w:right="0" w:firstLine="0" w:firstLineChars="0"/>
                    <w:jc w:val="center"/>
                    <w:rPr>
                      <w:sz w:val="21"/>
                      <w:szCs w:val="21"/>
                    </w:rPr>
                  </w:pPr>
                  <w:r>
                    <w:rPr>
                      <w:rFonts w:hint="eastAsia"/>
                      <w:sz w:val="21"/>
                      <w:szCs w:val="21"/>
                    </w:rPr>
                    <w:t>0.0349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keepNext w:val="0"/>
                    <w:keepLines w:val="0"/>
                    <w:suppressLineNumbers w:val="0"/>
                    <w:spacing w:before="0" w:beforeAutospacing="0" w:after="0" w:afterAutospacing="0"/>
                    <w:ind w:left="0" w:right="0" w:firstLine="420"/>
                    <w:jc w:val="center"/>
                    <w:rPr>
                      <w:sz w:val="21"/>
                      <w:szCs w:val="21"/>
                    </w:rPr>
                  </w:pPr>
                  <w:r>
                    <w:rPr>
                      <w:rFonts w:hint="eastAsia"/>
                      <w:sz w:val="21"/>
                      <w:szCs w:val="21"/>
                    </w:rPr>
                    <w:t>33</w:t>
                  </w:r>
                </w:p>
              </w:tc>
              <w:tc>
                <w:tcPr>
                  <w:tcW w:w="0" w:type="auto"/>
                  <w:vMerge w:val="continue"/>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颗粒物</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机械加工</w:t>
                  </w:r>
                </w:p>
              </w:tc>
              <w:tc>
                <w:tcPr>
                  <w:tcW w:w="0" w:type="auto"/>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p>
              </w:tc>
              <w:tc>
                <w:tcPr>
                  <w:tcW w:w="0" w:type="auto"/>
                  <w:vMerge w:val="continue"/>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p>
              </w:tc>
              <w:tc>
                <w:tcPr>
                  <w:tcW w:w="0" w:type="auto"/>
                  <w:vMerge w:val="continue"/>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p>
              </w:tc>
              <w:tc>
                <w:tcPr>
                  <w:tcW w:w="0" w:type="auto"/>
                  <w:vAlign w:val="center"/>
                </w:tcPr>
                <w:p>
                  <w:pPr>
                    <w:keepNext w:val="0"/>
                    <w:keepLines w:val="0"/>
                    <w:suppressLineNumbers w:val="0"/>
                    <w:spacing w:before="0" w:beforeAutospacing="0" w:after="0" w:afterAutospacing="0"/>
                    <w:ind w:left="0" w:right="0" w:firstLine="0" w:firstLineChars="0"/>
                    <w:jc w:val="center"/>
                    <w:rPr>
                      <w:sz w:val="21"/>
                      <w:szCs w:val="21"/>
                    </w:rPr>
                  </w:pPr>
                  <w:r>
                    <w:rPr>
                      <w:rFonts w:hint="eastAsia"/>
                      <w:sz w:val="21"/>
                      <w:szCs w:val="21"/>
                    </w:rPr>
                    <w:t>0.075</w:t>
                  </w:r>
                </w:p>
              </w:tc>
            </w:tr>
          </w:tbl>
          <w:p>
            <w:pPr>
              <w:pStyle w:val="2"/>
              <w:keepNext w:val="0"/>
              <w:keepLines w:val="0"/>
              <w:suppressLineNumbers w:val="0"/>
              <w:spacing w:before="0" w:beforeAutospacing="0" w:after="0" w:afterAutospacing="0"/>
              <w:ind w:left="0" w:right="0" w:firstLine="480"/>
              <w:jc w:val="both"/>
            </w:pPr>
            <w:r>
              <w:rPr>
                <w:rFonts w:hint="eastAsia"/>
              </w:rPr>
              <w:fldChar w:fldCharType="begin"/>
            </w:r>
            <w:r>
              <w:instrText xml:space="preserve"> = 3 \* GB3 </w:instrText>
            </w:r>
            <w:r>
              <w:rPr>
                <w:rFonts w:hint="eastAsia"/>
              </w:rPr>
              <w:fldChar w:fldCharType="separate"/>
            </w:r>
            <w:r>
              <w:rPr>
                <w:rFonts w:hint="eastAsia"/>
              </w:rPr>
              <w:t>③</w:t>
            </w:r>
            <w:r>
              <w:rPr>
                <w:rFonts w:hint="eastAsia"/>
              </w:rPr>
              <w:fldChar w:fldCharType="end"/>
            </w:r>
            <w:r>
              <w:t>非</w:t>
            </w:r>
            <w:r>
              <w:rPr>
                <w:rFonts w:hint="eastAsia"/>
              </w:rPr>
              <w:t>正常情况下的无组织排放</w:t>
            </w:r>
          </w:p>
          <w:p>
            <w:pPr>
              <w:keepNext w:val="0"/>
              <w:keepLines w:val="0"/>
              <w:suppressLineNumbers w:val="0"/>
              <w:spacing w:before="0" w:beforeAutospacing="0" w:after="0" w:afterAutospacing="0"/>
              <w:ind w:left="0" w:right="0" w:firstLine="480"/>
              <w:jc w:val="both"/>
            </w:pPr>
            <w:r>
              <w:rPr>
                <w:rFonts w:hint="eastAsia"/>
              </w:rPr>
              <w:t>项目非正常情况考虑活性炭吸附装置、食堂油烟净化器维护不到位，导致去除效率降低至设计处理效率的一半。在此情况下，项目污染物排放情况如下表7-10。</w:t>
            </w:r>
          </w:p>
          <w:p>
            <w:pPr>
              <w:keepNext w:val="0"/>
              <w:keepLines w:val="0"/>
              <w:suppressLineNumbers w:val="0"/>
              <w:autoSpaceDE w:val="0"/>
              <w:autoSpaceDN w:val="0"/>
              <w:adjustRightInd w:val="0"/>
              <w:spacing w:before="0" w:beforeAutospacing="0" w:after="0" w:afterAutospacing="0" w:line="240" w:lineRule="auto"/>
              <w:ind w:left="0" w:right="0" w:firstLine="0" w:firstLineChars="0"/>
              <w:jc w:val="center"/>
              <w:rPr>
                <w:b/>
                <w:kern w:val="0"/>
                <w:sz w:val="21"/>
                <w:szCs w:val="21"/>
                <w:lang w:val="zh-CN"/>
              </w:rPr>
            </w:pPr>
            <w:r>
              <w:rPr>
                <w:rFonts w:hint="eastAsia"/>
                <w:b/>
                <w:kern w:val="0"/>
                <w:sz w:val="21"/>
                <w:szCs w:val="21"/>
                <w:lang w:val="zh-CN"/>
              </w:rPr>
              <w:t>表7-10 非正常情况下污染物排放量核算表</w:t>
            </w:r>
          </w:p>
          <w:tbl>
            <w:tblPr>
              <w:tblStyle w:val="19"/>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87"/>
              <w:gridCol w:w="887"/>
              <w:gridCol w:w="887"/>
              <w:gridCol w:w="887"/>
              <w:gridCol w:w="974"/>
              <w:gridCol w:w="1035"/>
              <w:gridCol w:w="943"/>
              <w:gridCol w:w="888"/>
              <w:gridCol w:w="88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79" w:type="dxa"/>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序号</w:t>
                  </w:r>
                </w:p>
              </w:tc>
              <w:tc>
                <w:tcPr>
                  <w:tcW w:w="979" w:type="dxa"/>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非正常设施</w:t>
                  </w:r>
                </w:p>
              </w:tc>
              <w:tc>
                <w:tcPr>
                  <w:tcW w:w="979" w:type="dxa"/>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非正常原因</w:t>
                  </w:r>
                </w:p>
              </w:tc>
              <w:tc>
                <w:tcPr>
                  <w:tcW w:w="978" w:type="dxa"/>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污染物</w:t>
                  </w:r>
                </w:p>
              </w:tc>
              <w:tc>
                <w:tcPr>
                  <w:tcW w:w="982" w:type="dxa"/>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非正常排放浓度(mg/m</w:t>
                  </w:r>
                  <w:r>
                    <w:rPr>
                      <w:rFonts w:hint="eastAsia"/>
                      <w:b/>
                      <w:sz w:val="21"/>
                      <w:szCs w:val="21"/>
                      <w:vertAlign w:val="superscript"/>
                    </w:rPr>
                    <w:t>3</w:t>
                  </w:r>
                  <w:r>
                    <w:rPr>
                      <w:rFonts w:hint="eastAsia"/>
                      <w:b/>
                      <w:sz w:val="21"/>
                      <w:szCs w:val="21"/>
                    </w:rPr>
                    <w:t>)</w:t>
                  </w:r>
                </w:p>
              </w:tc>
              <w:tc>
                <w:tcPr>
                  <w:tcW w:w="1010" w:type="dxa"/>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非正常排放速率（kg/h）</w:t>
                  </w:r>
                </w:p>
              </w:tc>
              <w:tc>
                <w:tcPr>
                  <w:tcW w:w="980" w:type="dxa"/>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单次持续时间（h）</w:t>
                  </w:r>
                </w:p>
              </w:tc>
              <w:tc>
                <w:tcPr>
                  <w:tcW w:w="979" w:type="dxa"/>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年发生频次</w:t>
                  </w:r>
                </w:p>
              </w:tc>
              <w:tc>
                <w:tcPr>
                  <w:tcW w:w="979" w:type="dxa"/>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应对措施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82" w:type="dxa"/>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w:t>
                  </w:r>
                </w:p>
              </w:tc>
              <w:tc>
                <w:tcPr>
                  <w:tcW w:w="982" w:type="dxa"/>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活性炭吸附装置</w:t>
                  </w:r>
                </w:p>
              </w:tc>
              <w:tc>
                <w:tcPr>
                  <w:tcW w:w="982" w:type="dxa"/>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维护</w:t>
                  </w:r>
                </w:p>
              </w:tc>
              <w:tc>
                <w:tcPr>
                  <w:tcW w:w="982" w:type="dxa"/>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挥发性有机物</w:t>
                  </w:r>
                </w:p>
              </w:tc>
              <w:tc>
                <w:tcPr>
                  <w:tcW w:w="982" w:type="dxa"/>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4.86</w:t>
                  </w:r>
                </w:p>
              </w:tc>
              <w:tc>
                <w:tcPr>
                  <w:tcW w:w="982" w:type="dxa"/>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0.0486</w:t>
                  </w:r>
                </w:p>
              </w:tc>
              <w:tc>
                <w:tcPr>
                  <w:tcW w:w="982" w:type="dxa"/>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w:t>
                  </w:r>
                </w:p>
              </w:tc>
              <w:tc>
                <w:tcPr>
                  <w:tcW w:w="983" w:type="dxa"/>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w:t>
                  </w:r>
                </w:p>
              </w:tc>
              <w:tc>
                <w:tcPr>
                  <w:tcW w:w="983" w:type="dxa"/>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停产维护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79" w:type="dxa"/>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2</w:t>
                  </w:r>
                </w:p>
              </w:tc>
              <w:tc>
                <w:tcPr>
                  <w:tcW w:w="979" w:type="dxa"/>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食堂油烟净化器</w:t>
                  </w:r>
                </w:p>
              </w:tc>
              <w:tc>
                <w:tcPr>
                  <w:tcW w:w="979" w:type="dxa"/>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维护</w:t>
                  </w:r>
                </w:p>
              </w:tc>
              <w:tc>
                <w:tcPr>
                  <w:tcW w:w="978" w:type="dxa"/>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油烟</w:t>
                  </w:r>
                </w:p>
              </w:tc>
              <w:tc>
                <w:tcPr>
                  <w:tcW w:w="982" w:type="dxa"/>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2.8</w:t>
                  </w:r>
                </w:p>
              </w:tc>
              <w:tc>
                <w:tcPr>
                  <w:tcW w:w="1010" w:type="dxa"/>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0.008</w:t>
                  </w:r>
                </w:p>
              </w:tc>
              <w:tc>
                <w:tcPr>
                  <w:tcW w:w="980" w:type="dxa"/>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w:t>
                  </w:r>
                </w:p>
              </w:tc>
              <w:tc>
                <w:tcPr>
                  <w:tcW w:w="979" w:type="dxa"/>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w:t>
                  </w:r>
                </w:p>
              </w:tc>
              <w:tc>
                <w:tcPr>
                  <w:tcW w:w="979" w:type="dxa"/>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r>
          </w:tbl>
          <w:p>
            <w:pPr>
              <w:keepNext w:val="0"/>
              <w:keepLines w:val="0"/>
              <w:suppressLineNumbers w:val="0"/>
              <w:adjustRightInd w:val="0"/>
              <w:snapToGrid w:val="0"/>
              <w:spacing w:before="240" w:beforeAutospacing="0" w:after="0" w:afterAutospacing="0"/>
              <w:ind w:left="0" w:right="0" w:firstLine="480" w:firstLineChars="0"/>
              <w:jc w:val="both"/>
            </w:pPr>
            <w:r>
              <w:rPr>
                <w:rFonts w:hint="eastAsia"/>
              </w:rPr>
              <w:t>（3）本项目废气控制措施可行性分析</w:t>
            </w:r>
          </w:p>
          <w:p>
            <w:pPr>
              <w:keepNext w:val="0"/>
              <w:keepLines w:val="0"/>
              <w:suppressLineNumbers w:val="0"/>
              <w:spacing w:before="0" w:beforeAutospacing="0" w:after="0" w:afterAutospacing="0"/>
              <w:ind w:left="0" w:right="0" w:firstLine="480" w:firstLineChars="0"/>
              <w:jc w:val="both"/>
            </w:pPr>
            <w:r>
              <w:rPr>
                <w:rFonts w:hint="eastAsia"/>
              </w:rPr>
              <w:fldChar w:fldCharType="begin"/>
            </w:r>
            <w:r>
              <w:instrText xml:space="preserve"> = 1 \* GB3 </w:instrText>
            </w:r>
            <w:r>
              <w:rPr>
                <w:rFonts w:hint="eastAsia"/>
              </w:rPr>
              <w:fldChar w:fldCharType="separate"/>
            </w:r>
            <w:r>
              <w:rPr>
                <w:rFonts w:hint="eastAsia"/>
              </w:rPr>
              <w:t>①</w:t>
            </w:r>
            <w:r>
              <w:rPr>
                <w:rFonts w:hint="eastAsia"/>
              </w:rPr>
              <w:fldChar w:fldCharType="end"/>
            </w:r>
            <w:r>
              <w:t>密闭喷漆房</w:t>
            </w:r>
            <w:r>
              <w:rPr>
                <w:rFonts w:hint="eastAsia"/>
              </w:rPr>
              <w:t>+</w:t>
            </w:r>
            <w:r>
              <w:t>过滤棉</w:t>
            </w:r>
            <w:r>
              <w:rPr>
                <w:rFonts w:hint="eastAsia"/>
              </w:rPr>
              <w:t>+</w:t>
            </w:r>
            <w:r>
              <w:t>活性炭吸附装置</w:t>
            </w:r>
          </w:p>
          <w:p>
            <w:pPr>
              <w:keepNext w:val="0"/>
              <w:keepLines w:val="0"/>
              <w:suppressLineNumbers w:val="0"/>
              <w:autoSpaceDE w:val="0"/>
              <w:autoSpaceDN w:val="0"/>
              <w:adjustRightInd w:val="0"/>
              <w:snapToGrid w:val="0"/>
              <w:spacing w:before="0" w:beforeAutospacing="0" w:after="0" w:afterAutospacing="0"/>
              <w:ind w:left="0" w:right="0" w:firstLine="480"/>
              <w:jc w:val="both"/>
            </w:pPr>
            <w:r>
              <w:rPr>
                <w:bCs/>
                <w:kern w:val="10"/>
              </w:rPr>
              <w:t>本项目运营过程中产生的挥发性有机物及漆雾采用“过滤棉+ 活性炭吸附”系统进行处理。</w:t>
            </w:r>
            <w:r>
              <w:rPr>
                <w:rFonts w:hint="eastAsia"/>
                <w:bCs/>
                <w:kern w:val="10"/>
              </w:rPr>
              <w:t>项目</w:t>
            </w:r>
            <w:r>
              <w:rPr>
                <w:bCs/>
                <w:kern w:val="10"/>
              </w:rPr>
              <w:t>的</w:t>
            </w:r>
            <w:r>
              <w:rPr>
                <w:rFonts w:hint="eastAsia"/>
                <w:bCs/>
                <w:kern w:val="10"/>
              </w:rPr>
              <w:t>2个喷漆房均为密闭车间</w:t>
            </w:r>
            <w:r>
              <w:rPr>
                <w:kern w:val="10"/>
              </w:rPr>
              <w:t>，可有效的收集喷漆过程产生的</w:t>
            </w:r>
            <w:r>
              <w:rPr>
                <w:rFonts w:hint="eastAsia"/>
                <w:kern w:val="10"/>
              </w:rPr>
              <w:t>90%</w:t>
            </w:r>
            <w:r>
              <w:rPr>
                <w:kern w:val="10"/>
              </w:rPr>
              <w:t>有机废气</w:t>
            </w:r>
            <w:r>
              <w:rPr>
                <w:rFonts w:hint="eastAsia"/>
                <w:kern w:val="10"/>
              </w:rPr>
              <w:t>，</w:t>
            </w:r>
            <w:r>
              <w:rPr>
                <w:kern w:val="10"/>
              </w:rPr>
              <w:t>通过集气总管连接</w:t>
            </w:r>
            <w:r>
              <w:rPr>
                <w:rFonts w:hint="eastAsia"/>
                <w:kern w:val="10"/>
              </w:rPr>
              <w:t>1</w:t>
            </w:r>
            <w:r>
              <w:rPr>
                <w:kern w:val="10"/>
              </w:rPr>
              <w:t>套“</w:t>
            </w:r>
            <w:r>
              <w:rPr>
                <w:rFonts w:hint="eastAsia"/>
                <w:kern w:val="10"/>
              </w:rPr>
              <w:t>过滤棉</w:t>
            </w:r>
            <w:r>
              <w:rPr>
                <w:kern w:val="10"/>
              </w:rPr>
              <w:t>+活性炭吸附”系统处理，最后由一根</w:t>
            </w:r>
            <w:r>
              <w:rPr>
                <w:rFonts w:hint="eastAsia"/>
                <w:kern w:val="10"/>
              </w:rPr>
              <w:t>20</w:t>
            </w:r>
            <w:r>
              <w:rPr>
                <w:kern w:val="10"/>
              </w:rPr>
              <w:t>m高排气筒排放。风机风量为</w:t>
            </w:r>
            <w:r>
              <w:rPr>
                <w:rFonts w:hint="eastAsia"/>
                <w:kern w:val="10"/>
              </w:rPr>
              <w:t>10</w:t>
            </w:r>
            <w:r>
              <w:rPr>
                <w:kern w:val="10"/>
              </w:rPr>
              <w:t>00m</w:t>
            </w:r>
            <w:r>
              <w:rPr>
                <w:kern w:val="10"/>
                <w:vertAlign w:val="superscript"/>
              </w:rPr>
              <w:t>3</w:t>
            </w:r>
            <w:r>
              <w:rPr>
                <w:kern w:val="10"/>
              </w:rPr>
              <w:t>/h，挥发性有机物处理效率不低于</w:t>
            </w:r>
            <w:r>
              <w:rPr>
                <w:rFonts w:hint="eastAsia"/>
                <w:kern w:val="10"/>
              </w:rPr>
              <w:t>80</w:t>
            </w:r>
            <w:r>
              <w:rPr>
                <w:kern w:val="10"/>
              </w:rPr>
              <w:t>%</w:t>
            </w:r>
            <w:r>
              <w:rPr>
                <w:rFonts w:hint="eastAsia"/>
                <w:kern w:val="10"/>
              </w:rPr>
              <w:t>，</w:t>
            </w:r>
            <w:r>
              <w:rPr>
                <w:kern w:val="10"/>
              </w:rPr>
              <w:t>漆雾处理效率不等于</w:t>
            </w:r>
            <w:r>
              <w:rPr>
                <w:rFonts w:hint="eastAsia"/>
                <w:kern w:val="10"/>
              </w:rPr>
              <w:t>90%</w:t>
            </w:r>
            <w:r>
              <w:rPr>
                <w:kern w:val="10"/>
              </w:rPr>
              <w:t>。根据云南省生态环境厅《关于印发云南省重点行业挥发性有机物综合治理实施方案的通知》（云环通[2019]125号）文件要求，本项目首先工艺设备均在密闭厂房内进行，其次，有机废气采用吸附法，并且是“</w:t>
            </w:r>
            <w:r>
              <w:rPr>
                <w:rFonts w:hint="eastAsia"/>
                <w:bCs/>
                <w:kern w:val="10"/>
              </w:rPr>
              <w:t>过滤棉</w:t>
            </w:r>
            <w:r>
              <w:rPr>
                <w:bCs/>
                <w:kern w:val="10"/>
              </w:rPr>
              <w:t>+活性炭吸附</w:t>
            </w:r>
            <w:r>
              <w:rPr>
                <w:kern w:val="10"/>
              </w:rPr>
              <w:t>”组合工艺，而非单级处理，处理效率能达到</w:t>
            </w:r>
            <w:r>
              <w:rPr>
                <w:rFonts w:hint="eastAsia"/>
                <w:kern w:val="10"/>
              </w:rPr>
              <w:t>80</w:t>
            </w:r>
            <w:r>
              <w:rPr>
                <w:kern w:val="10"/>
              </w:rPr>
              <w:t>%，符合通知中“去除效率不低于80%”要求，该工艺广泛应用在处理石油化工、制药、喷漆、烤漆、印刷等有机废气行业，而且效果理想。</w:t>
            </w:r>
            <w:r>
              <w:rPr>
                <w:bCs/>
                <w:kern w:val="10"/>
              </w:rPr>
              <w:t>本环评要求建设单位委托有设计资质的环保设备厂家进行废气设施设计、安装等，确保设施设计符合《吸附法工艺有机废气技术规范要求》。</w:t>
            </w:r>
          </w:p>
          <w:p>
            <w:pPr>
              <w:pStyle w:val="33"/>
              <w:keepNext w:val="0"/>
              <w:keepLines w:val="0"/>
              <w:suppressLineNumbers w:val="0"/>
              <w:spacing w:before="0" w:beforeAutospacing="0" w:after="0" w:afterAutospacing="0"/>
              <w:ind w:left="0" w:right="0" w:firstLine="480"/>
              <w:rPr>
                <w:rFonts w:ascii="Times New Roman" w:hAnsi="Times New Roman"/>
              </w:rPr>
            </w:pPr>
            <w:r>
              <w:rPr>
                <w:rFonts w:ascii="Times New Roman"/>
              </w:rPr>
              <w:t>项目经该处理装置后挥发性有机物的排放浓度为</w:t>
            </w:r>
            <w:r>
              <w:rPr>
                <w:rFonts w:ascii="Times New Roman" w:hAnsi="Times New Roman"/>
              </w:rPr>
              <w:t>1.3mg/</w:t>
            </w:r>
            <w:r>
              <w:rPr>
                <w:rFonts w:ascii="Times New Roman" w:hAnsi="Times New Roman"/>
                <w:kern w:val="10"/>
              </w:rPr>
              <w:t xml:space="preserve"> m</w:t>
            </w:r>
            <w:r>
              <w:rPr>
                <w:rFonts w:ascii="Times New Roman" w:hAnsi="Times New Roman"/>
                <w:kern w:val="10"/>
                <w:vertAlign w:val="superscript"/>
              </w:rPr>
              <w:t>3</w:t>
            </w:r>
            <w:r>
              <w:rPr>
                <w:rFonts w:ascii="Times New Roman" w:hAnsi="Times New Roman"/>
                <w:kern w:val="10"/>
              </w:rPr>
              <w:t>,</w:t>
            </w:r>
            <w:r>
              <w:rPr>
                <w:rFonts w:ascii="Times New Roman"/>
                <w:kern w:val="10"/>
              </w:rPr>
              <w:t>能满足</w:t>
            </w:r>
            <w:r>
              <w:rPr>
                <w:rFonts w:ascii="Times New Roman"/>
              </w:rPr>
              <w:t>《大气污染物综合排放标准》（</w:t>
            </w:r>
            <w:r>
              <w:rPr>
                <w:rFonts w:ascii="Times New Roman" w:hAnsi="Times New Roman"/>
              </w:rPr>
              <w:t>GB16297-1996</w:t>
            </w:r>
            <w:r>
              <w:rPr>
                <w:rFonts w:ascii="Times New Roman"/>
              </w:rPr>
              <w:t>）表</w:t>
            </w:r>
            <w:r>
              <w:rPr>
                <w:rFonts w:ascii="Times New Roman" w:hAnsi="Times New Roman"/>
              </w:rPr>
              <w:t>2</w:t>
            </w:r>
            <w:r>
              <w:rPr>
                <w:rFonts w:ascii="Times New Roman"/>
              </w:rPr>
              <w:t>中非甲烷总烃最高允许排放浓度限值。</w:t>
            </w:r>
          </w:p>
          <w:p>
            <w:pPr>
              <w:pStyle w:val="2"/>
              <w:keepNext w:val="0"/>
              <w:keepLines w:val="0"/>
              <w:suppressLineNumbers w:val="0"/>
              <w:spacing w:before="0" w:beforeAutospacing="0" w:after="0" w:afterAutospacing="0"/>
              <w:ind w:left="0" w:right="0" w:firstLine="480"/>
              <w:jc w:val="both"/>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t>食堂油烟净化器</w:t>
            </w:r>
          </w:p>
          <w:p>
            <w:pPr>
              <w:keepNext w:val="0"/>
              <w:keepLines w:val="0"/>
              <w:suppressLineNumbers w:val="0"/>
              <w:spacing w:before="0" w:beforeAutospacing="0" w:after="0" w:afterAutospacing="0"/>
              <w:ind w:left="0" w:right="0" w:firstLine="480"/>
              <w:jc w:val="both"/>
              <w:rPr>
                <w:kern w:val="10"/>
              </w:rPr>
            </w:pPr>
            <w:r>
              <w:rPr>
                <w:rFonts w:hint="eastAsia"/>
              </w:rPr>
              <w:t>本项目</w:t>
            </w:r>
            <w:r>
              <w:t>食堂设置</w:t>
            </w:r>
            <w:r>
              <w:rPr>
                <w:rFonts w:hint="eastAsia"/>
              </w:rPr>
              <w:t>2</w:t>
            </w:r>
            <w:r>
              <w:t>个灶头，根据《饮食业油烟排放标准》（GB18483-2001）中规模划分为</w:t>
            </w:r>
            <w:r>
              <w:rPr>
                <w:rFonts w:hint="eastAsia"/>
              </w:rPr>
              <w:t>小</w:t>
            </w:r>
            <w:r>
              <w:t>型食堂，根据该标准要求</w:t>
            </w:r>
            <w:r>
              <w:rPr>
                <w:rFonts w:hint="eastAsia"/>
              </w:rPr>
              <w:t>，</w:t>
            </w:r>
            <w:r>
              <w:t>使用的食堂油烟净化器处理效率不低于</w:t>
            </w:r>
            <w:r>
              <w:rPr>
                <w:rFonts w:hint="eastAsia"/>
              </w:rPr>
              <w:t>60%，本次环评提出项目使用高效静电式油烟净化器1台，要求设计处理效率高于60%,工程分析章节按照最低处理效率60%计算，处理后排放浓度 为1.6 mg/</w:t>
            </w:r>
            <w:r>
              <w:rPr>
                <w:kern w:val="10"/>
              </w:rPr>
              <w:t xml:space="preserve"> m</w:t>
            </w:r>
            <w:r>
              <w:rPr>
                <w:kern w:val="10"/>
                <w:vertAlign w:val="superscript"/>
              </w:rPr>
              <w:t>3</w:t>
            </w:r>
            <w:r>
              <w:rPr>
                <w:rFonts w:hint="eastAsia"/>
                <w:kern w:val="10"/>
              </w:rPr>
              <w:t>，</w:t>
            </w:r>
            <w:r>
              <w:rPr>
                <w:kern w:val="10"/>
              </w:rPr>
              <w:t>能满足</w:t>
            </w:r>
            <w:r>
              <w:rPr>
                <w:rFonts w:hint="eastAsia"/>
                <w:kern w:val="10"/>
              </w:rPr>
              <w:t>《</w:t>
            </w:r>
            <w:r>
              <w:t>饮食业油烟排放标准》（GB18483-2001）</w:t>
            </w:r>
            <w:r>
              <w:rPr>
                <w:rFonts w:hint="eastAsia"/>
              </w:rPr>
              <w:t>小</w:t>
            </w:r>
            <w:r>
              <w:t>型食堂</w:t>
            </w:r>
            <w:r>
              <w:rPr>
                <w:rFonts w:hint="eastAsia"/>
              </w:rPr>
              <w:t>最高允许排放浓度2.0mg/</w:t>
            </w:r>
            <w:r>
              <w:rPr>
                <w:kern w:val="10"/>
              </w:rPr>
              <w:t xml:space="preserve"> m</w:t>
            </w:r>
            <w:r>
              <w:rPr>
                <w:kern w:val="10"/>
                <w:vertAlign w:val="superscript"/>
              </w:rPr>
              <w:t>3</w:t>
            </w:r>
            <w:r>
              <w:rPr>
                <w:kern w:val="10"/>
              </w:rPr>
              <w:t>的要求</w:t>
            </w:r>
            <w:r>
              <w:rPr>
                <w:rFonts w:hint="eastAsia"/>
                <w:kern w:val="10"/>
              </w:rPr>
              <w:t>。</w:t>
            </w:r>
          </w:p>
          <w:p>
            <w:pPr>
              <w:pStyle w:val="2"/>
              <w:keepNext w:val="0"/>
              <w:keepLines w:val="0"/>
              <w:suppressLineNumbers w:val="0"/>
              <w:spacing w:before="0" w:beforeAutospacing="0" w:after="0" w:afterAutospacing="0"/>
              <w:ind w:left="0" w:right="0" w:firstLine="480"/>
              <w:jc w:val="both"/>
            </w:pPr>
            <w:r>
              <w:rPr>
                <w:rFonts w:hint="eastAsia"/>
              </w:rPr>
              <w:fldChar w:fldCharType="begin"/>
            </w:r>
            <w:r>
              <w:instrText xml:space="preserve"> = 3 \* GB3 </w:instrText>
            </w:r>
            <w:r>
              <w:rPr>
                <w:rFonts w:hint="eastAsia"/>
              </w:rPr>
              <w:fldChar w:fldCharType="separate"/>
            </w:r>
            <w:r>
              <w:rPr>
                <w:rFonts w:hint="eastAsia"/>
              </w:rPr>
              <w:t>③</w:t>
            </w:r>
            <w:r>
              <w:rPr>
                <w:rFonts w:hint="eastAsia"/>
              </w:rPr>
              <w:fldChar w:fldCharType="end"/>
            </w:r>
            <w:r>
              <w:t>排气筒设置高度合理性分析</w:t>
            </w:r>
          </w:p>
          <w:p>
            <w:pPr>
              <w:keepNext w:val="0"/>
              <w:keepLines w:val="0"/>
              <w:suppressLineNumbers w:val="0"/>
              <w:spacing w:before="0" w:beforeAutospacing="0" w:after="0" w:afterAutospacing="0"/>
              <w:ind w:left="0" w:right="0" w:firstLine="480"/>
              <w:jc w:val="both"/>
            </w:pPr>
            <w:r>
              <w:rPr>
                <w:rFonts w:hint="eastAsia"/>
              </w:rPr>
              <w:t>本项目共设置2个排气筒，1#排气筒排放喷漆房产生的有机废气，2#排气筒排放食堂油烟。其中1#排气筒有效高度为15m，2#排气筒引至综合楼楼顶排放，有效高度为13m。</w:t>
            </w:r>
            <w:r>
              <w:t>根据《大气污染物综合排放标准》（GB16297—1996）7.1“排气筒高度除遵守表列排放速率标准值外，还应高出周围200米半径范围的建筑物5m以上，不能达到该要求的排气筒，应按其高度对应的表列排放速率标准值严格50%执行”。本项目周边</w:t>
            </w:r>
            <w:r>
              <w:rPr>
                <w:rFonts w:hint="eastAsia"/>
              </w:rPr>
              <w:t>200m范围标高最高的建筑为本项目的综合楼，楼顶标高约1737m，本项目食堂油烟引至综合楼顶部排放，符合排气筒高度要求。项目有机废气排气筒高度为15m，排气筒底部标高为1725m，则排气筒有效标高为1740m，高于本项目综合楼。</w:t>
            </w:r>
          </w:p>
          <w:p>
            <w:pPr>
              <w:pStyle w:val="2"/>
              <w:keepNext w:val="0"/>
              <w:keepLines w:val="0"/>
              <w:suppressLineNumbers w:val="0"/>
              <w:spacing w:before="0" w:beforeAutospacing="0" w:after="0" w:afterAutospacing="0"/>
              <w:ind w:left="0" w:right="0" w:firstLine="480"/>
              <w:jc w:val="both"/>
            </w:pPr>
            <w:r>
              <w:rPr>
                <w:rFonts w:hint="eastAsia"/>
              </w:rPr>
              <w:t>综上，本项目排气筒设置的高度是合理的。</w:t>
            </w:r>
          </w:p>
          <w:p>
            <w:pPr>
              <w:pStyle w:val="33"/>
              <w:keepNext w:val="0"/>
              <w:keepLines w:val="0"/>
              <w:suppressLineNumbers w:val="0"/>
              <w:spacing w:before="0" w:beforeAutospacing="0" w:after="0" w:afterAutospacing="0"/>
              <w:ind w:left="0" w:right="0" w:firstLine="480"/>
              <w:rPr>
                <w:rFonts w:ascii="Times New Roman" w:hAnsi="Times New Roman"/>
              </w:rPr>
            </w:pPr>
            <w:r>
              <w:rPr>
                <w:rFonts w:ascii="Times New Roman"/>
              </w:rPr>
              <w:t>（</w:t>
            </w:r>
            <w:r>
              <w:rPr>
                <w:rFonts w:ascii="Times New Roman" w:hAnsi="Times New Roman"/>
              </w:rPr>
              <w:t>4</w:t>
            </w:r>
            <w:r>
              <w:rPr>
                <w:rFonts w:ascii="Times New Roman"/>
              </w:rPr>
              <w:t>）大气环境防护距离</w:t>
            </w:r>
          </w:p>
          <w:p>
            <w:pPr>
              <w:keepNext w:val="0"/>
              <w:keepLines w:val="0"/>
              <w:suppressLineNumbers w:val="0"/>
              <w:spacing w:before="0" w:beforeAutospacing="0" w:after="0" w:afterAutospacing="0"/>
              <w:ind w:left="0" w:right="0" w:firstLine="480" w:firstLineChars="0"/>
              <w:jc w:val="both"/>
            </w:pPr>
            <w:r>
              <w:t>本次项目大气评价等级为二级，按照《环境影响评价技术导则一大气环境》（HJ2.2-2018）规定8.7.5要求“对于项目厂界浓度满足大气污染物厂界浓度限值，但厂界外大气污染物短期贡献浓度超过环境质量浓度限值的，可以自厂界向外设置一定范围的大气环境防护区域，以确保大气环境防护区域外的污染物贡献浓度满足环境质量标准”，根据预测结果，本项目无组织排放的TSP、VOCs最大地面落地浓度分别满足《环境空气质量标准》(GB3095-2012)二级标准要求（TSP≤900ug/m</w:t>
            </w:r>
            <w:r>
              <w:rPr>
                <w:vertAlign w:val="superscript"/>
              </w:rPr>
              <w:t>3</w:t>
            </w:r>
            <w:r>
              <w:t>）、《环境影响评价技术导则-大气环境》HJ2.2-2018附录D中关于TVOC限值要求（TVOC≤600ug/m</w:t>
            </w:r>
            <w:r>
              <w:rPr>
                <w:vertAlign w:val="superscript"/>
              </w:rPr>
              <w:t>3</w:t>
            </w:r>
            <w:r>
              <w:t>），故无需计算大气环境防护距离，无需设置大气环境防护区域。</w:t>
            </w:r>
          </w:p>
          <w:p>
            <w:pPr>
              <w:keepNext w:val="0"/>
              <w:keepLines w:val="0"/>
              <w:suppressLineNumbers w:val="0"/>
              <w:spacing w:before="0" w:beforeAutospacing="0" w:after="0" w:afterAutospacing="0"/>
              <w:ind w:left="0" w:right="0" w:firstLine="480"/>
              <w:jc w:val="both"/>
            </w:pPr>
            <w:r>
              <w:rPr>
                <w:rFonts w:hint="eastAsia"/>
              </w:rPr>
              <w:t>（5）大气环境影响分析总结论</w:t>
            </w:r>
          </w:p>
          <w:p>
            <w:pPr>
              <w:keepNext w:val="0"/>
              <w:keepLines w:val="0"/>
              <w:widowControl/>
              <w:suppressLineNumbers w:val="0"/>
              <w:wordWrap w:val="0"/>
              <w:topLinePunct/>
              <w:adjustRightInd w:val="0"/>
              <w:snapToGrid w:val="0"/>
              <w:spacing w:before="0" w:beforeAutospacing="0" w:after="0" w:afterAutospacing="0"/>
              <w:ind w:left="0" w:right="0" w:firstLine="480"/>
              <w:jc w:val="both"/>
            </w:pPr>
            <w:r>
              <w:t>项目</w:t>
            </w:r>
            <w:r>
              <w:rPr>
                <w:bCs/>
              </w:rPr>
              <w:t>有机废气采用“</w:t>
            </w:r>
            <w:r>
              <w:rPr>
                <w:rFonts w:hint="eastAsia"/>
                <w:bCs/>
              </w:rPr>
              <w:t>过滤棉</w:t>
            </w:r>
            <w:r>
              <w:rPr>
                <w:bCs/>
              </w:rPr>
              <w:t>+活性炭吸附”系统处理后，由</w:t>
            </w:r>
            <w:r>
              <w:rPr>
                <w:rFonts w:hint="eastAsia"/>
                <w:bCs/>
              </w:rPr>
              <w:t>15</w:t>
            </w:r>
            <w:r>
              <w:rPr>
                <w:bCs/>
              </w:rPr>
              <w:t>m高1#排气筒排放，可实现达标排放。</w:t>
            </w:r>
            <w:r>
              <w:rPr>
                <w:rFonts w:hint="eastAsia"/>
                <w:bCs/>
              </w:rPr>
              <w:t>本项目最近的敏感目标为项目东侧112m（排气筒至敏感点的距离）云南联达钢结构制造有限公司办公楼，挥发性有机物及颗粒物的预测占标率均小于10％，</w:t>
            </w:r>
            <w:r>
              <w:t>对周边环境影响较小。项目食堂油烟经高效静电式油烟净化器处理后引至楼顶排放</w:t>
            </w:r>
            <w:r>
              <w:rPr>
                <w:rFonts w:hint="eastAsia"/>
              </w:rPr>
              <w:t>，</w:t>
            </w:r>
            <w:r>
              <w:t>符合排放标准</w:t>
            </w:r>
            <w:r>
              <w:rPr>
                <w:rFonts w:hint="eastAsia"/>
              </w:rPr>
              <w:t>，</w:t>
            </w:r>
            <w:r>
              <w:t>对周边环境影响较小</w:t>
            </w:r>
            <w:r>
              <w:rPr>
                <w:rFonts w:hint="eastAsia"/>
              </w:rPr>
              <w:t>。</w:t>
            </w:r>
          </w:p>
          <w:p>
            <w:pPr>
              <w:keepNext w:val="0"/>
              <w:keepLines w:val="0"/>
              <w:widowControl/>
              <w:suppressLineNumbers w:val="0"/>
              <w:wordWrap w:val="0"/>
              <w:topLinePunct/>
              <w:adjustRightInd w:val="0"/>
              <w:snapToGrid w:val="0"/>
              <w:spacing w:before="0" w:beforeAutospacing="0" w:after="0" w:afterAutospacing="0"/>
              <w:ind w:left="0" w:right="0" w:firstLine="480"/>
              <w:jc w:val="both"/>
            </w:pPr>
            <w:r>
              <w:t>项目</w:t>
            </w:r>
            <w:r>
              <w:rPr>
                <w:rFonts w:hint="eastAsia"/>
              </w:rPr>
              <w:t>产生</w:t>
            </w:r>
            <w:r>
              <w:t>的粉尘</w:t>
            </w:r>
            <w:r>
              <w:rPr>
                <w:rFonts w:hint="eastAsia"/>
              </w:rPr>
              <w:t>、</w:t>
            </w:r>
            <w:r>
              <w:t>焊烟经移动式除尘器处理后排入生产车间</w:t>
            </w:r>
            <w:r>
              <w:rPr>
                <w:rFonts w:hint="eastAsia"/>
              </w:rPr>
              <w:t>，大部分</w:t>
            </w:r>
            <w:r>
              <w:t>经重力沉降，无组织</w:t>
            </w:r>
            <w:r>
              <w:rPr>
                <w:bCs/>
              </w:rPr>
              <w:t>TVOC</w:t>
            </w:r>
            <w:r>
              <w:t>产生很小，经空气自然稀释净化对周围环境影响较小。</w:t>
            </w:r>
          </w:p>
          <w:p>
            <w:pPr>
              <w:pStyle w:val="35"/>
              <w:keepNext w:val="0"/>
              <w:keepLines w:val="0"/>
              <w:suppressLineNumbers w:val="0"/>
              <w:spacing w:before="0" w:beforeAutospacing="0" w:after="0" w:afterAutospacing="0"/>
              <w:ind w:left="0" w:right="0" w:firstLine="480"/>
              <w:jc w:val="both"/>
              <w:rPr>
                <w:rFonts w:ascii="Times New Roman" w:hAnsi="Times New Roman"/>
                <w:sz w:val="24"/>
                <w:szCs w:val="24"/>
              </w:rPr>
            </w:pPr>
            <w:r>
              <w:rPr>
                <w:rFonts w:ascii="Times New Roman" w:hAnsi="Times New Roman"/>
                <w:bCs/>
                <w:sz w:val="24"/>
                <w:szCs w:val="24"/>
              </w:rPr>
              <w:t>建设项目大气环境影响评价自查表见报告后附表</w:t>
            </w:r>
            <w:r>
              <w:rPr>
                <w:rFonts w:hint="eastAsia" w:ascii="Times New Roman" w:hAnsi="Times New Roman"/>
                <w:bCs/>
                <w:sz w:val="24"/>
                <w:szCs w:val="24"/>
              </w:rPr>
              <w:t>1</w:t>
            </w:r>
            <w:r>
              <w:rPr>
                <w:rFonts w:ascii="Times New Roman" w:hAnsi="Times New Roman"/>
                <w:bCs/>
                <w:sz w:val="24"/>
                <w:szCs w:val="24"/>
              </w:rPr>
              <w:t>。</w:t>
            </w:r>
          </w:p>
          <w:p>
            <w:pPr>
              <w:pStyle w:val="33"/>
              <w:keepNext w:val="0"/>
              <w:keepLines w:val="0"/>
              <w:suppressLineNumbers w:val="0"/>
              <w:spacing w:before="0" w:beforeAutospacing="0" w:after="0" w:afterAutospacing="0"/>
              <w:ind w:left="0" w:right="0" w:firstLineChars="83"/>
              <w:rPr>
                <w:rFonts w:ascii="Times New Roman" w:hAnsi="Times New Roman"/>
                <w:b/>
              </w:rPr>
            </w:pPr>
            <w:r>
              <w:rPr>
                <w:rFonts w:ascii="Times New Roman" w:hAnsi="Times New Roman"/>
                <w:b/>
              </w:rPr>
              <w:t>2</w:t>
            </w:r>
            <w:r>
              <w:rPr>
                <w:rFonts w:ascii="Times New Roman"/>
                <w:b/>
              </w:rPr>
              <w:t>、运营期</w:t>
            </w:r>
            <w:r>
              <w:rPr>
                <w:rFonts w:hint="eastAsia" w:ascii="Times New Roman"/>
                <w:b/>
              </w:rPr>
              <w:t>地表</w:t>
            </w:r>
            <w:r>
              <w:rPr>
                <w:rFonts w:ascii="Times New Roman"/>
                <w:b/>
              </w:rPr>
              <w:t>水环境影响分析及防治措施</w:t>
            </w:r>
          </w:p>
          <w:p>
            <w:pPr>
              <w:keepNext w:val="0"/>
              <w:keepLines w:val="0"/>
              <w:widowControl/>
              <w:suppressLineNumbers w:val="0"/>
              <w:spacing w:before="0" w:beforeAutospacing="0" w:after="0" w:afterAutospacing="0"/>
              <w:ind w:left="0" w:right="0" w:firstLine="480"/>
              <w:jc w:val="both"/>
            </w:pPr>
            <w:r>
              <w:rPr>
                <w:rFonts w:hint="eastAsia"/>
              </w:rPr>
              <w:t>本项目运营期生产废水主要来源于打孔冷却水及涂料回收池废液。生活废水主要为员工入厕、清洁产生的日常生活污水及食堂含油废水。</w:t>
            </w:r>
          </w:p>
          <w:p>
            <w:pPr>
              <w:pStyle w:val="2"/>
              <w:keepNext w:val="0"/>
              <w:keepLines w:val="0"/>
              <w:suppressLineNumbers w:val="0"/>
              <w:spacing w:before="0" w:beforeAutospacing="0" w:after="0" w:afterAutospacing="0"/>
              <w:ind w:left="0" w:right="0" w:firstLine="360" w:firstLineChars="150"/>
              <w:jc w:val="both"/>
            </w:pPr>
            <w:r>
              <w:rPr>
                <w:rFonts w:hint="eastAsia"/>
              </w:rPr>
              <w:t>（1）评价等级划分</w:t>
            </w:r>
          </w:p>
          <w:p>
            <w:pPr>
              <w:keepNext w:val="0"/>
              <w:keepLines w:val="0"/>
              <w:suppressLineNumbers w:val="0"/>
              <w:spacing w:before="0" w:beforeAutospacing="0" w:after="0" w:afterAutospacing="0"/>
              <w:ind w:left="0" w:right="0" w:firstLine="480"/>
              <w:jc w:val="both"/>
              <w:rPr>
                <w:kern w:val="0"/>
                <w:lang w:val="zh-CN"/>
              </w:rPr>
            </w:pPr>
            <w:r>
              <w:rPr>
                <w:kern w:val="0"/>
                <w:lang w:val="zh-CN"/>
              </w:rPr>
              <w:t>根据工程分析部分可知</w:t>
            </w:r>
            <w:r>
              <w:rPr>
                <w:kern w:val="0"/>
              </w:rPr>
              <w:t>，</w:t>
            </w:r>
            <w:r>
              <w:rPr>
                <w:kern w:val="0"/>
                <w:lang w:val="zh-CN"/>
              </w:rPr>
              <w:t>本项目</w:t>
            </w:r>
            <w:r>
              <w:rPr>
                <w:rFonts w:hint="eastAsia"/>
                <w:kern w:val="0"/>
                <w:lang w:val="zh-CN"/>
              </w:rPr>
              <w:t>产生</w:t>
            </w:r>
            <w:r>
              <w:rPr>
                <w:kern w:val="0"/>
                <w:lang w:val="zh-CN"/>
              </w:rPr>
              <w:t>的所有生活废水经隔油池及化粪池处理后排入园区污水管网</w:t>
            </w:r>
            <w:r>
              <w:t>。产生的生产废水经涂料回收池及冷却水收集池处理后回用于原环节，均为间接排放</w:t>
            </w:r>
            <w:r>
              <w:rPr>
                <w:rFonts w:hint="eastAsia"/>
              </w:rPr>
              <w:t>。</w:t>
            </w:r>
            <w:r>
              <w:rPr>
                <w:kern w:val="0"/>
                <w:lang w:val="zh-CN"/>
              </w:rPr>
              <w:t>根据《环境影响评价技术导则地表水环境》（HJ 2.3-2018）表1，本项目日产生量较小且间接排放，确定本项目属于水污染影响型建设项目，评价等级为三级B。</w:t>
            </w:r>
            <w:r>
              <w:rPr>
                <w:rFonts w:hint="eastAsia"/>
                <w:kern w:val="0"/>
                <w:lang w:val="zh-CN"/>
              </w:rPr>
              <w:t>根据导则要求，</w:t>
            </w:r>
            <w:r>
              <w:rPr>
                <w:kern w:val="0"/>
                <w:lang w:val="zh-CN"/>
              </w:rPr>
              <w:t>可不考虑评价时期、可不进行水环境影响预测。</w:t>
            </w:r>
          </w:p>
          <w:p>
            <w:pPr>
              <w:pStyle w:val="2"/>
              <w:keepNext w:val="0"/>
              <w:keepLines w:val="0"/>
              <w:suppressLineNumbers w:val="0"/>
              <w:spacing w:before="0" w:beforeAutospacing="0" w:after="0" w:afterAutospacing="0"/>
              <w:ind w:left="0" w:right="0" w:firstLine="480"/>
              <w:jc w:val="both"/>
              <w:rPr>
                <w:lang w:val="zh-CN"/>
              </w:rPr>
            </w:pPr>
            <w:r>
              <w:rPr>
                <w:rFonts w:hint="eastAsia"/>
                <w:lang w:val="zh-CN"/>
              </w:rPr>
              <w:t>（2）排放污染物核算</w:t>
            </w:r>
          </w:p>
          <w:p>
            <w:pPr>
              <w:keepNext w:val="0"/>
              <w:keepLines w:val="0"/>
              <w:suppressLineNumbers w:val="0"/>
              <w:spacing w:before="0" w:beforeAutospacing="0" w:after="0" w:afterAutospacing="0"/>
              <w:ind w:left="0" w:right="0" w:firstLine="480"/>
              <w:jc w:val="both"/>
              <w:rPr>
                <w:rFonts w:ascii="宋体" w:hAnsi="宋体"/>
              </w:rPr>
            </w:pPr>
            <w:r>
              <w:rPr>
                <w:rFonts w:hint="eastAsia" w:ascii="宋体" w:hAnsi="宋体"/>
                <w:kern w:val="0"/>
              </w:rPr>
              <w:t>根据工程分析环节，食堂废水</w:t>
            </w:r>
            <w:r>
              <w:rPr>
                <w:rFonts w:hint="eastAsia" w:ascii="宋体" w:hAnsi="宋体"/>
              </w:rPr>
              <w:t>产生量为</w:t>
            </w:r>
            <w:r>
              <w:rPr>
                <w:rFonts w:hint="eastAsia"/>
              </w:rPr>
              <w:t>0.96</w:t>
            </w:r>
            <w:r>
              <w:t>m</w:t>
            </w:r>
            <w:r>
              <w:rPr>
                <w:vertAlign w:val="superscript"/>
              </w:rPr>
              <w:t>3</w:t>
            </w:r>
            <w:r>
              <w:t>/d</w:t>
            </w:r>
            <w:r>
              <w:rPr>
                <w:rFonts w:hint="eastAsia"/>
              </w:rPr>
              <w:t>（288</w:t>
            </w:r>
            <w:r>
              <w:t>m</w:t>
            </w:r>
            <w:r>
              <w:rPr>
                <w:vertAlign w:val="superscript"/>
              </w:rPr>
              <w:t>3</w:t>
            </w:r>
            <w:r>
              <w:t>/a</w:t>
            </w:r>
            <w:r>
              <w:rPr>
                <w:rFonts w:hint="eastAsia"/>
              </w:rPr>
              <w:t>）</w:t>
            </w:r>
            <w:r>
              <w:rPr>
                <w:rFonts w:ascii="宋体" w:hAnsi="宋体"/>
              </w:rPr>
              <w:t>，</w:t>
            </w:r>
            <w:r>
              <w:rPr>
                <w:rFonts w:hint="eastAsia" w:ascii="宋体" w:hAnsi="宋体"/>
              </w:rPr>
              <w:t>主要污染物为</w:t>
            </w:r>
            <w:r>
              <w:rPr>
                <w:rFonts w:hint="eastAsia"/>
              </w:rPr>
              <w:t>SS:200mg/L</w:t>
            </w:r>
            <w:r>
              <w:rPr>
                <w:rFonts w:hint="eastAsia" w:ascii="宋体" w:hAnsi="宋体"/>
              </w:rPr>
              <w:t>、</w:t>
            </w:r>
            <w:r>
              <w:rPr>
                <w:rFonts w:hint="eastAsia"/>
              </w:rPr>
              <w:t>COD:400 mg/L</w:t>
            </w:r>
            <w:r>
              <w:rPr>
                <w:rFonts w:hint="eastAsia" w:ascii="宋体" w:hAnsi="宋体"/>
              </w:rPr>
              <w:t>、</w:t>
            </w:r>
            <w:r>
              <w:rPr>
                <w:rFonts w:hint="eastAsia"/>
              </w:rPr>
              <w:t>BOD</w:t>
            </w:r>
            <w:r>
              <w:rPr>
                <w:rFonts w:hint="eastAsia"/>
                <w:vertAlign w:val="subscript"/>
              </w:rPr>
              <w:t>5</w:t>
            </w:r>
            <w:r>
              <w:rPr>
                <w:rFonts w:hint="eastAsia" w:ascii="宋体" w:hAnsi="宋体"/>
              </w:rPr>
              <w:t>：</w:t>
            </w:r>
            <w:r>
              <w:rPr>
                <w:rFonts w:hint="eastAsia"/>
              </w:rPr>
              <w:t>250mg/L</w:t>
            </w:r>
            <w:r>
              <w:rPr>
                <w:rFonts w:hint="eastAsia" w:ascii="宋体" w:hAnsi="宋体"/>
              </w:rPr>
              <w:t>、</w:t>
            </w:r>
            <w:r>
              <w:rPr>
                <w:rFonts w:hint="eastAsia"/>
              </w:rPr>
              <w:t>NH</w:t>
            </w:r>
            <w:r>
              <w:rPr>
                <w:rFonts w:hint="eastAsia"/>
                <w:vertAlign w:val="subscript"/>
              </w:rPr>
              <w:t>3</w:t>
            </w:r>
            <w:r>
              <w:rPr>
                <w:rFonts w:hint="eastAsia"/>
              </w:rPr>
              <w:t>-N</w:t>
            </w:r>
            <w:r>
              <w:rPr>
                <w:rFonts w:hint="eastAsia" w:ascii="宋体" w:hAnsi="宋体"/>
              </w:rPr>
              <w:t>：</w:t>
            </w:r>
            <w:r>
              <w:rPr>
                <w:rFonts w:hint="eastAsia"/>
              </w:rPr>
              <w:t>25 mg/L</w:t>
            </w:r>
            <w:r>
              <w:rPr>
                <w:rFonts w:hint="eastAsia" w:ascii="宋体" w:hAnsi="宋体"/>
              </w:rPr>
              <w:t>、动植物油</w:t>
            </w:r>
            <w:r>
              <w:rPr>
                <w:rFonts w:hint="eastAsia"/>
              </w:rPr>
              <w:t>30 mg/L，经隔油池及化粪池处理后排入园区管网</w:t>
            </w:r>
            <w:r>
              <w:rPr>
                <w:rFonts w:hint="eastAsia" w:ascii="宋体" w:hAnsi="宋体"/>
              </w:rPr>
              <w:t>。员工日常生活用水量为</w:t>
            </w:r>
            <w:r>
              <w:rPr>
                <w:rFonts w:hint="eastAsia"/>
              </w:rPr>
              <w:t>1.92</w:t>
            </w:r>
            <w:r>
              <w:t>m</w:t>
            </w:r>
            <w:r>
              <w:rPr>
                <w:vertAlign w:val="superscript"/>
              </w:rPr>
              <w:t>3</w:t>
            </w:r>
            <w:r>
              <w:t>/d</w:t>
            </w:r>
            <w:r>
              <w:rPr>
                <w:rFonts w:hint="eastAsia"/>
              </w:rPr>
              <w:t>（576</w:t>
            </w:r>
            <w:r>
              <w:t>m</w:t>
            </w:r>
            <w:r>
              <w:rPr>
                <w:vertAlign w:val="superscript"/>
              </w:rPr>
              <w:t>3</w:t>
            </w:r>
            <w:r>
              <w:t>/a</w:t>
            </w:r>
            <w:r>
              <w:rPr>
                <w:rFonts w:hint="eastAsia"/>
              </w:rPr>
              <w:t>）</w:t>
            </w:r>
            <w:r>
              <w:rPr>
                <w:rFonts w:ascii="宋体" w:hAnsi="宋体"/>
              </w:rPr>
              <w:t>，</w:t>
            </w:r>
            <w:r>
              <w:rPr>
                <w:rFonts w:hint="eastAsia" w:ascii="宋体" w:hAnsi="宋体"/>
              </w:rPr>
              <w:t>主要污染物为</w:t>
            </w:r>
            <w:r>
              <w:rPr>
                <w:rFonts w:hint="eastAsia"/>
              </w:rPr>
              <w:t>SS:250mg/L</w:t>
            </w:r>
            <w:r>
              <w:rPr>
                <w:rFonts w:hint="eastAsia" w:ascii="宋体" w:hAnsi="宋体"/>
              </w:rPr>
              <w:t>、</w:t>
            </w:r>
            <w:r>
              <w:rPr>
                <w:rFonts w:hint="eastAsia"/>
              </w:rPr>
              <w:t>COD:300 mg/L</w:t>
            </w:r>
            <w:r>
              <w:rPr>
                <w:rFonts w:hint="eastAsia" w:ascii="宋体" w:hAnsi="宋体"/>
              </w:rPr>
              <w:t>、</w:t>
            </w:r>
            <w:r>
              <w:rPr>
                <w:rFonts w:hint="eastAsia"/>
              </w:rPr>
              <w:t>BOD</w:t>
            </w:r>
            <w:r>
              <w:rPr>
                <w:rFonts w:hint="eastAsia"/>
                <w:vertAlign w:val="subscript"/>
              </w:rPr>
              <w:t>5</w:t>
            </w:r>
            <w:r>
              <w:rPr>
                <w:rFonts w:hint="eastAsia" w:ascii="宋体" w:hAnsi="宋体"/>
              </w:rPr>
              <w:t>：</w:t>
            </w:r>
            <w:r>
              <w:rPr>
                <w:rFonts w:hint="eastAsia"/>
              </w:rPr>
              <w:t>150 mg/L</w:t>
            </w:r>
            <w:r>
              <w:rPr>
                <w:rFonts w:hint="eastAsia" w:ascii="宋体" w:hAnsi="宋体"/>
              </w:rPr>
              <w:t>、</w:t>
            </w:r>
            <w:r>
              <w:rPr>
                <w:rFonts w:hint="eastAsia"/>
              </w:rPr>
              <w:t>NH</w:t>
            </w:r>
            <w:r>
              <w:rPr>
                <w:rFonts w:hint="eastAsia"/>
                <w:vertAlign w:val="subscript"/>
              </w:rPr>
              <w:t>3</w:t>
            </w:r>
            <w:r>
              <w:rPr>
                <w:rFonts w:hint="eastAsia"/>
              </w:rPr>
              <w:t>-N</w:t>
            </w:r>
            <w:r>
              <w:rPr>
                <w:rFonts w:hint="eastAsia" w:ascii="宋体" w:hAnsi="宋体"/>
              </w:rPr>
              <w:t>：</w:t>
            </w:r>
            <w:r>
              <w:rPr>
                <w:rFonts w:hint="eastAsia"/>
              </w:rPr>
              <w:t>35 mg/L，经化粪池处理后排入园区管网</w:t>
            </w:r>
            <w:r>
              <w:rPr>
                <w:rFonts w:hint="eastAsia" w:ascii="宋体" w:hAnsi="宋体"/>
              </w:rPr>
              <w:t>。打孔冷废水产生量为</w:t>
            </w:r>
            <w:r>
              <w:rPr>
                <w:rFonts w:hint="eastAsia"/>
              </w:rPr>
              <w:t>6885 m</w:t>
            </w:r>
            <w:r>
              <w:rPr>
                <w:rFonts w:hint="eastAsia"/>
                <w:vertAlign w:val="superscript"/>
              </w:rPr>
              <w:t>3</w:t>
            </w:r>
            <w:r>
              <w:rPr>
                <w:rFonts w:hint="eastAsia"/>
              </w:rPr>
              <w:t>/a，主要污染物为SS：200mg/L，经冷却水收集池滤网快速过滤后回用于原环节。涂料回收池废液根据物料平衡，废液产生量为0.432t/a，经回收池收集后回用于原环节。</w:t>
            </w:r>
          </w:p>
          <w:p>
            <w:pPr>
              <w:keepNext w:val="0"/>
              <w:keepLines w:val="0"/>
              <w:suppressLineNumbers w:val="0"/>
              <w:spacing w:before="0" w:beforeAutospacing="0" w:after="0" w:afterAutospacing="0"/>
              <w:ind w:left="0" w:right="0" w:firstLine="480"/>
              <w:jc w:val="both"/>
            </w:pPr>
            <w:r>
              <w:rPr>
                <w:rFonts w:hint="eastAsia" w:ascii="宋体" w:hAnsi="宋体"/>
              </w:rPr>
              <w:t>项目废水处理后各污染物产生与排放情况见下表</w:t>
            </w:r>
            <w:r>
              <w:rPr>
                <w:rFonts w:hint="eastAsia"/>
              </w:rPr>
              <w:t>7-11</w:t>
            </w:r>
            <w:r>
              <w:rPr>
                <w:rFonts w:hint="eastAsia" w:ascii="宋体" w:hAnsi="宋体"/>
              </w:rPr>
              <w:t>。</w:t>
            </w:r>
          </w:p>
          <w:p>
            <w:pPr>
              <w:pStyle w:val="33"/>
              <w:keepNext w:val="0"/>
              <w:keepLines w:val="0"/>
              <w:suppressLineNumbers w:val="0"/>
              <w:spacing w:beforeAutospacing="0" w:after="0" w:afterAutospacing="0" w:line="240" w:lineRule="auto"/>
              <w:ind w:left="0" w:right="0" w:firstLine="384" w:firstLineChars="182"/>
              <w:jc w:val="center"/>
              <w:rPr>
                <w:rFonts w:ascii="Times New Roman" w:hAnsi="Times New Roman"/>
                <w:b/>
                <w:bCs/>
                <w:kern w:val="0"/>
                <w:sz w:val="21"/>
                <w:szCs w:val="21"/>
              </w:rPr>
            </w:pPr>
            <w:r>
              <w:rPr>
                <w:rFonts w:hint="eastAsia" w:ascii="宋体" w:hAnsi="宋体"/>
                <w:b/>
                <w:bCs/>
                <w:kern w:val="0"/>
                <w:sz w:val="21"/>
                <w:szCs w:val="21"/>
              </w:rPr>
              <w:t>表</w:t>
            </w:r>
            <w:r>
              <w:rPr>
                <w:rFonts w:hint="eastAsia" w:ascii="Times New Roman" w:hAnsi="Times New Roman"/>
                <w:b/>
                <w:bCs/>
                <w:kern w:val="0"/>
                <w:sz w:val="21"/>
                <w:szCs w:val="21"/>
              </w:rPr>
              <w:t>7-11</w:t>
            </w:r>
            <w:r>
              <w:rPr>
                <w:rFonts w:hint="eastAsia" w:ascii="宋体" w:hAnsi="宋体"/>
                <w:b/>
                <w:bCs/>
                <w:kern w:val="0"/>
                <w:sz w:val="21"/>
                <w:szCs w:val="21"/>
              </w:rPr>
              <w:t>本项目废水污染物产生与排放情况表</w:t>
            </w:r>
          </w:p>
          <w:tbl>
            <w:tblPr>
              <w:tblStyle w:val="18"/>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890"/>
              <w:gridCol w:w="1751"/>
              <w:gridCol w:w="899"/>
              <w:gridCol w:w="882"/>
              <w:gridCol w:w="510"/>
              <w:gridCol w:w="505"/>
              <w:gridCol w:w="1416"/>
              <w:gridCol w:w="142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gridSpan w:val="2"/>
                  <w:vMerge w:val="restart"/>
                  <w:vAlign w:val="center"/>
                </w:tcPr>
                <w:p>
                  <w:pPr>
                    <w:pStyle w:val="39"/>
                    <w:keepNext w:val="0"/>
                    <w:keepLines w:val="0"/>
                    <w:suppressLineNumbers w:val="0"/>
                    <w:spacing w:before="0" w:beforeAutospacing="0" w:after="0" w:afterAutospacing="0"/>
                    <w:ind w:left="0" w:right="1"/>
                    <w:jc w:val="center"/>
                    <w:rPr>
                      <w:rFonts w:ascii="Times New Roman" w:hAnsi="Times New Roman"/>
                      <w:b/>
                      <w:bCs/>
                      <w:sz w:val="21"/>
                      <w:szCs w:val="21"/>
                    </w:rPr>
                  </w:pPr>
                  <w:r>
                    <w:rPr>
                      <w:rFonts w:hint="eastAsia" w:ascii="Times New Roman" w:hAnsi="Times New Roman"/>
                      <w:b/>
                      <w:bCs/>
                      <w:sz w:val="21"/>
                      <w:szCs w:val="21"/>
                    </w:rPr>
                    <w:t>产生环节</w:t>
                  </w:r>
                </w:p>
              </w:tc>
              <w:tc>
                <w:tcPr>
                  <w:tcW w:w="0" w:type="auto"/>
                  <w:vMerge w:val="restart"/>
                  <w:vAlign w:val="center"/>
                </w:tcPr>
                <w:p>
                  <w:pPr>
                    <w:keepNext w:val="0"/>
                    <w:keepLines w:val="0"/>
                    <w:suppressLineNumbers w:val="0"/>
                    <w:spacing w:before="0" w:beforeAutospacing="0" w:after="0" w:afterAutospacing="0" w:line="240" w:lineRule="auto"/>
                    <w:ind w:left="0" w:right="0" w:firstLine="0" w:firstLineChars="0"/>
                    <w:jc w:val="center"/>
                    <w:rPr>
                      <w:b/>
                      <w:bCs/>
                      <w:sz w:val="21"/>
                      <w:szCs w:val="21"/>
                    </w:rPr>
                  </w:pPr>
                  <w:r>
                    <w:rPr>
                      <w:rFonts w:hAnsi="宋体"/>
                      <w:b/>
                      <w:bCs/>
                      <w:sz w:val="21"/>
                      <w:szCs w:val="21"/>
                    </w:rPr>
                    <w:t>产生量</w:t>
                  </w:r>
                </w:p>
              </w:tc>
              <w:tc>
                <w:tcPr>
                  <w:tcW w:w="0" w:type="auto"/>
                  <w:vMerge w:val="restart"/>
                  <w:vAlign w:val="center"/>
                </w:tcPr>
                <w:p>
                  <w:pPr>
                    <w:pStyle w:val="39"/>
                    <w:keepNext w:val="0"/>
                    <w:keepLines w:val="0"/>
                    <w:suppressLineNumbers w:val="0"/>
                    <w:spacing w:before="46" w:beforeAutospacing="0" w:after="0" w:afterAutospacing="0"/>
                    <w:ind w:left="0" w:right="191"/>
                    <w:jc w:val="center"/>
                    <w:rPr>
                      <w:rFonts w:ascii="Times New Roman" w:hAnsi="Times New Roman"/>
                      <w:b/>
                      <w:bCs/>
                      <w:sz w:val="21"/>
                      <w:szCs w:val="21"/>
                    </w:rPr>
                  </w:pPr>
                  <w:r>
                    <w:rPr>
                      <w:rFonts w:ascii="Times New Roman" w:hAnsi="宋体"/>
                      <w:b/>
                      <w:bCs/>
                      <w:sz w:val="21"/>
                      <w:szCs w:val="21"/>
                    </w:rPr>
                    <w:t>污染物</w:t>
                  </w:r>
                </w:p>
              </w:tc>
              <w:tc>
                <w:tcPr>
                  <w:tcW w:w="0" w:type="auto"/>
                  <w:gridSpan w:val="2"/>
                  <w:vAlign w:val="center"/>
                </w:tcPr>
                <w:p>
                  <w:pPr>
                    <w:pStyle w:val="39"/>
                    <w:keepNext w:val="0"/>
                    <w:keepLines w:val="0"/>
                    <w:suppressLineNumbers w:val="0"/>
                    <w:spacing w:before="41" w:beforeAutospacing="0" w:after="0" w:afterAutospacing="0"/>
                    <w:ind w:left="0" w:right="0"/>
                    <w:jc w:val="center"/>
                    <w:rPr>
                      <w:rFonts w:ascii="Times New Roman" w:hAnsi="Times New Roman"/>
                      <w:b/>
                      <w:bCs/>
                      <w:sz w:val="21"/>
                      <w:szCs w:val="21"/>
                    </w:rPr>
                  </w:pPr>
                  <w:r>
                    <w:rPr>
                      <w:rFonts w:ascii="Times New Roman" w:hAnsi="宋体"/>
                      <w:b/>
                      <w:bCs/>
                      <w:sz w:val="21"/>
                      <w:szCs w:val="21"/>
                    </w:rPr>
                    <w:t>产生情况</w:t>
                  </w:r>
                </w:p>
              </w:tc>
              <w:tc>
                <w:tcPr>
                  <w:tcW w:w="0" w:type="auto"/>
                  <w:gridSpan w:val="2"/>
                  <w:vAlign w:val="center"/>
                </w:tcPr>
                <w:p>
                  <w:pPr>
                    <w:pStyle w:val="39"/>
                    <w:keepNext w:val="0"/>
                    <w:keepLines w:val="0"/>
                    <w:suppressLineNumbers w:val="0"/>
                    <w:spacing w:before="41" w:beforeAutospacing="0" w:after="0" w:afterAutospacing="0"/>
                    <w:ind w:left="0" w:right="0"/>
                    <w:jc w:val="center"/>
                    <w:rPr>
                      <w:rFonts w:ascii="Times New Roman" w:hAnsi="宋体"/>
                      <w:b/>
                      <w:bCs/>
                      <w:sz w:val="21"/>
                      <w:szCs w:val="21"/>
                    </w:rPr>
                  </w:pPr>
                  <w:r>
                    <w:rPr>
                      <w:rFonts w:hint="eastAsia" w:ascii="Times New Roman" w:hAnsi="宋体"/>
                      <w:b/>
                      <w:bCs/>
                      <w:sz w:val="21"/>
                      <w:szCs w:val="21"/>
                    </w:rPr>
                    <w:t>排放情况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gridSpan w:val="2"/>
                  <w:vMerge w:val="continue"/>
                  <w:vAlign w:val="center"/>
                </w:tcPr>
                <w:p>
                  <w:pPr>
                    <w:keepNext w:val="0"/>
                    <w:keepLines w:val="0"/>
                    <w:widowControl/>
                    <w:suppressLineNumbers w:val="0"/>
                    <w:spacing w:before="0" w:beforeAutospacing="0" w:after="0" w:afterAutospacing="0" w:line="240" w:lineRule="auto"/>
                    <w:ind w:left="0" w:right="0" w:firstLine="422"/>
                    <w:jc w:val="center"/>
                    <w:rPr>
                      <w:b/>
                      <w:bCs/>
                      <w:kern w:val="0"/>
                      <w:sz w:val="21"/>
                      <w:szCs w:val="21"/>
                    </w:rPr>
                  </w:pPr>
                </w:p>
              </w:tc>
              <w:tc>
                <w:tcPr>
                  <w:tcW w:w="0" w:type="auto"/>
                  <w:vMerge w:val="continue"/>
                  <w:vAlign w:val="center"/>
                </w:tcPr>
                <w:p>
                  <w:pPr>
                    <w:keepNext w:val="0"/>
                    <w:keepLines w:val="0"/>
                    <w:widowControl/>
                    <w:suppressLineNumbers w:val="0"/>
                    <w:spacing w:before="0" w:beforeAutospacing="0" w:after="0" w:afterAutospacing="0" w:line="240" w:lineRule="auto"/>
                    <w:ind w:left="0" w:right="0" w:firstLine="422"/>
                    <w:jc w:val="center"/>
                    <w:rPr>
                      <w:b/>
                      <w:bCs/>
                      <w:sz w:val="21"/>
                      <w:szCs w:val="21"/>
                    </w:rPr>
                  </w:pPr>
                </w:p>
              </w:tc>
              <w:tc>
                <w:tcPr>
                  <w:tcW w:w="0" w:type="auto"/>
                  <w:vMerge w:val="continue"/>
                  <w:vAlign w:val="center"/>
                </w:tcPr>
                <w:p>
                  <w:pPr>
                    <w:keepNext w:val="0"/>
                    <w:keepLines w:val="0"/>
                    <w:widowControl/>
                    <w:suppressLineNumbers w:val="0"/>
                    <w:spacing w:before="0" w:beforeAutospacing="0" w:after="0" w:afterAutospacing="0" w:line="240" w:lineRule="auto"/>
                    <w:ind w:left="0" w:right="0" w:firstLine="422"/>
                    <w:jc w:val="center"/>
                    <w:rPr>
                      <w:b/>
                      <w:bCs/>
                      <w:kern w:val="0"/>
                      <w:sz w:val="21"/>
                      <w:szCs w:val="21"/>
                    </w:rPr>
                  </w:pPr>
                </w:p>
              </w:tc>
              <w:tc>
                <w:tcPr>
                  <w:tcW w:w="0" w:type="auto"/>
                  <w:vAlign w:val="center"/>
                </w:tcPr>
                <w:p>
                  <w:pPr>
                    <w:pStyle w:val="39"/>
                    <w:keepNext w:val="0"/>
                    <w:keepLines w:val="0"/>
                    <w:suppressLineNumbers w:val="0"/>
                    <w:spacing w:before="92" w:beforeAutospacing="0" w:after="0" w:afterAutospacing="0"/>
                    <w:ind w:left="0" w:right="0"/>
                    <w:jc w:val="center"/>
                    <w:rPr>
                      <w:rFonts w:ascii="Times New Roman" w:hAnsi="Times New Roman"/>
                      <w:b/>
                      <w:bCs/>
                      <w:sz w:val="21"/>
                      <w:szCs w:val="21"/>
                    </w:rPr>
                  </w:pPr>
                  <w:r>
                    <w:rPr>
                      <w:rFonts w:ascii="Times New Roman" w:hAnsi="Times New Roman"/>
                      <w:b/>
                      <w:bCs/>
                      <w:sz w:val="21"/>
                      <w:szCs w:val="21"/>
                    </w:rPr>
                    <w:t>mg/L</w:t>
                  </w:r>
                </w:p>
              </w:tc>
              <w:tc>
                <w:tcPr>
                  <w:tcW w:w="0" w:type="auto"/>
                  <w:vAlign w:val="center"/>
                </w:tcPr>
                <w:p>
                  <w:pPr>
                    <w:pStyle w:val="39"/>
                    <w:keepNext w:val="0"/>
                    <w:keepLines w:val="0"/>
                    <w:suppressLineNumbers w:val="0"/>
                    <w:spacing w:before="92" w:beforeAutospacing="0" w:after="0" w:afterAutospacing="0"/>
                    <w:ind w:left="0" w:right="0"/>
                    <w:jc w:val="center"/>
                    <w:rPr>
                      <w:rFonts w:ascii="Times New Roman" w:hAnsi="Times New Roman"/>
                      <w:b/>
                      <w:bCs/>
                      <w:sz w:val="21"/>
                      <w:szCs w:val="21"/>
                    </w:rPr>
                  </w:pPr>
                  <w:r>
                    <w:rPr>
                      <w:rFonts w:ascii="Times New Roman" w:hAnsi="Times New Roman"/>
                      <w:b/>
                      <w:bCs/>
                      <w:sz w:val="21"/>
                      <w:szCs w:val="21"/>
                    </w:rPr>
                    <w:t>t/a</w:t>
                  </w:r>
                </w:p>
              </w:tc>
              <w:tc>
                <w:tcPr>
                  <w:tcW w:w="0" w:type="auto"/>
                  <w:vAlign w:val="center"/>
                </w:tcPr>
                <w:p>
                  <w:pPr>
                    <w:pStyle w:val="39"/>
                    <w:keepNext w:val="0"/>
                    <w:keepLines w:val="0"/>
                    <w:suppressLineNumbers w:val="0"/>
                    <w:spacing w:before="92" w:beforeAutospacing="0" w:after="0" w:afterAutospacing="0"/>
                    <w:ind w:left="0" w:right="0"/>
                    <w:jc w:val="center"/>
                    <w:rPr>
                      <w:rFonts w:ascii="Times New Roman" w:hAnsi="Times New Roman"/>
                      <w:b/>
                      <w:bCs/>
                      <w:sz w:val="21"/>
                      <w:szCs w:val="21"/>
                    </w:rPr>
                  </w:pPr>
                  <w:r>
                    <w:rPr>
                      <w:rFonts w:ascii="Times New Roman" w:hAnsi="Times New Roman"/>
                      <w:b/>
                      <w:bCs/>
                      <w:sz w:val="21"/>
                      <w:szCs w:val="21"/>
                    </w:rPr>
                    <w:t>mg/L</w:t>
                  </w:r>
                </w:p>
              </w:tc>
              <w:tc>
                <w:tcPr>
                  <w:tcW w:w="0" w:type="auto"/>
                  <w:vAlign w:val="center"/>
                </w:tcPr>
                <w:p>
                  <w:pPr>
                    <w:pStyle w:val="39"/>
                    <w:keepNext w:val="0"/>
                    <w:keepLines w:val="0"/>
                    <w:suppressLineNumbers w:val="0"/>
                    <w:spacing w:before="92" w:beforeAutospacing="0" w:after="0" w:afterAutospacing="0"/>
                    <w:ind w:left="0" w:right="0"/>
                    <w:jc w:val="center"/>
                    <w:rPr>
                      <w:rFonts w:ascii="Times New Roman" w:hAnsi="Times New Roman"/>
                      <w:b/>
                      <w:bCs/>
                      <w:sz w:val="21"/>
                      <w:szCs w:val="21"/>
                    </w:rPr>
                  </w:pPr>
                  <w:r>
                    <w:rPr>
                      <w:rFonts w:ascii="Times New Roman" w:hAnsi="Times New Roman"/>
                      <w:b/>
                      <w:bCs/>
                      <w:sz w:val="21"/>
                      <w:szCs w:val="21"/>
                    </w:rPr>
                    <w:t>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restart"/>
                  <w:vAlign w:val="center"/>
                </w:tcPr>
                <w:p>
                  <w:pPr>
                    <w:pStyle w:val="39"/>
                    <w:keepNext w:val="0"/>
                    <w:keepLines w:val="0"/>
                    <w:suppressLineNumbers w:val="0"/>
                    <w:spacing w:before="0" w:beforeAutospacing="0" w:after="0" w:afterAutospacing="0"/>
                    <w:ind w:left="0" w:right="0"/>
                    <w:jc w:val="center"/>
                    <w:rPr>
                      <w:rFonts w:ascii="Times New Roman" w:hAnsi="Times New Roman"/>
                      <w:sz w:val="21"/>
                      <w:szCs w:val="21"/>
                    </w:rPr>
                  </w:pPr>
                  <w:r>
                    <w:rPr>
                      <w:rFonts w:hint="eastAsia" w:ascii="Times New Roman" w:hAnsi="Times New Roman"/>
                      <w:sz w:val="21"/>
                      <w:szCs w:val="21"/>
                    </w:rPr>
                    <w:t>生活废水</w:t>
                  </w:r>
                </w:p>
              </w:tc>
              <w:tc>
                <w:tcPr>
                  <w:tcW w:w="0" w:type="auto"/>
                  <w:vMerge w:val="restart"/>
                  <w:vAlign w:val="center"/>
                </w:tcPr>
                <w:p>
                  <w:pPr>
                    <w:pStyle w:val="39"/>
                    <w:keepNext w:val="0"/>
                    <w:keepLines w:val="0"/>
                    <w:suppressLineNumbers w:val="0"/>
                    <w:spacing w:before="0" w:beforeAutospacing="0" w:after="0" w:afterAutospacing="0"/>
                    <w:ind w:left="3" w:right="0"/>
                    <w:jc w:val="center"/>
                    <w:rPr>
                      <w:rFonts w:ascii="Times New Roman" w:hAnsi="Times New Roman"/>
                      <w:sz w:val="21"/>
                      <w:szCs w:val="21"/>
                    </w:rPr>
                  </w:pPr>
                  <w:r>
                    <w:rPr>
                      <w:rFonts w:hint="eastAsia" w:ascii="Times New Roman" w:hAnsi="宋体"/>
                      <w:sz w:val="21"/>
                      <w:szCs w:val="21"/>
                    </w:rPr>
                    <w:t>员工日常</w:t>
                  </w:r>
                  <w:r>
                    <w:rPr>
                      <w:rFonts w:ascii="Times New Roman" w:hAnsi="宋体"/>
                      <w:sz w:val="21"/>
                      <w:szCs w:val="21"/>
                    </w:rPr>
                    <w:t>生活废水</w:t>
                  </w:r>
                </w:p>
              </w:tc>
              <w:tc>
                <w:tcPr>
                  <w:tcW w:w="0" w:type="auto"/>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576m</w:t>
                  </w:r>
                  <w:r>
                    <w:rPr>
                      <w:rFonts w:hint="eastAsia"/>
                      <w:sz w:val="21"/>
                      <w:szCs w:val="21"/>
                      <w:vertAlign w:val="superscript"/>
                    </w:rPr>
                    <w:t>3</w:t>
                  </w:r>
                  <w:r>
                    <w:rPr>
                      <w:rFonts w:hint="eastAsia"/>
                      <w:sz w:val="21"/>
                      <w:szCs w:val="21"/>
                    </w:rPr>
                    <w:t>/a</w:t>
                  </w:r>
                </w:p>
              </w:tc>
              <w:tc>
                <w:tcPr>
                  <w:tcW w:w="0" w:type="auto"/>
                  <w:vAlign w:val="center"/>
                </w:tcPr>
                <w:p>
                  <w:pPr>
                    <w:pStyle w:val="39"/>
                    <w:keepNext w:val="0"/>
                    <w:keepLines w:val="0"/>
                    <w:suppressLineNumbers w:val="0"/>
                    <w:spacing w:before="90" w:beforeAutospacing="0" w:after="0" w:afterAutospacing="0"/>
                    <w:ind w:left="0" w:right="2"/>
                    <w:jc w:val="center"/>
                    <w:rPr>
                      <w:rFonts w:ascii="Times New Roman" w:hAnsi="Times New Roman"/>
                      <w:sz w:val="21"/>
                      <w:szCs w:val="21"/>
                    </w:rPr>
                  </w:pPr>
                  <w:r>
                    <w:rPr>
                      <w:rFonts w:ascii="Times New Roman" w:hAnsi="Times New Roman"/>
                      <w:sz w:val="21"/>
                      <w:szCs w:val="21"/>
                    </w:rPr>
                    <w:t>COD</w:t>
                  </w:r>
                </w:p>
              </w:tc>
              <w:tc>
                <w:tcPr>
                  <w:tcW w:w="0" w:type="auto"/>
                  <w:vAlign w:val="center"/>
                </w:tcPr>
                <w:p>
                  <w:pPr>
                    <w:pStyle w:val="39"/>
                    <w:keepNext w:val="0"/>
                    <w:keepLines w:val="0"/>
                    <w:suppressLineNumbers w:val="0"/>
                    <w:spacing w:before="90"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300</w:t>
                  </w:r>
                </w:p>
              </w:tc>
              <w:tc>
                <w:tcPr>
                  <w:tcW w:w="0" w:type="auto"/>
                  <w:vAlign w:val="center"/>
                </w:tcPr>
                <w:p>
                  <w:pPr>
                    <w:pStyle w:val="39"/>
                    <w:keepNext w:val="0"/>
                    <w:keepLines w:val="0"/>
                    <w:suppressLineNumbers w:val="0"/>
                    <w:spacing w:before="90"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0.173</w:t>
                  </w:r>
                </w:p>
              </w:tc>
              <w:tc>
                <w:tcPr>
                  <w:tcW w:w="0" w:type="auto"/>
                  <w:vAlign w:val="center"/>
                </w:tcPr>
                <w:p>
                  <w:pPr>
                    <w:pStyle w:val="39"/>
                    <w:keepNext w:val="0"/>
                    <w:keepLines w:val="0"/>
                    <w:suppressLineNumbers w:val="0"/>
                    <w:spacing w:before="90" w:beforeAutospacing="0" w:after="0" w:afterAutospacing="0"/>
                    <w:ind w:left="1" w:right="0"/>
                    <w:jc w:val="center"/>
                    <w:rPr>
                      <w:rFonts w:ascii="Times New Roman" w:hAnsi="Times New Roman"/>
                      <w:sz w:val="21"/>
                      <w:szCs w:val="21"/>
                    </w:rPr>
                  </w:pPr>
                  <w:r>
                    <w:rPr>
                      <w:rFonts w:hint="eastAsia" w:ascii="Times New Roman" w:hAnsi="Times New Roman"/>
                      <w:sz w:val="21"/>
                      <w:szCs w:val="21"/>
                    </w:rPr>
                    <w:t>250</w:t>
                  </w:r>
                </w:p>
              </w:tc>
              <w:tc>
                <w:tcPr>
                  <w:tcW w:w="0" w:type="auto"/>
                  <w:vAlign w:val="center"/>
                </w:tcPr>
                <w:p>
                  <w:pPr>
                    <w:pStyle w:val="39"/>
                    <w:keepNext w:val="0"/>
                    <w:keepLines w:val="0"/>
                    <w:suppressLineNumbers w:val="0"/>
                    <w:spacing w:before="90"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0.144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continue"/>
                  <w:vAlign w:val="center"/>
                </w:tcPr>
                <w:p>
                  <w:pPr>
                    <w:keepNext w:val="0"/>
                    <w:keepLines w:val="0"/>
                    <w:widowControl/>
                    <w:suppressLineNumbers w:val="0"/>
                    <w:spacing w:before="0" w:beforeAutospacing="0" w:after="0" w:afterAutospacing="0" w:line="240" w:lineRule="auto"/>
                    <w:ind w:left="0" w:right="0" w:firstLine="420"/>
                    <w:jc w:val="center"/>
                    <w:rPr>
                      <w:kern w:val="0"/>
                      <w:sz w:val="21"/>
                      <w:szCs w:val="21"/>
                    </w:rPr>
                  </w:pPr>
                </w:p>
              </w:tc>
              <w:tc>
                <w:tcPr>
                  <w:tcW w:w="0" w:type="auto"/>
                  <w:vMerge w:val="continue"/>
                  <w:vAlign w:val="center"/>
                </w:tcPr>
                <w:p>
                  <w:pPr>
                    <w:keepNext w:val="0"/>
                    <w:keepLines w:val="0"/>
                    <w:widowControl/>
                    <w:suppressLineNumbers w:val="0"/>
                    <w:spacing w:before="0" w:beforeAutospacing="0" w:after="0" w:afterAutospacing="0" w:line="240" w:lineRule="auto"/>
                    <w:ind w:left="0" w:right="0" w:firstLine="420"/>
                    <w:jc w:val="center"/>
                    <w:rPr>
                      <w:kern w:val="0"/>
                      <w:sz w:val="21"/>
                      <w:szCs w:val="21"/>
                    </w:rPr>
                  </w:pPr>
                </w:p>
              </w:tc>
              <w:tc>
                <w:tcPr>
                  <w:tcW w:w="0" w:type="auto"/>
                  <w:vMerge w:val="continue"/>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0" w:type="auto"/>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rPr>
                  </w:pPr>
                  <w:r>
                    <w:rPr>
                      <w:rFonts w:ascii="Times New Roman" w:hAnsi="Times New Roman"/>
                      <w:sz w:val="21"/>
                      <w:szCs w:val="21"/>
                    </w:rPr>
                    <w:t>SS</w:t>
                  </w:r>
                </w:p>
              </w:tc>
              <w:tc>
                <w:tcPr>
                  <w:tcW w:w="0" w:type="auto"/>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250</w:t>
                  </w:r>
                </w:p>
              </w:tc>
              <w:tc>
                <w:tcPr>
                  <w:tcW w:w="0" w:type="auto"/>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0.144</w:t>
                  </w:r>
                </w:p>
              </w:tc>
              <w:tc>
                <w:tcPr>
                  <w:tcW w:w="0" w:type="auto"/>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rPr>
                  </w:pPr>
                  <w:r>
                    <w:rPr>
                      <w:rFonts w:hint="eastAsia" w:ascii="Times New Roman" w:hAnsi="Times New Roman"/>
                      <w:sz w:val="21"/>
                      <w:szCs w:val="21"/>
                    </w:rPr>
                    <w:t>150</w:t>
                  </w:r>
                </w:p>
              </w:tc>
              <w:tc>
                <w:tcPr>
                  <w:tcW w:w="0" w:type="auto"/>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0.086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continue"/>
                  <w:vAlign w:val="center"/>
                </w:tcPr>
                <w:p>
                  <w:pPr>
                    <w:keepNext w:val="0"/>
                    <w:keepLines w:val="0"/>
                    <w:widowControl/>
                    <w:suppressLineNumbers w:val="0"/>
                    <w:spacing w:before="0" w:beforeAutospacing="0" w:after="0" w:afterAutospacing="0" w:line="240" w:lineRule="auto"/>
                    <w:ind w:left="0" w:right="0" w:firstLine="420"/>
                    <w:jc w:val="center"/>
                    <w:rPr>
                      <w:kern w:val="0"/>
                      <w:sz w:val="21"/>
                      <w:szCs w:val="21"/>
                    </w:rPr>
                  </w:pPr>
                </w:p>
              </w:tc>
              <w:tc>
                <w:tcPr>
                  <w:tcW w:w="0" w:type="auto"/>
                  <w:vMerge w:val="continue"/>
                  <w:vAlign w:val="center"/>
                </w:tcPr>
                <w:p>
                  <w:pPr>
                    <w:keepNext w:val="0"/>
                    <w:keepLines w:val="0"/>
                    <w:widowControl/>
                    <w:suppressLineNumbers w:val="0"/>
                    <w:spacing w:before="0" w:beforeAutospacing="0" w:after="0" w:afterAutospacing="0" w:line="240" w:lineRule="auto"/>
                    <w:ind w:left="0" w:right="0" w:firstLine="420"/>
                    <w:jc w:val="center"/>
                    <w:rPr>
                      <w:kern w:val="0"/>
                      <w:sz w:val="21"/>
                      <w:szCs w:val="21"/>
                    </w:rPr>
                  </w:pPr>
                </w:p>
              </w:tc>
              <w:tc>
                <w:tcPr>
                  <w:tcW w:w="0" w:type="auto"/>
                  <w:vMerge w:val="continue"/>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0" w:type="auto"/>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rPr>
                  </w:pPr>
                  <w:r>
                    <w:rPr>
                      <w:rFonts w:hint="eastAsia" w:ascii="Times New Roman" w:hAnsi="Times New Roman"/>
                      <w:sz w:val="21"/>
                      <w:szCs w:val="21"/>
                    </w:rPr>
                    <w:t>BOD</w:t>
                  </w:r>
                  <w:r>
                    <w:rPr>
                      <w:rFonts w:hint="eastAsia" w:ascii="Times New Roman" w:hAnsi="Times New Roman"/>
                      <w:sz w:val="21"/>
                      <w:szCs w:val="21"/>
                      <w:vertAlign w:val="subscript"/>
                    </w:rPr>
                    <w:t>5</w:t>
                  </w:r>
                </w:p>
              </w:tc>
              <w:tc>
                <w:tcPr>
                  <w:tcW w:w="0" w:type="auto"/>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150</w:t>
                  </w:r>
                </w:p>
              </w:tc>
              <w:tc>
                <w:tcPr>
                  <w:tcW w:w="0" w:type="auto"/>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0.087</w:t>
                  </w:r>
                </w:p>
              </w:tc>
              <w:tc>
                <w:tcPr>
                  <w:tcW w:w="0" w:type="auto"/>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rPr>
                  </w:pPr>
                  <w:r>
                    <w:rPr>
                      <w:rFonts w:hint="eastAsia" w:ascii="Times New Roman" w:hAnsi="Times New Roman"/>
                      <w:sz w:val="21"/>
                      <w:szCs w:val="21"/>
                    </w:rPr>
                    <w:t>100</w:t>
                  </w:r>
                </w:p>
              </w:tc>
              <w:tc>
                <w:tcPr>
                  <w:tcW w:w="0" w:type="auto"/>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0.058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continue"/>
                  <w:vAlign w:val="center"/>
                </w:tcPr>
                <w:p>
                  <w:pPr>
                    <w:keepNext w:val="0"/>
                    <w:keepLines w:val="0"/>
                    <w:widowControl/>
                    <w:suppressLineNumbers w:val="0"/>
                    <w:spacing w:before="0" w:beforeAutospacing="0" w:after="0" w:afterAutospacing="0" w:line="240" w:lineRule="auto"/>
                    <w:ind w:left="0" w:right="0" w:firstLine="420"/>
                    <w:jc w:val="center"/>
                    <w:rPr>
                      <w:kern w:val="0"/>
                      <w:sz w:val="21"/>
                      <w:szCs w:val="21"/>
                    </w:rPr>
                  </w:pPr>
                </w:p>
              </w:tc>
              <w:tc>
                <w:tcPr>
                  <w:tcW w:w="0" w:type="auto"/>
                  <w:vMerge w:val="continue"/>
                  <w:vAlign w:val="center"/>
                </w:tcPr>
                <w:p>
                  <w:pPr>
                    <w:keepNext w:val="0"/>
                    <w:keepLines w:val="0"/>
                    <w:widowControl/>
                    <w:suppressLineNumbers w:val="0"/>
                    <w:spacing w:before="0" w:beforeAutospacing="0" w:after="0" w:afterAutospacing="0" w:line="240" w:lineRule="auto"/>
                    <w:ind w:left="0" w:right="0" w:firstLine="420"/>
                    <w:jc w:val="center"/>
                    <w:rPr>
                      <w:kern w:val="0"/>
                      <w:sz w:val="21"/>
                      <w:szCs w:val="21"/>
                    </w:rPr>
                  </w:pPr>
                </w:p>
              </w:tc>
              <w:tc>
                <w:tcPr>
                  <w:tcW w:w="0" w:type="auto"/>
                  <w:vMerge w:val="continue"/>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0" w:type="auto"/>
                  <w:vAlign w:val="center"/>
                </w:tcPr>
                <w:p>
                  <w:pPr>
                    <w:pStyle w:val="39"/>
                    <w:keepNext w:val="0"/>
                    <w:keepLines w:val="0"/>
                    <w:suppressLineNumbers w:val="0"/>
                    <w:spacing w:before="88" w:beforeAutospacing="0" w:after="0" w:afterAutospacing="0"/>
                    <w:ind w:left="0" w:right="0"/>
                    <w:jc w:val="center"/>
                    <w:rPr>
                      <w:rFonts w:ascii="Times New Roman" w:hAnsi="Times New Roman"/>
                      <w:sz w:val="21"/>
                      <w:szCs w:val="21"/>
                    </w:rPr>
                  </w:pPr>
                  <w:r>
                    <w:rPr>
                      <w:rFonts w:ascii="Times New Roman" w:hAnsi="Times New Roman"/>
                      <w:position w:val="2"/>
                      <w:sz w:val="21"/>
                      <w:szCs w:val="21"/>
                    </w:rPr>
                    <w:t>NH</w:t>
                  </w:r>
                  <w:r>
                    <w:rPr>
                      <w:rFonts w:ascii="Times New Roman" w:hAnsi="Times New Roman"/>
                      <w:sz w:val="21"/>
                      <w:szCs w:val="21"/>
                      <w:vertAlign w:val="subscript"/>
                    </w:rPr>
                    <w:t>3</w:t>
                  </w:r>
                  <w:r>
                    <w:rPr>
                      <w:rFonts w:ascii="Times New Roman" w:hAnsi="Times New Roman"/>
                      <w:position w:val="2"/>
                      <w:sz w:val="21"/>
                      <w:szCs w:val="21"/>
                    </w:rPr>
                    <w:t>-N</w:t>
                  </w:r>
                </w:p>
              </w:tc>
              <w:tc>
                <w:tcPr>
                  <w:tcW w:w="0" w:type="auto"/>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35</w:t>
                  </w:r>
                </w:p>
              </w:tc>
              <w:tc>
                <w:tcPr>
                  <w:tcW w:w="0" w:type="auto"/>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0.020</w:t>
                  </w:r>
                </w:p>
              </w:tc>
              <w:tc>
                <w:tcPr>
                  <w:tcW w:w="0" w:type="auto"/>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rPr>
                  </w:pPr>
                  <w:r>
                    <w:rPr>
                      <w:rFonts w:hint="eastAsia" w:ascii="Times New Roman" w:hAnsi="Times New Roman"/>
                      <w:sz w:val="21"/>
                      <w:szCs w:val="21"/>
                    </w:rPr>
                    <w:t>20</w:t>
                  </w:r>
                </w:p>
              </w:tc>
              <w:tc>
                <w:tcPr>
                  <w:tcW w:w="0" w:type="auto"/>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0.013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continue"/>
                  <w:vAlign w:val="center"/>
                </w:tcPr>
                <w:p>
                  <w:pPr>
                    <w:keepNext w:val="0"/>
                    <w:keepLines w:val="0"/>
                    <w:widowControl/>
                    <w:suppressLineNumbers w:val="0"/>
                    <w:spacing w:before="0" w:beforeAutospacing="0" w:after="0" w:afterAutospacing="0" w:line="240" w:lineRule="auto"/>
                    <w:ind w:left="0" w:right="0" w:firstLine="420"/>
                    <w:jc w:val="center"/>
                    <w:rPr>
                      <w:kern w:val="0"/>
                      <w:sz w:val="21"/>
                      <w:szCs w:val="21"/>
                    </w:rPr>
                  </w:pPr>
                </w:p>
              </w:tc>
              <w:tc>
                <w:tcPr>
                  <w:tcW w:w="0" w:type="auto"/>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食堂废水</w:t>
                  </w:r>
                </w:p>
              </w:tc>
              <w:tc>
                <w:tcPr>
                  <w:tcW w:w="0" w:type="auto"/>
                  <w:vMerge w:val="restart"/>
                  <w:vAlign w:val="center"/>
                </w:tcPr>
                <w:p>
                  <w:pPr>
                    <w:keepNext w:val="0"/>
                    <w:keepLines w:val="0"/>
                    <w:suppressLineNumbers w:val="0"/>
                    <w:spacing w:before="0" w:beforeAutospacing="0" w:after="0" w:afterAutospacing="0" w:line="240" w:lineRule="auto"/>
                    <w:ind w:left="0" w:right="0" w:firstLine="0" w:firstLineChars="0"/>
                    <w:jc w:val="center"/>
                    <w:rPr>
                      <w:position w:val="2"/>
                      <w:sz w:val="21"/>
                      <w:szCs w:val="21"/>
                    </w:rPr>
                  </w:pPr>
                  <w:r>
                    <w:rPr>
                      <w:rFonts w:hint="eastAsia"/>
                      <w:sz w:val="21"/>
                      <w:szCs w:val="21"/>
                    </w:rPr>
                    <w:t>288m</w:t>
                  </w:r>
                  <w:r>
                    <w:rPr>
                      <w:rFonts w:hint="eastAsia"/>
                      <w:sz w:val="21"/>
                      <w:szCs w:val="21"/>
                      <w:vertAlign w:val="superscript"/>
                    </w:rPr>
                    <w:t>3</w:t>
                  </w:r>
                  <w:r>
                    <w:rPr>
                      <w:rFonts w:hint="eastAsia"/>
                      <w:sz w:val="21"/>
                      <w:szCs w:val="21"/>
                    </w:rPr>
                    <w:t>/a</w:t>
                  </w:r>
                </w:p>
              </w:tc>
              <w:tc>
                <w:tcPr>
                  <w:tcW w:w="0" w:type="auto"/>
                  <w:vAlign w:val="center"/>
                </w:tcPr>
                <w:p>
                  <w:pPr>
                    <w:pStyle w:val="39"/>
                    <w:keepNext w:val="0"/>
                    <w:keepLines w:val="0"/>
                    <w:suppressLineNumbers w:val="0"/>
                    <w:spacing w:before="90" w:beforeAutospacing="0" w:after="0" w:afterAutospacing="0"/>
                    <w:ind w:left="0" w:right="2"/>
                    <w:jc w:val="center"/>
                    <w:rPr>
                      <w:rFonts w:ascii="Times New Roman" w:hAnsi="Times New Roman"/>
                      <w:sz w:val="21"/>
                      <w:szCs w:val="21"/>
                    </w:rPr>
                  </w:pPr>
                  <w:r>
                    <w:rPr>
                      <w:rFonts w:ascii="Times New Roman" w:hAnsi="Times New Roman"/>
                      <w:sz w:val="21"/>
                      <w:szCs w:val="21"/>
                    </w:rPr>
                    <w:t>COD</w:t>
                  </w:r>
                </w:p>
              </w:tc>
              <w:tc>
                <w:tcPr>
                  <w:tcW w:w="0" w:type="auto"/>
                  <w:vAlign w:val="center"/>
                </w:tcPr>
                <w:p>
                  <w:pPr>
                    <w:pStyle w:val="39"/>
                    <w:keepNext w:val="0"/>
                    <w:keepLines w:val="0"/>
                    <w:suppressLineNumbers w:val="0"/>
                    <w:spacing w:before="90"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400</w:t>
                  </w:r>
                </w:p>
              </w:tc>
              <w:tc>
                <w:tcPr>
                  <w:tcW w:w="0" w:type="auto"/>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0.115</w:t>
                  </w:r>
                </w:p>
              </w:tc>
              <w:tc>
                <w:tcPr>
                  <w:tcW w:w="0" w:type="auto"/>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rPr>
                  </w:pPr>
                  <w:r>
                    <w:rPr>
                      <w:rFonts w:hint="eastAsia" w:ascii="Times New Roman" w:hAnsi="Times New Roman"/>
                      <w:sz w:val="21"/>
                      <w:szCs w:val="21"/>
                    </w:rPr>
                    <w:t>250</w:t>
                  </w:r>
                </w:p>
              </w:tc>
              <w:tc>
                <w:tcPr>
                  <w:tcW w:w="0" w:type="auto"/>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0.072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continue"/>
                  <w:vAlign w:val="center"/>
                </w:tcPr>
                <w:p>
                  <w:pPr>
                    <w:keepNext w:val="0"/>
                    <w:keepLines w:val="0"/>
                    <w:widowControl/>
                    <w:suppressLineNumbers w:val="0"/>
                    <w:spacing w:before="0" w:beforeAutospacing="0" w:after="0" w:afterAutospacing="0" w:line="240" w:lineRule="auto"/>
                    <w:ind w:left="0" w:right="0" w:firstLine="420"/>
                    <w:jc w:val="center"/>
                    <w:rPr>
                      <w:kern w:val="0"/>
                      <w:sz w:val="21"/>
                      <w:szCs w:val="21"/>
                    </w:rPr>
                  </w:pPr>
                </w:p>
              </w:tc>
              <w:tc>
                <w:tcPr>
                  <w:tcW w:w="0" w:type="auto"/>
                  <w:vMerge w:val="continue"/>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0" w:type="auto"/>
                  <w:vMerge w:val="continue"/>
                  <w:vAlign w:val="center"/>
                </w:tcPr>
                <w:p>
                  <w:pPr>
                    <w:keepNext w:val="0"/>
                    <w:keepLines w:val="0"/>
                    <w:widowControl/>
                    <w:suppressLineNumbers w:val="0"/>
                    <w:spacing w:before="0" w:beforeAutospacing="0" w:after="0" w:afterAutospacing="0" w:line="240" w:lineRule="auto"/>
                    <w:ind w:left="0" w:right="0" w:firstLine="420"/>
                    <w:jc w:val="center"/>
                    <w:rPr>
                      <w:position w:val="2"/>
                      <w:sz w:val="21"/>
                      <w:szCs w:val="21"/>
                    </w:rPr>
                  </w:pPr>
                </w:p>
              </w:tc>
              <w:tc>
                <w:tcPr>
                  <w:tcW w:w="0" w:type="auto"/>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rPr>
                  </w:pPr>
                  <w:r>
                    <w:rPr>
                      <w:rFonts w:ascii="Times New Roman" w:hAnsi="Times New Roman"/>
                      <w:sz w:val="21"/>
                      <w:szCs w:val="21"/>
                    </w:rPr>
                    <w:t>SS</w:t>
                  </w:r>
                </w:p>
              </w:tc>
              <w:tc>
                <w:tcPr>
                  <w:tcW w:w="0" w:type="auto"/>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200</w:t>
                  </w:r>
                </w:p>
              </w:tc>
              <w:tc>
                <w:tcPr>
                  <w:tcW w:w="0" w:type="auto"/>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0.058</w:t>
                  </w:r>
                </w:p>
              </w:tc>
              <w:tc>
                <w:tcPr>
                  <w:tcW w:w="0" w:type="auto"/>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rPr>
                  </w:pPr>
                  <w:r>
                    <w:rPr>
                      <w:rFonts w:hint="eastAsia" w:ascii="Times New Roman" w:hAnsi="Times New Roman"/>
                      <w:sz w:val="21"/>
                      <w:szCs w:val="21"/>
                    </w:rPr>
                    <w:t>150</w:t>
                  </w:r>
                </w:p>
              </w:tc>
              <w:tc>
                <w:tcPr>
                  <w:tcW w:w="0" w:type="auto"/>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0.044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continue"/>
                  <w:vAlign w:val="center"/>
                </w:tcPr>
                <w:p>
                  <w:pPr>
                    <w:keepNext w:val="0"/>
                    <w:keepLines w:val="0"/>
                    <w:widowControl/>
                    <w:suppressLineNumbers w:val="0"/>
                    <w:spacing w:before="0" w:beforeAutospacing="0" w:after="0" w:afterAutospacing="0" w:line="240" w:lineRule="auto"/>
                    <w:ind w:left="0" w:right="0" w:firstLine="420"/>
                    <w:jc w:val="center"/>
                    <w:rPr>
                      <w:kern w:val="0"/>
                      <w:sz w:val="21"/>
                      <w:szCs w:val="21"/>
                    </w:rPr>
                  </w:pPr>
                </w:p>
              </w:tc>
              <w:tc>
                <w:tcPr>
                  <w:tcW w:w="0" w:type="auto"/>
                  <w:vMerge w:val="continue"/>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0" w:type="auto"/>
                  <w:vMerge w:val="continue"/>
                  <w:vAlign w:val="center"/>
                </w:tcPr>
                <w:p>
                  <w:pPr>
                    <w:keepNext w:val="0"/>
                    <w:keepLines w:val="0"/>
                    <w:widowControl/>
                    <w:suppressLineNumbers w:val="0"/>
                    <w:spacing w:before="0" w:beforeAutospacing="0" w:after="0" w:afterAutospacing="0" w:line="240" w:lineRule="auto"/>
                    <w:ind w:left="0" w:right="0" w:firstLine="420"/>
                    <w:jc w:val="center"/>
                    <w:rPr>
                      <w:position w:val="2"/>
                      <w:sz w:val="21"/>
                      <w:szCs w:val="21"/>
                    </w:rPr>
                  </w:pPr>
                </w:p>
              </w:tc>
              <w:tc>
                <w:tcPr>
                  <w:tcW w:w="0" w:type="auto"/>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rPr>
                  </w:pPr>
                  <w:r>
                    <w:rPr>
                      <w:rFonts w:hint="eastAsia" w:ascii="Times New Roman" w:hAnsi="Times New Roman"/>
                      <w:sz w:val="21"/>
                      <w:szCs w:val="21"/>
                    </w:rPr>
                    <w:t>BOD</w:t>
                  </w:r>
                  <w:r>
                    <w:rPr>
                      <w:rFonts w:hint="eastAsia" w:ascii="Times New Roman" w:hAnsi="Times New Roman"/>
                      <w:sz w:val="21"/>
                      <w:szCs w:val="21"/>
                      <w:vertAlign w:val="subscript"/>
                    </w:rPr>
                    <w:t>5</w:t>
                  </w:r>
                </w:p>
              </w:tc>
              <w:tc>
                <w:tcPr>
                  <w:tcW w:w="0" w:type="auto"/>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250</w:t>
                  </w:r>
                </w:p>
              </w:tc>
              <w:tc>
                <w:tcPr>
                  <w:tcW w:w="0" w:type="auto"/>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0.072</w:t>
                  </w:r>
                </w:p>
              </w:tc>
              <w:tc>
                <w:tcPr>
                  <w:tcW w:w="0" w:type="auto"/>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rPr>
                  </w:pPr>
                  <w:r>
                    <w:rPr>
                      <w:rFonts w:hint="eastAsia" w:ascii="Times New Roman" w:hAnsi="Times New Roman"/>
                      <w:sz w:val="21"/>
                      <w:szCs w:val="21"/>
                    </w:rPr>
                    <w:t>100</w:t>
                  </w:r>
                </w:p>
              </w:tc>
              <w:tc>
                <w:tcPr>
                  <w:tcW w:w="0" w:type="auto"/>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0.029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continue"/>
                  <w:vAlign w:val="center"/>
                </w:tcPr>
                <w:p>
                  <w:pPr>
                    <w:keepNext w:val="0"/>
                    <w:keepLines w:val="0"/>
                    <w:widowControl/>
                    <w:suppressLineNumbers w:val="0"/>
                    <w:spacing w:before="0" w:beforeAutospacing="0" w:after="0" w:afterAutospacing="0" w:line="240" w:lineRule="auto"/>
                    <w:ind w:left="0" w:right="0" w:firstLine="420"/>
                    <w:jc w:val="center"/>
                    <w:rPr>
                      <w:kern w:val="0"/>
                      <w:sz w:val="21"/>
                      <w:szCs w:val="21"/>
                    </w:rPr>
                  </w:pPr>
                </w:p>
              </w:tc>
              <w:tc>
                <w:tcPr>
                  <w:tcW w:w="0" w:type="auto"/>
                  <w:vMerge w:val="continue"/>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0" w:type="auto"/>
                  <w:vMerge w:val="continue"/>
                  <w:vAlign w:val="center"/>
                </w:tcPr>
                <w:p>
                  <w:pPr>
                    <w:keepNext w:val="0"/>
                    <w:keepLines w:val="0"/>
                    <w:widowControl/>
                    <w:suppressLineNumbers w:val="0"/>
                    <w:spacing w:before="0" w:beforeAutospacing="0" w:after="0" w:afterAutospacing="0" w:line="240" w:lineRule="auto"/>
                    <w:ind w:left="0" w:right="0" w:firstLine="420"/>
                    <w:jc w:val="center"/>
                    <w:rPr>
                      <w:position w:val="2"/>
                      <w:sz w:val="21"/>
                      <w:szCs w:val="21"/>
                    </w:rPr>
                  </w:pPr>
                </w:p>
              </w:tc>
              <w:tc>
                <w:tcPr>
                  <w:tcW w:w="0" w:type="auto"/>
                  <w:vAlign w:val="center"/>
                </w:tcPr>
                <w:p>
                  <w:pPr>
                    <w:pStyle w:val="39"/>
                    <w:keepNext w:val="0"/>
                    <w:keepLines w:val="0"/>
                    <w:suppressLineNumbers w:val="0"/>
                    <w:spacing w:before="88" w:beforeAutospacing="0" w:after="0" w:afterAutospacing="0"/>
                    <w:ind w:left="0" w:right="0"/>
                    <w:jc w:val="center"/>
                    <w:rPr>
                      <w:rFonts w:ascii="Times New Roman" w:hAnsi="Times New Roman"/>
                      <w:sz w:val="21"/>
                      <w:szCs w:val="21"/>
                    </w:rPr>
                  </w:pPr>
                  <w:r>
                    <w:rPr>
                      <w:rFonts w:ascii="Times New Roman" w:hAnsi="Times New Roman"/>
                      <w:position w:val="2"/>
                      <w:sz w:val="21"/>
                      <w:szCs w:val="21"/>
                    </w:rPr>
                    <w:t>NH</w:t>
                  </w:r>
                  <w:r>
                    <w:rPr>
                      <w:rFonts w:ascii="Times New Roman" w:hAnsi="Times New Roman"/>
                      <w:sz w:val="21"/>
                      <w:szCs w:val="21"/>
                      <w:vertAlign w:val="subscript"/>
                    </w:rPr>
                    <w:t>3</w:t>
                  </w:r>
                  <w:r>
                    <w:rPr>
                      <w:rFonts w:ascii="Times New Roman" w:hAnsi="Times New Roman"/>
                      <w:position w:val="2"/>
                      <w:sz w:val="21"/>
                      <w:szCs w:val="21"/>
                    </w:rPr>
                    <w:t>-N</w:t>
                  </w:r>
                </w:p>
              </w:tc>
              <w:tc>
                <w:tcPr>
                  <w:tcW w:w="0" w:type="auto"/>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25</w:t>
                  </w:r>
                </w:p>
              </w:tc>
              <w:tc>
                <w:tcPr>
                  <w:tcW w:w="0" w:type="auto"/>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0.007</w:t>
                  </w:r>
                </w:p>
              </w:tc>
              <w:tc>
                <w:tcPr>
                  <w:tcW w:w="0" w:type="auto"/>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rPr>
                  </w:pPr>
                  <w:r>
                    <w:rPr>
                      <w:rFonts w:hint="eastAsia" w:ascii="Times New Roman" w:hAnsi="Times New Roman"/>
                      <w:sz w:val="21"/>
                      <w:szCs w:val="21"/>
                    </w:rPr>
                    <w:t>20</w:t>
                  </w:r>
                </w:p>
              </w:tc>
              <w:tc>
                <w:tcPr>
                  <w:tcW w:w="0" w:type="auto"/>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0.006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continue"/>
                  <w:vAlign w:val="center"/>
                </w:tcPr>
                <w:p>
                  <w:pPr>
                    <w:keepNext w:val="0"/>
                    <w:keepLines w:val="0"/>
                    <w:widowControl/>
                    <w:suppressLineNumbers w:val="0"/>
                    <w:spacing w:before="0" w:beforeAutospacing="0" w:after="0" w:afterAutospacing="0" w:line="240" w:lineRule="auto"/>
                    <w:ind w:left="0" w:right="0" w:firstLine="420"/>
                    <w:jc w:val="center"/>
                    <w:rPr>
                      <w:kern w:val="0"/>
                      <w:sz w:val="21"/>
                      <w:szCs w:val="21"/>
                    </w:rPr>
                  </w:pPr>
                </w:p>
              </w:tc>
              <w:tc>
                <w:tcPr>
                  <w:tcW w:w="0" w:type="auto"/>
                  <w:vMerge w:val="continue"/>
                  <w:vAlign w:val="center"/>
                </w:tcPr>
                <w:p>
                  <w:pPr>
                    <w:keepNext w:val="0"/>
                    <w:keepLines w:val="0"/>
                    <w:widowControl/>
                    <w:suppressLineNumbers w:val="0"/>
                    <w:spacing w:before="0" w:beforeAutospacing="0" w:after="0" w:afterAutospacing="0" w:line="240" w:lineRule="auto"/>
                    <w:ind w:left="0" w:right="0" w:firstLine="420"/>
                    <w:jc w:val="center"/>
                    <w:rPr>
                      <w:sz w:val="21"/>
                      <w:szCs w:val="21"/>
                    </w:rPr>
                  </w:pPr>
                </w:p>
              </w:tc>
              <w:tc>
                <w:tcPr>
                  <w:tcW w:w="0" w:type="auto"/>
                  <w:vMerge w:val="continue"/>
                  <w:vAlign w:val="center"/>
                </w:tcPr>
                <w:p>
                  <w:pPr>
                    <w:keepNext w:val="0"/>
                    <w:keepLines w:val="0"/>
                    <w:widowControl/>
                    <w:suppressLineNumbers w:val="0"/>
                    <w:spacing w:before="0" w:beforeAutospacing="0" w:after="0" w:afterAutospacing="0" w:line="240" w:lineRule="auto"/>
                    <w:ind w:left="0" w:right="0" w:firstLine="420"/>
                    <w:jc w:val="center"/>
                    <w:rPr>
                      <w:position w:val="2"/>
                      <w:sz w:val="21"/>
                      <w:szCs w:val="21"/>
                    </w:rPr>
                  </w:pPr>
                </w:p>
              </w:tc>
              <w:tc>
                <w:tcPr>
                  <w:tcW w:w="0" w:type="auto"/>
                  <w:vAlign w:val="center"/>
                </w:tcPr>
                <w:p>
                  <w:pPr>
                    <w:pStyle w:val="39"/>
                    <w:keepNext w:val="0"/>
                    <w:keepLines w:val="0"/>
                    <w:suppressLineNumbers w:val="0"/>
                    <w:spacing w:before="88" w:beforeAutospacing="0" w:after="0" w:afterAutospacing="0"/>
                    <w:ind w:left="0" w:right="0"/>
                    <w:jc w:val="center"/>
                    <w:rPr>
                      <w:rFonts w:ascii="Times New Roman" w:hAnsi="Times New Roman"/>
                      <w:position w:val="2"/>
                      <w:sz w:val="21"/>
                      <w:szCs w:val="21"/>
                    </w:rPr>
                  </w:pPr>
                  <w:r>
                    <w:rPr>
                      <w:rFonts w:hint="eastAsia" w:ascii="Times New Roman" w:hAnsi="Times New Roman"/>
                      <w:position w:val="2"/>
                      <w:sz w:val="21"/>
                      <w:szCs w:val="21"/>
                    </w:rPr>
                    <w:t>动植物油</w:t>
                  </w:r>
                </w:p>
              </w:tc>
              <w:tc>
                <w:tcPr>
                  <w:tcW w:w="0" w:type="auto"/>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30</w:t>
                  </w:r>
                </w:p>
              </w:tc>
              <w:tc>
                <w:tcPr>
                  <w:tcW w:w="0" w:type="auto"/>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0.009</w:t>
                  </w:r>
                </w:p>
              </w:tc>
              <w:tc>
                <w:tcPr>
                  <w:tcW w:w="0" w:type="auto"/>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rPr>
                  </w:pPr>
                  <w:r>
                    <w:rPr>
                      <w:rFonts w:hint="eastAsia" w:ascii="Times New Roman" w:hAnsi="Times New Roman"/>
                      <w:sz w:val="21"/>
                      <w:szCs w:val="21"/>
                    </w:rPr>
                    <w:t>10</w:t>
                  </w:r>
                </w:p>
              </w:tc>
              <w:tc>
                <w:tcPr>
                  <w:tcW w:w="0" w:type="auto"/>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0.003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restart"/>
                  <w:vAlign w:val="center"/>
                </w:tcPr>
                <w:p>
                  <w:pPr>
                    <w:keepNext w:val="0"/>
                    <w:keepLines w:val="0"/>
                    <w:widowControl/>
                    <w:suppressLineNumbers w:val="0"/>
                    <w:spacing w:before="0" w:beforeAutospacing="0" w:after="0" w:afterAutospacing="0" w:line="240" w:lineRule="auto"/>
                    <w:ind w:left="0" w:right="0" w:firstLine="0" w:firstLineChars="0"/>
                    <w:jc w:val="center"/>
                    <w:rPr>
                      <w:kern w:val="0"/>
                      <w:sz w:val="21"/>
                      <w:szCs w:val="21"/>
                    </w:rPr>
                  </w:pPr>
                  <w:r>
                    <w:rPr>
                      <w:kern w:val="0"/>
                      <w:sz w:val="21"/>
                      <w:szCs w:val="21"/>
                    </w:rPr>
                    <w:t>生产废水</w:t>
                  </w:r>
                </w:p>
              </w:tc>
              <w:tc>
                <w:tcPr>
                  <w:tcW w:w="0" w:type="auto"/>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sz w:val="21"/>
                      <w:szCs w:val="21"/>
                    </w:rPr>
                    <w:t>打孔冷却水</w:t>
                  </w:r>
                </w:p>
              </w:tc>
              <w:tc>
                <w:tcPr>
                  <w:tcW w:w="0" w:type="auto"/>
                  <w:vAlign w:val="center"/>
                </w:tcPr>
                <w:p>
                  <w:pPr>
                    <w:keepNext w:val="0"/>
                    <w:keepLines w:val="0"/>
                    <w:widowControl/>
                    <w:suppressLineNumbers w:val="0"/>
                    <w:spacing w:before="0" w:beforeAutospacing="0" w:after="0" w:afterAutospacing="0" w:line="240" w:lineRule="auto"/>
                    <w:ind w:left="0" w:right="0" w:firstLine="0" w:firstLineChars="0"/>
                    <w:jc w:val="center"/>
                    <w:rPr>
                      <w:position w:val="2"/>
                      <w:sz w:val="21"/>
                      <w:szCs w:val="21"/>
                    </w:rPr>
                  </w:pPr>
                  <w:r>
                    <w:rPr>
                      <w:rFonts w:hint="eastAsia"/>
                      <w:sz w:val="21"/>
                      <w:szCs w:val="21"/>
                    </w:rPr>
                    <w:t>6885 m</w:t>
                  </w:r>
                  <w:r>
                    <w:rPr>
                      <w:rFonts w:hint="eastAsia"/>
                      <w:sz w:val="21"/>
                      <w:szCs w:val="21"/>
                      <w:vertAlign w:val="superscript"/>
                    </w:rPr>
                    <w:t>3</w:t>
                  </w:r>
                  <w:r>
                    <w:rPr>
                      <w:rFonts w:hint="eastAsia"/>
                      <w:sz w:val="21"/>
                      <w:szCs w:val="21"/>
                    </w:rPr>
                    <w:t>/a</w:t>
                  </w:r>
                </w:p>
              </w:tc>
              <w:tc>
                <w:tcPr>
                  <w:tcW w:w="0" w:type="auto"/>
                  <w:vAlign w:val="center"/>
                </w:tcPr>
                <w:p>
                  <w:pPr>
                    <w:pStyle w:val="39"/>
                    <w:keepNext w:val="0"/>
                    <w:keepLines w:val="0"/>
                    <w:suppressLineNumbers w:val="0"/>
                    <w:spacing w:before="88" w:beforeAutospacing="0" w:after="0" w:afterAutospacing="0"/>
                    <w:ind w:left="0" w:right="0"/>
                    <w:jc w:val="center"/>
                    <w:rPr>
                      <w:rFonts w:ascii="Times New Roman" w:hAnsi="Times New Roman"/>
                      <w:position w:val="2"/>
                      <w:sz w:val="21"/>
                      <w:szCs w:val="21"/>
                      <w:lang w:eastAsia="zh-CN"/>
                    </w:rPr>
                  </w:pPr>
                  <w:r>
                    <w:rPr>
                      <w:rFonts w:hint="eastAsia" w:ascii="Times New Roman" w:hAnsi="Times New Roman"/>
                      <w:position w:val="2"/>
                      <w:sz w:val="21"/>
                      <w:szCs w:val="21"/>
                      <w:lang w:eastAsia="zh-CN"/>
                    </w:rPr>
                    <w:t>SS</w:t>
                  </w:r>
                </w:p>
              </w:tc>
              <w:tc>
                <w:tcPr>
                  <w:tcW w:w="0" w:type="auto"/>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200</w:t>
                  </w:r>
                </w:p>
              </w:tc>
              <w:tc>
                <w:tcPr>
                  <w:tcW w:w="0" w:type="auto"/>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1.38</w:t>
                  </w:r>
                </w:p>
              </w:tc>
              <w:tc>
                <w:tcPr>
                  <w:tcW w:w="0" w:type="auto"/>
                  <w:gridSpan w:val="2"/>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ascii="Times New Roman" w:hAnsi="Times New Roman"/>
                      <w:sz w:val="21"/>
                      <w:szCs w:val="21"/>
                      <w:lang w:eastAsia="zh-CN"/>
                    </w:rPr>
                    <w:t>滤网快速过滤后回用于原环节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continue"/>
                  <w:vAlign w:val="center"/>
                </w:tcPr>
                <w:p>
                  <w:pPr>
                    <w:keepNext w:val="0"/>
                    <w:keepLines w:val="0"/>
                    <w:widowControl/>
                    <w:suppressLineNumbers w:val="0"/>
                    <w:spacing w:before="0" w:beforeAutospacing="0" w:after="0" w:afterAutospacing="0" w:line="240" w:lineRule="auto"/>
                    <w:ind w:left="0" w:right="0" w:firstLine="0" w:firstLineChars="0"/>
                    <w:jc w:val="center"/>
                    <w:rPr>
                      <w:kern w:val="0"/>
                      <w:sz w:val="21"/>
                      <w:szCs w:val="21"/>
                    </w:rPr>
                  </w:pPr>
                </w:p>
              </w:tc>
              <w:tc>
                <w:tcPr>
                  <w:tcW w:w="0" w:type="auto"/>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涂料回收池废液</w:t>
                  </w:r>
                </w:p>
              </w:tc>
              <w:tc>
                <w:tcPr>
                  <w:tcW w:w="0" w:type="auto"/>
                  <w:vAlign w:val="center"/>
                </w:tcPr>
                <w:p>
                  <w:pPr>
                    <w:keepNext w:val="0"/>
                    <w:keepLines w:val="0"/>
                    <w:widowControl/>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12m</w:t>
                  </w:r>
                  <w:r>
                    <w:rPr>
                      <w:rFonts w:hint="eastAsia"/>
                      <w:sz w:val="21"/>
                      <w:szCs w:val="21"/>
                      <w:vertAlign w:val="superscript"/>
                    </w:rPr>
                    <w:t>3</w:t>
                  </w:r>
                  <w:r>
                    <w:rPr>
                      <w:rFonts w:hint="eastAsia"/>
                      <w:sz w:val="21"/>
                      <w:szCs w:val="21"/>
                    </w:rPr>
                    <w:t>/a</w:t>
                  </w:r>
                </w:p>
              </w:tc>
              <w:tc>
                <w:tcPr>
                  <w:tcW w:w="0" w:type="auto"/>
                  <w:vAlign w:val="center"/>
                </w:tcPr>
                <w:p>
                  <w:pPr>
                    <w:pStyle w:val="39"/>
                    <w:keepNext w:val="0"/>
                    <w:keepLines w:val="0"/>
                    <w:suppressLineNumbers w:val="0"/>
                    <w:spacing w:before="88" w:beforeAutospacing="0" w:after="0" w:afterAutospacing="0"/>
                    <w:ind w:left="0" w:right="0"/>
                    <w:jc w:val="center"/>
                    <w:rPr>
                      <w:rFonts w:ascii="Times New Roman" w:hAnsi="Times New Roman"/>
                      <w:position w:val="2"/>
                      <w:sz w:val="21"/>
                      <w:szCs w:val="21"/>
                      <w:lang w:eastAsia="zh-CN"/>
                    </w:rPr>
                  </w:pPr>
                  <w:r>
                    <w:rPr>
                      <w:rFonts w:hint="eastAsia" w:ascii="Times New Roman" w:hAnsi="Times New Roman"/>
                      <w:position w:val="2"/>
                      <w:sz w:val="21"/>
                      <w:szCs w:val="21"/>
                      <w:lang w:eastAsia="zh-CN"/>
                    </w:rPr>
                    <w:t>/</w:t>
                  </w:r>
                </w:p>
              </w:tc>
              <w:tc>
                <w:tcPr>
                  <w:tcW w:w="0" w:type="auto"/>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w:t>
                  </w:r>
                </w:p>
              </w:tc>
              <w:tc>
                <w:tcPr>
                  <w:tcW w:w="0" w:type="auto"/>
                  <w:vAlign w:val="center"/>
                </w:tcPr>
                <w:p>
                  <w:pPr>
                    <w:pStyle w:val="39"/>
                    <w:keepNext w:val="0"/>
                    <w:keepLines w:val="0"/>
                    <w:suppressLineNumbers w:val="0"/>
                    <w:spacing w:before="92" w:beforeAutospacing="0" w:after="0" w:afterAutospacing="0"/>
                    <w:ind w:left="1" w:right="0"/>
                    <w:jc w:val="center"/>
                    <w:rPr>
                      <w:rFonts w:ascii="Times New Roman" w:hAnsi="Times New Roman"/>
                      <w:sz w:val="21"/>
                      <w:szCs w:val="21"/>
                      <w:lang w:eastAsia="zh-CN"/>
                    </w:rPr>
                  </w:pPr>
                  <w:r>
                    <w:rPr>
                      <w:rFonts w:hint="eastAsia" w:ascii="Times New Roman" w:hAnsi="Times New Roman"/>
                      <w:sz w:val="21"/>
                      <w:szCs w:val="21"/>
                      <w:lang w:eastAsia="zh-CN"/>
                    </w:rPr>
                    <w:t>/</w:t>
                  </w:r>
                </w:p>
              </w:tc>
              <w:tc>
                <w:tcPr>
                  <w:tcW w:w="0" w:type="auto"/>
                  <w:gridSpan w:val="2"/>
                  <w:vAlign w:val="center"/>
                </w:tcPr>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收集后回用于调漆</w:t>
                  </w:r>
                </w:p>
              </w:tc>
            </w:tr>
          </w:tbl>
          <w:p>
            <w:pPr>
              <w:pStyle w:val="33"/>
              <w:keepNext w:val="0"/>
              <w:keepLines w:val="0"/>
              <w:suppressLineNumbers w:val="0"/>
              <w:spacing w:beforeAutospacing="0" w:after="0" w:afterAutospacing="0"/>
              <w:ind w:left="0" w:right="0" w:firstLine="480" w:firstLineChars="0"/>
              <w:rPr>
                <w:rFonts w:ascii="宋体" w:hAnsi="宋体"/>
                <w:kern w:val="0"/>
              </w:rPr>
            </w:pPr>
            <w:r>
              <w:rPr>
                <w:rFonts w:hint="eastAsia" w:ascii="宋体" w:hAnsi="宋体"/>
                <w:kern w:val="0"/>
              </w:rPr>
              <w:t>（3）控制措施有效性分析</w:t>
            </w:r>
          </w:p>
          <w:p>
            <w:pPr>
              <w:pStyle w:val="33"/>
              <w:keepNext w:val="0"/>
              <w:keepLines w:val="0"/>
              <w:suppressLineNumbers w:val="0"/>
              <w:spacing w:before="0" w:beforeAutospacing="0" w:after="0" w:afterAutospacing="0"/>
              <w:ind w:left="0" w:right="0" w:firstLine="480" w:firstLineChars="0"/>
              <w:rPr>
                <w:rFonts w:ascii="Times New Roman" w:hAnsi="Times New Roman"/>
                <w:kern w:val="0"/>
              </w:rPr>
            </w:pPr>
            <w:r>
              <w:rPr>
                <w:rFonts w:ascii="宋体" w:hAnsi="宋体"/>
                <w:kern w:val="0"/>
              </w:rPr>
              <w:fldChar w:fldCharType="begin"/>
            </w:r>
            <w:r>
              <w:rPr>
                <w:rFonts w:hint="eastAsia" w:ascii="宋体" w:hAnsi="宋体"/>
                <w:kern w:val="0"/>
              </w:rPr>
              <w:instrText xml:space="preserve">= 1 \* GB3</w:instrText>
            </w:r>
            <w:r>
              <w:rPr>
                <w:rFonts w:ascii="宋体" w:hAnsi="宋体"/>
                <w:kern w:val="0"/>
              </w:rPr>
              <w:fldChar w:fldCharType="separate"/>
            </w:r>
            <w:r>
              <w:rPr>
                <w:rFonts w:hint="eastAsia" w:ascii="宋体" w:hAnsi="宋体"/>
                <w:kern w:val="0"/>
              </w:rPr>
              <w:t>①</w:t>
            </w:r>
            <w:r>
              <w:rPr>
                <w:rFonts w:ascii="宋体" w:hAnsi="宋体"/>
                <w:kern w:val="0"/>
              </w:rPr>
              <w:fldChar w:fldCharType="end"/>
            </w:r>
            <w:r>
              <w:rPr>
                <w:rFonts w:ascii="宋体" w:hAnsi="宋体"/>
                <w:kern w:val="0"/>
              </w:rPr>
              <w:t>生活废水控制措施</w:t>
            </w:r>
          </w:p>
          <w:p>
            <w:pPr>
              <w:keepNext w:val="0"/>
              <w:keepLines w:val="0"/>
              <w:suppressLineNumbers w:val="0"/>
              <w:spacing w:before="0" w:beforeAutospacing="0" w:after="0" w:afterAutospacing="0"/>
              <w:ind w:left="0" w:right="0" w:firstLine="520"/>
              <w:jc w:val="both"/>
              <w:rPr>
                <w:spacing w:val="10"/>
              </w:rPr>
            </w:pPr>
            <w:r>
              <w:rPr>
                <w:rFonts w:hint="eastAsia" w:ascii="宋体" w:hAnsi="宋体"/>
                <w:spacing w:val="10"/>
              </w:rPr>
              <w:t>本项目2个化粪池有效容积均为</w:t>
            </w:r>
            <w:r>
              <w:rPr>
                <w:rFonts w:hint="eastAsia"/>
                <w:spacing w:val="10"/>
              </w:rPr>
              <w:t>12m</w:t>
            </w:r>
            <w:r>
              <w:rPr>
                <w:rFonts w:hint="eastAsia"/>
                <w:spacing w:val="10"/>
                <w:vertAlign w:val="superscript"/>
              </w:rPr>
              <w:t>3</w:t>
            </w:r>
            <w:r>
              <w:rPr>
                <w:rFonts w:hint="eastAsia" w:ascii="宋体" w:hAnsi="宋体"/>
                <w:spacing w:val="10"/>
              </w:rPr>
              <w:t>，项目生活废水产生量为</w:t>
            </w:r>
            <w:r>
              <w:rPr>
                <w:rFonts w:hint="eastAsia"/>
                <w:spacing w:val="10"/>
              </w:rPr>
              <w:t>2.88m</w:t>
            </w:r>
            <w:r>
              <w:rPr>
                <w:rFonts w:hint="eastAsia"/>
                <w:spacing w:val="10"/>
                <w:vertAlign w:val="superscript"/>
              </w:rPr>
              <w:t>3</w:t>
            </w:r>
            <w:r>
              <w:rPr>
                <w:rFonts w:hint="eastAsia"/>
                <w:spacing w:val="10"/>
              </w:rPr>
              <w:t>/d</w:t>
            </w:r>
            <w:r>
              <w:rPr>
                <w:rFonts w:hint="eastAsia" w:ascii="宋体" w:hAnsi="宋体"/>
                <w:spacing w:val="10"/>
              </w:rPr>
              <w:t>，化粪池能满足项目</w:t>
            </w:r>
            <w:r>
              <w:rPr>
                <w:rFonts w:hint="eastAsia"/>
                <w:spacing w:val="10"/>
              </w:rPr>
              <w:t>8</w:t>
            </w:r>
            <w:r>
              <w:rPr>
                <w:rFonts w:hint="eastAsia" w:ascii="宋体" w:hAnsi="宋体"/>
                <w:spacing w:val="10"/>
              </w:rPr>
              <w:t>天的废水收集，一般情况下，化粪池处理污染物的停留时间为</w:t>
            </w:r>
            <w:r>
              <w:rPr>
                <w:rFonts w:hint="eastAsia"/>
                <w:spacing w:val="10"/>
              </w:rPr>
              <w:t>12-24</w:t>
            </w:r>
            <w:r>
              <w:rPr>
                <w:rFonts w:hint="eastAsia" w:ascii="宋体" w:hAnsi="宋体"/>
                <w:spacing w:val="10"/>
              </w:rPr>
              <w:t>小时，项目化粪池的容量能保证污染物的处理。另外，隔油池一般停留时间为</w:t>
            </w:r>
            <w:r>
              <w:rPr>
                <w:rFonts w:hint="eastAsia"/>
                <w:spacing w:val="10"/>
              </w:rPr>
              <w:t>4-6</w:t>
            </w:r>
            <w:r>
              <w:rPr>
                <w:rFonts w:hint="eastAsia" w:ascii="宋体" w:hAnsi="宋体"/>
                <w:spacing w:val="10"/>
              </w:rPr>
              <w:t>小时，本项目隔油池有效容积为</w:t>
            </w:r>
            <w:r>
              <w:rPr>
                <w:rFonts w:hint="eastAsia"/>
                <w:spacing w:val="10"/>
              </w:rPr>
              <w:t>3m</w:t>
            </w:r>
            <w:r>
              <w:rPr>
                <w:rFonts w:hint="eastAsia"/>
                <w:spacing w:val="10"/>
                <w:vertAlign w:val="superscript"/>
              </w:rPr>
              <w:t>3</w:t>
            </w:r>
            <w:r>
              <w:rPr>
                <w:rFonts w:hint="eastAsia" w:ascii="宋体" w:hAnsi="宋体"/>
                <w:spacing w:val="10"/>
              </w:rPr>
              <w:t>，食堂废水产生量为</w:t>
            </w:r>
            <w:r>
              <w:rPr>
                <w:rFonts w:hint="eastAsia"/>
                <w:spacing w:val="10"/>
              </w:rPr>
              <w:t>0.96m</w:t>
            </w:r>
            <w:r>
              <w:rPr>
                <w:rFonts w:hint="eastAsia"/>
                <w:spacing w:val="10"/>
                <w:vertAlign w:val="superscript"/>
              </w:rPr>
              <w:t>3</w:t>
            </w:r>
            <w:r>
              <w:rPr>
                <w:rFonts w:hint="eastAsia"/>
                <w:spacing w:val="10"/>
              </w:rPr>
              <w:t>/d</w:t>
            </w:r>
            <w:r>
              <w:rPr>
                <w:rFonts w:hint="eastAsia" w:ascii="宋体" w:hAnsi="宋体"/>
                <w:spacing w:val="10"/>
              </w:rPr>
              <w:t>，能满足污染物去除的停留时间，所以项目环保设施建设规模是合理的。</w:t>
            </w:r>
          </w:p>
          <w:p>
            <w:pPr>
              <w:keepNext w:val="0"/>
              <w:keepLines w:val="0"/>
              <w:suppressLineNumbers w:val="0"/>
              <w:spacing w:before="0" w:beforeAutospacing="0" w:after="0" w:afterAutospacing="0"/>
              <w:ind w:left="0" w:right="0" w:firstLine="520"/>
              <w:jc w:val="both"/>
              <w:rPr>
                <w:sz w:val="21"/>
                <w:szCs w:val="21"/>
              </w:rPr>
            </w:pPr>
            <w:r>
              <w:rPr>
                <w:rFonts w:hint="eastAsia" w:ascii="宋体" w:hAnsi="宋体"/>
                <w:spacing w:val="10"/>
              </w:rPr>
              <w:t>厂区内化粪池与隔油池、废水收集管道均为地埋式且加盖防雨，保证雨水不会进入隔油池及化粪池内导致废水溢出污染周边环境。项目食堂废水、员工日常生活污水近期经隔油池、化粪池处理后排入园区管网，废水各污染物对周围环境影响较小。</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t>生产废水控制措施</w:t>
            </w:r>
          </w:p>
          <w:p>
            <w:pPr>
              <w:pStyle w:val="2"/>
              <w:keepNext w:val="0"/>
              <w:keepLines w:val="0"/>
              <w:suppressLineNumbers w:val="0"/>
              <w:spacing w:before="0" w:beforeAutospacing="0" w:after="0" w:afterAutospacing="0"/>
              <w:ind w:left="0" w:right="0" w:firstLine="480"/>
              <w:jc w:val="both"/>
            </w:pPr>
            <w:r>
              <w:rPr>
                <w:rFonts w:hint="eastAsia"/>
              </w:rPr>
              <w:t>项目涂料回收池有效容积为60 m</w:t>
            </w:r>
            <w:r>
              <w:rPr>
                <w:rFonts w:hint="eastAsia"/>
                <w:vertAlign w:val="superscript"/>
              </w:rPr>
              <w:t>2</w:t>
            </w:r>
            <w:r>
              <w:rPr>
                <w:rFonts w:hint="eastAsia"/>
              </w:rPr>
              <w:t>，项目产生的涂料废液约12m</w:t>
            </w:r>
            <w:r>
              <w:rPr>
                <w:rFonts w:hint="eastAsia"/>
                <w:vertAlign w:val="superscript"/>
              </w:rPr>
              <w:t>3</w:t>
            </w:r>
            <w:r>
              <w:rPr>
                <w:rFonts w:hint="eastAsia"/>
              </w:rPr>
              <w:t>/a，进入回收池都经导流沟汇集至回收池中间低洼部分，定期人工收集后回用于调漆环节，回收池的容积远大于项目涂料废液产生量，所以建设规模是合理的。另外涂料回收池</w:t>
            </w:r>
            <w:r>
              <w:t>用混凝土作为基础防渗</w:t>
            </w:r>
            <w:r>
              <w:rPr>
                <w:rFonts w:hint="eastAsia"/>
              </w:rPr>
              <w:t>，</w:t>
            </w:r>
            <w:r>
              <w:t>采用2mm防渗漆</w:t>
            </w:r>
            <w:r>
              <w:rPr>
                <w:rFonts w:hint="eastAsia"/>
              </w:rPr>
              <w:t>（</w:t>
            </w:r>
            <w:r>
              <w:t>渗透系数≤10</w:t>
            </w:r>
            <w:r>
              <w:rPr>
                <w:vertAlign w:val="superscript"/>
              </w:rPr>
              <w:t>-10</w:t>
            </w:r>
            <w:r>
              <w:t>cm/s</w:t>
            </w:r>
            <w:r>
              <w:rPr>
                <w:rFonts w:hint="eastAsia"/>
              </w:rPr>
              <w:t>）</w:t>
            </w:r>
            <w:r>
              <w:t>保证涂料不会渗入地下水和土壤中。</w:t>
            </w:r>
          </w:p>
          <w:p>
            <w:pPr>
              <w:keepNext w:val="0"/>
              <w:keepLines w:val="0"/>
              <w:suppressLineNumbers w:val="0"/>
              <w:spacing w:before="0" w:beforeAutospacing="0" w:after="0" w:afterAutospacing="0"/>
              <w:ind w:left="0" w:right="0" w:firstLine="480"/>
              <w:jc w:val="both"/>
            </w:pPr>
            <w:r>
              <w:rPr>
                <w:rFonts w:hint="eastAsia"/>
              </w:rPr>
              <w:t>项目</w:t>
            </w:r>
            <w:r>
              <w:t>打孔冷却</w:t>
            </w:r>
            <w:r>
              <w:rPr>
                <w:rFonts w:hint="eastAsia"/>
              </w:rPr>
              <w:t>废水进入冲床下方的冷却水收集池，2个生产厂房各设置3台冲床及冷却水收集池，单个容积为4m</w:t>
            </w:r>
            <w:r>
              <w:rPr>
                <w:rFonts w:hint="eastAsia"/>
                <w:vertAlign w:val="superscript"/>
              </w:rPr>
              <w:t>3</w:t>
            </w:r>
            <w:r>
              <w:rPr>
                <w:rFonts w:hint="eastAsia"/>
              </w:rPr>
              <w:t>，合计有效容积为24 m</w:t>
            </w:r>
            <w:r>
              <w:rPr>
                <w:rFonts w:hint="eastAsia"/>
                <w:vertAlign w:val="superscript"/>
              </w:rPr>
              <w:t>3</w:t>
            </w:r>
            <w:r>
              <w:rPr>
                <w:rFonts w:hint="eastAsia"/>
              </w:rPr>
              <w:t>，根据工程分析章节，冷却废水产生量22.95m</w:t>
            </w:r>
            <w:r>
              <w:rPr>
                <w:rFonts w:hint="eastAsia"/>
                <w:vertAlign w:val="superscript"/>
              </w:rPr>
              <w:t>3</w:t>
            </w:r>
            <w:r>
              <w:rPr>
                <w:rFonts w:hint="eastAsia"/>
              </w:rPr>
              <w:t>/d，产生的冷却废水快速过滤环节持续时间不超过20分钟，处理后即回用，且项目冷却水收集池容积能满足废水收集，不会导致废水外溢。</w:t>
            </w:r>
          </w:p>
          <w:p>
            <w:pPr>
              <w:pStyle w:val="2"/>
              <w:keepNext w:val="0"/>
              <w:keepLines w:val="0"/>
              <w:suppressLineNumbers w:val="0"/>
              <w:spacing w:before="0" w:beforeAutospacing="0" w:after="0" w:afterAutospacing="0"/>
              <w:ind w:left="0" w:right="0" w:firstLine="480"/>
              <w:jc w:val="both"/>
            </w:pPr>
            <w:r>
              <w:rPr>
                <w:rFonts w:hint="eastAsia"/>
              </w:rPr>
              <w:t>综上，本项目废水控制措施设置规模及有效性均是合理的。</w:t>
            </w:r>
          </w:p>
          <w:p>
            <w:pPr>
              <w:keepNext w:val="0"/>
              <w:keepLines w:val="0"/>
              <w:suppressLineNumbers w:val="0"/>
              <w:spacing w:before="0" w:beforeAutospacing="0" w:after="0" w:afterAutospacing="0"/>
              <w:ind w:left="0" w:right="0" w:firstLine="480"/>
            </w:pPr>
            <w:r>
              <w:rPr>
                <w:rFonts w:hint="eastAsia"/>
              </w:rPr>
              <w:fldChar w:fldCharType="begin"/>
            </w:r>
            <w:r>
              <w:instrText xml:space="preserve"> = 3 \* GB3 </w:instrText>
            </w:r>
            <w:r>
              <w:rPr>
                <w:rFonts w:hint="eastAsia"/>
              </w:rPr>
              <w:fldChar w:fldCharType="separate"/>
            </w:r>
            <w:r>
              <w:rPr>
                <w:rFonts w:hint="eastAsia"/>
              </w:rPr>
              <w:t>③</w:t>
            </w:r>
            <w:r>
              <w:rPr>
                <w:rFonts w:hint="eastAsia"/>
              </w:rPr>
              <w:fldChar w:fldCharType="end"/>
            </w:r>
            <w:r>
              <w:rPr>
                <w:rFonts w:hint="eastAsia"/>
              </w:rPr>
              <w:t>生活废水进入园区污水处理厂可行性分析</w:t>
            </w:r>
          </w:p>
          <w:p>
            <w:pPr>
              <w:pStyle w:val="11"/>
              <w:keepNext w:val="0"/>
              <w:keepLines w:val="0"/>
              <w:suppressLineNumbers w:val="0"/>
              <w:spacing w:before="0" w:beforeAutospacing="0" w:after="0" w:afterAutospacing="0"/>
              <w:ind w:left="0" w:right="0" w:firstLine="480"/>
              <w:rPr>
                <w:rFonts w:ascii="Times New Roman" w:hAnsi="Times New Roman" w:cs="Times New Roman"/>
              </w:rPr>
            </w:pPr>
            <w:r>
              <w:rPr>
                <w:rFonts w:ascii="Times New Roman" w:hAnsi="Times New Roman" w:cs="Times New Roman"/>
              </w:rPr>
              <w:t>本项目的生活污水经化粪池及隔油池处理后排入哨箐工业园区污水处理站，污水处理规模500m</w:t>
            </w:r>
            <w:r>
              <w:rPr>
                <w:rFonts w:ascii="Times New Roman" w:hAnsi="Times New Roman" w:cs="Times New Roman"/>
                <w:vertAlign w:val="superscript"/>
              </w:rPr>
              <w:t>3</w:t>
            </w:r>
            <w:r>
              <w:rPr>
                <w:rFonts w:ascii="Times New Roman" w:hAnsi="Times New Roman" w:cs="Times New Roman"/>
              </w:rPr>
              <w:t>/d，采用“预处理+一体化MBR 膜生物反应器+消毒”处理工艺，出水水质达到《城镇污水处理厂污染物排放标准》（GB18918-2002）一级A标准后排入螳螂川，污泥处理采用叠螺式污泥脱水机脱水至80%后外运至昆明滇池投资有限责任公司在富民的污泥处置点进行最终处理。</w:t>
            </w:r>
          </w:p>
          <w:p>
            <w:pPr>
              <w:pStyle w:val="9"/>
              <w:keepNext w:val="0"/>
              <w:keepLines w:val="0"/>
              <w:suppressLineNumbers w:val="0"/>
              <w:spacing w:before="0" w:beforeAutospacing="0" w:after="0" w:afterAutospacing="0"/>
              <w:ind w:left="0" w:right="0" w:firstLine="600" w:firstLineChars="250"/>
            </w:pPr>
            <w:r>
              <w:rPr>
                <w:rFonts w:hint="eastAsia"/>
              </w:rPr>
              <w:t>A、水质可行性分析</w:t>
            </w:r>
          </w:p>
          <w:p>
            <w:pPr>
              <w:keepNext w:val="0"/>
              <w:keepLines w:val="0"/>
              <w:suppressLineNumbers w:val="0"/>
              <w:spacing w:before="0" w:beforeAutospacing="0" w:after="0" w:afterAutospacing="0"/>
              <w:ind w:left="0" w:right="0" w:firstLine="480"/>
              <w:jc w:val="both"/>
            </w:pPr>
            <w:r>
              <w:rPr>
                <w:rFonts w:hint="eastAsia"/>
              </w:rPr>
              <w:t>经本项目建设的隔油池及化粪池处理后能</w:t>
            </w:r>
            <w:r>
              <w:rPr>
                <w:rFonts w:hint="eastAsia"/>
                <w:lang w:val="en-US" w:eastAsia="zh-CN"/>
              </w:rPr>
              <w:t>达到</w:t>
            </w:r>
            <w:r>
              <w:rPr>
                <w:rFonts w:hint="eastAsia"/>
              </w:rPr>
              <w:t>《污水综合排放标准》（GB8978-1996）三级标准</w:t>
            </w:r>
            <w:r>
              <w:rPr>
                <w:rFonts w:hint="eastAsia"/>
                <w:lang w:val="en-US" w:eastAsia="zh-CN"/>
              </w:rPr>
              <w:t>及</w:t>
            </w:r>
            <w:r>
              <w:rPr>
                <w:rFonts w:hint="eastAsia" w:ascii="Times New Roman" w:hAnsi="Times New Roman" w:eastAsia="宋体" w:cs="Times New Roman"/>
                <w:kern w:val="2"/>
                <w:sz w:val="24"/>
                <w:szCs w:val="24"/>
                <w:lang w:val="zh-CN" w:eastAsia="zh-CN" w:bidi="ar"/>
              </w:rPr>
              <w:t>《污水排入城镇下水道水质标准》（</w:t>
            </w:r>
            <w:r>
              <w:rPr>
                <w:rFonts w:hint="default" w:ascii="Times New Roman" w:hAnsi="Times New Roman" w:eastAsia="宋体" w:cs="Times New Roman"/>
                <w:kern w:val="2"/>
                <w:sz w:val="24"/>
                <w:szCs w:val="24"/>
                <w:lang w:val="zh-CN" w:eastAsia="zh-CN" w:bidi="ar"/>
              </w:rPr>
              <w:t>GB/T31962-2015</w:t>
            </w:r>
            <w:r>
              <w:rPr>
                <w:rFonts w:hint="eastAsia" w:ascii="Times New Roman" w:hAnsi="Times New Roman" w:eastAsia="宋体" w:cs="Times New Roman"/>
                <w:kern w:val="2"/>
                <w:sz w:val="24"/>
                <w:szCs w:val="24"/>
                <w:lang w:val="zh-CN" w:eastAsia="zh-CN" w:bidi="ar"/>
              </w:rPr>
              <w:t>）</w:t>
            </w:r>
            <w:r>
              <w:rPr>
                <w:rFonts w:hint="eastAsia" w:ascii="Times New Roman" w:hAnsi="Times New Roman" w:eastAsia="宋体" w:cs="Times New Roman"/>
                <w:kern w:val="2"/>
                <w:sz w:val="24"/>
                <w:szCs w:val="24"/>
                <w:lang w:val="en-US" w:eastAsia="zh-CN" w:bidi="ar"/>
              </w:rPr>
              <w:t>A等级</w:t>
            </w:r>
            <w:r>
              <w:rPr>
                <w:rFonts w:hint="eastAsia" w:ascii="Times New Roman" w:hAnsi="Times New Roman" w:eastAsia="宋体" w:cs="Times New Roman"/>
                <w:kern w:val="2"/>
                <w:sz w:val="24"/>
                <w:szCs w:val="24"/>
                <w:lang w:val="zh-CN" w:eastAsia="zh-CN" w:bidi="ar"/>
              </w:rPr>
              <w:t>标准限值，</w:t>
            </w:r>
            <w:r>
              <w:rPr>
                <w:rFonts w:hint="eastAsia"/>
              </w:rPr>
              <w:t>能满足哨菁工业园区污水处理站设计进口水质要求。</w:t>
            </w:r>
          </w:p>
          <w:p>
            <w:pPr>
              <w:pStyle w:val="9"/>
              <w:keepNext w:val="0"/>
              <w:keepLines w:val="0"/>
              <w:suppressLineNumbers w:val="0"/>
              <w:spacing w:before="0" w:beforeAutospacing="0" w:after="0" w:afterAutospacing="0"/>
              <w:ind w:left="0" w:right="0" w:firstLine="600" w:firstLineChars="250"/>
            </w:pPr>
            <w:r>
              <w:rPr>
                <w:rFonts w:hint="eastAsia"/>
              </w:rPr>
              <w:t>B、水量可行性分析</w:t>
            </w:r>
          </w:p>
          <w:p>
            <w:pPr>
              <w:pStyle w:val="11"/>
              <w:keepNext w:val="0"/>
              <w:keepLines w:val="0"/>
              <w:suppressLineNumbers w:val="0"/>
              <w:spacing w:before="0" w:beforeAutospacing="0" w:after="0" w:afterAutospacing="0"/>
              <w:ind w:left="0" w:right="0" w:firstLine="480"/>
              <w:rPr>
                <w:rFonts w:ascii="Times New Roman" w:hAnsi="Times New Roman" w:cs="Times New Roman"/>
              </w:rPr>
            </w:pPr>
            <w:r>
              <w:rPr>
                <w:rFonts w:ascii="Times New Roman" w:hAnsi="Times New Roman" w:cs="Times New Roman"/>
              </w:rPr>
              <w:t>哨箐工业园区污水处理站处理规模500m</w:t>
            </w:r>
            <w:r>
              <w:rPr>
                <w:rFonts w:ascii="Times New Roman" w:hAnsi="Times New Roman" w:cs="Times New Roman"/>
                <w:vertAlign w:val="superscript"/>
              </w:rPr>
              <w:t>3</w:t>
            </w:r>
            <w:r>
              <w:rPr>
                <w:rFonts w:ascii="Times New Roman" w:hAnsi="Times New Roman" w:cs="Times New Roman"/>
              </w:rPr>
              <w:t>/d，</w:t>
            </w:r>
            <w:r>
              <w:rPr>
                <w:rFonts w:hint="eastAsia" w:ascii="Times New Roman" w:hAnsi="Times New Roman" w:cs="Times New Roman"/>
              </w:rPr>
              <w:t>本项目产生的生活污水为2.88</w:t>
            </w:r>
            <w:r>
              <w:rPr>
                <w:rFonts w:ascii="Times New Roman" w:hAnsi="Times New Roman" w:cs="Times New Roman"/>
              </w:rPr>
              <w:t xml:space="preserve"> m</w:t>
            </w:r>
            <w:r>
              <w:rPr>
                <w:rFonts w:ascii="Times New Roman" w:hAnsi="Times New Roman" w:cs="Times New Roman"/>
                <w:vertAlign w:val="superscript"/>
              </w:rPr>
              <w:t>3</w:t>
            </w:r>
            <w:r>
              <w:rPr>
                <w:rFonts w:ascii="Times New Roman" w:hAnsi="Times New Roman" w:cs="Times New Roman"/>
              </w:rPr>
              <w:t>/d，</w:t>
            </w:r>
            <w:r>
              <w:rPr>
                <w:rFonts w:hint="eastAsia" w:ascii="Times New Roman" w:hAnsi="Times New Roman" w:cs="Times New Roman"/>
              </w:rPr>
              <w:t>污水处理站现有余力接纳本项目产生的生活污水。</w:t>
            </w:r>
          </w:p>
          <w:p>
            <w:pPr>
              <w:pStyle w:val="9"/>
              <w:keepNext w:val="0"/>
              <w:keepLines w:val="0"/>
              <w:suppressLineNumbers w:val="0"/>
              <w:spacing w:before="0" w:beforeAutospacing="0" w:after="0" w:afterAutospacing="0"/>
              <w:ind w:left="0" w:right="0" w:firstLine="600" w:firstLineChars="250"/>
            </w:pPr>
            <w:r>
              <w:rPr>
                <w:rFonts w:hint="eastAsia"/>
              </w:rPr>
              <w:t>C、接管可行性分析</w:t>
            </w:r>
          </w:p>
          <w:p>
            <w:pPr>
              <w:pStyle w:val="9"/>
              <w:keepNext w:val="0"/>
              <w:keepLines w:val="0"/>
              <w:suppressLineNumbers w:val="0"/>
              <w:spacing w:before="0" w:beforeAutospacing="0" w:after="0" w:afterAutospacing="0"/>
              <w:ind w:left="0" w:right="0" w:firstLine="480"/>
            </w:pPr>
            <w:r>
              <w:rPr>
                <w:rFonts w:hint="eastAsia"/>
              </w:rPr>
              <w:t>本项目位于哨菁机械加工园，园区建设有完善的污水管网。根据现场踏勘，本项目的污水接入口位于厂区东侧靠近108国道处，具体接入点详见附图1。目前综合楼已经建成完善的污水收集管网并已现有园区污水管网接通。项目厂区西部新建的淋浴间尚未建设污水管网，环评要求建设单位将淋浴间污水新建管网排入本项目的化粪池，最终接入园区污水管网。</w:t>
            </w:r>
          </w:p>
          <w:p>
            <w:pPr>
              <w:keepNext w:val="0"/>
              <w:keepLines w:val="0"/>
              <w:suppressLineNumbers w:val="0"/>
              <w:spacing w:before="0" w:beforeAutospacing="0" w:after="0" w:afterAutospacing="0"/>
              <w:ind w:left="0" w:right="0" w:firstLine="480" w:firstLineChars="0"/>
              <w:jc w:val="both"/>
            </w:pPr>
            <w:r>
              <w:rPr>
                <w:rFonts w:hint="eastAsia"/>
              </w:rPr>
              <w:t>（4）地表水环境影响分析总结论</w:t>
            </w:r>
          </w:p>
          <w:p>
            <w:pPr>
              <w:keepNext w:val="0"/>
              <w:keepLines w:val="0"/>
              <w:suppressLineNumbers w:val="0"/>
              <w:spacing w:before="0" w:beforeAutospacing="0" w:after="0" w:afterAutospacing="0"/>
              <w:ind w:left="0" w:right="0" w:firstLine="480" w:firstLineChars="0"/>
              <w:jc w:val="both"/>
            </w:pPr>
            <w:r>
              <w:rPr>
                <w:rFonts w:hint="eastAsia"/>
              </w:rPr>
              <w:t>本项目产生的废水均得到妥当的处理，对周边环境影响较小。</w:t>
            </w:r>
          </w:p>
          <w:p>
            <w:pPr>
              <w:pStyle w:val="33"/>
              <w:keepNext w:val="0"/>
              <w:keepLines w:val="0"/>
              <w:suppressLineNumbers w:val="0"/>
              <w:spacing w:before="0" w:beforeAutospacing="0" w:after="0" w:afterAutospacing="0"/>
              <w:ind w:left="0" w:right="0" w:firstLine="482"/>
              <w:rPr>
                <w:rFonts w:ascii="Times New Roman" w:hAnsi="Times New Roman"/>
                <w:b/>
                <w:lang w:val="zh-CN"/>
              </w:rPr>
            </w:pPr>
            <w:r>
              <w:rPr>
                <w:rFonts w:hint="eastAsia" w:ascii="Times New Roman" w:hAnsi="Times New Roman"/>
                <w:b/>
                <w:lang w:val="zh-CN"/>
              </w:rPr>
              <w:t>3、运营期</w:t>
            </w:r>
            <w:r>
              <w:rPr>
                <w:rFonts w:ascii="Times New Roman" w:hAnsi="Times New Roman"/>
                <w:b/>
                <w:lang w:val="zh-CN"/>
              </w:rPr>
              <w:t>地下水环境影响分析及防治措施</w:t>
            </w:r>
          </w:p>
          <w:p>
            <w:pPr>
              <w:pStyle w:val="2"/>
              <w:keepNext w:val="0"/>
              <w:keepLines w:val="0"/>
              <w:suppressLineNumbers w:val="0"/>
              <w:spacing w:before="0" w:beforeAutospacing="0" w:after="0" w:afterAutospacing="0"/>
              <w:ind w:left="0" w:right="0" w:firstLine="480"/>
              <w:jc w:val="both"/>
            </w:pPr>
            <w:r>
              <w:rPr>
                <w:kern w:val="0"/>
                <w:lang w:val="zh-CN"/>
              </w:rPr>
              <w:t>根据《环境影响评价技术导则地下水环境》（HJ610-2016）附录A确定本项目所属的地下水环境影响评价项目类别为IV类，本项目周围不存在集中式饮用水水源准保护区、热水、矿泉水、温泉等特殊地下水资源保护区，属于不敏感地区，</w:t>
            </w:r>
            <w:r>
              <w:rPr>
                <w:rFonts w:hint="eastAsia"/>
                <w:kern w:val="0"/>
                <w:lang w:val="zh-CN"/>
              </w:rPr>
              <w:t>无</w:t>
            </w:r>
            <w:r>
              <w:rPr>
                <w:kern w:val="0"/>
                <w:lang w:val="zh-CN"/>
              </w:rPr>
              <w:t>需对地下水进行评价。</w:t>
            </w:r>
          </w:p>
          <w:p>
            <w:pPr>
              <w:keepNext w:val="0"/>
              <w:keepLines w:val="0"/>
              <w:suppressLineNumbers w:val="0"/>
              <w:spacing w:before="0" w:beforeAutospacing="0" w:after="0" w:afterAutospacing="0"/>
              <w:ind w:left="0" w:right="0" w:firstLine="482"/>
              <w:jc w:val="both"/>
              <w:rPr>
                <w:b/>
              </w:rPr>
            </w:pPr>
            <w:r>
              <w:rPr>
                <w:rFonts w:hint="eastAsia"/>
                <w:b/>
              </w:rPr>
              <w:t>4</w:t>
            </w:r>
            <w:r>
              <w:rPr>
                <w:b/>
              </w:rPr>
              <w:t>、</w:t>
            </w:r>
            <w:r>
              <w:rPr>
                <w:rFonts w:hint="eastAsia"/>
                <w:b/>
              </w:rPr>
              <w:t>运营期</w:t>
            </w:r>
            <w:r>
              <w:rPr>
                <w:b/>
              </w:rPr>
              <w:t>声环境影响分析及防治措施</w:t>
            </w:r>
          </w:p>
          <w:p>
            <w:pPr>
              <w:keepNext w:val="0"/>
              <w:keepLines w:val="0"/>
              <w:suppressLineNumbers w:val="0"/>
              <w:autoSpaceDE w:val="0"/>
              <w:autoSpaceDN w:val="0"/>
              <w:adjustRightInd w:val="0"/>
              <w:spacing w:before="0" w:beforeAutospacing="0" w:after="0" w:afterAutospacing="0"/>
              <w:ind w:left="0" w:right="0" w:firstLine="480"/>
              <w:jc w:val="both"/>
              <w:rPr>
                <w:kern w:val="0"/>
                <w:lang w:val="zh-CN"/>
              </w:rPr>
            </w:pPr>
            <w:r>
              <w:rPr>
                <w:kern w:val="0"/>
                <w:lang w:val="zh-CN"/>
              </w:rPr>
              <w:t>本项目主要高噪声设备有：如切割机、车床等，其噪声声源一般为中频强噪声，噪声值在7</w:t>
            </w:r>
            <w:r>
              <w:rPr>
                <w:rFonts w:hint="eastAsia"/>
                <w:kern w:val="0"/>
                <w:lang w:val="zh-CN"/>
              </w:rPr>
              <w:t>0</w:t>
            </w:r>
            <w:r>
              <w:rPr>
                <w:kern w:val="0"/>
                <w:lang w:val="zh-CN"/>
              </w:rPr>
              <w:t>-</w:t>
            </w:r>
            <w:r>
              <w:rPr>
                <w:rFonts w:hint="eastAsia"/>
                <w:kern w:val="0"/>
                <w:lang w:val="zh-CN"/>
              </w:rPr>
              <w:t>90</w:t>
            </w:r>
            <w:r>
              <w:rPr>
                <w:kern w:val="0"/>
                <w:lang w:val="zh-CN"/>
              </w:rPr>
              <w:t>dB（A）之间。</w:t>
            </w:r>
          </w:p>
          <w:p>
            <w:pPr>
              <w:keepNext w:val="0"/>
              <w:keepLines w:val="0"/>
              <w:suppressLineNumbers w:val="0"/>
              <w:autoSpaceDE w:val="0"/>
              <w:autoSpaceDN w:val="0"/>
              <w:adjustRightInd w:val="0"/>
              <w:spacing w:before="0" w:beforeAutospacing="0" w:after="0" w:afterAutospacing="0"/>
              <w:ind w:left="0" w:right="0" w:firstLine="480"/>
              <w:jc w:val="both"/>
              <w:rPr>
                <w:kern w:val="0"/>
                <w:lang w:val="zh-CN"/>
              </w:rPr>
            </w:pPr>
            <w:r>
              <w:rPr>
                <w:kern w:val="0"/>
                <w:lang w:val="zh-CN"/>
              </w:rPr>
              <w:t>项目通过在设备布置在厂房内部、设备安装时采用加大减震基础，安装减震装置；设置隔声、加强管理，经常保养和维护机械设备，避免设备在不良状态下运行等措施减少噪声对周围环境的影响。</w:t>
            </w:r>
          </w:p>
          <w:p>
            <w:pPr>
              <w:keepNext w:val="0"/>
              <w:keepLines w:val="0"/>
              <w:suppressLineNumbers w:val="0"/>
              <w:autoSpaceDE w:val="0"/>
              <w:autoSpaceDN w:val="0"/>
              <w:adjustRightInd w:val="0"/>
              <w:spacing w:before="0" w:beforeAutospacing="0" w:after="0" w:afterAutospacing="0"/>
              <w:ind w:left="0" w:right="0" w:firstLine="480"/>
              <w:jc w:val="both"/>
              <w:rPr>
                <w:kern w:val="0"/>
                <w:lang w:val="zh-CN"/>
              </w:rPr>
            </w:pPr>
            <w:r>
              <w:rPr>
                <w:rFonts w:hint="eastAsia"/>
                <w:kern w:val="0"/>
                <w:lang w:val="zh-CN"/>
              </w:rPr>
              <w:t>另外不项目办公区使用的是租赁的综合办公楼，位于生产车间南侧，距离约10m，本项目噪声预测时不考虑办公室噪声对周围环境的影响，主要考虑生产车间噪声的影响。</w:t>
            </w:r>
          </w:p>
          <w:p>
            <w:pPr>
              <w:pStyle w:val="2"/>
              <w:keepNext w:val="0"/>
              <w:keepLines w:val="0"/>
              <w:suppressLineNumbers w:val="0"/>
              <w:spacing w:before="0" w:beforeAutospacing="0" w:after="0" w:afterAutospacing="0"/>
              <w:ind w:left="0" w:right="0" w:firstLine="480"/>
              <w:jc w:val="both"/>
            </w:pPr>
            <w:r>
              <w:rPr>
                <w:rFonts w:hint="eastAsia"/>
              </w:rPr>
              <w:t>（1）评价等级划分</w:t>
            </w:r>
          </w:p>
          <w:p>
            <w:pPr>
              <w:keepNext w:val="0"/>
              <w:keepLines w:val="0"/>
              <w:suppressLineNumbers w:val="0"/>
              <w:spacing w:before="0" w:beforeAutospacing="0" w:after="0" w:afterAutospacing="0"/>
              <w:ind w:left="120" w:leftChars="50" w:right="0" w:firstLine="360" w:firstLineChars="150"/>
              <w:jc w:val="both"/>
            </w:pPr>
            <w:r>
              <w:rPr>
                <w:rFonts w:hint="eastAsia" w:ascii="宋体" w:hAnsi="宋体"/>
              </w:rPr>
              <w:t>根据《环境影响评价技术导则声环境》（</w:t>
            </w:r>
            <w:r>
              <w:rPr>
                <w:rFonts w:hint="eastAsia"/>
              </w:rPr>
              <w:t>HJ2.4-2009</w:t>
            </w:r>
            <w:r>
              <w:rPr>
                <w:rFonts w:hint="eastAsia" w:ascii="宋体" w:hAnsi="宋体"/>
              </w:rPr>
              <w:t>）中</w:t>
            </w:r>
            <w:r>
              <w:rPr>
                <w:rFonts w:hint="eastAsia"/>
              </w:rPr>
              <w:t>5.2</w:t>
            </w:r>
            <w:r>
              <w:rPr>
                <w:rFonts w:hint="eastAsia" w:ascii="宋体" w:hAnsi="宋体"/>
              </w:rPr>
              <w:t>节项目所处的声环境功能区为</w:t>
            </w:r>
            <w:r>
              <w:rPr>
                <w:rFonts w:hint="eastAsia"/>
              </w:rPr>
              <w:t>3、4</w:t>
            </w:r>
            <w:r>
              <w:rPr>
                <w:rFonts w:hint="eastAsia" w:ascii="宋体" w:hAnsi="宋体"/>
              </w:rPr>
              <w:t>类地区，评价等级划分为三级级评价。</w:t>
            </w:r>
          </w:p>
          <w:p>
            <w:pPr>
              <w:keepNext w:val="0"/>
              <w:keepLines w:val="0"/>
              <w:suppressLineNumbers w:val="0"/>
              <w:spacing w:before="0" w:beforeAutospacing="0" w:after="0" w:afterAutospacing="0"/>
              <w:ind w:left="0" w:right="0" w:firstLine="480"/>
              <w:jc w:val="both"/>
            </w:pPr>
            <w:r>
              <w:rPr>
                <w:rFonts w:hint="eastAsia" w:ascii="宋体" w:hAnsi="宋体"/>
              </w:rPr>
              <w:t>（</w:t>
            </w:r>
            <w:r>
              <w:rPr>
                <w:rFonts w:hint="eastAsia"/>
              </w:rPr>
              <w:t>2</w:t>
            </w:r>
            <w:r>
              <w:rPr>
                <w:rFonts w:hint="eastAsia" w:ascii="宋体" w:hAnsi="宋体"/>
              </w:rPr>
              <w:t>）噪声预测</w:t>
            </w:r>
          </w:p>
          <w:p>
            <w:pPr>
              <w:keepNext w:val="0"/>
              <w:keepLines w:val="0"/>
              <w:suppressLineNumbers w:val="0"/>
              <w:spacing w:before="0" w:beforeAutospacing="0" w:after="0" w:afterAutospacing="0"/>
              <w:ind w:left="0" w:right="0" w:firstLine="480"/>
              <w:jc w:val="both"/>
            </w:pPr>
            <w:r>
              <w:rPr>
                <w:rFonts w:hint="eastAsia" w:ascii="宋体" w:hAnsi="宋体"/>
              </w:rPr>
              <w:t>营运期间主要的噪声主要为固定噪声源，来源于</w:t>
            </w:r>
            <w:r>
              <w:rPr>
                <w:rFonts w:ascii="宋体" w:hAnsi="宋体"/>
              </w:rPr>
              <w:t>车间</w:t>
            </w:r>
            <w:r>
              <w:rPr>
                <w:rFonts w:hint="eastAsia"/>
              </w:rPr>
              <w:t>剪板机、折弯机、冲床、焊机等，本次评价将生产设备按照各分布区域进行叠加后预测，噪声叠加公式如下：</w:t>
            </w:r>
          </w:p>
          <w:p>
            <w:pPr>
              <w:keepNext w:val="0"/>
              <w:keepLines w:val="0"/>
              <w:suppressLineNumbers w:val="0"/>
              <w:spacing w:before="0" w:beforeAutospacing="0" w:after="0" w:afterAutospacing="0"/>
              <w:ind w:left="120" w:leftChars="50" w:right="0" w:firstLine="480"/>
              <w:jc w:val="both"/>
            </w:pPr>
            <w:r>
              <w:rPr>
                <w:rFonts w:hint="eastAsia"/>
              </w:rPr>
              <w:t>L</w:t>
            </w:r>
            <w:r>
              <w:rPr>
                <w:rFonts w:hint="eastAsia"/>
                <w:vertAlign w:val="subscript"/>
              </w:rPr>
              <w:t>p</w:t>
            </w:r>
            <w:r>
              <w:rPr>
                <w:rFonts w:hint="eastAsia"/>
              </w:rPr>
              <w:t>=10</w:t>
            </w:r>
            <m:oMath>
              <m:func>
                <m:funcPr>
                  <m:ctrlPr>
                    <w:rPr>
                      <w:rFonts w:ascii="Cambria Math" w:hAnsi="Cambria Math"/>
                    </w:rPr>
                  </m:ctrlPr>
                </m:funcPr>
                <m:fName>
                  <m:r>
                    <m:rPr>
                      <m:sty m:val="p"/>
                    </m:rPr>
                    <w:rPr>
                      <w:rFonts w:ascii="Cambria Math" w:hAnsi="Cambria Math"/>
                    </w:rPr>
                    <m:t>lg</m:t>
                  </m:r>
                  <m:ctrlPr>
                    <w:rPr>
                      <w:rFonts w:ascii="Cambria Math" w:hAnsi="Cambria Math"/>
                    </w:rPr>
                  </m:ctrlPr>
                </m:fName>
                <m:e>
                  <m:d>
                    <m:dPr>
                      <m:begChr m:val="（"/>
                      <m:endChr m:val="）"/>
                      <m:ctrlPr>
                        <w:rPr>
                          <w:rFonts w:ascii="Cambria Math" w:hAnsi="Cambria Math"/>
                        </w:rPr>
                      </m:ctrlPr>
                    </m:dPr>
                    <m:e>
                      <m:nary>
                        <m:naryPr>
                          <m:chr m:val="∑"/>
                          <m:limLoc m:val="undOvr"/>
                          <m:ctrlPr>
                            <w:rPr>
                              <w:rFonts w:ascii="Cambria Math" w:hAnsi="Cambria Math"/>
                            </w:rPr>
                          </m:ctrlPr>
                        </m:naryPr>
                        <m:sub>
                          <m:r>
                            <m:rPr>
                              <m:sty m:val="p"/>
                            </m:rPr>
                            <w:rPr>
                              <w:rFonts w:hint="eastAsia" w:ascii="Cambria Math" w:hAnsi="Cambria Math"/>
                            </w:rPr>
                            <m:t>i=1</m:t>
                          </m:r>
                          <m:ctrlPr>
                            <w:rPr>
                              <w:rFonts w:ascii="Cambria Math" w:hAnsi="Cambria Math"/>
                            </w:rPr>
                          </m:ctrlPr>
                        </m:sub>
                        <m:sup>
                          <m:r>
                            <m:rPr>
                              <m:sty m:val="p"/>
                            </m:rPr>
                            <w:rPr>
                              <w:rFonts w:hint="eastAsia" w:ascii="Cambria Math" w:hAnsi="Cambria Math"/>
                            </w:rPr>
                            <m:t>n</m:t>
                          </m:r>
                          <m:ctrlPr>
                            <w:rPr>
                              <w:rFonts w:ascii="Cambria Math" w:hAnsi="Cambria Math"/>
                            </w:rPr>
                          </m:ctrlPr>
                        </m:sup>
                        <m:e>
                          <m:sSup>
                            <m:sSupPr>
                              <m:ctrlPr>
                                <w:rPr>
                                  <w:rFonts w:ascii="Cambria Math" w:hAnsi="Cambria Math"/>
                                </w:rPr>
                              </m:ctrlPr>
                            </m:sSupPr>
                            <m:e>
                              <m:r>
                                <m:rPr>
                                  <m:sty m:val="p"/>
                                </m:rPr>
                                <w:rPr>
                                  <w:rFonts w:ascii="Cambria Math" w:hAnsi="Cambria Math"/>
                                </w:rPr>
                                <m:t>10</m:t>
                              </m:r>
                              <m:ctrlPr>
                                <w:rPr>
                                  <w:rFonts w:ascii="Cambria Math" w:hAnsi="Cambria Math"/>
                                </w:rPr>
                              </m:ctrlPr>
                            </m:e>
                            <m:sup>
                              <m:r>
                                <m:rPr>
                                  <m:sty m:val="p"/>
                                </m:rPr>
                                <w:rPr>
                                  <w:rFonts w:ascii="Cambria Math" w:hAnsi="Cambria Math"/>
                                </w:rPr>
                                <m:t>0.1</m:t>
                              </m:r>
                              <m:sSub>
                                <m:sSubPr>
                                  <m:ctrlPr>
                                    <w:rPr>
                                      <w:rFonts w:ascii="Cambria Math" w:hAnsi="Cambria Math"/>
                                    </w:rPr>
                                  </m:ctrlPr>
                                </m:sSubPr>
                                <m:e>
                                  <m:r>
                                    <m:rPr>
                                      <m:sty m:val="p"/>
                                    </m:rPr>
                                    <w:rPr>
                                      <w:rFonts w:ascii="Cambria Math" w:hAnsi="Cambria Math"/>
                                    </w:rPr>
                                    <m:t>L</m:t>
                                  </m:r>
                                  <m:ctrlPr>
                                    <w:rPr>
                                      <w:rFonts w:ascii="Cambria Math" w:hAnsi="Cambria Math"/>
                                    </w:rPr>
                                  </m:ctrlPr>
                                </m:e>
                                <m:sub>
                                  <m:r>
                                    <m:rPr>
                                      <m:sty m:val="p"/>
                                    </m:rPr>
                                    <w:rPr>
                                      <w:rFonts w:hint="eastAsia" w:ascii="Cambria Math" w:hAnsi="Cambria Math"/>
                                    </w:rPr>
                                    <m:t>pi</m:t>
                                  </m:r>
                                  <m:ctrlPr>
                                    <w:rPr>
                                      <w:rFonts w:ascii="Cambria Math" w:hAnsi="Cambria Math"/>
                                    </w:rPr>
                                  </m:ctrlPr>
                                </m:sub>
                              </m:sSub>
                              <m:ctrlPr>
                                <w:rPr>
                                  <w:rFonts w:ascii="Cambria Math" w:hAnsi="Cambria Math"/>
                                </w:rPr>
                              </m:ctrlPr>
                            </m:sup>
                          </m:sSup>
                          <m:ctrlPr>
                            <w:rPr>
                              <w:rFonts w:ascii="Cambria Math" w:hAnsi="Cambria Math"/>
                            </w:rPr>
                          </m:ctrlPr>
                        </m:e>
                      </m:nary>
                      <m:ctrlPr>
                        <w:rPr>
                          <w:rFonts w:ascii="Cambria Math" w:hAnsi="Cambria Math"/>
                        </w:rPr>
                      </m:ctrlPr>
                    </m:e>
                  </m:d>
                  <m:ctrlPr>
                    <w:rPr>
                      <w:rFonts w:ascii="Cambria Math" w:hAnsi="Cambria Math"/>
                    </w:rPr>
                  </m:ctrlPr>
                </m:e>
              </m:func>
            </m:oMath>
          </w:p>
          <w:p>
            <w:pPr>
              <w:keepNext w:val="0"/>
              <w:keepLines w:val="0"/>
              <w:suppressLineNumbers w:val="0"/>
              <w:spacing w:before="0" w:beforeAutospacing="0" w:after="0" w:afterAutospacing="0"/>
              <w:ind w:left="0" w:right="0" w:firstLine="480"/>
              <w:jc w:val="both"/>
              <w:rPr>
                <w:sz w:val="21"/>
                <w:szCs w:val="21"/>
              </w:rPr>
            </w:pPr>
            <w:r>
              <w:rPr>
                <w:rFonts w:hint="eastAsia"/>
              </w:rPr>
              <w:t>叠加后各区域设备</w:t>
            </w:r>
            <w:r>
              <w:rPr>
                <w:rFonts w:ascii="宋体" w:hAnsi="宋体"/>
              </w:rPr>
              <w:t>产生的噪声源强见下表</w:t>
            </w:r>
            <w:r>
              <w:t>7-1</w:t>
            </w:r>
            <w:r>
              <w:rPr>
                <w:rFonts w:hint="eastAsia"/>
              </w:rPr>
              <w:t>2</w:t>
            </w:r>
            <w:r>
              <w:rPr>
                <w:rFonts w:ascii="宋体" w:hAnsi="宋体"/>
              </w:rPr>
              <w:t>。</w:t>
            </w:r>
          </w:p>
          <w:p>
            <w:pPr>
              <w:pStyle w:val="25"/>
              <w:keepNext w:val="0"/>
              <w:keepLines w:val="0"/>
              <w:suppressLineNumbers w:val="0"/>
              <w:spacing w:before="0" w:beforeAutospacing="0" w:after="0" w:afterAutospacing="0" w:line="240" w:lineRule="auto"/>
              <w:ind w:left="0" w:right="0"/>
            </w:pPr>
            <w:r>
              <w:t>表</w:t>
            </w:r>
            <w:r>
              <w:rPr>
                <w:rFonts w:hint="eastAsia"/>
              </w:rPr>
              <w:t xml:space="preserve">7-12 </w:t>
            </w:r>
            <w:r>
              <w:t>运营期各类噪声源强</w:t>
            </w:r>
            <w:r>
              <w:rPr>
                <w:rFonts w:hint="eastAsia"/>
              </w:rPr>
              <w:t>及分布区域</w:t>
            </w:r>
          </w:p>
          <w:tbl>
            <w:tblPr>
              <w:tblStyle w:val="19"/>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25"/>
              <w:gridCol w:w="1384"/>
              <w:gridCol w:w="1978"/>
              <w:gridCol w:w="1783"/>
              <w:gridCol w:w="1104"/>
              <w:gridCol w:w="110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55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序号</w:t>
                  </w:r>
                </w:p>
              </w:tc>
              <w:tc>
                <w:tcPr>
                  <w:tcW w:w="836" w:type="pct"/>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车间名称</w:t>
                  </w:r>
                </w:p>
              </w:tc>
              <w:tc>
                <w:tcPr>
                  <w:tcW w:w="119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设备名称</w:t>
                  </w:r>
                </w:p>
              </w:tc>
              <w:tc>
                <w:tcPr>
                  <w:tcW w:w="107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数量</w:t>
                  </w:r>
                </w:p>
              </w:tc>
              <w:tc>
                <w:tcPr>
                  <w:tcW w:w="66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源强</w:t>
                  </w:r>
                </w:p>
              </w:tc>
              <w:tc>
                <w:tcPr>
                  <w:tcW w:w="666" w:type="pct"/>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分布区域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w:t>
                  </w:r>
                </w:p>
              </w:tc>
              <w:tc>
                <w:tcPr>
                  <w:tcW w:w="836" w:type="pct"/>
                  <w:vMerge w:val="restart"/>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1#生产车间</w:t>
                  </w:r>
                </w:p>
              </w:tc>
              <w:tc>
                <w:tcPr>
                  <w:tcW w:w="119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激光剪板机</w:t>
                  </w:r>
                </w:p>
              </w:tc>
              <w:tc>
                <w:tcPr>
                  <w:tcW w:w="107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2台</w:t>
                  </w:r>
                </w:p>
              </w:tc>
              <w:tc>
                <w:tcPr>
                  <w:tcW w:w="66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85</w:t>
                  </w:r>
                </w:p>
              </w:tc>
              <w:tc>
                <w:tcPr>
                  <w:tcW w:w="666" w:type="pct"/>
                  <w:vMerge w:val="restart"/>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下料区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w:t>
                  </w:r>
                </w:p>
              </w:tc>
              <w:tc>
                <w:tcPr>
                  <w:tcW w:w="83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c>
                <w:tcPr>
                  <w:tcW w:w="119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数控板料折弯机</w:t>
                  </w:r>
                </w:p>
              </w:tc>
              <w:tc>
                <w:tcPr>
                  <w:tcW w:w="107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1台</w:t>
                  </w:r>
                </w:p>
              </w:tc>
              <w:tc>
                <w:tcPr>
                  <w:tcW w:w="66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90</w:t>
                  </w:r>
                </w:p>
              </w:tc>
              <w:tc>
                <w:tcPr>
                  <w:tcW w:w="66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w:t>
                  </w:r>
                </w:p>
              </w:tc>
              <w:tc>
                <w:tcPr>
                  <w:tcW w:w="83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c>
                <w:tcPr>
                  <w:tcW w:w="119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数控自动化切割机</w:t>
                  </w:r>
                </w:p>
              </w:tc>
              <w:tc>
                <w:tcPr>
                  <w:tcW w:w="107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1台</w:t>
                  </w:r>
                </w:p>
              </w:tc>
              <w:tc>
                <w:tcPr>
                  <w:tcW w:w="66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90</w:t>
                  </w:r>
                </w:p>
              </w:tc>
              <w:tc>
                <w:tcPr>
                  <w:tcW w:w="66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4</w:t>
                  </w:r>
                </w:p>
              </w:tc>
              <w:tc>
                <w:tcPr>
                  <w:tcW w:w="83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c>
                <w:tcPr>
                  <w:tcW w:w="119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激光切割机</w:t>
                  </w:r>
                </w:p>
              </w:tc>
              <w:tc>
                <w:tcPr>
                  <w:tcW w:w="107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1台</w:t>
                  </w:r>
                </w:p>
              </w:tc>
              <w:tc>
                <w:tcPr>
                  <w:tcW w:w="66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80</w:t>
                  </w:r>
                </w:p>
              </w:tc>
              <w:tc>
                <w:tcPr>
                  <w:tcW w:w="66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5</w:t>
                  </w:r>
                </w:p>
              </w:tc>
              <w:tc>
                <w:tcPr>
                  <w:tcW w:w="83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c>
                <w:tcPr>
                  <w:tcW w:w="119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叠加值</w:t>
                  </w:r>
                </w:p>
              </w:tc>
              <w:tc>
                <w:tcPr>
                  <w:tcW w:w="107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w:t>
                  </w:r>
                </w:p>
              </w:tc>
              <w:tc>
                <w:tcPr>
                  <w:tcW w:w="667" w:type="pc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94.37</w:t>
                  </w:r>
                </w:p>
              </w:tc>
              <w:tc>
                <w:tcPr>
                  <w:tcW w:w="66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6</w:t>
                  </w:r>
                </w:p>
              </w:tc>
              <w:tc>
                <w:tcPr>
                  <w:tcW w:w="83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c>
                <w:tcPr>
                  <w:tcW w:w="119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冲床</w:t>
                  </w:r>
                </w:p>
              </w:tc>
              <w:tc>
                <w:tcPr>
                  <w:tcW w:w="107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3台</w:t>
                  </w:r>
                </w:p>
              </w:tc>
              <w:tc>
                <w:tcPr>
                  <w:tcW w:w="66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80</w:t>
                  </w:r>
                </w:p>
              </w:tc>
              <w:tc>
                <w:tcPr>
                  <w:tcW w:w="666" w:type="pct"/>
                  <w:vMerge w:val="restart"/>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加工区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7</w:t>
                  </w:r>
                </w:p>
              </w:tc>
              <w:tc>
                <w:tcPr>
                  <w:tcW w:w="83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c>
                <w:tcPr>
                  <w:tcW w:w="119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焊机</w:t>
                  </w:r>
                </w:p>
              </w:tc>
              <w:tc>
                <w:tcPr>
                  <w:tcW w:w="107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10套</w:t>
                  </w:r>
                </w:p>
              </w:tc>
              <w:tc>
                <w:tcPr>
                  <w:tcW w:w="66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75</w:t>
                  </w:r>
                </w:p>
              </w:tc>
              <w:tc>
                <w:tcPr>
                  <w:tcW w:w="66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8</w:t>
                  </w:r>
                </w:p>
              </w:tc>
              <w:tc>
                <w:tcPr>
                  <w:tcW w:w="83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c>
                <w:tcPr>
                  <w:tcW w:w="119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行车</w:t>
                  </w:r>
                </w:p>
              </w:tc>
              <w:tc>
                <w:tcPr>
                  <w:tcW w:w="107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3台</w:t>
                  </w:r>
                </w:p>
              </w:tc>
              <w:tc>
                <w:tcPr>
                  <w:tcW w:w="66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75</w:t>
                  </w:r>
                </w:p>
              </w:tc>
              <w:tc>
                <w:tcPr>
                  <w:tcW w:w="66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9</w:t>
                  </w:r>
                </w:p>
              </w:tc>
              <w:tc>
                <w:tcPr>
                  <w:tcW w:w="83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c>
                <w:tcPr>
                  <w:tcW w:w="119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叠加值</w:t>
                  </w:r>
                </w:p>
              </w:tc>
              <w:tc>
                <w:tcPr>
                  <w:tcW w:w="107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w:t>
                  </w:r>
                </w:p>
              </w:tc>
              <w:tc>
                <w:tcPr>
                  <w:tcW w:w="667" w:type="pc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88.52</w:t>
                  </w:r>
                </w:p>
              </w:tc>
              <w:tc>
                <w:tcPr>
                  <w:tcW w:w="66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w:t>
                  </w:r>
                </w:p>
              </w:tc>
              <w:tc>
                <w:tcPr>
                  <w:tcW w:w="836" w:type="pct"/>
                  <w:vMerge w:val="restart"/>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2#生产车间</w:t>
                  </w:r>
                </w:p>
              </w:tc>
              <w:tc>
                <w:tcPr>
                  <w:tcW w:w="119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激光剪板机</w:t>
                  </w:r>
                </w:p>
              </w:tc>
              <w:tc>
                <w:tcPr>
                  <w:tcW w:w="107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2台</w:t>
                  </w:r>
                </w:p>
              </w:tc>
              <w:tc>
                <w:tcPr>
                  <w:tcW w:w="66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85</w:t>
                  </w:r>
                </w:p>
              </w:tc>
              <w:tc>
                <w:tcPr>
                  <w:tcW w:w="666" w:type="pct"/>
                  <w:vMerge w:val="restart"/>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下料区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2</w:t>
                  </w:r>
                </w:p>
              </w:tc>
              <w:tc>
                <w:tcPr>
                  <w:tcW w:w="83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c>
                <w:tcPr>
                  <w:tcW w:w="119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数控板料折弯机</w:t>
                  </w:r>
                </w:p>
              </w:tc>
              <w:tc>
                <w:tcPr>
                  <w:tcW w:w="107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1台</w:t>
                  </w:r>
                </w:p>
              </w:tc>
              <w:tc>
                <w:tcPr>
                  <w:tcW w:w="66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90</w:t>
                  </w:r>
                </w:p>
              </w:tc>
              <w:tc>
                <w:tcPr>
                  <w:tcW w:w="66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w:t>
                  </w:r>
                </w:p>
              </w:tc>
              <w:tc>
                <w:tcPr>
                  <w:tcW w:w="83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c>
                <w:tcPr>
                  <w:tcW w:w="119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数控自动化切割机</w:t>
                  </w:r>
                </w:p>
              </w:tc>
              <w:tc>
                <w:tcPr>
                  <w:tcW w:w="107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1台</w:t>
                  </w:r>
                </w:p>
              </w:tc>
              <w:tc>
                <w:tcPr>
                  <w:tcW w:w="66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90</w:t>
                  </w:r>
                </w:p>
              </w:tc>
              <w:tc>
                <w:tcPr>
                  <w:tcW w:w="66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4</w:t>
                  </w:r>
                </w:p>
              </w:tc>
              <w:tc>
                <w:tcPr>
                  <w:tcW w:w="83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c>
                <w:tcPr>
                  <w:tcW w:w="119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叠加值</w:t>
                  </w:r>
                </w:p>
              </w:tc>
              <w:tc>
                <w:tcPr>
                  <w:tcW w:w="107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w:t>
                  </w:r>
                </w:p>
              </w:tc>
              <w:tc>
                <w:tcPr>
                  <w:tcW w:w="66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94.20</w:t>
                  </w:r>
                </w:p>
              </w:tc>
              <w:tc>
                <w:tcPr>
                  <w:tcW w:w="66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5</w:t>
                  </w:r>
                </w:p>
              </w:tc>
              <w:tc>
                <w:tcPr>
                  <w:tcW w:w="83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c>
                <w:tcPr>
                  <w:tcW w:w="119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冲床</w:t>
                  </w:r>
                </w:p>
              </w:tc>
              <w:tc>
                <w:tcPr>
                  <w:tcW w:w="107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3台</w:t>
                  </w:r>
                </w:p>
              </w:tc>
              <w:tc>
                <w:tcPr>
                  <w:tcW w:w="66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80</w:t>
                  </w:r>
                </w:p>
              </w:tc>
              <w:tc>
                <w:tcPr>
                  <w:tcW w:w="666" w:type="pct"/>
                  <w:vMerge w:val="restart"/>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加工区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6</w:t>
                  </w:r>
                </w:p>
              </w:tc>
              <w:tc>
                <w:tcPr>
                  <w:tcW w:w="83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c>
                <w:tcPr>
                  <w:tcW w:w="119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焊机</w:t>
                  </w:r>
                </w:p>
              </w:tc>
              <w:tc>
                <w:tcPr>
                  <w:tcW w:w="107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10套</w:t>
                  </w:r>
                </w:p>
              </w:tc>
              <w:tc>
                <w:tcPr>
                  <w:tcW w:w="66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75</w:t>
                  </w:r>
                </w:p>
              </w:tc>
              <w:tc>
                <w:tcPr>
                  <w:tcW w:w="66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7</w:t>
                  </w:r>
                </w:p>
              </w:tc>
              <w:tc>
                <w:tcPr>
                  <w:tcW w:w="83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c>
                <w:tcPr>
                  <w:tcW w:w="119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行车</w:t>
                  </w:r>
                </w:p>
              </w:tc>
              <w:tc>
                <w:tcPr>
                  <w:tcW w:w="107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3台</w:t>
                  </w:r>
                </w:p>
              </w:tc>
              <w:tc>
                <w:tcPr>
                  <w:tcW w:w="66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75</w:t>
                  </w:r>
                </w:p>
              </w:tc>
              <w:tc>
                <w:tcPr>
                  <w:tcW w:w="66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8</w:t>
                  </w:r>
                </w:p>
              </w:tc>
              <w:tc>
                <w:tcPr>
                  <w:tcW w:w="83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c>
                <w:tcPr>
                  <w:tcW w:w="1195"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叠加值</w:t>
                  </w:r>
                </w:p>
              </w:tc>
              <w:tc>
                <w:tcPr>
                  <w:tcW w:w="107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w:t>
                  </w:r>
                </w:p>
              </w:tc>
              <w:tc>
                <w:tcPr>
                  <w:tcW w:w="667" w:type="pc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88.52</w:t>
                  </w:r>
                </w:p>
              </w:tc>
              <w:tc>
                <w:tcPr>
                  <w:tcW w:w="666" w:type="pct"/>
                  <w:vMerge w:val="continue"/>
                  <w:vAlign w:val="center"/>
                </w:tcPr>
                <w:p>
                  <w:pPr>
                    <w:pStyle w:val="26"/>
                    <w:keepNext w:val="0"/>
                    <w:keepLines w:val="0"/>
                    <w:suppressLineNumbers w:val="0"/>
                    <w:spacing w:before="0" w:beforeAutospacing="0" w:after="0" w:afterAutospacing="0"/>
                    <w:ind w:left="0" w:right="0"/>
                    <w:rPr>
                      <w:b w:val="0"/>
                      <w:bCs w:val="0"/>
                      <w:color w:val="auto"/>
                    </w:rPr>
                  </w:pPr>
                </w:p>
              </w:tc>
            </w:tr>
          </w:tbl>
          <w:p>
            <w:pPr>
              <w:keepNext w:val="0"/>
              <w:keepLines w:val="0"/>
              <w:suppressLineNumbers w:val="0"/>
              <w:spacing w:before="0" w:beforeAutospacing="0" w:after="0" w:afterAutospacing="0"/>
              <w:ind w:left="0" w:right="0" w:firstLine="480"/>
              <w:jc w:val="both"/>
              <w:rPr>
                <w:b/>
              </w:rPr>
            </w:pPr>
            <w:r>
              <w:rPr>
                <w:bCs/>
              </w:rPr>
              <w:t>本评价采用</w:t>
            </w:r>
            <w:r>
              <w:t>《环境影响评价技术导则声环境》（HJ2.4-2009）</w:t>
            </w:r>
            <w:r>
              <w:rPr>
                <w:bCs/>
              </w:rPr>
              <w:t>中的有关模式进行预测：</w:t>
            </w:r>
          </w:p>
          <w:p>
            <w:pPr>
              <w:keepNext w:val="0"/>
              <w:keepLines w:val="0"/>
              <w:suppressLineNumbers w:val="0"/>
              <w:topLinePunct/>
              <w:adjustRightInd w:val="0"/>
              <w:snapToGrid w:val="0"/>
              <w:spacing w:before="0" w:beforeAutospacing="0" w:after="0" w:afterAutospacing="0"/>
              <w:ind w:left="0" w:right="0" w:firstLine="480"/>
              <w:jc w:val="both"/>
            </w:pPr>
            <w:r>
              <w:rPr>
                <w:position w:val="-32"/>
              </w:rPr>
              <w:drawing>
                <wp:inline distT="0" distB="0" distL="0" distR="0">
                  <wp:extent cx="1588135" cy="481330"/>
                  <wp:effectExtent l="0" t="0" r="0" b="0"/>
                  <wp:docPr id="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588135" cy="481330"/>
                          </a:xfrm>
                          <a:prstGeom prst="rect">
                            <a:avLst/>
                          </a:prstGeom>
                          <a:noFill/>
                          <a:ln>
                            <a:noFill/>
                          </a:ln>
                        </pic:spPr>
                      </pic:pic>
                    </a:graphicData>
                  </a:graphic>
                </wp:inline>
              </w:drawing>
            </w:r>
          </w:p>
          <w:p>
            <w:pPr>
              <w:keepNext w:val="0"/>
              <w:keepLines w:val="0"/>
              <w:suppressLineNumbers w:val="0"/>
              <w:snapToGrid w:val="0"/>
              <w:spacing w:before="0" w:beforeAutospacing="0" w:after="0" w:afterAutospacing="0"/>
              <w:ind w:left="0" w:right="0" w:firstLine="480"/>
              <w:jc w:val="both"/>
            </w:pPr>
            <w:r>
              <w:t>式中：</w:t>
            </w:r>
            <w:r>
              <w:rPr>
                <w:i/>
              </w:rPr>
              <w:t>L</w:t>
            </w:r>
            <w:r>
              <w:rPr>
                <w:i/>
                <w:vertAlign w:val="subscript"/>
              </w:rPr>
              <w:t>p</w:t>
            </w:r>
            <w:r>
              <w:t>——测点的声级（可以是倍频带声压级或A声级）；</w:t>
            </w:r>
          </w:p>
          <w:p>
            <w:pPr>
              <w:keepNext w:val="0"/>
              <w:keepLines w:val="0"/>
              <w:suppressLineNumbers w:val="0"/>
              <w:snapToGrid w:val="0"/>
              <w:spacing w:before="0" w:beforeAutospacing="0" w:after="0" w:afterAutospacing="0"/>
              <w:ind w:left="480" w:leftChars="200" w:right="0" w:firstLine="720" w:firstLineChars="300"/>
              <w:jc w:val="both"/>
            </w:pPr>
            <w:r>
              <w:rPr>
                <w:i/>
              </w:rPr>
              <w:t>L</w:t>
            </w:r>
            <w:r>
              <w:rPr>
                <w:i/>
                <w:vertAlign w:val="subscript"/>
              </w:rPr>
              <w:t>p0</w:t>
            </w:r>
            <w:r>
              <w:t>——参考位置r</w:t>
            </w:r>
            <w:r>
              <w:rPr>
                <w:vertAlign w:val="subscript"/>
              </w:rPr>
              <w:t>0</w:t>
            </w:r>
            <w:r>
              <w:t>处的声级（可以是倍频带声压级或A声级）；</w:t>
            </w:r>
          </w:p>
          <w:p>
            <w:pPr>
              <w:keepNext w:val="0"/>
              <w:keepLines w:val="0"/>
              <w:suppressLineNumbers w:val="0"/>
              <w:snapToGrid w:val="0"/>
              <w:spacing w:before="0" w:beforeAutospacing="0" w:after="0" w:afterAutospacing="0"/>
              <w:ind w:left="0" w:right="0" w:firstLine="1140" w:firstLineChars="475"/>
              <w:jc w:val="both"/>
            </w:pPr>
            <w:r>
              <w:rPr>
                <w:i/>
              </w:rPr>
              <w:t>r</w:t>
            </w:r>
            <w:r>
              <w:t>——预测点与点声源之间的距离，m；</w:t>
            </w:r>
          </w:p>
          <w:p>
            <w:pPr>
              <w:keepNext w:val="0"/>
              <w:keepLines w:val="0"/>
              <w:suppressLineNumbers w:val="0"/>
              <w:snapToGrid w:val="0"/>
              <w:spacing w:before="0" w:beforeAutospacing="0" w:after="0" w:afterAutospacing="0"/>
              <w:ind w:left="0" w:right="0" w:firstLine="1080" w:firstLineChars="450"/>
              <w:jc w:val="both"/>
            </w:pPr>
            <w:r>
              <w:rPr>
                <w:i/>
              </w:rPr>
              <w:t>r</w:t>
            </w:r>
            <w:r>
              <w:rPr>
                <w:i/>
                <w:vertAlign w:val="subscript"/>
              </w:rPr>
              <w:t>0</w:t>
            </w:r>
            <w:r>
              <w:t>——测量参考声级处与点声源之间的距离，m；</w:t>
            </w:r>
          </w:p>
          <w:p>
            <w:pPr>
              <w:keepNext w:val="0"/>
              <w:keepLines w:val="0"/>
              <w:suppressLineNumbers w:val="0"/>
              <w:snapToGrid w:val="0"/>
              <w:spacing w:before="0" w:beforeAutospacing="0" w:after="0" w:afterAutospacing="0"/>
              <w:ind w:left="0" w:right="0" w:firstLine="960" w:firstLineChars="400"/>
              <w:jc w:val="both"/>
            </w:pPr>
            <w:r>
              <w:rPr>
                <w:i/>
              </w:rPr>
              <w:t>ΔL</w:t>
            </w:r>
            <w:r>
              <w:t>——各种衰减量，包括空气吸收、声屏障或遮挡物、地面效应等引起的衰减量。</w:t>
            </w:r>
          </w:p>
          <w:p>
            <w:pPr>
              <w:keepNext w:val="0"/>
              <w:keepLines w:val="0"/>
              <w:suppressLineNumbers w:val="0"/>
              <w:snapToGrid w:val="0"/>
              <w:spacing w:before="0" w:beforeAutospacing="0" w:after="0" w:afterAutospacing="0"/>
              <w:ind w:left="0" w:right="0" w:firstLine="600" w:firstLineChars="250"/>
              <w:jc w:val="both"/>
            </w:pPr>
            <w:r>
              <w:rPr>
                <w:rFonts w:hint="eastAsia"/>
              </w:rPr>
              <w:t>根据计算结果，本项目厂界及敏感点（200m范围内）噪声衰减预测值见下表7-13，7-14。</w:t>
            </w:r>
          </w:p>
          <w:p>
            <w:pPr>
              <w:keepNext w:val="0"/>
              <w:keepLines w:val="0"/>
              <w:suppressLineNumbers w:val="0"/>
              <w:spacing w:before="0" w:beforeAutospacing="0" w:after="0" w:afterAutospacing="0" w:line="240" w:lineRule="auto"/>
              <w:ind w:left="0" w:right="0" w:firstLine="422"/>
              <w:jc w:val="center"/>
              <w:rPr>
                <w:b/>
                <w:sz w:val="21"/>
                <w:szCs w:val="21"/>
              </w:rPr>
            </w:pPr>
            <w:r>
              <w:rPr>
                <w:b/>
                <w:sz w:val="21"/>
                <w:szCs w:val="21"/>
              </w:rPr>
              <w:t>表</w:t>
            </w:r>
            <w:r>
              <w:rPr>
                <w:rFonts w:hint="eastAsia"/>
                <w:b/>
                <w:sz w:val="21"/>
                <w:szCs w:val="21"/>
              </w:rPr>
              <w:t>7-13 本项目厂界</w:t>
            </w:r>
            <w:r>
              <w:rPr>
                <w:b/>
                <w:sz w:val="21"/>
                <w:szCs w:val="21"/>
              </w:rPr>
              <w:t>噪声衰减预测值单位：dB(A)</w:t>
            </w:r>
          </w:p>
          <w:tbl>
            <w:tblPr>
              <w:tblStyle w:val="1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814"/>
              <w:gridCol w:w="1306"/>
              <w:gridCol w:w="1404"/>
              <w:gridCol w:w="1286"/>
              <w:gridCol w:w="2716"/>
              <w:gridCol w:w="75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492" w:type="pct"/>
                  <w:vAlign w:val="center"/>
                </w:tcPr>
                <w:p>
                  <w:pPr>
                    <w:keepNext w:val="0"/>
                    <w:keepLines w:val="0"/>
                    <w:suppressLineNumbers w:val="0"/>
                    <w:snapToGrid w:val="0"/>
                    <w:spacing w:before="0" w:beforeAutospacing="0" w:after="0" w:afterAutospacing="0" w:line="240" w:lineRule="auto"/>
                    <w:ind w:left="0" w:right="0" w:firstLine="0" w:firstLineChars="0"/>
                    <w:jc w:val="center"/>
                    <w:rPr>
                      <w:b/>
                      <w:sz w:val="21"/>
                      <w:szCs w:val="21"/>
                    </w:rPr>
                  </w:pPr>
                  <w:r>
                    <w:rPr>
                      <w:b/>
                      <w:sz w:val="21"/>
                      <w:szCs w:val="21"/>
                    </w:rPr>
                    <w:t>名称</w:t>
                  </w:r>
                </w:p>
              </w:tc>
              <w:tc>
                <w:tcPr>
                  <w:tcW w:w="789" w:type="pct"/>
                  <w:vAlign w:val="center"/>
                </w:tcPr>
                <w:p>
                  <w:pPr>
                    <w:keepNext w:val="0"/>
                    <w:keepLines w:val="0"/>
                    <w:suppressLineNumbers w:val="0"/>
                    <w:snapToGrid w:val="0"/>
                    <w:spacing w:before="0" w:beforeAutospacing="0" w:after="0" w:afterAutospacing="0" w:line="240" w:lineRule="auto"/>
                    <w:ind w:left="0" w:right="0" w:firstLine="0" w:firstLineChars="0"/>
                    <w:jc w:val="center"/>
                    <w:rPr>
                      <w:b/>
                      <w:sz w:val="21"/>
                      <w:szCs w:val="21"/>
                    </w:rPr>
                  </w:pPr>
                  <w:r>
                    <w:rPr>
                      <w:b/>
                      <w:sz w:val="21"/>
                      <w:szCs w:val="21"/>
                    </w:rPr>
                    <w:t>预测值dB(A)</w:t>
                  </w:r>
                </w:p>
              </w:tc>
              <w:tc>
                <w:tcPr>
                  <w:tcW w:w="848" w:type="pct"/>
                  <w:vAlign w:val="center"/>
                </w:tcPr>
                <w:p>
                  <w:pPr>
                    <w:pStyle w:val="43"/>
                    <w:keepNext w:val="0"/>
                    <w:keepLines w:val="0"/>
                    <w:widowControl w:val="0"/>
                    <w:suppressLineNumbers w:val="0"/>
                    <w:adjustRightInd w:val="0"/>
                    <w:snapToGrid w:val="0"/>
                    <w:spacing w:before="0" w:beforeAutospacing="0" w:after="0" w:afterAutospacing="0"/>
                    <w:ind w:left="0" w:right="0"/>
                    <w:textAlignment w:val="baseline"/>
                    <w:rPr>
                      <w:rFonts w:ascii="Times New Roman" w:hAnsi="Times New Roman" w:eastAsia="宋体"/>
                      <w:b/>
                      <w:sz w:val="21"/>
                      <w:szCs w:val="21"/>
                    </w:rPr>
                  </w:pPr>
                  <w:r>
                    <w:rPr>
                      <w:rFonts w:hint="eastAsia" w:ascii="Times New Roman" w:hAnsi="Times New Roman" w:eastAsia="宋体"/>
                      <w:b/>
                      <w:sz w:val="21"/>
                      <w:szCs w:val="21"/>
                    </w:rPr>
                    <w:t>背景值</w:t>
                  </w:r>
                  <w:r>
                    <w:rPr>
                      <w:rFonts w:ascii="Times New Roman" w:hAnsi="Times New Roman"/>
                      <w:b/>
                      <w:sz w:val="21"/>
                      <w:szCs w:val="21"/>
                    </w:rPr>
                    <w:t>dB(A</w:t>
                  </w:r>
                  <w:r>
                    <w:rPr>
                      <w:rFonts w:hint="eastAsia" w:ascii="Times New Roman" w:hAnsi="Times New Roman"/>
                      <w:b/>
                      <w:sz w:val="21"/>
                      <w:szCs w:val="21"/>
                    </w:rPr>
                    <w:t>)</w:t>
                  </w:r>
                </w:p>
              </w:tc>
              <w:tc>
                <w:tcPr>
                  <w:tcW w:w="777" w:type="pct"/>
                  <w:vAlign w:val="center"/>
                </w:tcPr>
                <w:p>
                  <w:pPr>
                    <w:pStyle w:val="43"/>
                    <w:keepNext w:val="0"/>
                    <w:keepLines w:val="0"/>
                    <w:widowControl w:val="0"/>
                    <w:suppressLineNumbers w:val="0"/>
                    <w:adjustRightInd w:val="0"/>
                    <w:snapToGrid w:val="0"/>
                    <w:spacing w:before="0" w:beforeAutospacing="0" w:after="0" w:afterAutospacing="0"/>
                    <w:ind w:left="0" w:right="0"/>
                    <w:textAlignment w:val="baseline"/>
                    <w:rPr>
                      <w:rFonts w:ascii="Times New Roman" w:hAnsi="Times New Roman" w:eastAsia="宋体"/>
                      <w:b/>
                      <w:sz w:val="21"/>
                      <w:szCs w:val="21"/>
                    </w:rPr>
                  </w:pPr>
                  <w:r>
                    <w:rPr>
                      <w:rFonts w:hint="eastAsia" w:ascii="Times New Roman" w:hAnsi="Times New Roman" w:eastAsia="宋体"/>
                      <w:b/>
                      <w:sz w:val="21"/>
                      <w:szCs w:val="21"/>
                    </w:rPr>
                    <w:t>叠加值</w:t>
                  </w:r>
                  <w:r>
                    <w:rPr>
                      <w:rFonts w:ascii="Times New Roman" w:hAnsi="Times New Roman"/>
                      <w:b/>
                      <w:sz w:val="21"/>
                      <w:szCs w:val="21"/>
                    </w:rPr>
                    <w:t>dB(A</w:t>
                  </w:r>
                  <w:r>
                    <w:rPr>
                      <w:rFonts w:hint="eastAsia" w:ascii="Times New Roman" w:hAnsi="Times New Roman"/>
                      <w:b/>
                      <w:sz w:val="21"/>
                      <w:szCs w:val="21"/>
                    </w:rPr>
                    <w:t>)</w:t>
                  </w:r>
                </w:p>
              </w:tc>
              <w:tc>
                <w:tcPr>
                  <w:tcW w:w="1641" w:type="pct"/>
                  <w:vAlign w:val="center"/>
                </w:tcPr>
                <w:p>
                  <w:pPr>
                    <w:pStyle w:val="43"/>
                    <w:keepNext w:val="0"/>
                    <w:keepLines w:val="0"/>
                    <w:widowControl w:val="0"/>
                    <w:suppressLineNumbers w:val="0"/>
                    <w:adjustRightInd w:val="0"/>
                    <w:snapToGrid w:val="0"/>
                    <w:spacing w:before="0" w:beforeAutospacing="0" w:after="0" w:afterAutospacing="0"/>
                    <w:ind w:left="0" w:right="0"/>
                    <w:textAlignment w:val="baseline"/>
                    <w:rPr>
                      <w:rFonts w:ascii="Times New Roman" w:hAnsi="Times New Roman" w:eastAsia="宋体"/>
                      <w:b/>
                      <w:sz w:val="21"/>
                      <w:szCs w:val="21"/>
                    </w:rPr>
                  </w:pPr>
                  <w:r>
                    <w:rPr>
                      <w:rFonts w:ascii="Times New Roman" w:hAnsi="Times New Roman" w:eastAsia="宋体"/>
                      <w:b/>
                      <w:sz w:val="21"/>
                      <w:szCs w:val="21"/>
                    </w:rPr>
                    <w:t>执行标准</w:t>
                  </w:r>
                </w:p>
              </w:tc>
              <w:tc>
                <w:tcPr>
                  <w:tcW w:w="453" w:type="pct"/>
                  <w:vAlign w:val="center"/>
                </w:tcPr>
                <w:p>
                  <w:pPr>
                    <w:keepNext w:val="0"/>
                    <w:keepLines w:val="0"/>
                    <w:suppressLineNumbers w:val="0"/>
                    <w:snapToGrid w:val="0"/>
                    <w:spacing w:before="0" w:beforeAutospacing="0" w:after="0" w:afterAutospacing="0" w:line="240" w:lineRule="auto"/>
                    <w:ind w:left="0" w:right="0" w:firstLine="0" w:firstLineChars="0"/>
                    <w:jc w:val="center"/>
                    <w:rPr>
                      <w:b/>
                      <w:sz w:val="21"/>
                      <w:szCs w:val="21"/>
                    </w:rPr>
                  </w:pPr>
                  <w:r>
                    <w:rPr>
                      <w:b/>
                      <w:sz w:val="21"/>
                      <w:szCs w:val="21"/>
                    </w:rPr>
                    <w:t>达标情况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492" w:type="pct"/>
                  <w:vMerge w:val="restar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南厂界</w:t>
                  </w:r>
                </w:p>
              </w:tc>
              <w:tc>
                <w:tcPr>
                  <w:tcW w:w="789" w:type="pct"/>
                  <w:vMerge w:val="restar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53.85</w:t>
                  </w:r>
                </w:p>
              </w:tc>
              <w:tc>
                <w:tcPr>
                  <w:tcW w:w="848"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昼间：54.50</w:t>
                  </w:r>
                </w:p>
              </w:tc>
              <w:tc>
                <w:tcPr>
                  <w:tcW w:w="777"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57.20</w:t>
                  </w:r>
                </w:p>
              </w:tc>
              <w:tc>
                <w:tcPr>
                  <w:tcW w:w="1641" w:type="pct"/>
                  <w:vMerge w:val="restart"/>
                  <w:vAlign w:val="center"/>
                </w:tcPr>
                <w:p>
                  <w:pPr>
                    <w:keepNext w:val="0"/>
                    <w:keepLines w:val="0"/>
                    <w:suppressLineNumbers w:val="0"/>
                    <w:snapToGrid w:val="0"/>
                    <w:spacing w:before="0" w:beforeAutospacing="0" w:after="0" w:afterAutospacing="0" w:line="240" w:lineRule="auto"/>
                    <w:ind w:left="0" w:right="0" w:firstLine="0" w:firstLineChars="0"/>
                    <w:jc w:val="center"/>
                    <w:rPr>
                      <w:sz w:val="18"/>
                      <w:szCs w:val="18"/>
                    </w:rPr>
                  </w:pPr>
                  <w:r>
                    <w:rPr>
                      <w:sz w:val="18"/>
                      <w:szCs w:val="18"/>
                    </w:rPr>
                    <w:t>《工业企业厂界环境噪声排放标准》</w:t>
                  </w:r>
                  <w:r>
                    <w:rPr>
                      <w:sz w:val="18"/>
                      <w:szCs w:val="18"/>
                      <w:lang w:val="zh-CN"/>
                    </w:rPr>
                    <w:t>(GB12348-2008)</w:t>
                  </w:r>
                  <w:r>
                    <w:rPr>
                      <w:sz w:val="18"/>
                      <w:szCs w:val="18"/>
                    </w:rPr>
                    <w:t>3类区，</w:t>
                  </w:r>
                  <w:r>
                    <w:rPr>
                      <w:rFonts w:hint="eastAsia"/>
                      <w:sz w:val="18"/>
                      <w:szCs w:val="18"/>
                    </w:rPr>
                    <w:t>昼间</w:t>
                  </w:r>
                  <w:r>
                    <w:rPr>
                      <w:rFonts w:hint="eastAsia"/>
                      <w:sz w:val="18"/>
                      <w:szCs w:val="18"/>
                      <w:lang w:val="zh-CN"/>
                    </w:rPr>
                    <w:t>65</w:t>
                  </w:r>
                  <w:r>
                    <w:rPr>
                      <w:sz w:val="18"/>
                      <w:szCs w:val="18"/>
                      <w:lang w:val="zh-CN"/>
                    </w:rPr>
                    <w:t xml:space="preserve"> dB(A</w:t>
                  </w:r>
                  <w:r>
                    <w:rPr>
                      <w:rFonts w:hint="eastAsia"/>
                      <w:sz w:val="18"/>
                      <w:szCs w:val="18"/>
                      <w:lang w:val="zh-CN"/>
                    </w:rPr>
                    <w:t>)，夜间55</w:t>
                  </w:r>
                  <w:r>
                    <w:rPr>
                      <w:sz w:val="18"/>
                      <w:szCs w:val="18"/>
                      <w:lang w:val="zh-CN"/>
                    </w:rPr>
                    <w:t xml:space="preserve"> dB(A</w:t>
                  </w:r>
                  <w:r>
                    <w:rPr>
                      <w:rFonts w:hint="eastAsia"/>
                      <w:sz w:val="18"/>
                      <w:szCs w:val="18"/>
                      <w:lang w:val="zh-CN"/>
                    </w:rPr>
                    <w:t>)。</w:t>
                  </w:r>
                </w:p>
              </w:tc>
              <w:tc>
                <w:tcPr>
                  <w:tcW w:w="453" w:type="pct"/>
                  <w:vMerge w:val="restar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492" w:type="pct"/>
                  <w:vMerge w:val="continue"/>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p>
              </w:tc>
              <w:tc>
                <w:tcPr>
                  <w:tcW w:w="789" w:type="pct"/>
                  <w:vMerge w:val="continue"/>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p>
              </w:tc>
              <w:tc>
                <w:tcPr>
                  <w:tcW w:w="848"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夜间：45.30</w:t>
                  </w:r>
                </w:p>
              </w:tc>
              <w:tc>
                <w:tcPr>
                  <w:tcW w:w="777"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54.42</w:t>
                  </w:r>
                </w:p>
              </w:tc>
              <w:tc>
                <w:tcPr>
                  <w:tcW w:w="1641" w:type="pct"/>
                  <w:vMerge w:val="continue"/>
                  <w:vAlign w:val="center"/>
                </w:tcPr>
                <w:p>
                  <w:pPr>
                    <w:keepNext w:val="0"/>
                    <w:keepLines w:val="0"/>
                    <w:suppressLineNumbers w:val="0"/>
                    <w:snapToGrid w:val="0"/>
                    <w:spacing w:before="0" w:beforeAutospacing="0" w:after="0" w:afterAutospacing="0" w:line="240" w:lineRule="auto"/>
                    <w:ind w:left="0" w:right="0" w:firstLine="0" w:firstLineChars="0"/>
                    <w:jc w:val="center"/>
                    <w:rPr>
                      <w:sz w:val="18"/>
                      <w:szCs w:val="18"/>
                    </w:rPr>
                  </w:pPr>
                </w:p>
              </w:tc>
              <w:tc>
                <w:tcPr>
                  <w:tcW w:w="453" w:type="pct"/>
                  <w:vMerge w:val="continue"/>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492" w:type="pct"/>
                  <w:vMerge w:val="restar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北厂界</w:t>
                  </w:r>
                </w:p>
              </w:tc>
              <w:tc>
                <w:tcPr>
                  <w:tcW w:w="789" w:type="pct"/>
                  <w:vMerge w:val="restar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51.20</w:t>
                  </w:r>
                </w:p>
              </w:tc>
              <w:tc>
                <w:tcPr>
                  <w:tcW w:w="848"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昼间：56.95</w:t>
                  </w:r>
                </w:p>
              </w:tc>
              <w:tc>
                <w:tcPr>
                  <w:tcW w:w="777"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57.97</w:t>
                  </w:r>
                </w:p>
              </w:tc>
              <w:tc>
                <w:tcPr>
                  <w:tcW w:w="1641" w:type="pct"/>
                  <w:vMerge w:val="continue"/>
                  <w:vAlign w:val="center"/>
                </w:tcPr>
                <w:p>
                  <w:pPr>
                    <w:keepNext w:val="0"/>
                    <w:keepLines w:val="0"/>
                    <w:suppressLineNumbers w:val="0"/>
                    <w:snapToGrid w:val="0"/>
                    <w:spacing w:before="0" w:beforeAutospacing="0" w:after="0" w:afterAutospacing="0" w:line="240" w:lineRule="auto"/>
                    <w:ind w:left="0" w:right="0" w:firstLine="360"/>
                    <w:jc w:val="center"/>
                    <w:rPr>
                      <w:sz w:val="18"/>
                      <w:szCs w:val="18"/>
                    </w:rPr>
                  </w:pPr>
                </w:p>
              </w:tc>
              <w:tc>
                <w:tcPr>
                  <w:tcW w:w="453" w:type="pct"/>
                  <w:vMerge w:val="restar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492" w:type="pct"/>
                  <w:vMerge w:val="continue"/>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p>
              </w:tc>
              <w:tc>
                <w:tcPr>
                  <w:tcW w:w="789" w:type="pct"/>
                  <w:vMerge w:val="continue"/>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p>
              </w:tc>
              <w:tc>
                <w:tcPr>
                  <w:tcW w:w="848"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夜间：46.05</w:t>
                  </w:r>
                </w:p>
              </w:tc>
              <w:tc>
                <w:tcPr>
                  <w:tcW w:w="777"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52.36</w:t>
                  </w:r>
                </w:p>
              </w:tc>
              <w:tc>
                <w:tcPr>
                  <w:tcW w:w="1641" w:type="pct"/>
                  <w:vMerge w:val="continue"/>
                  <w:vAlign w:val="center"/>
                </w:tcPr>
                <w:p>
                  <w:pPr>
                    <w:keepNext w:val="0"/>
                    <w:keepLines w:val="0"/>
                    <w:suppressLineNumbers w:val="0"/>
                    <w:snapToGrid w:val="0"/>
                    <w:spacing w:before="0" w:beforeAutospacing="0" w:after="0" w:afterAutospacing="0" w:line="240" w:lineRule="auto"/>
                    <w:ind w:left="0" w:right="0" w:firstLine="360"/>
                    <w:jc w:val="center"/>
                    <w:rPr>
                      <w:sz w:val="18"/>
                      <w:szCs w:val="18"/>
                    </w:rPr>
                  </w:pPr>
                </w:p>
              </w:tc>
              <w:tc>
                <w:tcPr>
                  <w:tcW w:w="453" w:type="pct"/>
                  <w:vMerge w:val="continue"/>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492" w:type="pct"/>
                  <w:vMerge w:val="restar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西厂界</w:t>
                  </w:r>
                </w:p>
              </w:tc>
              <w:tc>
                <w:tcPr>
                  <w:tcW w:w="789" w:type="pct"/>
                  <w:vMerge w:val="restar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46.38</w:t>
                  </w:r>
                </w:p>
              </w:tc>
              <w:tc>
                <w:tcPr>
                  <w:tcW w:w="848"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昼间：52.55</w:t>
                  </w:r>
                </w:p>
              </w:tc>
              <w:tc>
                <w:tcPr>
                  <w:tcW w:w="777"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53.49</w:t>
                  </w:r>
                </w:p>
              </w:tc>
              <w:tc>
                <w:tcPr>
                  <w:tcW w:w="1641" w:type="pct"/>
                  <w:vMerge w:val="continue"/>
                  <w:vAlign w:val="center"/>
                </w:tcPr>
                <w:p>
                  <w:pPr>
                    <w:keepNext w:val="0"/>
                    <w:keepLines w:val="0"/>
                    <w:suppressLineNumbers w:val="0"/>
                    <w:snapToGrid w:val="0"/>
                    <w:spacing w:before="0" w:beforeAutospacing="0" w:after="0" w:afterAutospacing="0" w:line="240" w:lineRule="auto"/>
                    <w:ind w:left="0" w:right="0" w:firstLine="360"/>
                    <w:jc w:val="center"/>
                    <w:rPr>
                      <w:sz w:val="18"/>
                      <w:szCs w:val="18"/>
                    </w:rPr>
                  </w:pPr>
                </w:p>
              </w:tc>
              <w:tc>
                <w:tcPr>
                  <w:tcW w:w="453" w:type="pct"/>
                  <w:vMerge w:val="restar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492" w:type="pct"/>
                  <w:vMerge w:val="continue"/>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p>
              </w:tc>
              <w:tc>
                <w:tcPr>
                  <w:tcW w:w="789" w:type="pct"/>
                  <w:vMerge w:val="continue"/>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p>
              </w:tc>
              <w:tc>
                <w:tcPr>
                  <w:tcW w:w="848"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夜间：44.00</w:t>
                  </w:r>
                </w:p>
              </w:tc>
              <w:tc>
                <w:tcPr>
                  <w:tcW w:w="777"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48.36</w:t>
                  </w:r>
                </w:p>
              </w:tc>
              <w:tc>
                <w:tcPr>
                  <w:tcW w:w="1641" w:type="pct"/>
                  <w:vMerge w:val="continue"/>
                  <w:vAlign w:val="center"/>
                </w:tcPr>
                <w:p>
                  <w:pPr>
                    <w:keepNext w:val="0"/>
                    <w:keepLines w:val="0"/>
                    <w:suppressLineNumbers w:val="0"/>
                    <w:snapToGrid w:val="0"/>
                    <w:spacing w:before="0" w:beforeAutospacing="0" w:after="0" w:afterAutospacing="0" w:line="240" w:lineRule="auto"/>
                    <w:ind w:left="0" w:right="0" w:firstLine="360"/>
                    <w:jc w:val="center"/>
                    <w:rPr>
                      <w:sz w:val="18"/>
                      <w:szCs w:val="18"/>
                    </w:rPr>
                  </w:pPr>
                </w:p>
              </w:tc>
              <w:tc>
                <w:tcPr>
                  <w:tcW w:w="453" w:type="pct"/>
                  <w:vMerge w:val="continue"/>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492" w:type="pct"/>
                  <w:vMerge w:val="restar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东厂界</w:t>
                  </w:r>
                </w:p>
              </w:tc>
              <w:tc>
                <w:tcPr>
                  <w:tcW w:w="789" w:type="pct"/>
                  <w:vMerge w:val="restar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45.51</w:t>
                  </w:r>
                </w:p>
              </w:tc>
              <w:tc>
                <w:tcPr>
                  <w:tcW w:w="848"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昼间：62.15</w:t>
                  </w:r>
                </w:p>
              </w:tc>
              <w:tc>
                <w:tcPr>
                  <w:tcW w:w="777"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62.24</w:t>
                  </w:r>
                </w:p>
              </w:tc>
              <w:tc>
                <w:tcPr>
                  <w:tcW w:w="1641" w:type="pct"/>
                  <w:vMerge w:val="restart"/>
                  <w:vAlign w:val="center"/>
                </w:tcPr>
                <w:p>
                  <w:pPr>
                    <w:keepNext w:val="0"/>
                    <w:keepLines w:val="0"/>
                    <w:suppressLineNumbers w:val="0"/>
                    <w:snapToGrid w:val="0"/>
                    <w:spacing w:before="0" w:beforeAutospacing="0" w:after="0" w:afterAutospacing="0" w:line="240" w:lineRule="auto"/>
                    <w:ind w:left="0" w:right="0" w:firstLine="0" w:firstLineChars="0"/>
                    <w:jc w:val="center"/>
                    <w:rPr>
                      <w:sz w:val="18"/>
                      <w:szCs w:val="18"/>
                    </w:rPr>
                  </w:pPr>
                  <w:r>
                    <w:rPr>
                      <w:sz w:val="18"/>
                      <w:szCs w:val="18"/>
                    </w:rPr>
                    <w:t>《工业企业厂界环境噪声排放标准》</w:t>
                  </w:r>
                  <w:r>
                    <w:rPr>
                      <w:sz w:val="18"/>
                      <w:szCs w:val="18"/>
                      <w:lang w:val="zh-CN"/>
                    </w:rPr>
                    <w:t>(GB12348-2008)</w:t>
                  </w:r>
                  <w:r>
                    <w:rPr>
                      <w:sz w:val="18"/>
                      <w:szCs w:val="18"/>
                    </w:rPr>
                    <w:t>4</w:t>
                  </w:r>
                  <w:r>
                    <w:rPr>
                      <w:rFonts w:hint="eastAsia"/>
                      <w:sz w:val="18"/>
                      <w:szCs w:val="18"/>
                    </w:rPr>
                    <w:t>a</w:t>
                  </w:r>
                  <w:r>
                    <w:rPr>
                      <w:sz w:val="18"/>
                      <w:szCs w:val="18"/>
                    </w:rPr>
                    <w:t>类区</w:t>
                  </w:r>
                  <w:r>
                    <w:rPr>
                      <w:rFonts w:hint="eastAsia"/>
                      <w:sz w:val="18"/>
                      <w:szCs w:val="18"/>
                    </w:rPr>
                    <w:t>昼间</w:t>
                  </w:r>
                  <w:r>
                    <w:rPr>
                      <w:rFonts w:hint="eastAsia"/>
                      <w:sz w:val="18"/>
                      <w:szCs w:val="18"/>
                      <w:lang w:val="zh-CN"/>
                    </w:rPr>
                    <w:t>70</w:t>
                  </w:r>
                  <w:r>
                    <w:rPr>
                      <w:sz w:val="18"/>
                      <w:szCs w:val="18"/>
                      <w:lang w:val="zh-CN"/>
                    </w:rPr>
                    <w:t xml:space="preserve"> dB(A</w:t>
                  </w:r>
                  <w:r>
                    <w:rPr>
                      <w:rFonts w:hint="eastAsia"/>
                      <w:sz w:val="18"/>
                      <w:szCs w:val="18"/>
                      <w:lang w:val="zh-CN"/>
                    </w:rPr>
                    <w:t>)，夜间55</w:t>
                  </w:r>
                  <w:r>
                    <w:rPr>
                      <w:sz w:val="18"/>
                      <w:szCs w:val="18"/>
                      <w:lang w:val="zh-CN"/>
                    </w:rPr>
                    <w:t xml:space="preserve"> dB(A</w:t>
                  </w:r>
                  <w:r>
                    <w:rPr>
                      <w:rFonts w:hint="eastAsia"/>
                      <w:sz w:val="18"/>
                      <w:szCs w:val="18"/>
                      <w:lang w:val="zh-CN"/>
                    </w:rPr>
                    <w:t>)。</w:t>
                  </w:r>
                </w:p>
              </w:tc>
              <w:tc>
                <w:tcPr>
                  <w:tcW w:w="453" w:type="pct"/>
                  <w:vMerge w:val="restar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492" w:type="pct"/>
                  <w:vMerge w:val="continue"/>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p>
              </w:tc>
              <w:tc>
                <w:tcPr>
                  <w:tcW w:w="789" w:type="pct"/>
                  <w:vMerge w:val="continue"/>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p>
              </w:tc>
              <w:tc>
                <w:tcPr>
                  <w:tcW w:w="848"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夜间：52.55</w:t>
                  </w:r>
                </w:p>
              </w:tc>
              <w:tc>
                <w:tcPr>
                  <w:tcW w:w="777"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53.33</w:t>
                  </w:r>
                </w:p>
              </w:tc>
              <w:tc>
                <w:tcPr>
                  <w:tcW w:w="1641" w:type="pct"/>
                  <w:vMerge w:val="continue"/>
                  <w:vAlign w:val="center"/>
                </w:tcPr>
                <w:p>
                  <w:pPr>
                    <w:keepNext w:val="0"/>
                    <w:keepLines w:val="0"/>
                    <w:suppressLineNumbers w:val="0"/>
                    <w:snapToGrid w:val="0"/>
                    <w:spacing w:before="0" w:beforeAutospacing="0" w:after="0" w:afterAutospacing="0" w:line="240" w:lineRule="auto"/>
                    <w:ind w:left="0" w:right="0" w:firstLine="360"/>
                    <w:jc w:val="center"/>
                    <w:rPr>
                      <w:sz w:val="18"/>
                      <w:szCs w:val="18"/>
                    </w:rPr>
                  </w:pPr>
                </w:p>
              </w:tc>
              <w:tc>
                <w:tcPr>
                  <w:tcW w:w="453" w:type="pct"/>
                  <w:vMerge w:val="continue"/>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p>
              </w:tc>
            </w:tr>
          </w:tbl>
          <w:p>
            <w:pPr>
              <w:keepNext w:val="0"/>
              <w:keepLines w:val="0"/>
              <w:suppressLineNumbers w:val="0"/>
              <w:spacing w:before="240" w:beforeAutospacing="0" w:after="0" w:afterAutospacing="0" w:line="240" w:lineRule="auto"/>
              <w:ind w:left="0" w:right="0" w:firstLine="422"/>
              <w:jc w:val="center"/>
              <w:rPr>
                <w:b/>
                <w:sz w:val="21"/>
                <w:szCs w:val="21"/>
              </w:rPr>
            </w:pPr>
            <w:r>
              <w:rPr>
                <w:b/>
                <w:sz w:val="21"/>
                <w:szCs w:val="21"/>
              </w:rPr>
              <w:t>表</w:t>
            </w:r>
            <w:r>
              <w:rPr>
                <w:rFonts w:hint="eastAsia"/>
                <w:b/>
                <w:sz w:val="21"/>
                <w:szCs w:val="21"/>
              </w:rPr>
              <w:t>7-14 本项目周边主要敏感目标</w:t>
            </w:r>
            <w:r>
              <w:rPr>
                <w:b/>
                <w:sz w:val="21"/>
                <w:szCs w:val="21"/>
              </w:rPr>
              <w:t>噪声衰减预测值单位：dB(A)</w:t>
            </w:r>
          </w:p>
          <w:tbl>
            <w:tblPr>
              <w:tblStyle w:val="1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2004"/>
              <w:gridCol w:w="1053"/>
              <w:gridCol w:w="1051"/>
              <w:gridCol w:w="1266"/>
              <w:gridCol w:w="290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211" w:type="pct"/>
                  <w:vAlign w:val="center"/>
                </w:tcPr>
                <w:p>
                  <w:pPr>
                    <w:keepNext w:val="0"/>
                    <w:keepLines w:val="0"/>
                    <w:suppressLineNumbers w:val="0"/>
                    <w:snapToGrid w:val="0"/>
                    <w:spacing w:before="0" w:beforeAutospacing="0" w:after="0" w:afterAutospacing="0" w:line="240" w:lineRule="auto"/>
                    <w:ind w:left="0" w:right="0" w:firstLine="0" w:firstLineChars="0"/>
                    <w:jc w:val="center"/>
                    <w:rPr>
                      <w:b/>
                      <w:sz w:val="21"/>
                      <w:szCs w:val="21"/>
                    </w:rPr>
                  </w:pPr>
                  <w:r>
                    <w:rPr>
                      <w:b/>
                      <w:sz w:val="21"/>
                      <w:szCs w:val="21"/>
                    </w:rPr>
                    <w:t>名称</w:t>
                  </w:r>
                </w:p>
              </w:tc>
              <w:tc>
                <w:tcPr>
                  <w:tcW w:w="636" w:type="pct"/>
                  <w:vAlign w:val="center"/>
                </w:tcPr>
                <w:p>
                  <w:pPr>
                    <w:keepNext w:val="0"/>
                    <w:keepLines w:val="0"/>
                    <w:suppressLineNumbers w:val="0"/>
                    <w:snapToGrid w:val="0"/>
                    <w:spacing w:before="0" w:beforeAutospacing="0" w:after="0" w:afterAutospacing="0" w:line="240" w:lineRule="auto"/>
                    <w:ind w:left="0" w:right="0" w:firstLine="0" w:firstLineChars="0"/>
                    <w:jc w:val="center"/>
                    <w:rPr>
                      <w:b/>
                      <w:sz w:val="21"/>
                      <w:szCs w:val="21"/>
                    </w:rPr>
                  </w:pPr>
                  <w:r>
                    <w:rPr>
                      <w:rFonts w:hint="eastAsia"/>
                      <w:b/>
                      <w:sz w:val="21"/>
                      <w:szCs w:val="21"/>
                    </w:rPr>
                    <w:t>方位</w:t>
                  </w:r>
                </w:p>
              </w:tc>
              <w:tc>
                <w:tcPr>
                  <w:tcW w:w="635" w:type="pct"/>
                  <w:vAlign w:val="center"/>
                </w:tcPr>
                <w:p>
                  <w:pPr>
                    <w:keepNext w:val="0"/>
                    <w:keepLines w:val="0"/>
                    <w:suppressLineNumbers w:val="0"/>
                    <w:snapToGrid w:val="0"/>
                    <w:spacing w:before="0" w:beforeAutospacing="0" w:after="0" w:afterAutospacing="0" w:line="240" w:lineRule="auto"/>
                    <w:ind w:left="0" w:right="0" w:firstLine="0" w:firstLineChars="0"/>
                    <w:jc w:val="center"/>
                    <w:rPr>
                      <w:b/>
                      <w:sz w:val="21"/>
                      <w:szCs w:val="21"/>
                    </w:rPr>
                  </w:pPr>
                  <w:r>
                    <w:rPr>
                      <w:b/>
                      <w:sz w:val="21"/>
                      <w:szCs w:val="21"/>
                    </w:rPr>
                    <w:t>距离(m)</w:t>
                  </w:r>
                </w:p>
              </w:tc>
              <w:tc>
                <w:tcPr>
                  <w:tcW w:w="765" w:type="pct"/>
                  <w:vAlign w:val="center"/>
                </w:tcPr>
                <w:p>
                  <w:pPr>
                    <w:keepNext w:val="0"/>
                    <w:keepLines w:val="0"/>
                    <w:suppressLineNumbers w:val="0"/>
                    <w:snapToGrid w:val="0"/>
                    <w:spacing w:before="0" w:beforeAutospacing="0" w:after="0" w:afterAutospacing="0" w:line="240" w:lineRule="auto"/>
                    <w:ind w:left="0" w:right="0" w:firstLine="0" w:firstLineChars="0"/>
                    <w:jc w:val="center"/>
                    <w:rPr>
                      <w:b/>
                      <w:sz w:val="21"/>
                      <w:szCs w:val="21"/>
                    </w:rPr>
                  </w:pPr>
                  <w:r>
                    <w:rPr>
                      <w:b/>
                      <w:sz w:val="21"/>
                      <w:szCs w:val="21"/>
                    </w:rPr>
                    <w:t>预测值dB(A)</w:t>
                  </w:r>
                </w:p>
              </w:tc>
              <w:tc>
                <w:tcPr>
                  <w:tcW w:w="1754" w:type="pct"/>
                  <w:vAlign w:val="center"/>
                </w:tcPr>
                <w:p>
                  <w:pPr>
                    <w:pStyle w:val="43"/>
                    <w:keepNext w:val="0"/>
                    <w:keepLines w:val="0"/>
                    <w:widowControl w:val="0"/>
                    <w:suppressLineNumbers w:val="0"/>
                    <w:adjustRightInd w:val="0"/>
                    <w:snapToGrid w:val="0"/>
                    <w:spacing w:before="0" w:beforeAutospacing="0" w:after="0" w:afterAutospacing="0"/>
                    <w:ind w:left="0" w:right="0"/>
                    <w:textAlignment w:val="baseline"/>
                    <w:rPr>
                      <w:rFonts w:ascii="Times New Roman" w:hAnsi="Times New Roman" w:eastAsia="宋体"/>
                      <w:b/>
                      <w:sz w:val="21"/>
                      <w:szCs w:val="21"/>
                    </w:rPr>
                  </w:pPr>
                  <w:r>
                    <w:rPr>
                      <w:rFonts w:ascii="Times New Roman" w:hAnsi="Times New Roman" w:eastAsia="宋体"/>
                      <w:b/>
                      <w:sz w:val="21"/>
                      <w:szCs w:val="21"/>
                    </w:rPr>
                    <w:t>执行标准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211"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昆明银华工贸有限公司路桥分公司办公楼</w:t>
                  </w:r>
                </w:p>
              </w:tc>
              <w:tc>
                <w:tcPr>
                  <w:tcW w:w="636"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南</w:t>
                  </w:r>
                </w:p>
              </w:tc>
              <w:tc>
                <w:tcPr>
                  <w:tcW w:w="635"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60</w:t>
                  </w:r>
                </w:p>
              </w:tc>
              <w:tc>
                <w:tcPr>
                  <w:tcW w:w="765"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44.32</w:t>
                  </w:r>
                </w:p>
              </w:tc>
              <w:tc>
                <w:tcPr>
                  <w:tcW w:w="1754" w:type="pct"/>
                  <w:vMerge w:val="restart"/>
                  <w:vAlign w:val="center"/>
                </w:tcPr>
                <w:p>
                  <w:pPr>
                    <w:keepNext w:val="0"/>
                    <w:keepLines w:val="0"/>
                    <w:suppressLineNumbers w:val="0"/>
                    <w:snapToGrid w:val="0"/>
                    <w:spacing w:before="0" w:beforeAutospacing="0" w:after="0" w:afterAutospacing="0" w:line="240" w:lineRule="auto"/>
                    <w:ind w:left="0" w:right="0" w:firstLine="0" w:firstLineChars="0"/>
                    <w:jc w:val="center"/>
                    <w:rPr>
                      <w:sz w:val="18"/>
                      <w:szCs w:val="18"/>
                    </w:rPr>
                  </w:pPr>
                  <w:r>
                    <w:rPr>
                      <w:sz w:val="18"/>
                      <w:szCs w:val="18"/>
                    </w:rPr>
                    <w:t>《声环境质量标准》（GB 3096-2008）3类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211"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云南联达钢结构制造有限公司办公楼</w:t>
                  </w:r>
                </w:p>
              </w:tc>
              <w:tc>
                <w:tcPr>
                  <w:tcW w:w="636"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东</w:t>
                  </w:r>
                </w:p>
              </w:tc>
              <w:tc>
                <w:tcPr>
                  <w:tcW w:w="635"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10</w:t>
                  </w:r>
                </w:p>
              </w:tc>
              <w:tc>
                <w:tcPr>
                  <w:tcW w:w="765"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51.63</w:t>
                  </w:r>
                </w:p>
              </w:tc>
              <w:tc>
                <w:tcPr>
                  <w:tcW w:w="1754" w:type="pct"/>
                  <w:vMerge w:val="continue"/>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211"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哨菁居民点</w:t>
                  </w:r>
                  <w:r>
                    <w:rPr>
                      <w:sz w:val="21"/>
                      <w:szCs w:val="21"/>
                    </w:rPr>
                    <w:t>1</w:t>
                  </w:r>
                </w:p>
              </w:tc>
              <w:tc>
                <w:tcPr>
                  <w:tcW w:w="636"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东北</w:t>
                  </w:r>
                </w:p>
              </w:tc>
              <w:tc>
                <w:tcPr>
                  <w:tcW w:w="635"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135</w:t>
                  </w:r>
                </w:p>
              </w:tc>
              <w:tc>
                <w:tcPr>
                  <w:tcW w:w="765" w:type="pct"/>
                  <w:vAlign w:val="center"/>
                </w:tcPr>
                <w:p>
                  <w:pPr>
                    <w:keepNext w:val="0"/>
                    <w:keepLines w:val="0"/>
                    <w:suppressLineNumbers w:val="0"/>
                    <w:snapToGrid w:val="0"/>
                    <w:spacing w:before="0" w:beforeAutospacing="0" w:after="0" w:afterAutospacing="0"/>
                    <w:ind w:left="0" w:right="0" w:firstLine="0" w:firstLineChars="0"/>
                    <w:jc w:val="center"/>
                    <w:rPr>
                      <w:sz w:val="21"/>
                      <w:szCs w:val="21"/>
                    </w:rPr>
                  </w:pPr>
                  <w:r>
                    <w:rPr>
                      <w:sz w:val="21"/>
                      <w:szCs w:val="21"/>
                    </w:rPr>
                    <w:t>43.92</w:t>
                  </w:r>
                </w:p>
              </w:tc>
              <w:tc>
                <w:tcPr>
                  <w:tcW w:w="1754" w:type="pct"/>
                  <w:vMerge w:val="restart"/>
                  <w:vAlign w:val="center"/>
                </w:tcPr>
                <w:p>
                  <w:pPr>
                    <w:keepNext w:val="0"/>
                    <w:keepLines w:val="0"/>
                    <w:suppressLineNumbers w:val="0"/>
                    <w:snapToGrid w:val="0"/>
                    <w:spacing w:before="0" w:beforeAutospacing="0" w:after="0" w:afterAutospacing="0"/>
                    <w:ind w:left="0" w:right="0" w:firstLine="0" w:firstLineChars="0"/>
                    <w:jc w:val="center"/>
                    <w:rPr>
                      <w:sz w:val="21"/>
                      <w:szCs w:val="21"/>
                    </w:rPr>
                  </w:pPr>
                  <w:r>
                    <w:rPr>
                      <w:sz w:val="18"/>
                      <w:szCs w:val="18"/>
                    </w:rPr>
                    <w:t>《声环境质量标准》（GB 3096-2008）2类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211"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哨菁居民点</w:t>
                  </w:r>
                  <w:r>
                    <w:rPr>
                      <w:sz w:val="21"/>
                      <w:szCs w:val="21"/>
                    </w:rPr>
                    <w:t>2</w:t>
                  </w:r>
                </w:p>
              </w:tc>
              <w:tc>
                <w:tcPr>
                  <w:tcW w:w="636"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西北</w:t>
                  </w:r>
                </w:p>
              </w:tc>
              <w:tc>
                <w:tcPr>
                  <w:tcW w:w="635"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141</w:t>
                  </w:r>
                </w:p>
              </w:tc>
              <w:tc>
                <w:tcPr>
                  <w:tcW w:w="765"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38.41</w:t>
                  </w:r>
                </w:p>
              </w:tc>
              <w:tc>
                <w:tcPr>
                  <w:tcW w:w="1754" w:type="pct"/>
                  <w:vMerge w:val="continue"/>
                  <w:vAlign w:val="center"/>
                </w:tcPr>
                <w:p>
                  <w:pPr>
                    <w:keepNext w:val="0"/>
                    <w:keepLines w:val="0"/>
                    <w:suppressLineNumbers w:val="0"/>
                    <w:snapToGrid w:val="0"/>
                    <w:spacing w:before="0" w:beforeAutospacing="0" w:after="0" w:afterAutospacing="0"/>
                    <w:ind w:left="0" w:right="0"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211"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哨菁安置小区</w:t>
                  </w:r>
                </w:p>
              </w:tc>
              <w:tc>
                <w:tcPr>
                  <w:tcW w:w="636"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北</w:t>
                  </w:r>
                </w:p>
              </w:tc>
              <w:tc>
                <w:tcPr>
                  <w:tcW w:w="635"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95</w:t>
                  </w:r>
                </w:p>
              </w:tc>
              <w:tc>
                <w:tcPr>
                  <w:tcW w:w="765"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42.15</w:t>
                  </w:r>
                </w:p>
              </w:tc>
              <w:tc>
                <w:tcPr>
                  <w:tcW w:w="1754" w:type="pct"/>
                  <w:vMerge w:val="continue"/>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p>
              </w:tc>
            </w:tr>
          </w:tbl>
          <w:p>
            <w:pPr>
              <w:keepNext w:val="0"/>
              <w:keepLines w:val="0"/>
              <w:suppressLineNumbers w:val="0"/>
              <w:spacing w:before="0" w:beforeAutospacing="0" w:after="0" w:afterAutospacing="0"/>
              <w:ind w:left="0" w:right="0" w:firstLine="480"/>
              <w:jc w:val="both"/>
            </w:pPr>
            <w:r>
              <w:rPr>
                <w:rFonts w:hint="eastAsia"/>
              </w:rPr>
              <w:drawing>
                <wp:anchor distT="0" distB="0" distL="114300" distR="114300" simplePos="0" relativeHeight="251659264" behindDoc="0" locked="0" layoutInCell="1" allowOverlap="1">
                  <wp:simplePos x="0" y="0"/>
                  <wp:positionH relativeFrom="column">
                    <wp:posOffset>20955</wp:posOffset>
                  </wp:positionH>
                  <wp:positionV relativeFrom="paragraph">
                    <wp:posOffset>387985</wp:posOffset>
                  </wp:positionV>
                  <wp:extent cx="5260340" cy="3593465"/>
                  <wp:effectExtent l="19050" t="0" r="0" b="0"/>
                  <wp:wrapTopAndBottom/>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noChangeArrowheads="1"/>
                          </pic:cNvPicPr>
                        </pic:nvPicPr>
                        <pic:blipFill>
                          <a:blip r:embed="rId16"/>
                          <a:srcRect/>
                          <a:stretch>
                            <a:fillRect/>
                          </a:stretch>
                        </pic:blipFill>
                        <pic:spPr>
                          <a:xfrm>
                            <a:off x="0" y="0"/>
                            <a:ext cx="5260340" cy="3593465"/>
                          </a:xfrm>
                          <a:prstGeom prst="rect">
                            <a:avLst/>
                          </a:prstGeom>
                          <a:noFill/>
                          <a:ln w="9525">
                            <a:noFill/>
                            <a:miter lim="800000"/>
                            <a:headEnd/>
                            <a:tailEnd/>
                          </a:ln>
                        </pic:spPr>
                      </pic:pic>
                    </a:graphicData>
                  </a:graphic>
                </wp:anchor>
              </w:drawing>
            </w:r>
            <w:r>
              <w:rPr>
                <w:rFonts w:hint="eastAsia"/>
              </w:rPr>
              <w:t>本项目噪声等值线分布图见下图7-1</w:t>
            </w:r>
          </w:p>
          <w:p>
            <w:pPr>
              <w:keepNext w:val="0"/>
              <w:keepLines w:val="0"/>
              <w:suppressLineNumbers w:val="0"/>
              <w:spacing w:before="0" w:beforeAutospacing="0" w:after="0" w:afterAutospacing="0"/>
              <w:ind w:left="0" w:right="0" w:firstLine="422"/>
            </w:pPr>
            <w:r>
              <w:rPr>
                <w:rFonts w:hint="eastAsia"/>
                <w:b/>
                <w:sz w:val="21"/>
                <w:szCs w:val="21"/>
              </w:rPr>
              <w:t>图7-1 本项目噪声预测等值线分布图</w:t>
            </w:r>
            <w:r>
              <w:rPr>
                <w:rFonts w:hint="eastAsia"/>
                <w:b/>
                <w:sz w:val="21"/>
                <w:szCs w:val="21"/>
              </w:rPr>
              <w:br w:type="textWrapping"/>
            </w:r>
            <w:r>
              <w:rPr>
                <w:rFonts w:hint="eastAsia"/>
              </w:rPr>
              <w:t xml:space="preserve">    根据预测结果，本项目厂界叠加背景值后南、北、西厂界均能达到</w:t>
            </w:r>
            <w:r>
              <w:t>《工业企业厂界环境噪声排放标准》(GB12348-2008)3类区</w:t>
            </w:r>
            <w:r>
              <w:rPr>
                <w:rFonts w:hint="eastAsia"/>
              </w:rPr>
              <w:t>要求，项目东厂界能达到</w:t>
            </w:r>
            <w:r>
              <w:t>《工业企业厂界环境噪声排放标准》(GB12348-2008)4</w:t>
            </w:r>
            <w:r>
              <w:rPr>
                <w:rFonts w:hint="eastAsia"/>
              </w:rPr>
              <w:t>a</w:t>
            </w:r>
            <w:r>
              <w:t>类区</w:t>
            </w:r>
            <w:r>
              <w:rPr>
                <w:rFonts w:hint="eastAsia"/>
              </w:rPr>
              <w:t>要求。项目周边主要敏感目标云南联达钢结构制造有限公司办公楼、昆明银华工贸有限公司路桥分公司办公楼昼间及夜间预测值低于</w:t>
            </w:r>
            <w:r>
              <w:t>《声环境质量标准》（GB 3096-2008）3类</w:t>
            </w:r>
            <w:r>
              <w:rPr>
                <w:rFonts w:hint="eastAsia"/>
              </w:rPr>
              <w:t>区标准限值，哨菁居民点</w:t>
            </w:r>
            <w:r>
              <w:t>1、</w:t>
            </w:r>
            <w:r>
              <w:rPr>
                <w:rFonts w:hint="eastAsia"/>
              </w:rPr>
              <w:t>哨菁居民点</w:t>
            </w:r>
            <w:r>
              <w:t>2、</w:t>
            </w:r>
            <w:r>
              <w:rPr>
                <w:rFonts w:hint="eastAsia"/>
              </w:rPr>
              <w:t>哨菁安置小区昼间及夜间预测值低于</w:t>
            </w:r>
            <w:r>
              <w:t>《声环境质量标准》（GB 3096-2008）2类</w:t>
            </w:r>
            <w:r>
              <w:rPr>
                <w:rFonts w:hint="eastAsia"/>
              </w:rPr>
              <w:t>区标准限值，总体上本项目产生的噪声对周围敏感目标影响较小。</w:t>
            </w:r>
          </w:p>
          <w:p>
            <w:pPr>
              <w:keepNext w:val="0"/>
              <w:keepLines w:val="0"/>
              <w:suppressLineNumbers w:val="0"/>
              <w:spacing w:before="0" w:beforeAutospacing="0" w:after="0" w:afterAutospacing="0"/>
              <w:ind w:left="0" w:right="0" w:firstLine="360" w:firstLineChars="150"/>
              <w:jc w:val="both"/>
              <w:rPr>
                <w:rFonts w:asciiTheme="minorEastAsia" w:hAnsiTheme="minorEastAsia" w:eastAsiaTheme="minorEastAsia"/>
              </w:rPr>
            </w:pPr>
            <w:r>
              <w:rPr>
                <w:rFonts w:hint="eastAsia" w:asciiTheme="minorEastAsia" w:hAnsiTheme="minorEastAsia" w:eastAsiaTheme="minorEastAsia"/>
              </w:rPr>
              <w:t>（3）生产布局合理性分析</w:t>
            </w:r>
          </w:p>
          <w:p>
            <w:pPr>
              <w:keepNext w:val="0"/>
              <w:keepLines w:val="0"/>
              <w:suppressLineNumbers w:val="0"/>
              <w:spacing w:before="0" w:beforeAutospacing="0" w:after="0" w:afterAutospacing="0"/>
              <w:ind w:left="0" w:right="0" w:firstLine="480"/>
              <w:jc w:val="both"/>
              <w:rPr>
                <w:rFonts w:asciiTheme="minorEastAsia" w:hAnsiTheme="minorEastAsia" w:eastAsiaTheme="minorEastAsia"/>
              </w:rPr>
            </w:pPr>
            <w:r>
              <w:rPr>
                <w:rFonts w:hint="eastAsia" w:asciiTheme="minorEastAsia" w:hAnsiTheme="minorEastAsia" w:eastAsiaTheme="minorEastAsia"/>
              </w:rPr>
              <w:t>项目主要的噪声来源于设备噪声，在建厂时，考虑到厂区东侧及北侧距离敏感目标较近，机械安装靠近东侧及北侧可能对周围敏感目标影响较大。所以本项目加工区设置时尽量远离东、北两侧，这一布局降低了噪声对周围敏感目标的影响，厂区布局上是基本合理的。</w:t>
            </w:r>
          </w:p>
          <w:p>
            <w:pPr>
              <w:keepNext w:val="0"/>
              <w:keepLines w:val="0"/>
              <w:suppressLineNumbers w:val="0"/>
              <w:spacing w:before="0" w:beforeAutospacing="0" w:after="0" w:afterAutospacing="0"/>
              <w:ind w:left="0" w:right="0" w:firstLine="360" w:firstLineChars="150"/>
              <w:jc w:val="both"/>
              <w:rPr>
                <w:rFonts w:asciiTheme="minorEastAsia" w:hAnsiTheme="minorEastAsia" w:eastAsiaTheme="minorEastAsia"/>
              </w:rPr>
            </w:pPr>
            <w:r>
              <w:rPr>
                <w:rFonts w:asciiTheme="minorEastAsia" w:hAnsiTheme="minorEastAsia" w:eastAsiaTheme="minorEastAsia"/>
              </w:rPr>
              <w:t>（4）</w:t>
            </w:r>
            <w:r>
              <w:rPr>
                <w:rFonts w:hint="eastAsia" w:asciiTheme="minorEastAsia" w:hAnsiTheme="minorEastAsia" w:eastAsiaTheme="minorEastAsia"/>
              </w:rPr>
              <w:t>噪声防治措施</w:t>
            </w:r>
          </w:p>
          <w:p>
            <w:pPr>
              <w:keepNext w:val="0"/>
              <w:keepLines w:val="0"/>
              <w:suppressLineNumbers w:val="0"/>
              <w:spacing w:before="0" w:beforeAutospacing="0" w:after="0" w:afterAutospacing="0"/>
              <w:ind w:left="0" w:right="0" w:firstLine="480"/>
              <w:jc w:val="both"/>
              <w:outlineLvl w:val="0"/>
            </w:pPr>
            <w:bookmarkStart w:id="90" w:name="_Toc28175694"/>
            <w:r>
              <w:t>根据表</w:t>
            </w:r>
            <w:r>
              <w:rPr>
                <w:rFonts w:hint="eastAsia"/>
              </w:rPr>
              <w:t>7-13</w:t>
            </w:r>
            <w:r>
              <w:t>的预测值可知，项目</w:t>
            </w:r>
            <w:r>
              <w:rPr>
                <w:rFonts w:hint="eastAsia"/>
              </w:rPr>
              <w:t>生产车间噪声厂界</w:t>
            </w:r>
            <w:r>
              <w:t>昼间、</w:t>
            </w:r>
            <w:r>
              <w:rPr>
                <w:rFonts w:hint="eastAsia"/>
              </w:rPr>
              <w:t>夜间</w:t>
            </w:r>
            <w:r>
              <w:t>预测值可达到《工业企业厂界环境噪声排放标准》（GB12348-2008）中3类区</w:t>
            </w:r>
            <w:r>
              <w:rPr>
                <w:rFonts w:hint="eastAsia"/>
              </w:rPr>
              <w:t>及4a类区</w:t>
            </w:r>
            <w:r>
              <w:t>标准限值要求</w:t>
            </w:r>
            <w:bookmarkEnd w:id="90"/>
            <w:r>
              <w:t>。</w:t>
            </w:r>
            <w:r>
              <w:rPr>
                <w:rFonts w:hint="eastAsia"/>
              </w:rPr>
              <w:t>本项目最近的敏感目标为东侧10m处的云南联达钢结构制造有限公司办公楼，根据预测结果，能达到</w:t>
            </w:r>
            <w:r>
              <w:t>《声环境质量标准》（GB 3096-2008）3类</w:t>
            </w:r>
            <w:r>
              <w:rPr>
                <w:rFonts w:hint="eastAsia"/>
              </w:rPr>
              <w:t>区要求。</w:t>
            </w:r>
          </w:p>
          <w:p>
            <w:pPr>
              <w:keepNext w:val="0"/>
              <w:keepLines w:val="0"/>
              <w:widowControl/>
              <w:suppressLineNumbers w:val="0"/>
              <w:spacing w:before="0" w:beforeAutospacing="0" w:after="0" w:afterAutospacing="0"/>
              <w:ind w:left="0" w:right="0" w:firstLine="480"/>
              <w:jc w:val="both"/>
            </w:pPr>
            <w:r>
              <w:t>为了进一步减轻生产噪声对周围声环境的影响，营运期本项目还需采取以下措施：</w:t>
            </w:r>
          </w:p>
          <w:p>
            <w:pPr>
              <w:keepNext w:val="0"/>
              <w:keepLines w:val="0"/>
              <w:suppressLineNumbers w:val="0"/>
              <w:spacing w:before="0" w:beforeAutospacing="0" w:after="0" w:afterAutospacing="0"/>
              <w:ind w:left="0" w:right="0" w:firstLine="480"/>
              <w:jc w:val="both"/>
              <w:outlineLvl w:val="0"/>
            </w:pPr>
            <w:r>
              <w:rPr>
                <w:rFonts w:hint="eastAsia"/>
              </w:rPr>
              <w:fldChar w:fldCharType="begin"/>
            </w:r>
            <w:r>
              <w:instrText xml:space="preserve">= 1 \* GB3</w:instrText>
            </w:r>
            <w:r>
              <w:rPr>
                <w:rFonts w:hint="eastAsia"/>
              </w:rPr>
              <w:fldChar w:fldCharType="separate"/>
            </w:r>
            <w:r>
              <w:rPr>
                <w:rFonts w:hint="eastAsia"/>
              </w:rPr>
              <w:t>①</w:t>
            </w:r>
            <w:r>
              <w:rPr>
                <w:rFonts w:hint="eastAsia"/>
              </w:rPr>
              <w:fldChar w:fldCharType="end"/>
            </w:r>
            <w:r>
              <w:t>根据噪声源的声频特性，对</w:t>
            </w:r>
            <w:r>
              <w:rPr>
                <w:rFonts w:hint="eastAsia"/>
              </w:rPr>
              <w:t>设备</w:t>
            </w:r>
            <w:r>
              <w:t>基座减振；</w:t>
            </w:r>
          </w:p>
          <w:p>
            <w:pPr>
              <w:keepNext w:val="0"/>
              <w:keepLines w:val="0"/>
              <w:suppressLineNumbers w:val="0"/>
              <w:spacing w:before="0" w:beforeAutospacing="0" w:after="0" w:afterAutospacing="0"/>
              <w:ind w:left="0" w:right="0" w:firstLine="480"/>
              <w:jc w:val="both"/>
              <w:outlineLvl w:val="0"/>
            </w:pPr>
            <w:r>
              <w:rPr>
                <w:rFonts w:hint="eastAsia"/>
              </w:rPr>
              <w:fldChar w:fldCharType="begin"/>
            </w:r>
            <w:r>
              <w:instrText xml:space="preserve">= 2 \* GB3</w:instrText>
            </w:r>
            <w:r>
              <w:rPr>
                <w:rFonts w:hint="eastAsia"/>
              </w:rPr>
              <w:fldChar w:fldCharType="separate"/>
            </w:r>
            <w:r>
              <w:rPr>
                <w:rFonts w:hint="eastAsia"/>
              </w:rPr>
              <w:t>②</w:t>
            </w:r>
            <w:r>
              <w:rPr>
                <w:rFonts w:hint="eastAsia"/>
              </w:rPr>
              <w:fldChar w:fldCharType="end"/>
            </w:r>
            <w:r>
              <w:rPr>
                <w:rFonts w:hint="eastAsia"/>
              </w:rPr>
              <w:t>加强设备检修、维护，避免设备不正常运行导致噪声源强增加。</w:t>
            </w:r>
          </w:p>
          <w:p>
            <w:pPr>
              <w:keepNext w:val="0"/>
              <w:keepLines w:val="0"/>
              <w:suppressLineNumbers w:val="0"/>
              <w:spacing w:before="0" w:beforeAutospacing="0" w:after="0" w:afterAutospacing="0"/>
              <w:ind w:left="0" w:right="0" w:firstLine="482"/>
              <w:jc w:val="both"/>
              <w:rPr>
                <w:b/>
              </w:rPr>
            </w:pPr>
            <w:r>
              <w:rPr>
                <w:b/>
              </w:rPr>
              <w:t>5、固废环境影响分析</w:t>
            </w:r>
          </w:p>
          <w:p>
            <w:pPr>
              <w:keepNext w:val="0"/>
              <w:keepLines w:val="0"/>
              <w:suppressLineNumbers w:val="0"/>
              <w:spacing w:before="0" w:beforeAutospacing="0" w:after="0" w:afterAutospacing="0"/>
              <w:ind w:left="0" w:right="0" w:firstLine="360" w:firstLineChars="150"/>
              <w:jc w:val="both"/>
            </w:pPr>
            <w:r>
              <w:t>（</w:t>
            </w:r>
            <w:r>
              <w:rPr>
                <w:rFonts w:hint="eastAsia"/>
              </w:rPr>
              <w:t>1</w:t>
            </w:r>
            <w:r>
              <w:t>）项目固废处置</w:t>
            </w:r>
            <w:r>
              <w:rPr>
                <w:rFonts w:hint="eastAsia"/>
              </w:rPr>
              <w:t>措施</w:t>
            </w:r>
          </w:p>
          <w:p>
            <w:pPr>
              <w:keepNext w:val="0"/>
              <w:keepLines w:val="0"/>
              <w:suppressLineNumbers w:val="0"/>
              <w:spacing w:before="0" w:beforeAutospacing="0" w:after="0" w:afterAutospacing="0"/>
              <w:ind w:left="0" w:right="0" w:firstLine="480"/>
              <w:contextualSpacing/>
              <w:jc w:val="both"/>
            </w:pPr>
            <w:r>
              <w:t>项目运营期产生的固废主要有边角废料、收集的机加工粉尘、焊渣、废包装材料、</w:t>
            </w:r>
            <w:r>
              <w:rPr>
                <w:rFonts w:hint="eastAsia"/>
              </w:rPr>
              <w:t>冷却水收集池滤渣、</w:t>
            </w:r>
            <w:r>
              <w:t>废</w:t>
            </w:r>
            <w:r>
              <w:rPr>
                <w:rFonts w:hint="eastAsia"/>
              </w:rPr>
              <w:t>机</w:t>
            </w:r>
            <w:r>
              <w:t>油、废</w:t>
            </w:r>
            <w:r>
              <w:rPr>
                <w:rFonts w:hint="eastAsia"/>
              </w:rPr>
              <w:t>过滤棉、废活性炭</w:t>
            </w:r>
            <w:r>
              <w:t>、废原料桶、生活垃圾。</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1 \* GB3 </w:instrText>
            </w:r>
            <w:r>
              <w:rPr>
                <w:rFonts w:hint="eastAsia"/>
              </w:rPr>
              <w:fldChar w:fldCharType="separate"/>
            </w:r>
            <w:r>
              <w:rPr>
                <w:rFonts w:hint="eastAsia"/>
              </w:rPr>
              <w:t>①</w:t>
            </w:r>
            <w:r>
              <w:rPr>
                <w:rFonts w:hint="eastAsia"/>
              </w:rPr>
              <w:fldChar w:fldCharType="end"/>
            </w:r>
            <w:r>
              <w:t>一般工业固废</w:t>
            </w:r>
          </w:p>
          <w:p>
            <w:pPr>
              <w:keepNext w:val="0"/>
              <w:keepLines w:val="0"/>
              <w:suppressLineNumbers w:val="0"/>
              <w:spacing w:before="0" w:beforeAutospacing="0" w:after="0" w:afterAutospacing="0"/>
              <w:ind w:left="0" w:right="0" w:firstLine="480"/>
              <w:jc w:val="both"/>
            </w:pPr>
            <w:r>
              <w:t>项目生产过程产生的角废料、焊渣、机加工过程回收的粉尘、</w:t>
            </w:r>
            <w:r>
              <w:rPr>
                <w:rFonts w:hint="eastAsia"/>
              </w:rPr>
              <w:t>冷却水回收池滤渣</w:t>
            </w:r>
            <w:r>
              <w:t>等</w:t>
            </w:r>
            <w:r>
              <w:rPr>
                <w:rFonts w:hint="eastAsia"/>
              </w:rPr>
              <w:t>可回收</w:t>
            </w:r>
            <w:r>
              <w:t>固废总量为</w:t>
            </w:r>
            <w:r>
              <w:rPr>
                <w:rFonts w:hint="eastAsia"/>
              </w:rPr>
              <w:t>306.91</w:t>
            </w:r>
            <w:r>
              <w:t>t/a，主要成分为金属</w:t>
            </w:r>
            <w:r>
              <w:rPr>
                <w:rFonts w:hint="eastAsia"/>
              </w:rPr>
              <w:t>，收集后暂存于一般固废暂存间，定期外售</w:t>
            </w:r>
            <w:r>
              <w:t>。</w:t>
            </w:r>
          </w:p>
          <w:p>
            <w:pPr>
              <w:keepNext w:val="0"/>
              <w:keepLines w:val="0"/>
              <w:suppressLineNumbers w:val="0"/>
              <w:spacing w:before="0" w:beforeAutospacing="0" w:after="0" w:afterAutospacing="0"/>
              <w:ind w:left="0" w:right="0" w:firstLine="480"/>
              <w:jc w:val="both"/>
            </w:pPr>
            <w:r>
              <w:t>项目运营过程中废包装材料产生量约为</w:t>
            </w:r>
            <w:r>
              <w:rPr>
                <w:rFonts w:hint="eastAsia"/>
              </w:rPr>
              <w:t>1</w:t>
            </w:r>
            <w:r>
              <w:t>t/a，主要成分为纸质、塑料等，集中收集</w:t>
            </w:r>
            <w:r>
              <w:rPr>
                <w:rFonts w:hint="eastAsia"/>
              </w:rPr>
              <w:t>后外售</w:t>
            </w:r>
            <w:r>
              <w:t>。</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t>生活垃圾：运营期产生的生活垃圾集中收集于垃圾桶内，定期由环卫部门清运处置。</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3 \* GB3 </w:instrText>
            </w:r>
            <w:r>
              <w:rPr>
                <w:rFonts w:hint="eastAsia"/>
              </w:rPr>
              <w:fldChar w:fldCharType="separate"/>
            </w:r>
            <w:r>
              <w:rPr>
                <w:rFonts w:hint="eastAsia"/>
              </w:rPr>
              <w:t>③</w:t>
            </w:r>
            <w:r>
              <w:rPr>
                <w:rFonts w:hint="eastAsia"/>
              </w:rPr>
              <w:fldChar w:fldCharType="end"/>
            </w:r>
            <w:r>
              <w:t>危险废物</w:t>
            </w:r>
          </w:p>
          <w:p>
            <w:pPr>
              <w:keepNext w:val="0"/>
              <w:keepLines w:val="0"/>
              <w:suppressLineNumbers w:val="0"/>
              <w:spacing w:before="0" w:beforeAutospacing="0" w:after="0" w:afterAutospacing="0"/>
              <w:ind w:left="0" w:right="0" w:firstLine="480"/>
              <w:jc w:val="both"/>
            </w:pPr>
            <w:r>
              <w:t>根据工程分析，项目机修过程废</w:t>
            </w:r>
            <w:r>
              <w:rPr>
                <w:rFonts w:hint="eastAsia"/>
              </w:rPr>
              <w:t>机</w:t>
            </w:r>
            <w:r>
              <w:t>油产生量为</w:t>
            </w:r>
            <w:r>
              <w:rPr>
                <w:rFonts w:hint="eastAsia"/>
              </w:rPr>
              <w:t>0.3</w:t>
            </w:r>
            <w:r>
              <w:t>t/a，废漆料桶产生量为</w:t>
            </w:r>
            <w:r>
              <w:rPr>
                <w:rFonts w:hint="eastAsia"/>
              </w:rPr>
              <w:t>0.85</w:t>
            </w:r>
            <w:r>
              <w:t>t/a，喷漆废气处理设施废</w:t>
            </w:r>
            <w:r>
              <w:rPr>
                <w:rFonts w:hint="eastAsia"/>
              </w:rPr>
              <w:t>过滤棉</w:t>
            </w:r>
            <w:r>
              <w:t>产生量为0.183t/a</w:t>
            </w:r>
            <w:r>
              <w:rPr>
                <w:rFonts w:hint="eastAsia"/>
              </w:rPr>
              <w:t>、废活性炭产生量为0.35t/a</w:t>
            </w:r>
            <w:r>
              <w:t>。废</w:t>
            </w:r>
            <w:r>
              <w:rPr>
                <w:rFonts w:hint="eastAsia"/>
              </w:rPr>
              <w:t>机</w:t>
            </w:r>
            <w:r>
              <w:t>油、废漆料桶、喷漆废气处理设施产生的废</w:t>
            </w:r>
            <w:r>
              <w:rPr>
                <w:rFonts w:hint="eastAsia"/>
              </w:rPr>
              <w:t>过滤棉、废活性炭</w:t>
            </w:r>
            <w:r>
              <w:t>均属于危险废物，拟分类、分区收集暂存于危险废物暂存间，</w:t>
            </w:r>
            <w:r>
              <w:rPr>
                <w:rFonts w:hint="eastAsia"/>
              </w:rPr>
              <w:t>其中废过滤棉、废活性炭交由有资质的单位进行处理；废机油收集后作为设备润滑使用；废原料桶交由有资质的单位进行处理</w:t>
            </w:r>
            <w:r>
              <w:t>。</w:t>
            </w:r>
          </w:p>
          <w:p>
            <w:pPr>
              <w:keepNext w:val="0"/>
              <w:keepLines w:val="0"/>
              <w:suppressLineNumbers w:val="0"/>
              <w:spacing w:before="0" w:beforeAutospacing="0" w:after="0" w:afterAutospacing="0"/>
              <w:ind w:left="0" w:right="0" w:firstLine="480"/>
              <w:jc w:val="both"/>
            </w:pPr>
            <w:r>
              <w:t>（2）危险废物暂存间选址及设计要求</w:t>
            </w:r>
          </w:p>
          <w:p>
            <w:pPr>
              <w:keepNext w:val="0"/>
              <w:keepLines w:val="0"/>
              <w:suppressLineNumbers w:val="0"/>
              <w:spacing w:before="0" w:beforeAutospacing="0" w:after="0" w:afterAutospacing="0"/>
              <w:ind w:left="0" w:right="0" w:firstLine="480"/>
              <w:jc w:val="both"/>
            </w:pPr>
            <w:r>
              <w:t>本项目拟在</w:t>
            </w:r>
            <w:r>
              <w:rPr>
                <w:rFonts w:hint="eastAsia"/>
              </w:rPr>
              <w:t>1#生产厂房内</w:t>
            </w:r>
            <w:r>
              <w:t>建设</w:t>
            </w:r>
            <w:r>
              <w:rPr>
                <w:rFonts w:hint="eastAsia"/>
              </w:rPr>
              <w:t>1</w:t>
            </w:r>
            <w:r>
              <w:t>间</w:t>
            </w:r>
            <w:r>
              <w:rPr>
                <w:rFonts w:hint="eastAsia"/>
              </w:rPr>
              <w:t>8m</w:t>
            </w:r>
            <w:r>
              <w:rPr>
                <w:rFonts w:hint="eastAsia"/>
                <w:vertAlign w:val="superscript"/>
              </w:rPr>
              <w:t>2</w:t>
            </w:r>
            <w:r>
              <w:t>的危险废物暂存间，危险废物暂存间建设需严格按照《危险废物贮存污染控制标准》（GB 18597-2001）进行，具体如下：</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1 \* GB3 </w:instrText>
            </w:r>
            <w:r>
              <w:rPr>
                <w:rFonts w:hint="eastAsia"/>
              </w:rPr>
              <w:fldChar w:fldCharType="separate"/>
            </w:r>
            <w:r>
              <w:rPr>
                <w:rFonts w:hint="eastAsia"/>
              </w:rPr>
              <w:t>①</w:t>
            </w:r>
            <w:r>
              <w:rPr>
                <w:rFonts w:hint="eastAsia"/>
              </w:rPr>
              <w:fldChar w:fldCharType="end"/>
            </w:r>
            <w:r>
              <w:t>危险废物集中贮存设施的选址。</w:t>
            </w:r>
          </w:p>
          <w:p>
            <w:pPr>
              <w:keepNext w:val="0"/>
              <w:keepLines w:val="0"/>
              <w:suppressLineNumbers w:val="0"/>
              <w:spacing w:before="0" w:beforeAutospacing="0" w:after="0" w:afterAutospacing="0"/>
              <w:ind w:left="0" w:right="0" w:firstLine="480"/>
              <w:jc w:val="both"/>
            </w:pPr>
            <w:r>
              <w:rPr>
                <w:rFonts w:hint="eastAsia"/>
              </w:rPr>
              <w:t>A、</w:t>
            </w:r>
            <w:r>
              <w:t>地质结构稳定，地震烈度不超过</w:t>
            </w:r>
            <w:r>
              <w:rPr>
                <w:rFonts w:hint="eastAsia"/>
              </w:rPr>
              <w:t>7</w:t>
            </w:r>
            <w:r>
              <w:t>度的区域内。</w:t>
            </w:r>
          </w:p>
          <w:p>
            <w:pPr>
              <w:keepNext w:val="0"/>
              <w:keepLines w:val="0"/>
              <w:suppressLineNumbers w:val="0"/>
              <w:spacing w:before="0" w:beforeAutospacing="0" w:after="0" w:afterAutospacing="0"/>
              <w:ind w:left="0" w:right="0" w:firstLine="480"/>
              <w:jc w:val="both"/>
            </w:pPr>
            <w:r>
              <w:rPr>
                <w:rFonts w:hint="eastAsia"/>
              </w:rPr>
              <w:t>B、</w:t>
            </w:r>
            <w:r>
              <w:t>设施底部必须高于地下水最高水位。</w:t>
            </w:r>
          </w:p>
          <w:p>
            <w:pPr>
              <w:keepNext w:val="0"/>
              <w:keepLines w:val="0"/>
              <w:suppressLineNumbers w:val="0"/>
              <w:spacing w:before="0" w:beforeAutospacing="0" w:after="0" w:afterAutospacing="0"/>
              <w:ind w:left="0" w:right="0" w:firstLine="480"/>
              <w:jc w:val="both"/>
            </w:pPr>
            <w:r>
              <w:rPr>
                <w:rFonts w:hint="eastAsia"/>
              </w:rPr>
              <w:t>C、</w:t>
            </w:r>
            <w:r>
              <w:t>应避免建在溶洞区或易遭受严重自然灾害如洪水、滑坡，泥石流、潮汐等影响的地区。</w:t>
            </w:r>
          </w:p>
          <w:p>
            <w:pPr>
              <w:keepNext w:val="0"/>
              <w:keepLines w:val="0"/>
              <w:suppressLineNumbers w:val="0"/>
              <w:spacing w:before="0" w:beforeAutospacing="0" w:after="0" w:afterAutospacing="0"/>
              <w:ind w:left="0" w:right="0" w:firstLine="480"/>
              <w:jc w:val="both"/>
            </w:pPr>
            <w:r>
              <w:rPr>
                <w:rFonts w:hint="eastAsia"/>
              </w:rPr>
              <w:t>D、</w:t>
            </w:r>
            <w:r>
              <w:t>应建在易燃、易爆等危险品仓库、高压输电线路防护区域以外。</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t>危险废物贮存设施（仓库式）的设计原则</w:t>
            </w:r>
          </w:p>
          <w:p>
            <w:pPr>
              <w:keepNext w:val="0"/>
              <w:keepLines w:val="0"/>
              <w:suppressLineNumbers w:val="0"/>
              <w:spacing w:before="0" w:beforeAutospacing="0" w:after="0" w:afterAutospacing="0"/>
              <w:ind w:left="0" w:right="0" w:firstLine="480"/>
              <w:jc w:val="both"/>
            </w:pPr>
            <w:r>
              <w:rPr>
                <w:rFonts w:hint="eastAsia"/>
              </w:rPr>
              <w:t>A、</w:t>
            </w:r>
            <w:r>
              <w:t>地面与裙脚要用坚固、防渗的材料建造，建筑材料必须与危险废物相容。</w:t>
            </w:r>
          </w:p>
          <w:p>
            <w:pPr>
              <w:keepNext w:val="0"/>
              <w:keepLines w:val="0"/>
              <w:suppressLineNumbers w:val="0"/>
              <w:spacing w:before="0" w:beforeAutospacing="0" w:after="0" w:afterAutospacing="0"/>
              <w:ind w:left="0" w:right="0" w:firstLine="480"/>
              <w:jc w:val="both"/>
            </w:pPr>
            <w:r>
              <w:rPr>
                <w:rFonts w:hint="eastAsia"/>
              </w:rPr>
              <w:t>B、</w:t>
            </w:r>
            <w:r>
              <w:t>必须有泄漏液体收集装置、气体导出口及气体净化装置。</w:t>
            </w:r>
          </w:p>
          <w:p>
            <w:pPr>
              <w:keepNext w:val="0"/>
              <w:keepLines w:val="0"/>
              <w:suppressLineNumbers w:val="0"/>
              <w:spacing w:before="0" w:beforeAutospacing="0" w:after="0" w:afterAutospacing="0"/>
              <w:ind w:left="0" w:right="0" w:firstLine="480"/>
              <w:jc w:val="both"/>
            </w:pPr>
            <w:r>
              <w:rPr>
                <w:rFonts w:hint="eastAsia"/>
              </w:rPr>
              <w:t>C、</w:t>
            </w:r>
            <w:r>
              <w:t>设施内要有安全照明设施和观察窗口。</w:t>
            </w:r>
          </w:p>
          <w:p>
            <w:pPr>
              <w:keepNext w:val="0"/>
              <w:keepLines w:val="0"/>
              <w:suppressLineNumbers w:val="0"/>
              <w:spacing w:before="0" w:beforeAutospacing="0" w:after="0" w:afterAutospacing="0"/>
              <w:ind w:left="0" w:right="0" w:firstLine="480"/>
              <w:jc w:val="both"/>
            </w:pPr>
            <w:r>
              <w:rPr>
                <w:rFonts w:hint="eastAsia"/>
              </w:rPr>
              <w:t>D、</w:t>
            </w:r>
            <w:r>
              <w:t>用以存放装载液体、半固体危险废物容器的地方，必须有耐腐蚀的硬化地面，且表面无裂隙。</w:t>
            </w:r>
          </w:p>
          <w:p>
            <w:pPr>
              <w:keepNext w:val="0"/>
              <w:keepLines w:val="0"/>
              <w:suppressLineNumbers w:val="0"/>
              <w:spacing w:before="0" w:beforeAutospacing="0" w:after="0" w:afterAutospacing="0"/>
              <w:ind w:left="0" w:right="0" w:firstLine="480"/>
              <w:jc w:val="both"/>
            </w:pPr>
            <w:r>
              <w:rPr>
                <w:rFonts w:hint="eastAsia"/>
              </w:rPr>
              <w:t>E、</w:t>
            </w:r>
            <w:r>
              <w:t>应设计堵截泄漏的裙脚，地面与裙脚所围建的容积不低于堵截最大容器的最大储量或总储量的五分之一。</w:t>
            </w:r>
          </w:p>
          <w:p>
            <w:pPr>
              <w:keepNext w:val="0"/>
              <w:keepLines w:val="0"/>
              <w:suppressLineNumbers w:val="0"/>
              <w:spacing w:before="0" w:beforeAutospacing="0" w:after="0" w:afterAutospacing="0"/>
              <w:ind w:left="0" w:right="0" w:firstLine="480"/>
              <w:jc w:val="both"/>
            </w:pPr>
            <w:r>
              <w:rPr>
                <w:rFonts w:hint="eastAsia"/>
              </w:rPr>
              <w:t>F、</w:t>
            </w:r>
            <w:r>
              <w:t>不相容的危险废物必须分开存放，并设有隔离间隔断。</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3 \* GB3 </w:instrText>
            </w:r>
            <w:r>
              <w:rPr>
                <w:rFonts w:hint="eastAsia"/>
              </w:rPr>
              <w:fldChar w:fldCharType="separate"/>
            </w:r>
            <w:r>
              <w:rPr>
                <w:rFonts w:hint="eastAsia"/>
              </w:rPr>
              <w:t>③</w:t>
            </w:r>
            <w:r>
              <w:rPr>
                <w:rFonts w:hint="eastAsia"/>
              </w:rPr>
              <w:fldChar w:fldCharType="end"/>
            </w:r>
            <w:r>
              <w:t>危险废物的堆放</w:t>
            </w:r>
          </w:p>
          <w:p>
            <w:pPr>
              <w:keepNext w:val="0"/>
              <w:keepLines w:val="0"/>
              <w:suppressLineNumbers w:val="0"/>
              <w:spacing w:before="0" w:beforeAutospacing="0" w:after="0" w:afterAutospacing="0"/>
              <w:ind w:left="0" w:right="0" w:firstLine="480"/>
              <w:jc w:val="both"/>
            </w:pPr>
            <w:r>
              <w:rPr>
                <w:rFonts w:hint="eastAsia"/>
              </w:rPr>
              <w:t>A、</w:t>
            </w:r>
            <w:r>
              <w:t>基础必须防渗，防渗层为至少1m厚粘土层（渗透系数≤10-7cm/s），或2mm厚高密度聚乙烯，或至少2mm厚的其他人工材料，渗透系数≤10-10cm/s。</w:t>
            </w:r>
          </w:p>
          <w:p>
            <w:pPr>
              <w:keepNext w:val="0"/>
              <w:keepLines w:val="0"/>
              <w:suppressLineNumbers w:val="0"/>
              <w:spacing w:before="0" w:beforeAutospacing="0" w:after="0" w:afterAutospacing="0"/>
              <w:ind w:left="0" w:right="0" w:firstLine="480"/>
              <w:jc w:val="both"/>
            </w:pPr>
            <w:r>
              <w:rPr>
                <w:rFonts w:hint="eastAsia"/>
              </w:rPr>
              <w:t>B、</w:t>
            </w:r>
            <w:r>
              <w:t>堆放危险废物的高度应根据地面承载能力确定。</w:t>
            </w:r>
          </w:p>
          <w:p>
            <w:pPr>
              <w:keepNext w:val="0"/>
              <w:keepLines w:val="0"/>
              <w:suppressLineNumbers w:val="0"/>
              <w:spacing w:before="0" w:beforeAutospacing="0" w:after="0" w:afterAutospacing="0"/>
              <w:ind w:left="0" w:right="0" w:firstLine="480"/>
              <w:jc w:val="both"/>
            </w:pPr>
            <w:r>
              <w:rPr>
                <w:rFonts w:hint="eastAsia"/>
              </w:rPr>
              <w:t>C、</w:t>
            </w:r>
            <w:r>
              <w:t>衬里放在一个基础或底座上。</w:t>
            </w:r>
          </w:p>
          <w:p>
            <w:pPr>
              <w:keepNext w:val="0"/>
              <w:keepLines w:val="0"/>
              <w:suppressLineNumbers w:val="0"/>
              <w:spacing w:before="0" w:beforeAutospacing="0" w:after="0" w:afterAutospacing="0"/>
              <w:ind w:left="0" w:right="0" w:firstLine="480"/>
              <w:jc w:val="both"/>
            </w:pPr>
            <w:r>
              <w:rPr>
                <w:rFonts w:hint="eastAsia"/>
              </w:rPr>
              <w:t>D、</w:t>
            </w:r>
            <w:r>
              <w:t>衬里要能够覆盖危险废物或其溶出物可能涉及到的范围。</w:t>
            </w:r>
          </w:p>
          <w:p>
            <w:pPr>
              <w:keepNext w:val="0"/>
              <w:keepLines w:val="0"/>
              <w:suppressLineNumbers w:val="0"/>
              <w:spacing w:before="0" w:beforeAutospacing="0" w:after="0" w:afterAutospacing="0"/>
              <w:ind w:left="0" w:right="0" w:firstLine="480"/>
              <w:jc w:val="both"/>
            </w:pPr>
            <w:r>
              <w:rPr>
                <w:rFonts w:hint="eastAsia"/>
              </w:rPr>
              <w:t>E、</w:t>
            </w:r>
            <w:r>
              <w:t>衬里材料与堆放危险废物相容。</w:t>
            </w:r>
          </w:p>
          <w:p>
            <w:pPr>
              <w:keepNext w:val="0"/>
              <w:keepLines w:val="0"/>
              <w:suppressLineNumbers w:val="0"/>
              <w:spacing w:before="0" w:beforeAutospacing="0" w:after="0" w:afterAutospacing="0"/>
              <w:ind w:left="0" w:right="0" w:firstLine="480"/>
              <w:jc w:val="both"/>
            </w:pPr>
            <w:r>
              <w:rPr>
                <w:rFonts w:hint="eastAsia"/>
              </w:rPr>
              <w:t>F、</w:t>
            </w:r>
            <w:r>
              <w:t>在衬里上设计、建造浸出液收集清除系统。</w:t>
            </w:r>
          </w:p>
          <w:p>
            <w:pPr>
              <w:keepNext w:val="0"/>
              <w:keepLines w:val="0"/>
              <w:suppressLineNumbers w:val="0"/>
              <w:spacing w:before="0" w:beforeAutospacing="0" w:after="0" w:afterAutospacing="0"/>
              <w:ind w:left="0" w:right="0" w:firstLine="480"/>
              <w:jc w:val="both"/>
            </w:pPr>
            <w:r>
              <w:rPr>
                <w:rFonts w:hint="eastAsia"/>
              </w:rPr>
              <w:t>G、</w:t>
            </w:r>
            <w:r>
              <w:t>不相容的危险废物不能堆放在一起。</w:t>
            </w:r>
          </w:p>
          <w:p>
            <w:pPr>
              <w:keepNext w:val="0"/>
              <w:keepLines w:val="0"/>
              <w:suppressLineNumbers w:val="0"/>
              <w:spacing w:before="0" w:beforeAutospacing="0" w:after="0" w:afterAutospacing="0"/>
              <w:ind w:left="0" w:right="0" w:firstLine="480"/>
              <w:jc w:val="both"/>
            </w:pPr>
            <w:r>
              <w:rPr>
                <w:rFonts w:hint="eastAsia"/>
              </w:rPr>
              <w:t>H、</w:t>
            </w:r>
            <w:r>
              <w:t>总贮存量不超过300kg（L）的危险废物要放入符合标准的容器内，加上标签，容器放入坚固的柜或箱中，柜或箱应设多个直径不少于30mm的排气孔。不相容危险废物要分别存放或存放在不渗透间隔分开的区域内，每个部分都应有防漏裙脚或储漏盘，防漏裙脚或储漏盘的材料要与危险废物相容。</w:t>
            </w:r>
          </w:p>
          <w:p>
            <w:pPr>
              <w:keepNext w:val="0"/>
              <w:keepLines w:val="0"/>
              <w:suppressLineNumbers w:val="0"/>
              <w:spacing w:before="0" w:beforeAutospacing="0" w:after="0" w:afterAutospacing="0"/>
              <w:ind w:left="0" w:right="0" w:firstLine="480"/>
              <w:jc w:val="both"/>
            </w:pPr>
            <w:r>
              <w:t>（3）危险废物贮存容器</w:t>
            </w:r>
          </w:p>
          <w:p>
            <w:pPr>
              <w:keepNext w:val="0"/>
              <w:keepLines w:val="0"/>
              <w:suppressLineNumbers w:val="0"/>
              <w:spacing w:before="0" w:beforeAutospacing="0" w:after="0" w:afterAutospacing="0"/>
              <w:ind w:left="0" w:right="0" w:firstLine="480"/>
              <w:jc w:val="both"/>
            </w:pPr>
            <w:r>
              <w:t>危险废物贮存容器需满足《危险废物贮存污染控制标准》（GB 18597-2001）要求，具体如下：</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1 \* GB3 </w:instrText>
            </w:r>
            <w:r>
              <w:rPr>
                <w:rFonts w:hint="eastAsia"/>
              </w:rPr>
              <w:fldChar w:fldCharType="separate"/>
            </w:r>
            <w:r>
              <w:rPr>
                <w:rFonts w:hint="eastAsia"/>
              </w:rPr>
              <w:t>①</w:t>
            </w:r>
            <w:r>
              <w:rPr>
                <w:rFonts w:hint="eastAsia"/>
              </w:rPr>
              <w:fldChar w:fldCharType="end"/>
            </w:r>
            <w:r>
              <w:t>应当使用符合标准的容器盛装危险废物</w:t>
            </w:r>
            <w:r>
              <w:rPr>
                <w:rFonts w:hint="eastAsia"/>
              </w:rPr>
              <w:t>；</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t>装载危险废物的容器及材质要满足相应的强度要求。</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3 \* GB3 </w:instrText>
            </w:r>
            <w:r>
              <w:rPr>
                <w:rFonts w:hint="eastAsia"/>
              </w:rPr>
              <w:fldChar w:fldCharType="separate"/>
            </w:r>
            <w:r>
              <w:rPr>
                <w:rFonts w:hint="eastAsia"/>
              </w:rPr>
              <w:t>③</w:t>
            </w:r>
            <w:r>
              <w:rPr>
                <w:rFonts w:hint="eastAsia"/>
              </w:rPr>
              <w:fldChar w:fldCharType="end"/>
            </w:r>
            <w:r>
              <w:t>装载危险废物的容器必须完好无损。</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4 \* GB3 </w:instrText>
            </w:r>
            <w:r>
              <w:rPr>
                <w:rFonts w:hint="eastAsia"/>
              </w:rPr>
              <w:fldChar w:fldCharType="separate"/>
            </w:r>
            <w:r>
              <w:rPr>
                <w:rFonts w:hint="eastAsia"/>
              </w:rPr>
              <w:t>④</w:t>
            </w:r>
            <w:r>
              <w:rPr>
                <w:rFonts w:hint="eastAsia"/>
              </w:rPr>
              <w:fldChar w:fldCharType="end"/>
            </w:r>
            <w:r>
              <w:t>盛装危险废物的容器材质和衬里要与危险废物相容（不相互反应）。</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5 \* GB3 </w:instrText>
            </w:r>
            <w:r>
              <w:rPr>
                <w:rFonts w:hint="eastAsia"/>
              </w:rPr>
              <w:fldChar w:fldCharType="separate"/>
            </w:r>
            <w:r>
              <w:rPr>
                <w:rFonts w:hint="eastAsia"/>
              </w:rPr>
              <w:t>⑤</w:t>
            </w:r>
            <w:r>
              <w:rPr>
                <w:rFonts w:hint="eastAsia"/>
              </w:rPr>
              <w:fldChar w:fldCharType="end"/>
            </w:r>
            <w:r>
              <w:t>液体危险废物可注入开孔直径不超过70mm并有放气孔的桶中。</w:t>
            </w:r>
          </w:p>
          <w:p>
            <w:pPr>
              <w:keepNext w:val="0"/>
              <w:keepLines w:val="0"/>
              <w:suppressLineNumbers w:val="0"/>
              <w:spacing w:before="0" w:beforeAutospacing="0" w:after="0" w:afterAutospacing="0"/>
              <w:ind w:left="0" w:right="0" w:firstLine="480"/>
              <w:jc w:val="both"/>
            </w:pPr>
            <w:r>
              <w:t>（4）危险废物贮存设施的运行与管理</w:t>
            </w:r>
          </w:p>
          <w:p>
            <w:pPr>
              <w:keepNext w:val="0"/>
              <w:keepLines w:val="0"/>
              <w:suppressLineNumbers w:val="0"/>
              <w:spacing w:before="0" w:beforeAutospacing="0" w:after="0" w:afterAutospacing="0"/>
              <w:ind w:left="0" w:right="0" w:firstLine="480"/>
              <w:jc w:val="both"/>
            </w:pPr>
            <w:r>
              <w:t>危险废物贮存设施的运行与管理需满足《危险废物贮存污染控制标准》（GB18597-2001）要求，具体如下：</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1 \* GB3 </w:instrText>
            </w:r>
            <w:r>
              <w:rPr>
                <w:rFonts w:hint="eastAsia"/>
              </w:rPr>
              <w:fldChar w:fldCharType="separate"/>
            </w:r>
            <w:r>
              <w:rPr>
                <w:rFonts w:hint="eastAsia"/>
              </w:rPr>
              <w:t>①</w:t>
            </w:r>
            <w:r>
              <w:rPr>
                <w:rFonts w:hint="eastAsia"/>
              </w:rPr>
              <w:fldChar w:fldCharType="end"/>
            </w:r>
            <w:r>
              <w:t>从事危险废物贮存的单位，必须得到有资质单位出具的该危险废物样品物理和化学性质的分析报告，认定可以贮存后，方可接收。</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t>不得接收未粘贴标签或标签没按规定填写的危险废物，</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3 \* GB3 </w:instrText>
            </w:r>
            <w:r>
              <w:rPr>
                <w:rFonts w:hint="eastAsia"/>
              </w:rPr>
              <w:fldChar w:fldCharType="separate"/>
            </w:r>
            <w:r>
              <w:rPr>
                <w:rFonts w:hint="eastAsia"/>
              </w:rPr>
              <w:t>③</w:t>
            </w:r>
            <w:r>
              <w:rPr>
                <w:rFonts w:hint="eastAsia"/>
              </w:rPr>
              <w:fldChar w:fldCharType="end"/>
            </w:r>
            <w:r>
              <w:t>盛装在容器内的同类危险废物可以堆叠存放。</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4 \* GB3 </w:instrText>
            </w:r>
            <w:r>
              <w:rPr>
                <w:rFonts w:hint="eastAsia"/>
              </w:rPr>
              <w:fldChar w:fldCharType="separate"/>
            </w:r>
            <w:r>
              <w:rPr>
                <w:rFonts w:hint="eastAsia"/>
              </w:rPr>
              <w:t>④</w:t>
            </w:r>
            <w:r>
              <w:rPr>
                <w:rFonts w:hint="eastAsia"/>
              </w:rPr>
              <w:fldChar w:fldCharType="end"/>
            </w:r>
            <w:r>
              <w:t>每个堆间应留有搬运通道。</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5 \* GB3 </w:instrText>
            </w:r>
            <w:r>
              <w:rPr>
                <w:rFonts w:hint="eastAsia"/>
              </w:rPr>
              <w:fldChar w:fldCharType="separate"/>
            </w:r>
            <w:r>
              <w:rPr>
                <w:rFonts w:hint="eastAsia"/>
              </w:rPr>
              <w:t>⑤</w:t>
            </w:r>
            <w:r>
              <w:rPr>
                <w:rFonts w:hint="eastAsia"/>
              </w:rPr>
              <w:fldChar w:fldCharType="end"/>
            </w:r>
            <w:r>
              <w:t>不得将不相容的废物混合或合并存放。禁止将不相容（相互反应）的危险废物在同一容器内混装。无法装入常用容器的危险废物可用防漏胶袋等盛装。</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6 \* GB3 </w:instrText>
            </w:r>
            <w:r>
              <w:rPr>
                <w:rFonts w:hint="eastAsia"/>
              </w:rPr>
              <w:fldChar w:fldCharType="separate"/>
            </w:r>
            <w:r>
              <w:rPr>
                <w:rFonts w:hint="eastAsia"/>
              </w:rPr>
              <w:t>⑥</w:t>
            </w:r>
            <w:r>
              <w:rPr>
                <w:rFonts w:hint="eastAsia"/>
              </w:rPr>
              <w:fldChar w:fldCharType="end"/>
            </w:r>
            <w:r>
              <w:t>危险废物产生者和危险废物贮存设施经营者均须作好危险废物情况的记录，记录上须注明危险废物的名称、来源、数量、特性和包装容器的类别、入库日期、存放库位、废物出库日期及接收单位名称。危险废物的记录和货单在危险废物回取后应继续保留</w:t>
            </w:r>
            <w:r>
              <w:rPr>
                <w:rFonts w:hint="eastAsia"/>
              </w:rPr>
              <w:t>3</w:t>
            </w:r>
            <w:r>
              <w:t>a。</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7 \* GB3 </w:instrText>
            </w:r>
            <w:r>
              <w:rPr>
                <w:rFonts w:hint="eastAsia"/>
              </w:rPr>
              <w:fldChar w:fldCharType="separate"/>
            </w:r>
            <w:r>
              <w:rPr>
                <w:rFonts w:hint="eastAsia"/>
              </w:rPr>
              <w:t>⑦</w:t>
            </w:r>
            <w:r>
              <w:rPr>
                <w:rFonts w:hint="eastAsia"/>
              </w:rPr>
              <w:fldChar w:fldCharType="end"/>
            </w:r>
            <w:r>
              <w:t>必须定期对所贮存的危险废物包装容器及贮存设施进行检查，发现破损，应及时采取措施清理更换。</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8 \* GB3 </w:instrText>
            </w:r>
            <w:r>
              <w:rPr>
                <w:rFonts w:hint="eastAsia"/>
              </w:rPr>
              <w:fldChar w:fldCharType="separate"/>
            </w:r>
            <w:r>
              <w:rPr>
                <w:rFonts w:hint="eastAsia"/>
              </w:rPr>
              <w:t>⑧</w:t>
            </w:r>
            <w:r>
              <w:rPr>
                <w:rFonts w:hint="eastAsia"/>
              </w:rPr>
              <w:fldChar w:fldCharType="end"/>
            </w:r>
            <w:r>
              <w:t>危险废物贮存设施都必须按 GB15562.2 的规定设置警示标志。</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9 \* GB3 </w:instrText>
            </w:r>
            <w:r>
              <w:rPr>
                <w:rFonts w:hint="eastAsia"/>
              </w:rPr>
              <w:fldChar w:fldCharType="separate"/>
            </w:r>
            <w:r>
              <w:rPr>
                <w:rFonts w:hint="eastAsia"/>
              </w:rPr>
              <w:t>⑨</w:t>
            </w:r>
            <w:r>
              <w:rPr>
                <w:rFonts w:hint="eastAsia"/>
              </w:rPr>
              <w:fldChar w:fldCharType="end"/>
            </w:r>
            <w:r>
              <w:t>危险废物贮存设施周围应设置围墙或其他防护栅栏。</w:t>
            </w:r>
          </w:p>
          <w:p>
            <w:pPr>
              <w:keepNext w:val="0"/>
              <w:keepLines w:val="0"/>
              <w:suppressLineNumbers w:val="0"/>
              <w:spacing w:before="0" w:beforeAutospacing="0" w:after="0" w:afterAutospacing="0"/>
              <w:ind w:left="0" w:right="0" w:firstLine="480"/>
              <w:jc w:val="both"/>
            </w:pPr>
            <w:r>
              <w:t>环评要求建设单位必须按照危险废物暂存间选址及设计要求、危险废物贮存容器的相关要求和危险废物贮存设施的运行及管理要求来进行危险废物暂存间的设计、建设以及管理，以满足《危险废物贮存污染控制标准》（GB 18597-2001）中的相关规定。</w:t>
            </w:r>
          </w:p>
          <w:p>
            <w:pPr>
              <w:keepNext w:val="0"/>
              <w:keepLines w:val="0"/>
              <w:suppressLineNumbers w:val="0"/>
              <w:spacing w:before="0" w:beforeAutospacing="0" w:after="0" w:afterAutospacing="0"/>
              <w:ind w:left="0" w:right="0" w:firstLine="480"/>
              <w:jc w:val="both"/>
            </w:pPr>
            <w:r>
              <w:t>综上分析，项目运营期固体废弃物能做到 100%合理处置，对环境的影响较</w:t>
            </w:r>
            <w:r>
              <w:rPr>
                <w:rFonts w:hint="eastAsia"/>
              </w:rPr>
              <w:t>小。</w:t>
            </w:r>
          </w:p>
          <w:p>
            <w:pPr>
              <w:keepNext w:val="0"/>
              <w:keepLines w:val="0"/>
              <w:suppressLineNumbers w:val="0"/>
              <w:spacing w:before="0" w:beforeAutospacing="0" w:after="0" w:afterAutospacing="0"/>
              <w:ind w:left="0" w:right="0" w:firstLine="472" w:firstLineChars="196"/>
              <w:jc w:val="both"/>
              <w:rPr>
                <w:b/>
              </w:rPr>
            </w:pPr>
            <w:r>
              <w:rPr>
                <w:b/>
              </w:rPr>
              <w:t>6、</w:t>
            </w:r>
            <w:r>
              <w:rPr>
                <w:rFonts w:hint="eastAsia"/>
                <w:b/>
              </w:rPr>
              <w:t>土壤环境影响及防治措施</w:t>
            </w:r>
          </w:p>
          <w:p>
            <w:pPr>
              <w:keepNext w:val="0"/>
              <w:keepLines w:val="0"/>
              <w:suppressLineNumbers w:val="0"/>
              <w:spacing w:before="0" w:beforeAutospacing="0" w:after="0" w:afterAutospacing="0"/>
              <w:ind w:left="0" w:right="0" w:firstLine="480"/>
              <w:jc w:val="both"/>
              <w:rPr>
                <w:lang w:val="zh-CN"/>
              </w:rPr>
            </w:pPr>
            <w:r>
              <w:t>本项目为污染影响型项目</w:t>
            </w:r>
            <w:r>
              <w:rPr>
                <w:rFonts w:hint="eastAsia"/>
              </w:rPr>
              <w:t>，</w:t>
            </w:r>
            <w:r>
              <w:t>《环境影响技术导则 土壤环境2018（试行）》表A.1中</w:t>
            </w:r>
            <w:r>
              <w:fldChar w:fldCharType="begin"/>
            </w:r>
            <w:r>
              <w:instrText xml:space="preserve"> = 3 \* ROMAN </w:instrText>
            </w:r>
            <w:r>
              <w:fldChar w:fldCharType="separate"/>
            </w:r>
            <w:r>
              <w:t>III</w:t>
            </w:r>
            <w:r>
              <w:fldChar w:fldCharType="end"/>
            </w:r>
            <w:r>
              <w:t>类项目</w:t>
            </w:r>
            <w:r>
              <w:rPr>
                <w:rFonts w:hint="eastAsia"/>
              </w:rPr>
              <w:t>，</w:t>
            </w:r>
            <w:r>
              <w:t>占地规模为小型</w:t>
            </w:r>
            <w:r>
              <w:rPr>
                <w:rFonts w:hint="eastAsia"/>
              </w:rPr>
              <w:t>，土壤环境敏感程度为不敏感，根据导则评价等级划分情况，本项目可不开展土壤环境评价。</w:t>
            </w:r>
          </w:p>
          <w:p>
            <w:pPr>
              <w:keepNext w:val="0"/>
              <w:keepLines w:val="0"/>
              <w:suppressLineNumbers w:val="0"/>
              <w:autoSpaceDE w:val="0"/>
              <w:autoSpaceDN w:val="0"/>
              <w:adjustRightInd w:val="0"/>
              <w:spacing w:before="0" w:beforeAutospacing="0" w:after="0" w:afterAutospacing="0"/>
              <w:ind w:left="0" w:right="0" w:firstLine="482"/>
              <w:jc w:val="both"/>
              <w:rPr>
                <w:b/>
              </w:rPr>
            </w:pPr>
            <w:r>
              <w:rPr>
                <w:b/>
              </w:rPr>
              <w:t>7、环境风险分析及防范措施</w:t>
            </w:r>
          </w:p>
          <w:p>
            <w:pPr>
              <w:keepNext w:val="0"/>
              <w:keepLines w:val="0"/>
              <w:suppressLineNumbers w:val="0"/>
              <w:spacing w:before="0" w:beforeAutospacing="0" w:after="0" w:afterAutospacing="0" w:line="336" w:lineRule="auto"/>
              <w:ind w:left="0" w:right="0" w:firstLine="480"/>
              <w:jc w:val="both"/>
            </w:pPr>
            <w:r>
              <w:t>环境风险评价应该以突发性事故导致的危险物质环境应急损害为目标，对建设项目的环境风险进行分析、预测和评估，提出环境风险预防、减缓、控制措施，明确环境风险监控及应急建议要求，为建设项目环境风险防控提供科学依据。</w:t>
            </w:r>
          </w:p>
          <w:p>
            <w:pPr>
              <w:keepNext w:val="0"/>
              <w:keepLines w:val="0"/>
              <w:suppressLineNumbers w:val="0"/>
              <w:spacing w:before="0" w:beforeAutospacing="0" w:after="0" w:afterAutospacing="0" w:line="336" w:lineRule="auto"/>
              <w:ind w:left="0" w:right="0" w:firstLine="480"/>
              <w:jc w:val="both"/>
            </w:pPr>
            <w:r>
              <w:t>（1）风险</w:t>
            </w:r>
            <w:r>
              <w:rPr>
                <w:rFonts w:hint="eastAsia"/>
              </w:rPr>
              <w:t>识别</w:t>
            </w:r>
          </w:p>
          <w:p>
            <w:pPr>
              <w:keepNext w:val="0"/>
              <w:keepLines w:val="0"/>
              <w:suppressLineNumbers w:val="0"/>
              <w:spacing w:before="0" w:beforeAutospacing="0" w:after="0" w:afterAutospacing="0"/>
              <w:ind w:left="0" w:right="0" w:firstLine="480"/>
              <w:jc w:val="both"/>
              <w:rPr>
                <w:rFonts w:asciiTheme="minorEastAsia" w:hAnsiTheme="minorEastAsia" w:eastAsiaTheme="minorEastAsia"/>
              </w:rPr>
            </w:pPr>
            <w:r>
              <w:rPr>
                <w:rFonts w:hint="eastAsia" w:asciiTheme="minorEastAsia" w:hAnsiTheme="minorEastAsia" w:eastAsiaTheme="minorEastAsia"/>
              </w:rPr>
              <w:t>对照《建设项目环境风险评价技术导则》（HJ169-2018）附录B中，项目涉及的风险物质为乙炔、废机油、，最大使用量及储存方式见下表7-15。</w:t>
            </w:r>
          </w:p>
          <w:p>
            <w:pPr>
              <w:keepNext w:val="0"/>
              <w:keepLines w:val="0"/>
              <w:suppressLineNumbers w:val="0"/>
              <w:spacing w:before="0" w:beforeAutospacing="0" w:after="0" w:afterAutospacing="0" w:line="240" w:lineRule="auto"/>
              <w:ind w:left="0" w:right="0" w:firstLine="422"/>
              <w:jc w:val="center"/>
              <w:rPr>
                <w:b/>
                <w:sz w:val="21"/>
                <w:szCs w:val="21"/>
              </w:rPr>
            </w:pPr>
            <w:r>
              <w:rPr>
                <w:rFonts w:hint="eastAsia"/>
                <w:b/>
                <w:sz w:val="21"/>
                <w:szCs w:val="21"/>
              </w:rPr>
              <w:t>表7-15 项目涉及的风险物质最大使用量及储存方式</w:t>
            </w:r>
          </w:p>
          <w:tbl>
            <w:tblPr>
              <w:tblStyle w:val="18"/>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1607"/>
              <w:gridCol w:w="1478"/>
              <w:gridCol w:w="1569"/>
              <w:gridCol w:w="1811"/>
              <w:gridCol w:w="181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55" w:hRule="exact"/>
              </w:trPr>
              <w:tc>
                <w:tcPr>
                  <w:tcW w:w="971" w:type="pct"/>
                  <w:vAlign w:val="center"/>
                </w:tcPr>
                <w:p>
                  <w:pPr>
                    <w:pStyle w:val="39"/>
                    <w:keepNext w:val="0"/>
                    <w:keepLines w:val="0"/>
                    <w:suppressLineNumbers w:val="0"/>
                    <w:spacing w:before="0" w:beforeAutospacing="0" w:after="0" w:afterAutospacing="0"/>
                    <w:ind w:left="0" w:right="0"/>
                    <w:jc w:val="center"/>
                    <w:rPr>
                      <w:rFonts w:ascii="Times New Roman" w:hAnsi="Times New Roman" w:eastAsiaTheme="minorEastAsia"/>
                      <w:b/>
                      <w:sz w:val="21"/>
                      <w:szCs w:val="21"/>
                      <w:lang w:eastAsia="zh-CN"/>
                    </w:rPr>
                  </w:pPr>
                  <w:r>
                    <w:rPr>
                      <w:rFonts w:ascii="Times New Roman" w:hAnsi="Times New Roman" w:eastAsiaTheme="minorEastAsia"/>
                      <w:b/>
                      <w:sz w:val="21"/>
                      <w:szCs w:val="21"/>
                      <w:lang w:eastAsia="zh-CN"/>
                    </w:rPr>
                    <w:t>物质名称</w:t>
                  </w:r>
                </w:p>
              </w:tc>
              <w:tc>
                <w:tcPr>
                  <w:tcW w:w="893" w:type="pct"/>
                  <w:vAlign w:val="center"/>
                </w:tcPr>
                <w:p>
                  <w:pPr>
                    <w:pStyle w:val="39"/>
                    <w:keepNext w:val="0"/>
                    <w:keepLines w:val="0"/>
                    <w:suppressLineNumbers w:val="0"/>
                    <w:spacing w:before="0" w:beforeAutospacing="0" w:after="0" w:afterAutospacing="0"/>
                    <w:ind w:left="0" w:right="1"/>
                    <w:jc w:val="center"/>
                    <w:rPr>
                      <w:rFonts w:ascii="Times New Roman" w:hAnsi="Times New Roman" w:eastAsiaTheme="minorEastAsia"/>
                      <w:b/>
                      <w:sz w:val="21"/>
                      <w:szCs w:val="21"/>
                      <w:lang w:eastAsia="zh-CN"/>
                    </w:rPr>
                  </w:pPr>
                  <w:r>
                    <w:rPr>
                      <w:rFonts w:hint="eastAsia" w:ascii="Times New Roman" w:hAnsi="Times New Roman" w:eastAsiaTheme="minorEastAsia"/>
                      <w:b/>
                      <w:sz w:val="21"/>
                      <w:szCs w:val="21"/>
                      <w:lang w:eastAsia="zh-CN"/>
                    </w:rPr>
                    <w:t>最大储存量</w:t>
                  </w:r>
                </w:p>
              </w:tc>
              <w:tc>
                <w:tcPr>
                  <w:tcW w:w="948" w:type="pct"/>
                  <w:vAlign w:val="center"/>
                </w:tcPr>
                <w:p>
                  <w:pPr>
                    <w:pStyle w:val="39"/>
                    <w:keepNext w:val="0"/>
                    <w:keepLines w:val="0"/>
                    <w:suppressLineNumbers w:val="0"/>
                    <w:spacing w:before="0" w:beforeAutospacing="0" w:after="0" w:afterAutospacing="0"/>
                    <w:ind w:left="0" w:right="2"/>
                    <w:jc w:val="center"/>
                    <w:rPr>
                      <w:rFonts w:ascii="Times New Roman" w:hAnsi="Times New Roman" w:eastAsiaTheme="minorEastAsia"/>
                      <w:b/>
                      <w:sz w:val="21"/>
                      <w:szCs w:val="21"/>
                      <w:lang w:eastAsia="zh-CN"/>
                    </w:rPr>
                  </w:pPr>
                  <w:r>
                    <w:rPr>
                      <w:rFonts w:hint="eastAsia" w:ascii="Times New Roman" w:hAnsi="Times New Roman" w:eastAsiaTheme="minorEastAsia"/>
                      <w:b/>
                      <w:sz w:val="21"/>
                      <w:szCs w:val="21"/>
                      <w:lang w:eastAsia="zh-CN"/>
                    </w:rPr>
                    <w:t>储存方式</w:t>
                  </w:r>
                </w:p>
              </w:tc>
              <w:tc>
                <w:tcPr>
                  <w:tcW w:w="1094" w:type="pct"/>
                  <w:vAlign w:val="center"/>
                </w:tcPr>
                <w:p>
                  <w:pPr>
                    <w:pStyle w:val="39"/>
                    <w:keepNext w:val="0"/>
                    <w:keepLines w:val="0"/>
                    <w:suppressLineNumbers w:val="0"/>
                    <w:spacing w:before="0" w:beforeAutospacing="0" w:after="0" w:afterAutospacing="0"/>
                    <w:ind w:left="0" w:right="0"/>
                    <w:jc w:val="center"/>
                    <w:rPr>
                      <w:rFonts w:ascii="Times New Roman" w:hAnsi="Times New Roman" w:eastAsiaTheme="minorEastAsia"/>
                      <w:b/>
                      <w:sz w:val="21"/>
                      <w:szCs w:val="21"/>
                      <w:lang w:eastAsia="zh-CN"/>
                    </w:rPr>
                  </w:pPr>
                  <w:r>
                    <w:rPr>
                      <w:rFonts w:hint="eastAsia" w:ascii="Times New Roman" w:hAnsi="Times New Roman" w:eastAsiaTheme="minorEastAsia"/>
                      <w:b/>
                      <w:sz w:val="21"/>
                      <w:szCs w:val="21"/>
                      <w:lang w:eastAsia="zh-CN"/>
                    </w:rPr>
                    <w:t>储存位置</w:t>
                  </w:r>
                </w:p>
              </w:tc>
              <w:tc>
                <w:tcPr>
                  <w:tcW w:w="1094" w:type="pct"/>
                  <w:vAlign w:val="center"/>
                </w:tcPr>
                <w:p>
                  <w:pPr>
                    <w:pStyle w:val="39"/>
                    <w:keepNext w:val="0"/>
                    <w:keepLines w:val="0"/>
                    <w:suppressLineNumbers w:val="0"/>
                    <w:spacing w:before="0" w:beforeAutospacing="0" w:after="0" w:afterAutospacing="0"/>
                    <w:ind w:left="0" w:right="0"/>
                    <w:jc w:val="center"/>
                    <w:rPr>
                      <w:rFonts w:ascii="Times New Roman" w:hAnsi="Times New Roman" w:eastAsiaTheme="minorEastAsia"/>
                      <w:b/>
                      <w:sz w:val="21"/>
                      <w:szCs w:val="21"/>
                      <w:lang w:eastAsia="zh-CN"/>
                    </w:rPr>
                  </w:pPr>
                  <w:r>
                    <w:rPr>
                      <w:rFonts w:hint="eastAsia" w:ascii="Times New Roman" w:hAnsi="Times New Roman" w:eastAsiaTheme="minorEastAsia"/>
                      <w:b/>
                      <w:sz w:val="21"/>
                      <w:szCs w:val="21"/>
                      <w:lang w:eastAsia="zh-CN"/>
                    </w:rPr>
                    <w:t>临界存在量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70" w:hRule="exact"/>
              </w:trPr>
              <w:tc>
                <w:tcPr>
                  <w:tcW w:w="971" w:type="pct"/>
                  <w:vAlign w:val="center"/>
                </w:tcPr>
                <w:p>
                  <w:pPr>
                    <w:pStyle w:val="39"/>
                    <w:keepNext w:val="0"/>
                    <w:keepLines w:val="0"/>
                    <w:suppressLineNumbers w:val="0"/>
                    <w:spacing w:before="0" w:beforeAutospacing="0" w:after="0" w:afterAutospacing="0"/>
                    <w:ind w:left="0" w:right="1"/>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乙炔</w:t>
                  </w:r>
                </w:p>
              </w:tc>
              <w:tc>
                <w:tcPr>
                  <w:tcW w:w="893" w:type="pct"/>
                  <w:vAlign w:val="center"/>
                </w:tcPr>
                <w:p>
                  <w:pPr>
                    <w:pStyle w:val="39"/>
                    <w:keepNext w:val="0"/>
                    <w:keepLines w:val="0"/>
                    <w:suppressLineNumbers w:val="0"/>
                    <w:spacing w:before="0" w:beforeAutospacing="0" w:after="0" w:afterAutospacing="0"/>
                    <w:ind w:left="0" w:right="1"/>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0.5t</w:t>
                  </w:r>
                </w:p>
              </w:tc>
              <w:tc>
                <w:tcPr>
                  <w:tcW w:w="948" w:type="pct"/>
                  <w:vAlign w:val="center"/>
                </w:tcPr>
                <w:p>
                  <w:pPr>
                    <w:pStyle w:val="39"/>
                    <w:keepNext w:val="0"/>
                    <w:keepLines w:val="0"/>
                    <w:suppressLineNumbers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瓶装</w:t>
                  </w:r>
                </w:p>
              </w:tc>
              <w:tc>
                <w:tcPr>
                  <w:tcW w:w="1094" w:type="pct"/>
                  <w:vAlign w:val="center"/>
                </w:tcPr>
                <w:p>
                  <w:pPr>
                    <w:pStyle w:val="39"/>
                    <w:keepNext w:val="0"/>
                    <w:keepLines w:val="0"/>
                    <w:suppressLineNumbers w:val="0"/>
                    <w:spacing w:before="0" w:beforeAutospacing="0" w:after="0" w:afterAutospacing="0"/>
                    <w:ind w:left="0" w:right="1"/>
                    <w:jc w:val="center"/>
                    <w:rPr>
                      <w:rFonts w:ascii="Times New Roman" w:hAnsi="Times New Roman" w:eastAsiaTheme="minorEastAsia"/>
                      <w:sz w:val="21"/>
                      <w:szCs w:val="21"/>
                      <w:lang w:eastAsia="zh-CN"/>
                    </w:rPr>
                  </w:pPr>
                  <w:r>
                    <w:rPr>
                      <w:rFonts w:hint="eastAsia" w:ascii="Times New Roman" w:hAnsi="Times New Roman" w:eastAsiaTheme="minorEastAsia"/>
                      <w:sz w:val="21"/>
                      <w:lang w:eastAsia="zh-CN"/>
                    </w:rPr>
                    <w:t>生产车间</w:t>
                  </w:r>
                </w:p>
              </w:tc>
              <w:tc>
                <w:tcPr>
                  <w:tcW w:w="1094" w:type="pct"/>
                  <w:vAlign w:val="center"/>
                </w:tcPr>
                <w:p>
                  <w:pPr>
                    <w:pStyle w:val="39"/>
                    <w:keepNext w:val="0"/>
                    <w:keepLines w:val="0"/>
                    <w:suppressLineNumbers w:val="0"/>
                    <w:spacing w:before="0" w:beforeAutospacing="0" w:after="0" w:afterAutospacing="0"/>
                    <w:ind w:left="0" w:right="1"/>
                    <w:jc w:val="center"/>
                    <w:rPr>
                      <w:rFonts w:ascii="Times New Roman" w:hAnsi="Times New Roman" w:eastAsiaTheme="minorEastAsia"/>
                      <w:sz w:val="21"/>
                      <w:lang w:eastAsia="zh-CN"/>
                    </w:rPr>
                  </w:pPr>
                  <w:r>
                    <w:rPr>
                      <w:rFonts w:hint="eastAsia" w:ascii="Times New Roman" w:hAnsi="Times New Roman" w:eastAsiaTheme="minorEastAsia"/>
                      <w:sz w:val="21"/>
                      <w:lang w:eastAsia="zh-CN"/>
                    </w:rPr>
                    <w:t>10</w:t>
                  </w:r>
                  <w:r>
                    <w:rPr>
                      <w:rFonts w:hint="eastAsia" w:ascii="Times New Roman" w:hAnsi="Times New Roman" w:eastAsiaTheme="minorEastAsia"/>
                      <w:sz w:val="21"/>
                      <w:szCs w:val="21"/>
                      <w:lang w:eastAsia="zh-CN"/>
                    </w:rPr>
                    <w:t xml:space="preserve"> 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70" w:hRule="exact"/>
              </w:trPr>
              <w:tc>
                <w:tcPr>
                  <w:tcW w:w="971" w:type="pct"/>
                  <w:vAlign w:val="center"/>
                </w:tcPr>
                <w:p>
                  <w:pPr>
                    <w:pStyle w:val="39"/>
                    <w:keepNext w:val="0"/>
                    <w:keepLines w:val="0"/>
                    <w:suppressLineNumbers w:val="0"/>
                    <w:spacing w:before="0" w:beforeAutospacing="0" w:after="0" w:afterAutospacing="0"/>
                    <w:ind w:left="0" w:right="1"/>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废机油</w:t>
                  </w:r>
                </w:p>
              </w:tc>
              <w:tc>
                <w:tcPr>
                  <w:tcW w:w="893" w:type="pct"/>
                  <w:vAlign w:val="center"/>
                </w:tcPr>
                <w:p>
                  <w:pPr>
                    <w:pStyle w:val="39"/>
                    <w:keepNext w:val="0"/>
                    <w:keepLines w:val="0"/>
                    <w:suppressLineNumbers w:val="0"/>
                    <w:spacing w:before="0" w:beforeAutospacing="0" w:after="0" w:afterAutospacing="0"/>
                    <w:ind w:left="0" w:right="1"/>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0.3t</w:t>
                  </w:r>
                </w:p>
              </w:tc>
              <w:tc>
                <w:tcPr>
                  <w:tcW w:w="948" w:type="pct"/>
                  <w:vAlign w:val="center"/>
                </w:tcPr>
                <w:p>
                  <w:pPr>
                    <w:pStyle w:val="39"/>
                    <w:keepNext w:val="0"/>
                    <w:keepLines w:val="0"/>
                    <w:suppressLineNumbers w:val="0"/>
                    <w:spacing w:before="0" w:beforeAutospacing="0" w:after="0" w:afterAutospacing="0"/>
                    <w:ind w:left="0" w:right="0"/>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桶装</w:t>
                  </w:r>
                </w:p>
              </w:tc>
              <w:tc>
                <w:tcPr>
                  <w:tcW w:w="1094" w:type="pct"/>
                  <w:vAlign w:val="center"/>
                </w:tcPr>
                <w:p>
                  <w:pPr>
                    <w:pStyle w:val="39"/>
                    <w:keepNext w:val="0"/>
                    <w:keepLines w:val="0"/>
                    <w:suppressLineNumbers w:val="0"/>
                    <w:spacing w:before="0" w:beforeAutospacing="0" w:after="0" w:afterAutospacing="0"/>
                    <w:ind w:left="0" w:right="1"/>
                    <w:jc w:val="center"/>
                    <w:rPr>
                      <w:rFonts w:ascii="Times New Roman" w:hAnsi="Times New Roman" w:eastAsiaTheme="minorEastAsia"/>
                      <w:sz w:val="21"/>
                      <w:lang w:eastAsia="zh-CN"/>
                    </w:rPr>
                  </w:pPr>
                  <w:r>
                    <w:rPr>
                      <w:rFonts w:hint="eastAsia" w:ascii="Times New Roman" w:hAnsi="Times New Roman" w:eastAsiaTheme="minorEastAsia"/>
                      <w:sz w:val="21"/>
                      <w:szCs w:val="21"/>
                      <w:lang w:eastAsia="zh-CN"/>
                    </w:rPr>
                    <w:t>危废暂存间</w:t>
                  </w:r>
                </w:p>
              </w:tc>
              <w:tc>
                <w:tcPr>
                  <w:tcW w:w="1094" w:type="pct"/>
                  <w:vAlign w:val="center"/>
                </w:tcPr>
                <w:p>
                  <w:pPr>
                    <w:pStyle w:val="39"/>
                    <w:keepNext w:val="0"/>
                    <w:keepLines w:val="0"/>
                    <w:suppressLineNumbers w:val="0"/>
                    <w:spacing w:before="0" w:beforeAutospacing="0" w:after="0" w:afterAutospacing="0"/>
                    <w:ind w:left="0" w:right="1"/>
                    <w:jc w:val="center"/>
                    <w:rPr>
                      <w:rFonts w:ascii="Times New Roman" w:hAnsi="Times New Roman" w:eastAsiaTheme="minorEastAsia"/>
                      <w:sz w:val="21"/>
                      <w:lang w:eastAsia="zh-CN"/>
                    </w:rPr>
                  </w:pPr>
                  <w:r>
                    <w:rPr>
                      <w:rFonts w:hint="eastAsia" w:ascii="Times New Roman" w:hAnsi="Times New Roman" w:eastAsiaTheme="minorEastAsia"/>
                      <w:sz w:val="21"/>
                      <w:lang w:eastAsia="zh-CN"/>
                    </w:rPr>
                    <w:t>2500t</w:t>
                  </w:r>
                </w:p>
              </w:tc>
            </w:tr>
          </w:tbl>
          <w:p>
            <w:pPr>
              <w:keepNext w:val="0"/>
              <w:keepLines w:val="0"/>
              <w:suppressLineNumbers w:val="0"/>
              <w:spacing w:before="0" w:beforeAutospacing="0" w:after="0" w:afterAutospacing="0" w:line="336" w:lineRule="auto"/>
              <w:ind w:left="0" w:right="0" w:firstLine="480"/>
              <w:jc w:val="both"/>
            </w:pPr>
            <w:r>
              <w:t>（</w:t>
            </w:r>
            <w:r>
              <w:rPr>
                <w:rFonts w:hint="eastAsia"/>
              </w:rPr>
              <w:t>2</w:t>
            </w:r>
            <w:r>
              <w:t>）风险等级划分</w:t>
            </w:r>
          </w:p>
          <w:p>
            <w:pPr>
              <w:keepNext w:val="0"/>
              <w:keepLines w:val="0"/>
              <w:suppressLineNumbers w:val="0"/>
              <w:spacing w:before="0" w:beforeAutospacing="0" w:after="0" w:afterAutospacing="0" w:line="336" w:lineRule="auto"/>
              <w:ind w:left="0" w:right="0" w:firstLine="480"/>
              <w:jc w:val="both"/>
            </w:pPr>
            <w:r>
              <w:t>项目区主要的风险物质为</w:t>
            </w:r>
            <w:r>
              <w:rPr>
                <w:rFonts w:hint="eastAsia"/>
              </w:rPr>
              <w:t>乙炔及废机油</w:t>
            </w:r>
            <w:r>
              <w:t>，</w:t>
            </w:r>
            <w:r>
              <w:rPr>
                <w:rFonts w:hint="eastAsia"/>
              </w:rPr>
              <w:t>最大储存</w:t>
            </w:r>
            <w:r>
              <w:t>量</w:t>
            </w:r>
            <w:r>
              <w:rPr>
                <w:rFonts w:hint="eastAsia"/>
              </w:rPr>
              <w:t>分别为0.5</w:t>
            </w:r>
            <w:r>
              <w:t>t</w:t>
            </w:r>
            <w:r>
              <w:rPr>
                <w:rFonts w:hint="eastAsia"/>
              </w:rPr>
              <w:t>和0.3t</w:t>
            </w:r>
            <w:r>
              <w:t>，根据《环境风险评价技术导则》（HJ 169-2018）</w:t>
            </w:r>
            <w:r>
              <w:rPr>
                <w:rFonts w:hint="eastAsia"/>
              </w:rPr>
              <w:t>。</w:t>
            </w:r>
            <w:r>
              <w:t>附录B列出</w:t>
            </w:r>
            <w:r>
              <w:rPr>
                <w:rFonts w:hint="eastAsia"/>
              </w:rPr>
              <w:t>乙炔</w:t>
            </w:r>
            <w:r>
              <w:t>临界存在量为</w:t>
            </w:r>
            <w:r>
              <w:rPr>
                <w:rFonts w:hint="eastAsia"/>
              </w:rPr>
              <w:t>10</w:t>
            </w:r>
            <w:r>
              <w:t>t，</w:t>
            </w:r>
            <w:r>
              <w:rPr>
                <w:rFonts w:hint="eastAsia"/>
              </w:rPr>
              <w:t>废机油为2500t，</w:t>
            </w:r>
            <w:r>
              <w:t>根据导则附录C危险物质及工艺系统危险性(P)的分级，危险物质数量与临界值的比值计算公式如下：</w:t>
            </w:r>
          </w:p>
          <w:p>
            <w:pPr>
              <w:keepNext w:val="0"/>
              <w:keepLines w:val="0"/>
              <w:suppressLineNumbers w:val="0"/>
              <w:spacing w:before="0" w:beforeAutospacing="0" w:after="0" w:afterAutospacing="0" w:line="336" w:lineRule="auto"/>
              <w:ind w:left="0" w:right="0" w:firstLine="480"/>
              <w:jc w:val="both"/>
            </w:pPr>
            <w:r>
              <w:t>Q=</w:t>
            </w:r>
            <m:oMath>
              <m:f>
                <m:fPr>
                  <m:ctrlPr>
                    <w:rPr>
                      <w:rFonts w:ascii="Cambria Math" w:hAnsi="Cambria Math"/>
                    </w:rPr>
                  </m:ctrlPr>
                </m:fPr>
                <m:num>
                  <m:sSub>
                    <m:sSubPr>
                      <m:ctrlPr>
                        <w:rPr>
                          <w:rFonts w:ascii="Cambria Math" w:hAnsi="Cambria Math"/>
                        </w:rPr>
                      </m:ctrlPr>
                    </m:sSubPr>
                    <m:e>
                      <m:r>
                        <m:rPr>
                          <m:sty m:val="p"/>
                        </m:rPr>
                        <w:rPr>
                          <w:rFonts w:ascii="Cambria Math" w:hAnsi="Cambria Math"/>
                        </w:rPr>
                        <m:t>q</m:t>
                      </m:r>
                      <m:ctrlPr>
                        <w:rPr>
                          <w:rFonts w:ascii="Cambria Math" w:hAnsi="Cambria Math"/>
                        </w:rPr>
                      </m:ctrlPr>
                    </m:e>
                    <m:sub>
                      <m:r>
                        <m:rPr>
                          <m:sty m:val="p"/>
                        </m:rPr>
                        <w:rPr>
                          <w:rFonts w:ascii="Cambria Math" w:hAnsi="Cambria Math"/>
                        </w:rPr>
                        <m:t>1</m:t>
                      </m:r>
                      <m:ctrlPr>
                        <w:rPr>
                          <w:rFonts w:ascii="Cambria Math" w:hAnsi="Cambria Math"/>
                        </w:rPr>
                      </m:ctrlPr>
                    </m:sub>
                  </m:sSub>
                  <m:ctrlPr>
                    <w:rPr>
                      <w:rFonts w:ascii="Cambria Math" w:hAnsi="Cambria Math"/>
                    </w:rPr>
                  </m:ctrlPr>
                </m:num>
                <m:den>
                  <m:sSub>
                    <m:sSubPr>
                      <m:ctrlPr>
                        <w:rPr>
                          <w:rFonts w:ascii="Cambria Math" w:hAnsi="Cambria Math"/>
                        </w:rPr>
                      </m:ctrlPr>
                    </m:sSubPr>
                    <m:e>
                      <m:r>
                        <m:rPr>
                          <m:sty m:val="p"/>
                        </m:rPr>
                        <w:rPr>
                          <w:rFonts w:ascii="Cambria Math" w:hAnsi="Cambria Math"/>
                        </w:rPr>
                        <m:t>Q</m:t>
                      </m:r>
                      <m:ctrlPr>
                        <w:rPr>
                          <w:rFonts w:ascii="Cambria Math" w:hAnsi="Cambria Math"/>
                        </w:rPr>
                      </m:ctrlPr>
                    </m:e>
                    <m:sub>
                      <m:r>
                        <m:rPr>
                          <m:sty m:val="p"/>
                        </m:rPr>
                        <w:rPr>
                          <w:rFonts w:ascii="Cambria Math" w:hAnsi="Cambria Math"/>
                        </w:rPr>
                        <m:t>1</m:t>
                      </m:r>
                      <m:ctrlPr>
                        <w:rPr>
                          <w:rFonts w:ascii="Cambria Math" w:hAnsi="Cambria Math"/>
                        </w:rPr>
                      </m:ctrlPr>
                    </m:sub>
                  </m:sSub>
                  <m:ctrlPr>
                    <w:rPr>
                      <w:rFonts w:ascii="Cambria Math" w:hAnsi="Cambria Math"/>
                    </w:rPr>
                  </m:ctrlP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q</m:t>
                      </m:r>
                      <m:ctrlPr>
                        <w:rPr>
                          <w:rFonts w:ascii="Cambria Math" w:hAnsi="Cambria Math"/>
                        </w:rPr>
                      </m:ctrlPr>
                    </m:e>
                    <m:sub>
                      <m:r>
                        <m:rPr>
                          <m:sty m:val="p"/>
                        </m:rPr>
                        <w:rPr>
                          <w:rFonts w:ascii="Cambria Math" w:hAnsi="Cambria Math"/>
                        </w:rPr>
                        <m:t>2</m:t>
                      </m:r>
                      <m:ctrlPr>
                        <w:rPr>
                          <w:rFonts w:ascii="Cambria Math" w:hAnsi="Cambria Math"/>
                        </w:rPr>
                      </m:ctrlPr>
                    </m:sub>
                  </m:sSub>
                  <m:ctrlPr>
                    <w:rPr>
                      <w:rFonts w:ascii="Cambria Math" w:hAnsi="Cambria Math"/>
                    </w:rPr>
                  </m:ctrlPr>
                </m:num>
                <m:den>
                  <m:sSub>
                    <m:sSubPr>
                      <m:ctrlPr>
                        <w:rPr>
                          <w:rFonts w:ascii="Cambria Math" w:hAnsi="Cambria Math"/>
                        </w:rPr>
                      </m:ctrlPr>
                    </m:sSubPr>
                    <m:e>
                      <m:r>
                        <m:rPr>
                          <m:sty m:val="p"/>
                        </m:rPr>
                        <w:rPr>
                          <w:rFonts w:ascii="Cambria Math" w:hAnsi="Cambria Math"/>
                        </w:rPr>
                        <m:t>Q</m:t>
                      </m:r>
                      <m:ctrlPr>
                        <w:rPr>
                          <w:rFonts w:ascii="Cambria Math" w:hAnsi="Cambria Math"/>
                        </w:rPr>
                      </m:ctrlPr>
                    </m:e>
                    <m:sub>
                      <m:r>
                        <m:rPr>
                          <m:sty m:val="p"/>
                        </m:rPr>
                        <w:rPr>
                          <w:rFonts w:ascii="Cambria Math" w:hAnsi="Cambria Math"/>
                        </w:rPr>
                        <m:t>2</m:t>
                      </m:r>
                      <m:ctrlPr>
                        <w:rPr>
                          <w:rFonts w:ascii="Cambria Math" w:hAnsi="Cambria Math"/>
                        </w:rPr>
                      </m:ctrlPr>
                    </m:sub>
                  </m:sSub>
                  <m:ctrlPr>
                    <w:rPr>
                      <w:rFonts w:ascii="Cambria Math" w:hAnsi="Cambria Math"/>
                    </w:rPr>
                  </m:ctrlP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q</m:t>
                      </m:r>
                      <m:ctrlPr>
                        <w:rPr>
                          <w:rFonts w:ascii="Cambria Math" w:hAnsi="Cambria Math"/>
                        </w:rPr>
                      </m:ctrlPr>
                    </m:e>
                    <m:sub>
                      <m:r>
                        <m:rPr>
                          <m:sty m:val="p"/>
                        </m:rPr>
                        <w:rPr>
                          <w:rFonts w:ascii="Cambria Math" w:hAnsi="Cambria Math"/>
                        </w:rPr>
                        <m:t>n</m:t>
                      </m:r>
                      <m:ctrlPr>
                        <w:rPr>
                          <w:rFonts w:ascii="Cambria Math" w:hAnsi="Cambria Math"/>
                        </w:rPr>
                      </m:ctrlPr>
                    </m:sub>
                  </m:sSub>
                  <m:ctrlPr>
                    <w:rPr>
                      <w:rFonts w:ascii="Cambria Math" w:hAnsi="Cambria Math"/>
                    </w:rPr>
                  </m:ctrlPr>
                </m:num>
                <m:den>
                  <m:sSub>
                    <m:sSubPr>
                      <m:ctrlPr>
                        <w:rPr>
                          <w:rFonts w:ascii="Cambria Math" w:hAnsi="Cambria Math"/>
                        </w:rPr>
                      </m:ctrlPr>
                    </m:sSubPr>
                    <m:e>
                      <m:r>
                        <m:rPr>
                          <m:sty m:val="p"/>
                        </m:rPr>
                        <w:rPr>
                          <w:rFonts w:ascii="Cambria Math" w:hAnsi="Cambria Math"/>
                        </w:rPr>
                        <m:t>Q</m:t>
                      </m:r>
                      <m:ctrlPr>
                        <w:rPr>
                          <w:rFonts w:ascii="Cambria Math" w:hAnsi="Cambria Math"/>
                        </w:rPr>
                      </m:ctrlPr>
                    </m:e>
                    <m:sub>
                      <m:r>
                        <m:rPr>
                          <m:sty m:val="p"/>
                        </m:rPr>
                        <w:rPr>
                          <w:rFonts w:ascii="Cambria Math" w:hAnsi="Cambria Math"/>
                        </w:rPr>
                        <m:t>n</m:t>
                      </m:r>
                      <m:ctrlPr>
                        <w:rPr>
                          <w:rFonts w:ascii="Cambria Math" w:hAnsi="Cambria Math"/>
                        </w:rPr>
                      </m:ctrlPr>
                    </m:sub>
                  </m:sSub>
                  <m:ctrlPr>
                    <w:rPr>
                      <w:rFonts w:ascii="Cambria Math" w:hAnsi="Cambria Math"/>
                    </w:rPr>
                  </m:ctrlPr>
                </m:den>
              </m:f>
            </m:oMath>
          </w:p>
          <w:p>
            <w:pPr>
              <w:keepNext w:val="0"/>
              <w:keepLines w:val="0"/>
              <w:suppressLineNumbers w:val="0"/>
              <w:spacing w:before="0" w:beforeAutospacing="0" w:after="0" w:afterAutospacing="0" w:line="336" w:lineRule="auto"/>
              <w:ind w:left="0" w:right="0" w:firstLine="480"/>
              <w:jc w:val="both"/>
            </w:pPr>
            <w:r>
              <w:t>式中：q</w:t>
            </w:r>
            <w:r>
              <w:rPr>
                <w:vertAlign w:val="subscript"/>
              </w:rPr>
              <w:t>1</w:t>
            </w:r>
            <w:r>
              <w:t>，q</w:t>
            </w:r>
            <w:r>
              <w:rPr>
                <w:vertAlign w:val="subscript"/>
              </w:rPr>
              <w:t>2</w:t>
            </w:r>
            <w:r>
              <w:t>，q</w:t>
            </w:r>
            <w:r>
              <w:rPr>
                <w:vertAlign w:val="subscript"/>
              </w:rPr>
              <w:t>3</w:t>
            </w:r>
            <w:r>
              <w:t>…，q</w:t>
            </w:r>
            <w:r>
              <w:rPr>
                <w:vertAlign w:val="subscript"/>
              </w:rPr>
              <w:t>n</w:t>
            </w:r>
            <w:r>
              <w:t>—每种危险物质存在的最大总量，t；</w:t>
            </w:r>
          </w:p>
          <w:p>
            <w:pPr>
              <w:keepNext w:val="0"/>
              <w:keepLines w:val="0"/>
              <w:suppressLineNumbers w:val="0"/>
              <w:spacing w:before="0" w:beforeAutospacing="0" w:after="0" w:afterAutospacing="0" w:line="336" w:lineRule="auto"/>
              <w:ind w:left="0" w:right="0" w:firstLine="1200" w:firstLineChars="500"/>
              <w:jc w:val="both"/>
            </w:pPr>
            <w:r>
              <w:t>Q</w:t>
            </w:r>
            <w:r>
              <w:rPr>
                <w:vertAlign w:val="subscript"/>
              </w:rPr>
              <w:t>1</w:t>
            </w:r>
            <w:r>
              <w:t>，Q</w:t>
            </w:r>
            <w:r>
              <w:rPr>
                <w:vertAlign w:val="subscript"/>
              </w:rPr>
              <w:t>2</w:t>
            </w:r>
            <w:r>
              <w:t>，Q</w:t>
            </w:r>
            <w:r>
              <w:rPr>
                <w:vertAlign w:val="subscript"/>
              </w:rPr>
              <w:t>3</w:t>
            </w:r>
            <w:r>
              <w:t>…，Q</w:t>
            </w:r>
            <w:r>
              <w:rPr>
                <w:vertAlign w:val="subscript"/>
              </w:rPr>
              <w:t>n</w:t>
            </w:r>
            <w:r>
              <w:t>—每种危险物质存在的最大总量，t；</w:t>
            </w:r>
          </w:p>
          <w:p>
            <w:pPr>
              <w:keepNext w:val="0"/>
              <w:keepLines w:val="0"/>
              <w:suppressLineNumbers w:val="0"/>
              <w:spacing w:before="0" w:beforeAutospacing="0" w:after="0" w:afterAutospacing="0" w:line="336" w:lineRule="auto"/>
              <w:ind w:left="0" w:right="0" w:firstLine="480"/>
              <w:jc w:val="both"/>
            </w:pPr>
            <w:r>
              <w:t>当Q＜1时，该项目环境风险潜势为</w:t>
            </w:r>
            <w:r>
              <w:fldChar w:fldCharType="begin"/>
            </w:r>
            <w:r>
              <w:instrText xml:space="preserve"> = 1 \* ROMAN </w:instrText>
            </w:r>
            <w:r>
              <w:fldChar w:fldCharType="separate"/>
            </w:r>
            <w:r>
              <w:t>I</w:t>
            </w:r>
            <w:r>
              <w:fldChar w:fldCharType="end"/>
            </w:r>
          </w:p>
          <w:p>
            <w:pPr>
              <w:keepNext w:val="0"/>
              <w:keepLines w:val="0"/>
              <w:suppressLineNumbers w:val="0"/>
              <w:spacing w:before="0" w:beforeAutospacing="0" w:after="0" w:afterAutospacing="0" w:line="336" w:lineRule="auto"/>
              <w:ind w:left="0" w:right="0" w:firstLine="480"/>
              <w:jc w:val="both"/>
            </w:pPr>
            <w:r>
              <w:t>当Q ≥1时，当Q值划分为：（1）1≤Q＜10；（2）10≤Q＜100；（3）Q≥100</w:t>
            </w:r>
          </w:p>
          <w:p>
            <w:pPr>
              <w:keepNext w:val="0"/>
              <w:keepLines w:val="0"/>
              <w:suppressLineNumbers w:val="0"/>
              <w:spacing w:before="0" w:beforeAutospacing="0" w:after="0" w:afterAutospacing="0" w:line="336" w:lineRule="auto"/>
              <w:ind w:left="0" w:right="0" w:firstLine="480"/>
              <w:jc w:val="both"/>
            </w:pPr>
            <w:r>
              <w:t>本项目根据此公式计算得出：Q</w:t>
            </w:r>
            <w:r>
              <w:rPr>
                <w:rFonts w:hint="eastAsia"/>
                <w:vertAlign w:val="subscript"/>
              </w:rPr>
              <w:t>乙炔</w:t>
            </w:r>
            <w:r>
              <w:t>=</w:t>
            </w:r>
            <w:r>
              <w:rPr>
                <w:rFonts w:hint="eastAsia"/>
              </w:rPr>
              <w:t>0.5</w:t>
            </w:r>
            <w:r>
              <w:t>/</w:t>
            </w:r>
            <w:r>
              <w:rPr>
                <w:rFonts w:hint="eastAsia"/>
              </w:rPr>
              <w:t>10</w:t>
            </w:r>
            <w:r>
              <w:t>=</w:t>
            </w:r>
            <w:r>
              <w:rPr>
                <w:rFonts w:hint="eastAsia"/>
              </w:rPr>
              <w:t>0.05</w:t>
            </w:r>
            <w:r>
              <w:t xml:space="preserve"> ；Q</w:t>
            </w:r>
            <w:r>
              <w:rPr>
                <w:rFonts w:hint="eastAsia"/>
                <w:vertAlign w:val="subscript"/>
              </w:rPr>
              <w:t>机油</w:t>
            </w:r>
            <w:r>
              <w:t>=</w:t>
            </w:r>
            <w:r>
              <w:rPr>
                <w:rFonts w:hint="eastAsia"/>
              </w:rPr>
              <w:t>0.3</w:t>
            </w:r>
            <w:r>
              <w:t>/</w:t>
            </w:r>
            <w:r>
              <w:rPr>
                <w:rFonts w:hint="eastAsia"/>
              </w:rPr>
              <w:t>2500</w:t>
            </w:r>
            <w:r>
              <w:t>=</w:t>
            </w:r>
            <w:r>
              <w:rPr>
                <w:rFonts w:hint="eastAsia"/>
              </w:rPr>
              <w:t>0.0015</w:t>
            </w:r>
          </w:p>
          <w:p>
            <w:pPr>
              <w:keepNext w:val="0"/>
              <w:keepLines w:val="0"/>
              <w:suppressLineNumbers w:val="0"/>
              <w:spacing w:before="0" w:beforeAutospacing="0" w:after="0" w:afterAutospacing="0" w:line="336" w:lineRule="auto"/>
              <w:ind w:left="0" w:right="0" w:firstLine="480"/>
              <w:jc w:val="both"/>
            </w:pPr>
            <w:r>
              <w:t>当Q＜1时，该项目环境风险潜势为</w:t>
            </w:r>
            <w:r>
              <w:fldChar w:fldCharType="begin"/>
            </w:r>
            <w:r>
              <w:instrText xml:space="preserve"> = 1 \* ROMAN </w:instrText>
            </w:r>
            <w:r>
              <w:fldChar w:fldCharType="separate"/>
            </w:r>
            <w:r>
              <w:t>I</w:t>
            </w:r>
            <w:r>
              <w:fldChar w:fldCharType="end"/>
            </w:r>
          </w:p>
          <w:p>
            <w:pPr>
              <w:keepNext w:val="0"/>
              <w:keepLines w:val="0"/>
              <w:suppressLineNumbers w:val="0"/>
              <w:spacing w:before="0" w:beforeAutospacing="0" w:after="0" w:afterAutospacing="0" w:line="336" w:lineRule="auto"/>
              <w:ind w:left="0" w:right="0" w:firstLine="600" w:firstLineChars="250"/>
              <w:jc w:val="both"/>
            </w:pPr>
            <w:r>
              <w:t>《环境风险评价技术导则》（HJ 169-2018）表1评价工作等级划分见下表</w:t>
            </w:r>
            <w:r>
              <w:rPr>
                <w:rFonts w:hint="eastAsia"/>
              </w:rPr>
              <w:t>7-16。</w:t>
            </w:r>
          </w:p>
          <w:p>
            <w:pPr>
              <w:keepNext w:val="0"/>
              <w:keepLines w:val="0"/>
              <w:suppressLineNumbers w:val="0"/>
              <w:spacing w:before="0" w:beforeAutospacing="0" w:after="0" w:afterAutospacing="0" w:line="240" w:lineRule="auto"/>
              <w:ind w:left="0" w:right="0" w:firstLine="0" w:firstLineChars="0"/>
              <w:jc w:val="center"/>
              <w:rPr>
                <w:b/>
                <w:sz w:val="21"/>
                <w:szCs w:val="21"/>
              </w:rPr>
            </w:pPr>
            <w:r>
              <w:rPr>
                <w:b/>
                <w:sz w:val="21"/>
                <w:szCs w:val="21"/>
              </w:rPr>
              <w:t>表7-16《环境风险评价技术导则》（HJ 169-2018）表1评价工作等级划分</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55"/>
              <w:gridCol w:w="1656"/>
              <w:gridCol w:w="1655"/>
              <w:gridCol w:w="1655"/>
              <w:gridCol w:w="16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68" w:type="dxa"/>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环境风险潜势</w:t>
                  </w:r>
                </w:p>
              </w:tc>
              <w:tc>
                <w:tcPr>
                  <w:tcW w:w="1768" w:type="dxa"/>
                  <w:vAlign w:val="center"/>
                </w:tcPr>
                <w:p>
                  <w:pPr>
                    <w:keepNext w:val="0"/>
                    <w:keepLines w:val="0"/>
                    <w:suppressLineNumbers w:val="0"/>
                    <w:spacing w:before="0" w:beforeAutospacing="0" w:after="0" w:afterAutospacing="0" w:line="240" w:lineRule="auto"/>
                    <w:ind w:left="0" w:right="0" w:firstLine="0" w:firstLineChars="0"/>
                    <w:jc w:val="center"/>
                    <w:rPr>
                      <w:sz w:val="21"/>
                      <w:szCs w:val="21"/>
                      <w:vertAlign w:val="superscript"/>
                    </w:rPr>
                  </w:pPr>
                  <w:r>
                    <w:rPr>
                      <w:sz w:val="21"/>
                      <w:szCs w:val="21"/>
                    </w:rPr>
                    <w:fldChar w:fldCharType="begin"/>
                  </w:r>
                  <w:r>
                    <w:rPr>
                      <w:sz w:val="21"/>
                      <w:szCs w:val="21"/>
                    </w:rPr>
                    <w:instrText xml:space="preserve"> = 4 \* ROMAN </w:instrText>
                  </w:r>
                  <w:r>
                    <w:rPr>
                      <w:sz w:val="21"/>
                      <w:szCs w:val="21"/>
                    </w:rPr>
                    <w:fldChar w:fldCharType="separate"/>
                  </w:r>
                  <w:r>
                    <w:rPr>
                      <w:sz w:val="21"/>
                      <w:szCs w:val="21"/>
                    </w:rPr>
                    <w:t>IV</w:t>
                  </w:r>
                  <w:r>
                    <w:rPr>
                      <w:sz w:val="21"/>
                      <w:szCs w:val="21"/>
                    </w:rPr>
                    <w:fldChar w:fldCharType="end"/>
                  </w:r>
                  <w:r>
                    <w:rPr>
                      <w:sz w:val="21"/>
                      <w:szCs w:val="21"/>
                    </w:rPr>
                    <w:t>、</w:t>
                  </w:r>
                  <w:r>
                    <w:rPr>
                      <w:sz w:val="21"/>
                      <w:szCs w:val="21"/>
                    </w:rPr>
                    <w:fldChar w:fldCharType="begin"/>
                  </w:r>
                  <w:r>
                    <w:rPr>
                      <w:sz w:val="21"/>
                      <w:szCs w:val="21"/>
                    </w:rPr>
                    <w:instrText xml:space="preserve"> = 4 \* ROMAN </w:instrText>
                  </w:r>
                  <w:r>
                    <w:rPr>
                      <w:sz w:val="21"/>
                      <w:szCs w:val="21"/>
                    </w:rPr>
                    <w:fldChar w:fldCharType="separate"/>
                  </w:r>
                  <w:r>
                    <w:rPr>
                      <w:sz w:val="21"/>
                      <w:szCs w:val="21"/>
                    </w:rPr>
                    <w:t>IV</w:t>
                  </w:r>
                  <w:r>
                    <w:rPr>
                      <w:sz w:val="21"/>
                      <w:szCs w:val="21"/>
                    </w:rPr>
                    <w:fldChar w:fldCharType="end"/>
                  </w:r>
                  <w:r>
                    <w:rPr>
                      <w:sz w:val="21"/>
                      <w:szCs w:val="21"/>
                      <w:vertAlign w:val="superscript"/>
                    </w:rPr>
                    <w:t>+</w:t>
                  </w:r>
                </w:p>
              </w:tc>
              <w:tc>
                <w:tcPr>
                  <w:tcW w:w="1768" w:type="dxa"/>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fldChar w:fldCharType="begin"/>
                  </w:r>
                  <w:r>
                    <w:rPr>
                      <w:sz w:val="21"/>
                      <w:szCs w:val="21"/>
                    </w:rPr>
                    <w:instrText xml:space="preserve"> = 3 \* ROMAN </w:instrText>
                  </w:r>
                  <w:r>
                    <w:rPr>
                      <w:sz w:val="21"/>
                      <w:szCs w:val="21"/>
                    </w:rPr>
                    <w:fldChar w:fldCharType="separate"/>
                  </w:r>
                  <w:r>
                    <w:rPr>
                      <w:sz w:val="21"/>
                      <w:szCs w:val="21"/>
                    </w:rPr>
                    <w:t>III</w:t>
                  </w:r>
                  <w:r>
                    <w:rPr>
                      <w:sz w:val="21"/>
                      <w:szCs w:val="21"/>
                    </w:rPr>
                    <w:fldChar w:fldCharType="end"/>
                  </w:r>
                </w:p>
              </w:tc>
              <w:tc>
                <w:tcPr>
                  <w:tcW w:w="1768" w:type="dxa"/>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fldChar w:fldCharType="begin"/>
                  </w:r>
                  <w:r>
                    <w:rPr>
                      <w:sz w:val="21"/>
                      <w:szCs w:val="21"/>
                    </w:rPr>
                    <w:instrText xml:space="preserve"> = 2 \* ROMAN </w:instrText>
                  </w:r>
                  <w:r>
                    <w:rPr>
                      <w:sz w:val="21"/>
                      <w:szCs w:val="21"/>
                    </w:rPr>
                    <w:fldChar w:fldCharType="separate"/>
                  </w:r>
                  <w:r>
                    <w:rPr>
                      <w:sz w:val="21"/>
                      <w:szCs w:val="21"/>
                    </w:rPr>
                    <w:t>II</w:t>
                  </w:r>
                  <w:r>
                    <w:rPr>
                      <w:sz w:val="21"/>
                      <w:szCs w:val="21"/>
                    </w:rPr>
                    <w:fldChar w:fldCharType="end"/>
                  </w:r>
                </w:p>
              </w:tc>
              <w:tc>
                <w:tcPr>
                  <w:tcW w:w="1768" w:type="dxa"/>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fldChar w:fldCharType="begin"/>
                  </w:r>
                  <w:r>
                    <w:rPr>
                      <w:sz w:val="21"/>
                      <w:szCs w:val="21"/>
                    </w:rPr>
                    <w:instrText xml:space="preserve"> = 1 \* ROMAN </w:instrText>
                  </w:r>
                  <w:r>
                    <w:rPr>
                      <w:sz w:val="21"/>
                      <w:szCs w:val="21"/>
                    </w:rPr>
                    <w:fldChar w:fldCharType="separate"/>
                  </w:r>
                  <w:r>
                    <w:rPr>
                      <w:sz w:val="21"/>
                      <w:szCs w:val="21"/>
                    </w:rPr>
                    <w:t>I</w:t>
                  </w:r>
                  <w:r>
                    <w:rPr>
                      <w:sz w:val="21"/>
                      <w:szCs w:val="21"/>
                    </w:rPr>
                    <w:fldChar w:fldCharType="end"/>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68" w:type="dxa"/>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评价工作等级</w:t>
                  </w:r>
                </w:p>
              </w:tc>
              <w:tc>
                <w:tcPr>
                  <w:tcW w:w="1768" w:type="dxa"/>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一</w:t>
                  </w:r>
                </w:p>
              </w:tc>
              <w:tc>
                <w:tcPr>
                  <w:tcW w:w="1768" w:type="dxa"/>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二</w:t>
                  </w:r>
                </w:p>
              </w:tc>
              <w:tc>
                <w:tcPr>
                  <w:tcW w:w="1768" w:type="dxa"/>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三</w:t>
                  </w:r>
                </w:p>
              </w:tc>
              <w:tc>
                <w:tcPr>
                  <w:tcW w:w="1768" w:type="dxa"/>
                  <w:vAlign w:val="center"/>
                </w:tcPr>
                <w:p>
                  <w:pPr>
                    <w:keepNext w:val="0"/>
                    <w:keepLines w:val="0"/>
                    <w:suppressLineNumbers w:val="0"/>
                    <w:spacing w:before="0" w:beforeAutospacing="0" w:after="0" w:afterAutospacing="0" w:line="240" w:lineRule="auto"/>
                    <w:ind w:left="0" w:right="0" w:firstLine="0" w:firstLineChars="0"/>
                    <w:jc w:val="center"/>
                    <w:rPr>
                      <w:sz w:val="21"/>
                      <w:szCs w:val="21"/>
                      <w:vertAlign w:val="superscript"/>
                    </w:rPr>
                  </w:pPr>
                  <w:r>
                    <w:rPr>
                      <w:sz w:val="21"/>
                      <w:szCs w:val="21"/>
                    </w:rPr>
                    <w:t>简单分析</w:t>
                  </w:r>
                </w:p>
              </w:tc>
            </w:tr>
          </w:tbl>
          <w:p>
            <w:pPr>
              <w:keepNext w:val="0"/>
              <w:keepLines w:val="0"/>
              <w:suppressLineNumbers w:val="0"/>
              <w:spacing w:before="0" w:beforeAutospacing="0" w:after="0" w:afterAutospacing="0"/>
              <w:ind w:left="0" w:right="0" w:firstLine="480"/>
              <w:jc w:val="both"/>
            </w:pPr>
            <w:r>
              <w:rPr>
                <w:rFonts w:hint="eastAsia"/>
              </w:rPr>
              <w:t>根据表7-16，本项目的风险评价工作等级为简单分析</w:t>
            </w:r>
            <w:r>
              <w:t>。</w:t>
            </w:r>
          </w:p>
          <w:p>
            <w:pPr>
              <w:keepNext w:val="0"/>
              <w:keepLines w:val="0"/>
              <w:suppressLineNumbers w:val="0"/>
              <w:spacing w:before="0" w:beforeAutospacing="0" w:after="0" w:afterAutospacing="0"/>
              <w:ind w:left="0" w:right="0" w:firstLine="480"/>
              <w:jc w:val="both"/>
            </w:pPr>
            <w:r>
              <w:rPr>
                <w:rFonts w:hint="eastAsia"/>
              </w:rPr>
              <w:t>（3）环境敏感目标</w:t>
            </w:r>
          </w:p>
          <w:p>
            <w:pPr>
              <w:keepNext w:val="0"/>
              <w:keepLines w:val="0"/>
              <w:suppressLineNumbers w:val="0"/>
              <w:spacing w:before="0" w:beforeAutospacing="0" w:after="0" w:afterAutospacing="0"/>
              <w:ind w:left="0" w:right="0" w:firstLine="480"/>
              <w:jc w:val="both"/>
            </w:pPr>
            <w:r>
              <w:rPr>
                <w:rFonts w:hint="eastAsia"/>
              </w:rPr>
              <w:t>乙炔主要的环境风险来源于泄露时对大气环境造成的影响，影响范围约为200m，废机油泄露的主要影响途径为土壤环境，本项目周边无土壤环境敏感目标。根据现状调查，厂区周围（200m范围）的大气环境敏感目标见下表7-17。</w:t>
            </w:r>
          </w:p>
          <w:p>
            <w:pPr>
              <w:keepNext w:val="0"/>
              <w:keepLines w:val="0"/>
              <w:suppressLineNumbers w:val="0"/>
              <w:spacing w:before="0" w:beforeAutospacing="0" w:after="0" w:afterAutospacing="0" w:line="240" w:lineRule="auto"/>
              <w:ind w:left="0" w:right="0" w:firstLine="0" w:firstLineChars="0"/>
              <w:jc w:val="center"/>
              <w:rPr>
                <w:b/>
                <w:sz w:val="21"/>
                <w:szCs w:val="21"/>
              </w:rPr>
            </w:pPr>
            <w:r>
              <w:rPr>
                <w:rFonts w:hint="eastAsia"/>
                <w:b/>
                <w:sz w:val="21"/>
                <w:szCs w:val="21"/>
              </w:rPr>
              <w:t>表7-17 本项目环境风险敏感目标</w:t>
            </w:r>
          </w:p>
          <w:tbl>
            <w:tblPr>
              <w:tblStyle w:val="1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64"/>
              <w:gridCol w:w="3299"/>
              <w:gridCol w:w="1753"/>
              <w:gridCol w:w="23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522"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b/>
                      <w:sz w:val="21"/>
                      <w:szCs w:val="21"/>
                    </w:rPr>
                    <w:t>序号</w:t>
                  </w:r>
                </w:p>
              </w:tc>
              <w:tc>
                <w:tcPr>
                  <w:tcW w:w="1993"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b/>
                      <w:sz w:val="21"/>
                      <w:szCs w:val="21"/>
                    </w:rPr>
                    <w:t>保护对象</w:t>
                  </w:r>
                </w:p>
              </w:tc>
              <w:tc>
                <w:tcPr>
                  <w:tcW w:w="1059"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b/>
                      <w:sz w:val="21"/>
                      <w:szCs w:val="21"/>
                    </w:rPr>
                    <w:t>相对方位</w:t>
                  </w:r>
                </w:p>
              </w:tc>
              <w:tc>
                <w:tcPr>
                  <w:tcW w:w="1426"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b/>
                      <w:sz w:val="21"/>
                      <w:szCs w:val="21"/>
                    </w:rPr>
                  </w:pPr>
                  <w:r>
                    <w:rPr>
                      <w:b/>
                      <w:sz w:val="21"/>
                      <w:szCs w:val="21"/>
                    </w:rPr>
                    <w:t>相对距离（m）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22"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993"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059"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426"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22"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1</w:t>
                  </w:r>
                </w:p>
              </w:tc>
              <w:tc>
                <w:tcPr>
                  <w:tcW w:w="199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昆明银华工贸有限公司路桥分公司办公楼</w:t>
                  </w:r>
                </w:p>
              </w:tc>
              <w:tc>
                <w:tcPr>
                  <w:tcW w:w="1059"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南</w:t>
                  </w:r>
                </w:p>
              </w:tc>
              <w:tc>
                <w:tcPr>
                  <w:tcW w:w="1426"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60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22"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2</w:t>
                  </w:r>
                </w:p>
              </w:tc>
              <w:tc>
                <w:tcPr>
                  <w:tcW w:w="199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云南联达钢结构制造有限公司办公楼</w:t>
                  </w:r>
                </w:p>
              </w:tc>
              <w:tc>
                <w:tcPr>
                  <w:tcW w:w="1059"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东</w:t>
                  </w:r>
                </w:p>
              </w:tc>
              <w:tc>
                <w:tcPr>
                  <w:tcW w:w="1426"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22"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3</w:t>
                  </w:r>
                </w:p>
              </w:tc>
              <w:tc>
                <w:tcPr>
                  <w:tcW w:w="199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哨菁居民点</w:t>
                  </w:r>
                  <w:r>
                    <w:rPr>
                      <w:sz w:val="21"/>
                      <w:szCs w:val="21"/>
                    </w:rPr>
                    <w:t>1</w:t>
                  </w:r>
                </w:p>
              </w:tc>
              <w:tc>
                <w:tcPr>
                  <w:tcW w:w="1059"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东北</w:t>
                  </w:r>
                </w:p>
              </w:tc>
              <w:tc>
                <w:tcPr>
                  <w:tcW w:w="1426"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135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22"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4</w:t>
                  </w:r>
                </w:p>
              </w:tc>
              <w:tc>
                <w:tcPr>
                  <w:tcW w:w="199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哨菁居民点</w:t>
                  </w:r>
                  <w:r>
                    <w:rPr>
                      <w:sz w:val="21"/>
                      <w:szCs w:val="21"/>
                    </w:rPr>
                    <w:t>2</w:t>
                  </w:r>
                </w:p>
              </w:tc>
              <w:tc>
                <w:tcPr>
                  <w:tcW w:w="1059"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西北</w:t>
                  </w:r>
                </w:p>
              </w:tc>
              <w:tc>
                <w:tcPr>
                  <w:tcW w:w="1426"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141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22"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p>
              </w:tc>
              <w:tc>
                <w:tcPr>
                  <w:tcW w:w="199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哨菁安置小区</w:t>
                  </w:r>
                </w:p>
              </w:tc>
              <w:tc>
                <w:tcPr>
                  <w:tcW w:w="1059"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rFonts w:hint="eastAsia"/>
                      <w:sz w:val="21"/>
                      <w:szCs w:val="21"/>
                    </w:rPr>
                    <w:t>北</w:t>
                  </w:r>
                </w:p>
              </w:tc>
              <w:tc>
                <w:tcPr>
                  <w:tcW w:w="1426" w:type="pct"/>
                  <w:vAlign w:val="center"/>
                </w:tcPr>
                <w:p>
                  <w:pPr>
                    <w:keepNext w:val="0"/>
                    <w:keepLines w:val="0"/>
                    <w:suppressLineNumbers w:val="0"/>
                    <w:snapToGrid w:val="0"/>
                    <w:spacing w:before="0" w:beforeAutospacing="0" w:after="0" w:afterAutospacing="0" w:line="240" w:lineRule="auto"/>
                    <w:ind w:left="0" w:right="0" w:firstLine="0" w:firstLineChars="0"/>
                    <w:jc w:val="center"/>
                    <w:rPr>
                      <w:sz w:val="21"/>
                      <w:szCs w:val="21"/>
                    </w:rPr>
                  </w:pPr>
                  <w:r>
                    <w:rPr>
                      <w:sz w:val="21"/>
                      <w:szCs w:val="21"/>
                    </w:rPr>
                    <w:t>95</w:t>
                  </w:r>
                </w:p>
              </w:tc>
            </w:tr>
          </w:tbl>
          <w:p>
            <w:pPr>
              <w:keepNext w:val="0"/>
              <w:keepLines w:val="0"/>
              <w:suppressLineNumbers w:val="0"/>
              <w:spacing w:before="0" w:beforeAutospacing="0" w:after="0" w:afterAutospacing="0"/>
              <w:ind w:left="0" w:right="0" w:firstLine="480"/>
              <w:jc w:val="both"/>
            </w:pPr>
            <w:r>
              <w:rPr>
                <w:rFonts w:hint="eastAsia"/>
              </w:rPr>
              <w:t>（4）环境风险事故类型及环境影响</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1 \* GB3 </w:instrText>
            </w:r>
            <w:r>
              <w:rPr>
                <w:rFonts w:hint="eastAsia"/>
              </w:rPr>
              <w:fldChar w:fldCharType="separate"/>
            </w:r>
            <w:r>
              <w:rPr>
                <w:rFonts w:hint="eastAsia"/>
              </w:rPr>
              <w:t>①</w:t>
            </w:r>
            <w:r>
              <w:rPr>
                <w:rFonts w:hint="eastAsia"/>
              </w:rPr>
              <w:fldChar w:fldCharType="end"/>
            </w:r>
            <w:r>
              <w:rPr>
                <w:rFonts w:hint="eastAsia"/>
              </w:rPr>
              <w:t>矿物油在储存及使用过程中，由于操作不当、管理不善等原因造成泄漏，危险化学品泄漏，造成土壤、地下水污染。若泄露矿物油在遇到明火的情况下继而发生火灾事故，产生废气等二次污染物，对区域大气环境造成污染；危险化学品氧气、天然气因明火或发生碰撞、使用不当等原因造成爆炸事故。</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rPr>
                <w:rFonts w:hint="eastAsia"/>
              </w:rPr>
              <w:t>氧气瓶、乙炔瓶、二氧化碳气瓶附件损坏、丢失。氧气瓶的附件中有瓶阀、手轮、瓶帽和防震胶圈。瓶帽是为了防止气瓶瓶阀在搬运过程中被撞击而损坏，甚至被撞断使气体高速喷出，推动瓶阀和手轮向前高速飞动造成伤亡事故。氧气瓶和乙炔瓶如果一旦附件损坏，又遇到明火时就存在安全事故隐患。</w:t>
            </w:r>
          </w:p>
          <w:p>
            <w:pPr>
              <w:keepNext w:val="0"/>
              <w:keepLines w:val="0"/>
              <w:widowControl/>
              <w:suppressLineNumbers w:val="0"/>
              <w:spacing w:before="0" w:beforeAutospacing="0" w:after="0" w:afterAutospacing="0"/>
              <w:ind w:left="0" w:right="0" w:firstLine="480"/>
              <w:jc w:val="both"/>
            </w:pPr>
            <w:r>
              <w:rPr>
                <w:rFonts w:hint="eastAsia"/>
              </w:rPr>
              <w:fldChar w:fldCharType="begin"/>
            </w:r>
            <w:r>
              <w:instrText xml:space="preserve"> = 3 \* GB3 </w:instrText>
            </w:r>
            <w:r>
              <w:rPr>
                <w:rFonts w:hint="eastAsia"/>
              </w:rPr>
              <w:fldChar w:fldCharType="separate"/>
            </w:r>
            <w:r>
              <w:rPr>
                <w:rFonts w:hint="eastAsia"/>
              </w:rPr>
              <w:t>③</w:t>
            </w:r>
            <w:r>
              <w:rPr>
                <w:rFonts w:hint="eastAsia"/>
              </w:rPr>
              <w:fldChar w:fldCharType="end"/>
            </w:r>
            <w:r>
              <w:rPr>
                <w:rFonts w:hint="eastAsia"/>
              </w:rPr>
              <w:t>储气瓶太阳暴晒。储气瓶的容积是有限的，曝晒会使瓶内介质温度升高，导致瓶内压力骤增，使气瓶处于危险状态。若在运输中没有采取遮阳措施，</w:t>
            </w:r>
            <w:r>
              <w:t>夏天使用时将气瓶置于太阳下暴晒。尤其是夏季公路温度经常达到30多度，倘若气瓶本身存在缺陷，充装过量或者相互撞击，就有可能发生爆炸事故。</w:t>
            </w:r>
          </w:p>
          <w:p>
            <w:pPr>
              <w:keepNext w:val="0"/>
              <w:keepLines w:val="0"/>
              <w:widowControl/>
              <w:suppressLineNumbers w:val="0"/>
              <w:spacing w:before="0" w:beforeAutospacing="0" w:after="0" w:afterAutospacing="0"/>
              <w:ind w:left="0" w:right="0" w:firstLine="480"/>
              <w:jc w:val="both"/>
            </w:pPr>
            <w:r>
              <w:rPr>
                <w:rFonts w:hint="eastAsia"/>
              </w:rPr>
              <w:fldChar w:fldCharType="begin"/>
            </w:r>
            <w:r>
              <w:instrText xml:space="preserve"> = 4 \* GB3 </w:instrText>
            </w:r>
            <w:r>
              <w:rPr>
                <w:rFonts w:hint="eastAsia"/>
              </w:rPr>
              <w:fldChar w:fldCharType="separate"/>
            </w:r>
            <w:r>
              <w:rPr>
                <w:rFonts w:hint="eastAsia"/>
              </w:rPr>
              <w:t>④</w:t>
            </w:r>
            <w:r>
              <w:rPr>
                <w:rFonts w:hint="eastAsia"/>
              </w:rPr>
              <w:fldChar w:fldCharType="end"/>
            </w:r>
            <w:r>
              <w:t>安全距离不够。《气瓶安全监察规程》规定，氧气瓶使用时必须距明火10米以外，贮存时严禁和乙炔瓶同室存放。若焊接作业时氧气瓶距焊接点的距离不够10米，氧气瓶、乙炔瓶同室存放的现象，一旦气瓶漏气，遇上明火发生爆炸，将造成严重后果。</w:t>
            </w:r>
          </w:p>
          <w:p>
            <w:pPr>
              <w:keepNext w:val="0"/>
              <w:keepLines w:val="0"/>
              <w:widowControl/>
              <w:suppressLineNumbers w:val="0"/>
              <w:spacing w:before="0" w:beforeAutospacing="0" w:after="0" w:afterAutospacing="0"/>
              <w:ind w:left="0" w:right="0" w:firstLine="480"/>
              <w:jc w:val="both"/>
            </w:pPr>
            <w:r>
              <w:rPr>
                <w:rFonts w:hint="eastAsia"/>
              </w:rPr>
              <w:fldChar w:fldCharType="begin"/>
            </w:r>
            <w:r>
              <w:instrText xml:space="preserve"> = 5 \* GB3 </w:instrText>
            </w:r>
            <w:r>
              <w:rPr>
                <w:rFonts w:hint="eastAsia"/>
              </w:rPr>
              <w:fldChar w:fldCharType="separate"/>
            </w:r>
            <w:r>
              <w:rPr>
                <w:rFonts w:hint="eastAsia"/>
              </w:rPr>
              <w:t>⑤</w:t>
            </w:r>
            <w:r>
              <w:rPr>
                <w:rFonts w:hint="eastAsia"/>
              </w:rPr>
              <w:fldChar w:fldCharType="end"/>
            </w:r>
            <w:r>
              <w:t>野蛮装卸。在运输和使用中，野蛮装卸的现象很普遍，如短距离运输时，将氧气瓶用力推倒，然后顺地面滚动；车辆运输时固定不牢，气瓶相互碰撞，从车辆上直接向下推等等。这样容易引起同时爆炸的危险，一个爆炸引起另一个或是一堆氧气瓶的爆炸。</w:t>
            </w:r>
          </w:p>
          <w:p>
            <w:pPr>
              <w:pStyle w:val="8"/>
              <w:keepNext w:val="0"/>
              <w:keepLines w:val="0"/>
              <w:widowControl/>
              <w:suppressLineNumbers w:val="0"/>
              <w:spacing w:before="0" w:beforeAutospacing="0" w:after="0" w:afterAutospacing="0"/>
              <w:ind w:left="0" w:right="0" w:firstLine="480"/>
              <w:jc w:val="both"/>
            </w:pPr>
            <w:r>
              <w:t>本项目所使用的气体为外购的储气罐，在项目内的日常储存量很小，且使用量很小，因此，发生爆炸的概率也很小。</w:t>
            </w:r>
          </w:p>
          <w:p>
            <w:pPr>
              <w:keepNext w:val="0"/>
              <w:keepLines w:val="0"/>
              <w:suppressLineNumbers w:val="0"/>
              <w:adjustRightInd w:val="0"/>
              <w:spacing w:before="0" w:beforeAutospacing="0" w:after="0" w:afterAutospacing="0"/>
              <w:ind w:left="0" w:right="0" w:firstLine="360" w:firstLineChars="150"/>
              <w:jc w:val="both"/>
            </w:pPr>
            <w:r>
              <w:rPr>
                <w:rFonts w:hint="eastAsia"/>
              </w:rPr>
              <w:t>（5）</w:t>
            </w:r>
            <w:r>
              <w:t>风险管理及防范措施</w:t>
            </w:r>
          </w:p>
          <w:p>
            <w:pPr>
              <w:keepNext w:val="0"/>
              <w:keepLines w:val="0"/>
              <w:suppressLineNumbers w:val="0"/>
              <w:spacing w:before="0" w:beforeAutospacing="0" w:after="0" w:afterAutospacing="0"/>
              <w:ind w:left="0" w:right="0" w:firstLine="480"/>
              <w:jc w:val="both"/>
            </w:pPr>
            <w:r>
              <w:t>根据以上风险分析，必须严格按照氧气瓶、</w:t>
            </w:r>
            <w:r>
              <w:rPr>
                <w:rFonts w:hint="eastAsia"/>
              </w:rPr>
              <w:t>天然气</w:t>
            </w:r>
            <w:r>
              <w:t>瓶、二氧化碳气瓶的运输、存放规程进行，否则风险事故的发生将给企业和周边环境带来损失。本环评针对其存在的风险提出以下防范措施及应急措施：</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1 \* GB3 </w:instrText>
            </w:r>
            <w:r>
              <w:rPr>
                <w:rFonts w:hint="eastAsia"/>
              </w:rPr>
              <w:fldChar w:fldCharType="separate"/>
            </w:r>
            <w:r>
              <w:rPr>
                <w:rFonts w:hint="eastAsia"/>
              </w:rPr>
              <w:t>①</w:t>
            </w:r>
            <w:r>
              <w:rPr>
                <w:rFonts w:hint="eastAsia"/>
              </w:rPr>
              <w:fldChar w:fldCharType="end"/>
            </w:r>
            <w:r>
              <w:t xml:space="preserve">二氧化碳气瓶使用方法 </w:t>
            </w:r>
          </w:p>
          <w:p>
            <w:pPr>
              <w:keepNext w:val="0"/>
              <w:keepLines w:val="0"/>
              <w:suppressLineNumbers w:val="0"/>
              <w:spacing w:before="0" w:beforeAutospacing="0" w:after="0" w:afterAutospacing="0"/>
              <w:ind w:left="0" w:right="0" w:firstLine="480"/>
              <w:jc w:val="both"/>
            </w:pPr>
            <w:r>
              <w:rPr>
                <w:rFonts w:hint="eastAsia"/>
              </w:rPr>
              <w:t>A、</w:t>
            </w:r>
            <w:r>
              <w:t xml:space="preserve">使用前检查连接部位是否漏气，可涂上肥皂液进行检查，调整至确实不漏气后才进行使用。 </w:t>
            </w:r>
          </w:p>
          <w:p>
            <w:pPr>
              <w:keepNext w:val="0"/>
              <w:keepLines w:val="0"/>
              <w:suppressLineNumbers w:val="0"/>
              <w:spacing w:before="0" w:beforeAutospacing="0" w:after="0" w:afterAutospacing="0"/>
              <w:ind w:left="0" w:right="0" w:firstLine="480"/>
              <w:jc w:val="both"/>
            </w:pPr>
            <w:r>
              <w:rPr>
                <w:rFonts w:hint="eastAsia"/>
              </w:rPr>
              <w:t>B、</w:t>
            </w:r>
            <w:r>
              <w:t xml:space="preserve">使用时先逆时针打开钢瓶总开关，观察高压表读数，记录高压瓶内总的二氧化碳压力，然后顺时针转动低压表压力调节螺杆，使其压缩主弹簧将活门打开。这样进口的高压气体由高压室经节流减压后进入低压室，并经出口通往工作系统。 </w:t>
            </w:r>
          </w:p>
          <w:p>
            <w:pPr>
              <w:keepNext w:val="0"/>
              <w:keepLines w:val="0"/>
              <w:suppressLineNumbers w:val="0"/>
              <w:spacing w:before="0" w:beforeAutospacing="0" w:after="0" w:afterAutospacing="0"/>
              <w:ind w:left="0" w:right="0" w:firstLine="480"/>
              <w:jc w:val="both"/>
            </w:pPr>
            <w:r>
              <w:rPr>
                <w:rFonts w:hint="eastAsia"/>
              </w:rPr>
              <w:t>C、</w:t>
            </w:r>
            <w:r>
              <w:t>使用后，先顺时针关闭钢瓶总开关，再逆时针旋松减压阀。</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t>氧气瓶的安全使用：</w:t>
            </w:r>
          </w:p>
          <w:p>
            <w:pPr>
              <w:keepNext w:val="0"/>
              <w:keepLines w:val="0"/>
              <w:suppressLineNumbers w:val="0"/>
              <w:spacing w:before="0" w:beforeAutospacing="0" w:after="0" w:afterAutospacing="0"/>
              <w:ind w:left="0" w:right="0" w:firstLine="480"/>
              <w:jc w:val="both"/>
            </w:pPr>
            <w:r>
              <w:t>为保障氧气瓶的使用安全，国家先后颁布了《气瓶安全监察规程》《溶解乙炔气瓶安全监察规程》《永久气体气瓶充装规定》等法规和标准，对氧气瓶的设计、制造、检验、充装和使用等都做了科学和明确的规定。</w:t>
            </w:r>
          </w:p>
          <w:p>
            <w:pPr>
              <w:keepNext w:val="0"/>
              <w:keepLines w:val="0"/>
              <w:suppressLineNumbers w:val="0"/>
              <w:spacing w:before="0" w:beforeAutospacing="0" w:after="0" w:afterAutospacing="0"/>
              <w:ind w:left="0" w:right="0" w:firstLine="480"/>
              <w:jc w:val="both"/>
            </w:pPr>
            <w:r>
              <w:rPr>
                <w:rFonts w:hint="eastAsia"/>
              </w:rPr>
              <w:t>A、</w:t>
            </w:r>
            <w:r>
              <w:t>使用的氧气瓶必须是国家定点厂家生产的。新瓶必须有合格证和锅炉压力容器安全监察部门出具的检验证书。</w:t>
            </w:r>
          </w:p>
          <w:p>
            <w:pPr>
              <w:keepNext w:val="0"/>
              <w:keepLines w:val="0"/>
              <w:suppressLineNumbers w:val="0"/>
              <w:spacing w:before="0" w:beforeAutospacing="0" w:after="0" w:afterAutospacing="0"/>
              <w:ind w:left="0" w:right="0" w:firstLine="480"/>
              <w:jc w:val="both"/>
            </w:pPr>
            <w:r>
              <w:rPr>
                <w:rFonts w:hint="eastAsia"/>
              </w:rPr>
              <w:t>B、</w:t>
            </w:r>
            <w:r>
              <w:t>氧气瓶必须按规定定期检验。超期的气瓶严禁充装。</w:t>
            </w:r>
          </w:p>
          <w:p>
            <w:pPr>
              <w:keepNext w:val="0"/>
              <w:keepLines w:val="0"/>
              <w:suppressLineNumbers w:val="0"/>
              <w:spacing w:before="0" w:beforeAutospacing="0" w:after="0" w:afterAutospacing="0"/>
              <w:ind w:left="0" w:right="0" w:firstLine="480"/>
              <w:jc w:val="both"/>
            </w:pPr>
            <w:r>
              <w:rPr>
                <w:rFonts w:hint="eastAsia"/>
              </w:rPr>
              <w:t>C、</w:t>
            </w:r>
            <w:r>
              <w:t>氧气瓶禁止与油脂接触。操作者不能穿有油污过多的工作服，不能用手、油手套和油工具接触氧气瓶及其附件。</w:t>
            </w:r>
          </w:p>
          <w:p>
            <w:pPr>
              <w:keepNext w:val="0"/>
              <w:keepLines w:val="0"/>
              <w:suppressLineNumbers w:val="0"/>
              <w:spacing w:before="0" w:beforeAutospacing="0" w:after="0" w:afterAutospacing="0"/>
              <w:ind w:left="0" w:right="0" w:firstLine="480"/>
              <w:jc w:val="both"/>
            </w:pPr>
            <w:r>
              <w:rPr>
                <w:rFonts w:hint="eastAsia"/>
              </w:rPr>
              <w:t>D、</w:t>
            </w:r>
            <w:r>
              <w:t>氧气瓶应远离易燃易爆物品，远离明火与热源，其使用安全距离应在10米以上，与乙炔瓶的距离应不少于3米，并不能同室存放。</w:t>
            </w:r>
          </w:p>
          <w:p>
            <w:pPr>
              <w:keepNext w:val="0"/>
              <w:keepLines w:val="0"/>
              <w:suppressLineNumbers w:val="0"/>
              <w:spacing w:before="0" w:beforeAutospacing="0" w:after="0" w:afterAutospacing="0"/>
              <w:ind w:left="0" w:right="0" w:firstLine="480"/>
              <w:jc w:val="both"/>
            </w:pPr>
            <w:r>
              <w:rPr>
                <w:rFonts w:hint="eastAsia"/>
              </w:rPr>
              <w:t>E、</w:t>
            </w:r>
            <w:r>
              <w:t>冬季使用氧气瓶，如遇瓶阀或减压器冻结，可用开水或蒸气解冻，禁止明火烘烤。</w:t>
            </w:r>
          </w:p>
          <w:p>
            <w:pPr>
              <w:keepNext w:val="0"/>
              <w:keepLines w:val="0"/>
              <w:suppressLineNumbers w:val="0"/>
              <w:spacing w:before="0" w:beforeAutospacing="0" w:after="0" w:afterAutospacing="0"/>
              <w:ind w:left="0" w:right="0" w:firstLine="480"/>
              <w:jc w:val="both"/>
            </w:pPr>
            <w:r>
              <w:rPr>
                <w:rFonts w:hint="eastAsia"/>
              </w:rPr>
              <w:t>F、</w:t>
            </w:r>
            <w:r>
              <w:t>氧气瓶内的氧气不应用尽，要求保留0.1MPa以上的余压以防止其它气体倒流进入瓶内。</w:t>
            </w:r>
          </w:p>
          <w:p>
            <w:pPr>
              <w:keepNext w:val="0"/>
              <w:keepLines w:val="0"/>
              <w:suppressLineNumbers w:val="0"/>
              <w:spacing w:before="0" w:beforeAutospacing="0" w:after="0" w:afterAutospacing="0"/>
              <w:ind w:left="0" w:right="0" w:firstLine="480"/>
              <w:jc w:val="both"/>
            </w:pPr>
            <w:r>
              <w:rPr>
                <w:rFonts w:hint="eastAsia"/>
              </w:rPr>
              <w:t>G、</w:t>
            </w:r>
            <w:r>
              <w:t>与电焊工同在一处作业时，为防止气瓶带电，应在瓶底加绝缘垫。与气瓶接触的管道设备应设接地装置，防止因产生静电而引起火灾和爆炸。在同一场地进行焊接作业时，氧气瓶要保证绝缘，气瓶不可导电。</w:t>
            </w:r>
          </w:p>
          <w:p>
            <w:pPr>
              <w:keepNext w:val="0"/>
              <w:keepLines w:val="0"/>
              <w:suppressLineNumbers w:val="0"/>
              <w:spacing w:before="0" w:beforeAutospacing="0" w:after="0" w:afterAutospacing="0"/>
              <w:ind w:left="0" w:right="0" w:firstLine="480"/>
              <w:jc w:val="both"/>
            </w:pPr>
            <w:r>
              <w:rPr>
                <w:rFonts w:hint="eastAsia"/>
              </w:rPr>
              <w:t>H、</w:t>
            </w:r>
            <w:r>
              <w:t>安装减压器前，应先开启瓶阀吹掉瓶嘴处污物，开启瓶阀动作要轻缓，人要站在侧后面。</w:t>
            </w:r>
          </w:p>
          <w:p>
            <w:pPr>
              <w:keepNext w:val="0"/>
              <w:keepLines w:val="0"/>
              <w:suppressLineNumbers w:val="0"/>
              <w:spacing w:before="0" w:beforeAutospacing="0" w:after="0" w:afterAutospacing="0"/>
              <w:ind w:left="0" w:right="0" w:firstLine="480"/>
              <w:jc w:val="both"/>
            </w:pPr>
            <w:r>
              <w:rPr>
                <w:rFonts w:hint="eastAsia"/>
              </w:rPr>
              <w:t>I、</w:t>
            </w:r>
            <w:r>
              <w:t>夏季露天作业和运输时，氧气瓶要遮阳防止曝晒，避免气体膨胀造成超压。</w:t>
            </w:r>
          </w:p>
          <w:p>
            <w:pPr>
              <w:keepNext w:val="0"/>
              <w:keepLines w:val="0"/>
              <w:suppressLineNumbers w:val="0"/>
              <w:spacing w:before="0" w:beforeAutospacing="0" w:after="0" w:afterAutospacing="0"/>
              <w:ind w:left="0" w:right="0" w:firstLine="480"/>
              <w:jc w:val="both"/>
            </w:pPr>
            <w:r>
              <w:rPr>
                <w:rFonts w:hint="eastAsia"/>
              </w:rPr>
              <w:t>J、</w:t>
            </w:r>
            <w:r>
              <w:t>应随时检查氧气瓶的状态，防震胶圈要完好无损。为保护瓶阀，运输和储存时必须装配瓶帽。</w:t>
            </w:r>
          </w:p>
          <w:p>
            <w:pPr>
              <w:keepNext w:val="0"/>
              <w:keepLines w:val="0"/>
              <w:widowControl/>
              <w:suppressLineNumbers w:val="0"/>
              <w:spacing w:before="0" w:beforeAutospacing="0" w:after="0" w:afterAutospacing="0"/>
              <w:ind w:left="0" w:right="0" w:firstLine="480"/>
              <w:jc w:val="both"/>
            </w:pPr>
            <w:r>
              <w:t>7 、环境风险评价结论</w:t>
            </w:r>
          </w:p>
          <w:p>
            <w:pPr>
              <w:pStyle w:val="33"/>
              <w:keepNext w:val="0"/>
              <w:keepLines w:val="0"/>
              <w:suppressLineNumbers w:val="0"/>
              <w:spacing w:before="0" w:beforeAutospacing="0" w:after="0" w:afterAutospacing="0"/>
              <w:ind w:left="0" w:right="0" w:firstLine="480"/>
              <w:rPr>
                <w:rFonts w:ascii="Times New Roman" w:hAnsi="Times New Roman"/>
                <w:kern w:val="0"/>
              </w:rPr>
            </w:pPr>
            <w:r>
              <w:rPr>
                <w:rFonts w:ascii="Times New Roman" w:hAnsi="Times New Roman"/>
                <w:kern w:val="0"/>
              </w:rPr>
              <w:t>本项目环境风险简单分析内容见表7-18。</w:t>
            </w:r>
          </w:p>
          <w:p>
            <w:pPr>
              <w:pStyle w:val="33"/>
              <w:keepNext w:val="0"/>
              <w:keepLines w:val="0"/>
              <w:suppressLineNumbers w:val="0"/>
              <w:spacing w:beforeAutospacing="0" w:after="0" w:afterAutospacing="0" w:line="240" w:lineRule="auto"/>
              <w:ind w:left="0" w:right="0" w:firstLine="422"/>
              <w:jc w:val="center"/>
              <w:rPr>
                <w:rFonts w:ascii="Times New Roman" w:hAnsi="Times New Roman"/>
                <w:b/>
                <w:kern w:val="0"/>
                <w:sz w:val="21"/>
                <w:szCs w:val="21"/>
              </w:rPr>
            </w:pPr>
            <w:r>
              <w:rPr>
                <w:rFonts w:ascii="Times New Roman" w:hAnsi="Times New Roman"/>
                <w:b/>
                <w:kern w:val="0"/>
                <w:sz w:val="21"/>
                <w:szCs w:val="21"/>
              </w:rPr>
              <w:t>表7-18建设项目环境风险简单分析内容表</w:t>
            </w:r>
          </w:p>
          <w:tbl>
            <w:tblPr>
              <w:tblStyle w:val="19"/>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62"/>
              <w:gridCol w:w="1722"/>
              <w:gridCol w:w="2199"/>
              <w:gridCol w:w="1286"/>
              <w:gridCol w:w="170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504" w:type="dxa"/>
                  <w:vAlign w:val="center"/>
                </w:tcPr>
                <w:p>
                  <w:pPr>
                    <w:pStyle w:val="33"/>
                    <w:keepNext w:val="0"/>
                    <w:keepLines w:val="0"/>
                    <w:suppressLineNumbers w:val="0"/>
                    <w:spacing w:beforeAutospacing="0" w:after="0" w:afterAutospacing="0" w:line="240" w:lineRule="auto"/>
                    <w:ind w:left="0" w:right="0" w:firstLine="0" w:firstLineChars="0"/>
                    <w:jc w:val="center"/>
                    <w:rPr>
                      <w:rFonts w:ascii="Times New Roman" w:hAnsi="Times New Roman"/>
                      <w:kern w:val="0"/>
                      <w:sz w:val="21"/>
                      <w:szCs w:val="21"/>
                    </w:rPr>
                  </w:pPr>
                  <w:r>
                    <w:rPr>
                      <w:rFonts w:ascii="Times New Roman" w:hAnsi="Times New Roman"/>
                      <w:kern w:val="0"/>
                      <w:sz w:val="21"/>
                      <w:szCs w:val="21"/>
                    </w:rPr>
                    <w:t>建设项目名称</w:t>
                  </w:r>
                </w:p>
              </w:tc>
              <w:tc>
                <w:tcPr>
                  <w:tcW w:w="7321" w:type="dxa"/>
                  <w:gridSpan w:val="4"/>
                  <w:vAlign w:val="center"/>
                </w:tcPr>
                <w:p>
                  <w:pPr>
                    <w:pStyle w:val="33"/>
                    <w:keepNext w:val="0"/>
                    <w:keepLines w:val="0"/>
                    <w:suppressLineNumbers w:val="0"/>
                    <w:tabs>
                      <w:tab w:val="left" w:pos="1182"/>
                    </w:tabs>
                    <w:spacing w:beforeAutospacing="0" w:afterAutospacing="0" w:line="240" w:lineRule="auto"/>
                    <w:ind w:left="0" w:right="0" w:firstLine="0" w:firstLineChars="0"/>
                    <w:rPr>
                      <w:rFonts w:ascii="Times New Roman" w:hAnsi="Times New Roman"/>
                      <w:kern w:val="0"/>
                      <w:sz w:val="21"/>
                      <w:szCs w:val="21"/>
                    </w:rPr>
                  </w:pPr>
                  <w:r>
                    <w:rPr>
                      <w:rFonts w:hint="eastAsia"/>
                      <w:sz w:val="21"/>
                      <w:szCs w:val="21"/>
                    </w:rPr>
                    <w:t>年产3万吨钢模及爬模设备生产线建设项目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504" w:type="dxa"/>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kern w:val="0"/>
                      <w:sz w:val="21"/>
                      <w:szCs w:val="21"/>
                    </w:rPr>
                  </w:pPr>
                  <w:r>
                    <w:rPr>
                      <w:rFonts w:ascii="Times New Roman" w:hAnsi="Times New Roman"/>
                      <w:kern w:val="0"/>
                      <w:sz w:val="21"/>
                      <w:szCs w:val="21"/>
                    </w:rPr>
                    <w:t>建设地点</w:t>
                  </w:r>
                </w:p>
              </w:tc>
              <w:tc>
                <w:tcPr>
                  <w:tcW w:w="7321" w:type="dxa"/>
                  <w:gridSpan w:val="4"/>
                  <w:vAlign w:val="center"/>
                </w:tcPr>
                <w:p>
                  <w:pPr>
                    <w:pStyle w:val="33"/>
                    <w:keepNext w:val="0"/>
                    <w:keepLines w:val="0"/>
                    <w:suppressLineNumbers w:val="0"/>
                    <w:spacing w:beforeAutospacing="0" w:afterAutospacing="0" w:line="240" w:lineRule="auto"/>
                    <w:ind w:left="0" w:right="0" w:firstLine="0" w:firstLineChars="0"/>
                    <w:rPr>
                      <w:rFonts w:ascii="Times New Roman" w:hAnsi="Times New Roman"/>
                      <w:kern w:val="0"/>
                      <w:sz w:val="21"/>
                      <w:szCs w:val="21"/>
                    </w:rPr>
                  </w:pPr>
                  <w:r>
                    <w:rPr>
                      <w:sz w:val="21"/>
                      <w:szCs w:val="21"/>
                    </w:rPr>
                    <w:t>富民县工业园</w:t>
                  </w:r>
                  <w:r>
                    <w:rPr>
                      <w:rFonts w:hint="eastAsia"/>
                      <w:sz w:val="21"/>
                      <w:szCs w:val="21"/>
                    </w:rPr>
                    <w:t>区</w:t>
                  </w:r>
                  <w:r>
                    <w:rPr>
                      <w:sz w:val="21"/>
                      <w:szCs w:val="21"/>
                    </w:rPr>
                    <w:t>哨菁机械加工园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504" w:type="dxa"/>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kern w:val="0"/>
                      <w:sz w:val="21"/>
                      <w:szCs w:val="21"/>
                    </w:rPr>
                  </w:pPr>
                  <w:r>
                    <w:rPr>
                      <w:rFonts w:ascii="Times New Roman" w:hAnsi="Times New Roman"/>
                      <w:kern w:val="0"/>
                      <w:sz w:val="21"/>
                      <w:szCs w:val="21"/>
                    </w:rPr>
                    <w:t>地理坐标</w:t>
                  </w:r>
                </w:p>
              </w:tc>
              <w:tc>
                <w:tcPr>
                  <w:tcW w:w="1919" w:type="dxa"/>
                  <w:vAlign w:val="center"/>
                </w:tcPr>
                <w:p>
                  <w:pPr>
                    <w:pStyle w:val="33"/>
                    <w:keepNext w:val="0"/>
                    <w:keepLines w:val="0"/>
                    <w:suppressLineNumbers w:val="0"/>
                    <w:spacing w:beforeAutospacing="0" w:afterAutospacing="0" w:line="240" w:lineRule="auto"/>
                    <w:ind w:left="0" w:right="0" w:firstLine="0" w:firstLineChars="0"/>
                    <w:rPr>
                      <w:rFonts w:ascii="Times New Roman" w:hAnsi="Times New Roman"/>
                      <w:kern w:val="0"/>
                      <w:sz w:val="21"/>
                      <w:szCs w:val="21"/>
                    </w:rPr>
                  </w:pPr>
                  <w:r>
                    <w:rPr>
                      <w:rFonts w:ascii="Times New Roman" w:hAnsi="Times New Roman"/>
                      <w:kern w:val="0"/>
                      <w:sz w:val="21"/>
                      <w:szCs w:val="21"/>
                    </w:rPr>
                    <w:t>经度</w:t>
                  </w:r>
                </w:p>
              </w:tc>
              <w:tc>
                <w:tcPr>
                  <w:tcW w:w="2268" w:type="dxa"/>
                  <w:vAlign w:val="center"/>
                </w:tcPr>
                <w:p>
                  <w:pPr>
                    <w:pStyle w:val="33"/>
                    <w:keepNext w:val="0"/>
                    <w:keepLines w:val="0"/>
                    <w:suppressLineNumbers w:val="0"/>
                    <w:spacing w:beforeAutospacing="0" w:afterAutospacing="0" w:line="240" w:lineRule="auto"/>
                    <w:ind w:left="0" w:right="0" w:firstLine="0" w:firstLineChars="0"/>
                    <w:rPr>
                      <w:rFonts w:ascii="Times New Roman" w:hAnsi="Times New Roman"/>
                      <w:kern w:val="0"/>
                      <w:sz w:val="21"/>
                      <w:szCs w:val="21"/>
                    </w:rPr>
                  </w:pPr>
                  <w:r>
                    <w:rPr>
                      <w:rFonts w:ascii="Times New Roman" w:hAnsi="Times New Roman"/>
                      <w:sz w:val="21"/>
                      <w:szCs w:val="21"/>
                    </w:rPr>
                    <w:t>102°27′52.73133″</w:t>
                  </w:r>
                </w:p>
              </w:tc>
              <w:tc>
                <w:tcPr>
                  <w:tcW w:w="1417" w:type="dxa"/>
                  <w:vAlign w:val="center"/>
                </w:tcPr>
                <w:p>
                  <w:pPr>
                    <w:pStyle w:val="33"/>
                    <w:keepNext w:val="0"/>
                    <w:keepLines w:val="0"/>
                    <w:suppressLineNumbers w:val="0"/>
                    <w:spacing w:beforeAutospacing="0" w:afterAutospacing="0" w:line="240" w:lineRule="auto"/>
                    <w:ind w:left="0" w:right="0" w:firstLine="0" w:firstLineChars="0"/>
                    <w:rPr>
                      <w:rFonts w:ascii="Times New Roman" w:hAnsi="Times New Roman"/>
                      <w:kern w:val="0"/>
                      <w:sz w:val="21"/>
                      <w:szCs w:val="21"/>
                    </w:rPr>
                  </w:pPr>
                  <w:r>
                    <w:rPr>
                      <w:rFonts w:ascii="Times New Roman" w:hAnsi="Times New Roman"/>
                      <w:kern w:val="0"/>
                      <w:sz w:val="21"/>
                      <w:szCs w:val="21"/>
                    </w:rPr>
                    <w:t>纬度</w:t>
                  </w:r>
                </w:p>
              </w:tc>
              <w:tc>
                <w:tcPr>
                  <w:tcW w:w="1717" w:type="dxa"/>
                  <w:vAlign w:val="center"/>
                </w:tcPr>
                <w:p>
                  <w:pPr>
                    <w:pStyle w:val="33"/>
                    <w:keepNext w:val="0"/>
                    <w:keepLines w:val="0"/>
                    <w:suppressLineNumbers w:val="0"/>
                    <w:spacing w:beforeAutospacing="0" w:afterAutospacing="0" w:line="240" w:lineRule="auto"/>
                    <w:ind w:left="0" w:right="0" w:firstLine="0" w:firstLineChars="0"/>
                    <w:rPr>
                      <w:rFonts w:ascii="Times New Roman" w:hAnsi="Times New Roman"/>
                      <w:kern w:val="0"/>
                      <w:sz w:val="21"/>
                      <w:szCs w:val="21"/>
                    </w:rPr>
                  </w:pPr>
                  <w:r>
                    <w:rPr>
                      <w:rFonts w:ascii="Times New Roman" w:hAnsi="Times New Roman"/>
                      <w:sz w:val="21"/>
                      <w:szCs w:val="21"/>
                    </w:rPr>
                    <w:t>25°15′57.80312″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504" w:type="dxa"/>
                  <w:vAlign w:val="center"/>
                </w:tcPr>
                <w:p>
                  <w:pPr>
                    <w:pStyle w:val="33"/>
                    <w:keepNext w:val="0"/>
                    <w:keepLines w:val="0"/>
                    <w:suppressLineNumbers w:val="0"/>
                    <w:spacing w:beforeAutospacing="0" w:afterAutospacing="0" w:line="240" w:lineRule="auto"/>
                    <w:ind w:left="0" w:right="0" w:firstLine="0" w:firstLineChars="0"/>
                    <w:jc w:val="center"/>
                    <w:rPr>
                      <w:rFonts w:ascii="Times New Roman" w:hAnsi="Times New Roman"/>
                      <w:kern w:val="0"/>
                      <w:sz w:val="21"/>
                      <w:szCs w:val="21"/>
                    </w:rPr>
                  </w:pPr>
                  <w:r>
                    <w:rPr>
                      <w:rFonts w:ascii="Times New Roman" w:hAnsi="Times New Roman"/>
                      <w:kern w:val="0"/>
                      <w:sz w:val="21"/>
                      <w:szCs w:val="21"/>
                    </w:rPr>
                    <w:t>主要危险物质及分布</w:t>
                  </w:r>
                </w:p>
              </w:tc>
              <w:tc>
                <w:tcPr>
                  <w:tcW w:w="7321" w:type="dxa"/>
                  <w:gridSpan w:val="4"/>
                  <w:vAlign w:val="center"/>
                </w:tcPr>
                <w:p>
                  <w:pPr>
                    <w:pStyle w:val="33"/>
                    <w:keepNext w:val="0"/>
                    <w:keepLines w:val="0"/>
                    <w:suppressLineNumbers w:val="0"/>
                    <w:spacing w:beforeAutospacing="0" w:afterAutospacing="0" w:line="240" w:lineRule="auto"/>
                    <w:ind w:left="0" w:right="0" w:firstLine="0" w:firstLineChars="0"/>
                    <w:rPr>
                      <w:rFonts w:ascii="Times New Roman" w:hAnsi="Times New Roman"/>
                      <w:kern w:val="0"/>
                      <w:sz w:val="21"/>
                      <w:szCs w:val="21"/>
                    </w:rPr>
                  </w:pPr>
                  <w:r>
                    <w:rPr>
                      <w:rFonts w:ascii="Times New Roman" w:hAnsi="Times New Roman"/>
                      <w:kern w:val="0"/>
                      <w:sz w:val="21"/>
                      <w:szCs w:val="21"/>
                    </w:rPr>
                    <w:t>本项目主要危险物质为</w:t>
                  </w:r>
                  <w:r>
                    <w:rPr>
                      <w:rFonts w:hint="eastAsia" w:ascii="Times New Roman" w:hAnsi="Times New Roman"/>
                      <w:kern w:val="0"/>
                      <w:sz w:val="21"/>
                      <w:szCs w:val="21"/>
                    </w:rPr>
                    <w:t>乙炔及废机油</w:t>
                  </w:r>
                  <w:r>
                    <w:rPr>
                      <w:rFonts w:ascii="Times New Roman" w:hAnsi="Times New Roman"/>
                      <w:kern w:val="0"/>
                      <w:sz w:val="21"/>
                      <w:szCs w:val="21"/>
                    </w:rPr>
                    <w:t>，</w:t>
                  </w:r>
                  <w:r>
                    <w:rPr>
                      <w:rFonts w:hint="eastAsia" w:ascii="Times New Roman" w:hAnsi="Times New Roman"/>
                      <w:kern w:val="0"/>
                      <w:sz w:val="21"/>
                      <w:szCs w:val="21"/>
                    </w:rPr>
                    <w:t>乙炔储存</w:t>
                  </w:r>
                  <w:r>
                    <w:rPr>
                      <w:rFonts w:ascii="Times New Roman" w:hAnsi="Times New Roman"/>
                      <w:kern w:val="0"/>
                      <w:sz w:val="21"/>
                      <w:szCs w:val="21"/>
                    </w:rPr>
                    <w:t>量约为</w:t>
                  </w:r>
                  <w:r>
                    <w:rPr>
                      <w:rFonts w:hint="eastAsia" w:ascii="Times New Roman" w:hAnsi="Times New Roman"/>
                      <w:kern w:val="0"/>
                      <w:sz w:val="21"/>
                      <w:szCs w:val="21"/>
                    </w:rPr>
                    <w:t>0.5t</w:t>
                  </w:r>
                  <w:r>
                    <w:rPr>
                      <w:rFonts w:ascii="Times New Roman" w:hAnsi="Times New Roman"/>
                      <w:kern w:val="0"/>
                      <w:sz w:val="21"/>
                      <w:szCs w:val="21"/>
                    </w:rPr>
                    <w:t>，存放于厂区的</w:t>
                  </w:r>
                  <w:r>
                    <w:rPr>
                      <w:rFonts w:hint="eastAsia" w:ascii="Times New Roman" w:hAnsi="Times New Roman"/>
                      <w:kern w:val="0"/>
                      <w:sz w:val="21"/>
                      <w:szCs w:val="21"/>
                    </w:rPr>
                    <w:t>生产车间内，储存方式为瓶装，废机油储存</w:t>
                  </w:r>
                  <w:r>
                    <w:rPr>
                      <w:rFonts w:ascii="Times New Roman" w:hAnsi="Times New Roman"/>
                      <w:kern w:val="0"/>
                      <w:sz w:val="21"/>
                      <w:szCs w:val="21"/>
                    </w:rPr>
                    <w:t>量约为</w:t>
                  </w:r>
                  <w:r>
                    <w:rPr>
                      <w:rFonts w:hint="eastAsia" w:ascii="Times New Roman" w:hAnsi="Times New Roman"/>
                      <w:kern w:val="0"/>
                      <w:sz w:val="21"/>
                      <w:szCs w:val="21"/>
                    </w:rPr>
                    <w:t>0.3t</w:t>
                  </w:r>
                  <w:r>
                    <w:rPr>
                      <w:rFonts w:ascii="Times New Roman" w:hAnsi="Times New Roman"/>
                      <w:kern w:val="0"/>
                      <w:sz w:val="21"/>
                      <w:szCs w:val="21"/>
                    </w:rPr>
                    <w:t>，存放于厂区的</w:t>
                  </w:r>
                  <w:r>
                    <w:rPr>
                      <w:rFonts w:hint="eastAsia" w:ascii="Times New Roman" w:hAnsi="Times New Roman"/>
                      <w:kern w:val="0"/>
                      <w:sz w:val="21"/>
                      <w:szCs w:val="21"/>
                    </w:rPr>
                    <w:t>危废暂存间内，储存方式为桶装。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504" w:type="dxa"/>
                  <w:vAlign w:val="center"/>
                </w:tcPr>
                <w:p>
                  <w:pPr>
                    <w:pStyle w:val="33"/>
                    <w:keepNext w:val="0"/>
                    <w:keepLines w:val="0"/>
                    <w:suppressLineNumbers w:val="0"/>
                    <w:spacing w:beforeAutospacing="0" w:afterAutospacing="0" w:line="240" w:lineRule="auto"/>
                    <w:ind w:left="0" w:right="0" w:firstLine="0" w:firstLineChars="0"/>
                    <w:rPr>
                      <w:rFonts w:ascii="Times New Roman" w:hAnsi="Times New Roman"/>
                      <w:kern w:val="0"/>
                      <w:sz w:val="21"/>
                      <w:szCs w:val="21"/>
                    </w:rPr>
                  </w:pPr>
                  <w:r>
                    <w:rPr>
                      <w:rFonts w:ascii="Times New Roman" w:hAnsi="Times New Roman"/>
                      <w:kern w:val="0"/>
                      <w:sz w:val="21"/>
                      <w:szCs w:val="21"/>
                    </w:rPr>
                    <w:t>环境影响途径及危害后果</w:t>
                  </w:r>
                </w:p>
              </w:tc>
              <w:tc>
                <w:tcPr>
                  <w:tcW w:w="7321" w:type="dxa"/>
                  <w:gridSpan w:val="4"/>
                  <w:vAlign w:val="center"/>
                </w:tcPr>
                <w:p>
                  <w:pPr>
                    <w:pStyle w:val="33"/>
                    <w:keepNext w:val="0"/>
                    <w:keepLines w:val="0"/>
                    <w:suppressLineNumbers w:val="0"/>
                    <w:spacing w:beforeAutospacing="0" w:afterAutospacing="0" w:line="240" w:lineRule="auto"/>
                    <w:ind w:left="0" w:right="0" w:firstLine="0" w:firstLineChars="0"/>
                    <w:rPr>
                      <w:rFonts w:ascii="Times New Roman" w:hAnsi="Times New Roman"/>
                      <w:kern w:val="0"/>
                      <w:sz w:val="21"/>
                      <w:szCs w:val="21"/>
                    </w:rPr>
                  </w:pPr>
                  <w:r>
                    <w:rPr>
                      <w:rFonts w:ascii="Times New Roman" w:hAnsi="Times New Roman"/>
                      <w:kern w:val="0"/>
                      <w:sz w:val="21"/>
                      <w:szCs w:val="21"/>
                    </w:rPr>
                    <w:t>对建设项目来说，若发生泄露事故，易造成生命财产损失，同时</w:t>
                  </w:r>
                  <w:r>
                    <w:rPr>
                      <w:rFonts w:hint="eastAsia" w:ascii="Times New Roman" w:hAnsi="Times New Roman"/>
                      <w:kern w:val="0"/>
                      <w:sz w:val="21"/>
                      <w:szCs w:val="21"/>
                    </w:rPr>
                    <w:t>风险</w:t>
                  </w:r>
                  <w:r>
                    <w:rPr>
                      <w:rFonts w:ascii="Times New Roman" w:hAnsi="Times New Roman"/>
                      <w:kern w:val="0"/>
                      <w:sz w:val="21"/>
                      <w:szCs w:val="21"/>
                    </w:rPr>
                    <w:t>物质经过泄露后将对环境空气</w:t>
                  </w:r>
                  <w:r>
                    <w:rPr>
                      <w:rFonts w:hint="eastAsia" w:ascii="Times New Roman" w:hAnsi="Times New Roman"/>
                      <w:kern w:val="0"/>
                      <w:sz w:val="21"/>
                      <w:szCs w:val="21"/>
                    </w:rPr>
                    <w:t>人群</w:t>
                  </w:r>
                  <w:r>
                    <w:rPr>
                      <w:rFonts w:ascii="Times New Roman" w:hAnsi="Times New Roman"/>
                      <w:kern w:val="0"/>
                      <w:sz w:val="21"/>
                      <w:szCs w:val="21"/>
                    </w:rPr>
                    <w:t>造成</w:t>
                  </w:r>
                  <w:r>
                    <w:rPr>
                      <w:rFonts w:hint="eastAsia" w:ascii="Times New Roman" w:hAnsi="Times New Roman"/>
                      <w:kern w:val="0"/>
                      <w:sz w:val="21"/>
                      <w:szCs w:val="21"/>
                    </w:rPr>
                    <w:t>影响</w:t>
                  </w:r>
                  <w:r>
                    <w:rPr>
                      <w:rFonts w:ascii="Times New Roman" w:hAnsi="Times New Roman"/>
                      <w:kern w:val="0"/>
                      <w:sz w:val="21"/>
                      <w:szCs w:val="21"/>
                    </w:rPr>
                    <w:t>，</w:t>
                  </w:r>
                  <w:r>
                    <w:rPr>
                      <w:rFonts w:hint="eastAsia" w:ascii="Times New Roman" w:hAnsi="Times New Roman"/>
                      <w:kern w:val="0"/>
                      <w:sz w:val="21"/>
                      <w:szCs w:val="21"/>
                    </w:rPr>
                    <w:t>泄露的乙炔遇明火会造成火灾事故。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504" w:type="dxa"/>
                  <w:vAlign w:val="center"/>
                </w:tcPr>
                <w:p>
                  <w:pPr>
                    <w:pStyle w:val="33"/>
                    <w:keepNext w:val="0"/>
                    <w:keepLines w:val="0"/>
                    <w:suppressLineNumbers w:val="0"/>
                    <w:spacing w:beforeAutospacing="0" w:afterAutospacing="0" w:line="240" w:lineRule="auto"/>
                    <w:ind w:left="0" w:right="0" w:firstLine="0" w:firstLineChars="0"/>
                    <w:rPr>
                      <w:rFonts w:ascii="Times New Roman" w:hAnsi="Times New Roman"/>
                      <w:kern w:val="0"/>
                      <w:sz w:val="21"/>
                      <w:szCs w:val="21"/>
                    </w:rPr>
                  </w:pPr>
                  <w:r>
                    <w:rPr>
                      <w:rFonts w:ascii="Times New Roman" w:hAnsi="Times New Roman"/>
                      <w:kern w:val="0"/>
                      <w:sz w:val="21"/>
                      <w:szCs w:val="21"/>
                    </w:rPr>
                    <w:t>风险防范措施及要求</w:t>
                  </w:r>
                </w:p>
              </w:tc>
              <w:tc>
                <w:tcPr>
                  <w:tcW w:w="7321" w:type="dxa"/>
                  <w:gridSpan w:val="4"/>
                  <w:vAlign w:val="center"/>
                </w:tcPr>
                <w:p>
                  <w:pPr>
                    <w:pStyle w:val="33"/>
                    <w:keepNext w:val="0"/>
                    <w:keepLines w:val="0"/>
                    <w:suppressLineNumbers w:val="0"/>
                    <w:spacing w:beforeAutospacing="0" w:afterAutospacing="0" w:line="240" w:lineRule="auto"/>
                    <w:ind w:left="0" w:right="0" w:firstLine="420"/>
                    <w:rPr>
                      <w:rFonts w:ascii="Times New Roman" w:hAnsi="Times New Roman"/>
                      <w:kern w:val="0"/>
                      <w:sz w:val="21"/>
                      <w:szCs w:val="21"/>
                    </w:rPr>
                  </w:pPr>
                  <w:r>
                    <w:rPr>
                      <w:rFonts w:ascii="Times New Roman" w:hAnsi="Times New Roman"/>
                      <w:kern w:val="0"/>
                      <w:sz w:val="21"/>
                      <w:szCs w:val="21"/>
                    </w:rPr>
                    <w:fldChar w:fldCharType="begin"/>
                  </w:r>
                  <w:r>
                    <w:rPr>
                      <w:rFonts w:ascii="Times New Roman" w:hAnsi="Times New Roman"/>
                      <w:kern w:val="0"/>
                      <w:sz w:val="21"/>
                      <w:szCs w:val="21"/>
                    </w:rPr>
                    <w:instrText xml:space="preserve"> = 1 \* GB3 </w:instrText>
                  </w:r>
                  <w:r>
                    <w:rPr>
                      <w:rFonts w:ascii="Times New Roman" w:hAnsi="Times New Roman"/>
                      <w:kern w:val="0"/>
                      <w:sz w:val="21"/>
                      <w:szCs w:val="21"/>
                    </w:rPr>
                    <w:fldChar w:fldCharType="separate"/>
                  </w:r>
                  <w:r>
                    <w:rPr>
                      <w:rFonts w:hint="eastAsia" w:ascii="宋体" w:hAnsi="宋体" w:cs="宋体"/>
                      <w:kern w:val="0"/>
                      <w:sz w:val="21"/>
                      <w:szCs w:val="21"/>
                    </w:rPr>
                    <w:t>①</w:t>
                  </w:r>
                  <w:r>
                    <w:rPr>
                      <w:rFonts w:ascii="Times New Roman" w:hAnsi="Times New Roman"/>
                      <w:kern w:val="0"/>
                      <w:sz w:val="21"/>
                      <w:szCs w:val="21"/>
                    </w:rPr>
                    <w:fldChar w:fldCharType="end"/>
                  </w:r>
                  <w:r>
                    <w:rPr>
                      <w:rFonts w:hint="eastAsia" w:ascii="Times New Roman" w:hAnsi="Times New Roman"/>
                      <w:kern w:val="0"/>
                      <w:sz w:val="21"/>
                      <w:szCs w:val="21"/>
                    </w:rPr>
                    <w:t>定期对厂区内的气瓶储存区进行检查并做好记录。</w:t>
                  </w:r>
                </w:p>
                <w:p>
                  <w:pPr>
                    <w:pStyle w:val="33"/>
                    <w:keepNext w:val="0"/>
                    <w:keepLines w:val="0"/>
                    <w:suppressLineNumbers w:val="0"/>
                    <w:spacing w:beforeAutospacing="0" w:afterAutospacing="0" w:line="240" w:lineRule="auto"/>
                    <w:ind w:left="0" w:right="0" w:firstLine="420"/>
                    <w:rPr>
                      <w:rFonts w:ascii="Times New Roman" w:hAnsi="Times New Roman"/>
                      <w:kern w:val="0"/>
                      <w:sz w:val="21"/>
                      <w:szCs w:val="21"/>
                    </w:rPr>
                  </w:pPr>
                  <w:r>
                    <w:rPr>
                      <w:rFonts w:ascii="Times New Roman" w:hAnsi="Times New Roman"/>
                      <w:kern w:val="0"/>
                      <w:sz w:val="21"/>
                      <w:szCs w:val="21"/>
                    </w:rPr>
                    <w:fldChar w:fldCharType="begin"/>
                  </w:r>
                  <w:r>
                    <w:rPr>
                      <w:rFonts w:ascii="Times New Roman" w:hAnsi="Times New Roman"/>
                      <w:kern w:val="0"/>
                      <w:sz w:val="21"/>
                      <w:szCs w:val="21"/>
                    </w:rPr>
                    <w:instrText xml:space="preserve"> = 2 \* GB3 </w:instrText>
                  </w:r>
                  <w:r>
                    <w:rPr>
                      <w:rFonts w:ascii="Times New Roman" w:hAnsi="Times New Roman"/>
                      <w:kern w:val="0"/>
                      <w:sz w:val="21"/>
                      <w:szCs w:val="21"/>
                    </w:rPr>
                    <w:fldChar w:fldCharType="separate"/>
                  </w:r>
                  <w:r>
                    <w:rPr>
                      <w:rFonts w:hint="eastAsia" w:ascii="宋体" w:hAnsi="宋体" w:cs="宋体"/>
                      <w:kern w:val="0"/>
                      <w:sz w:val="21"/>
                      <w:szCs w:val="21"/>
                    </w:rPr>
                    <w:t>②</w:t>
                  </w:r>
                  <w:r>
                    <w:rPr>
                      <w:rFonts w:ascii="Times New Roman" w:hAnsi="Times New Roman"/>
                      <w:kern w:val="0"/>
                      <w:sz w:val="21"/>
                      <w:szCs w:val="21"/>
                    </w:rPr>
                    <w:fldChar w:fldCharType="end"/>
                  </w:r>
                  <w:r>
                    <w:rPr>
                      <w:rFonts w:hint="eastAsia" w:ascii="Times New Roman" w:hAnsi="Times New Roman"/>
                      <w:kern w:val="0"/>
                      <w:sz w:val="21"/>
                      <w:szCs w:val="21"/>
                    </w:rPr>
                    <w:t>厂</w:t>
                  </w:r>
                  <w:r>
                    <w:rPr>
                      <w:rFonts w:ascii="Times New Roman" w:hAnsi="Times New Roman"/>
                      <w:kern w:val="0"/>
                      <w:sz w:val="21"/>
                      <w:szCs w:val="21"/>
                    </w:rPr>
                    <w:t>内</w:t>
                  </w:r>
                  <w:r>
                    <w:rPr>
                      <w:rFonts w:hint="eastAsia" w:ascii="Times New Roman" w:hAnsi="Times New Roman"/>
                      <w:kern w:val="0"/>
                      <w:sz w:val="21"/>
                      <w:szCs w:val="21"/>
                    </w:rPr>
                    <w:t>生产车间</w:t>
                  </w:r>
                  <w:r>
                    <w:rPr>
                      <w:rFonts w:ascii="Times New Roman" w:hAnsi="Times New Roman"/>
                      <w:kern w:val="0"/>
                      <w:sz w:val="21"/>
                      <w:szCs w:val="21"/>
                    </w:rPr>
                    <w:t>设防雷保护，</w:t>
                  </w:r>
                  <w:r>
                    <w:rPr>
                      <w:rFonts w:hint="eastAsia" w:ascii="Times New Roman" w:hAnsi="Times New Roman"/>
                      <w:kern w:val="0"/>
                      <w:sz w:val="21"/>
                      <w:szCs w:val="21"/>
                    </w:rPr>
                    <w:t>厂</w:t>
                  </w:r>
                  <w:r>
                    <w:rPr>
                      <w:rFonts w:ascii="Times New Roman" w:hAnsi="Times New Roman"/>
                      <w:kern w:val="0"/>
                      <w:sz w:val="21"/>
                      <w:szCs w:val="21"/>
                    </w:rPr>
                    <w:t>内所有工艺设备和管道均设防静电和感应雷保护。</w:t>
                  </w:r>
                </w:p>
                <w:p>
                  <w:pPr>
                    <w:pStyle w:val="33"/>
                    <w:keepNext w:val="0"/>
                    <w:keepLines w:val="0"/>
                    <w:suppressLineNumbers w:val="0"/>
                    <w:spacing w:beforeAutospacing="0" w:afterAutospacing="0" w:line="240" w:lineRule="auto"/>
                    <w:ind w:left="0" w:right="0" w:firstLine="420"/>
                    <w:rPr>
                      <w:rFonts w:ascii="Times New Roman" w:hAnsi="Times New Roman"/>
                      <w:kern w:val="0"/>
                      <w:sz w:val="21"/>
                      <w:szCs w:val="21"/>
                    </w:rPr>
                  </w:pPr>
                  <w:r>
                    <w:rPr>
                      <w:rFonts w:ascii="Times New Roman" w:hAnsi="Times New Roman"/>
                      <w:kern w:val="0"/>
                      <w:sz w:val="21"/>
                      <w:szCs w:val="21"/>
                    </w:rPr>
                    <w:fldChar w:fldCharType="begin"/>
                  </w:r>
                  <w:r>
                    <w:rPr>
                      <w:rFonts w:ascii="Times New Roman" w:hAnsi="Times New Roman"/>
                      <w:kern w:val="0"/>
                      <w:sz w:val="21"/>
                      <w:szCs w:val="21"/>
                    </w:rPr>
                    <w:instrText xml:space="preserve"> = 3 \* GB3 </w:instrText>
                  </w:r>
                  <w:r>
                    <w:rPr>
                      <w:rFonts w:ascii="Times New Roman" w:hAnsi="Times New Roman"/>
                      <w:kern w:val="0"/>
                      <w:sz w:val="21"/>
                      <w:szCs w:val="21"/>
                    </w:rPr>
                    <w:fldChar w:fldCharType="separate"/>
                  </w:r>
                  <w:r>
                    <w:rPr>
                      <w:rFonts w:hint="eastAsia" w:ascii="宋体" w:hAnsi="宋体" w:cs="宋体"/>
                      <w:kern w:val="0"/>
                      <w:sz w:val="21"/>
                      <w:szCs w:val="21"/>
                    </w:rPr>
                    <w:t>③</w:t>
                  </w:r>
                  <w:r>
                    <w:rPr>
                      <w:rFonts w:ascii="Times New Roman" w:hAnsi="Times New Roman"/>
                      <w:kern w:val="0"/>
                      <w:sz w:val="21"/>
                      <w:szCs w:val="21"/>
                    </w:rPr>
                    <w:fldChar w:fldCharType="end"/>
                  </w:r>
                  <w:r>
                    <w:rPr>
                      <w:rFonts w:ascii="Times New Roman" w:hAnsi="Times New Roman"/>
                      <w:kern w:val="0"/>
                      <w:sz w:val="21"/>
                      <w:szCs w:val="21"/>
                    </w:rPr>
                    <w:t>建立安全生产岗位责任制，制定安全生产规章制度、安全操作规程，加强生产工人安全环境意识教育，树立安全生产意识，防止人为事故发生。</w:t>
                  </w:r>
                </w:p>
                <w:p>
                  <w:pPr>
                    <w:pStyle w:val="33"/>
                    <w:keepNext w:val="0"/>
                    <w:keepLines w:val="0"/>
                    <w:suppressLineNumbers w:val="0"/>
                    <w:spacing w:beforeAutospacing="0" w:afterAutospacing="0" w:line="240" w:lineRule="auto"/>
                    <w:ind w:left="0" w:right="0" w:firstLine="420"/>
                    <w:rPr>
                      <w:rFonts w:ascii="Times New Roman" w:hAnsi="Times New Roman"/>
                      <w:kern w:val="0"/>
                      <w:sz w:val="21"/>
                      <w:szCs w:val="21"/>
                    </w:rPr>
                  </w:pPr>
                  <w:r>
                    <w:rPr>
                      <w:rFonts w:ascii="Times New Roman" w:hAnsi="Times New Roman"/>
                      <w:kern w:val="0"/>
                      <w:sz w:val="21"/>
                      <w:szCs w:val="21"/>
                    </w:rPr>
                    <w:fldChar w:fldCharType="begin"/>
                  </w:r>
                  <w:r>
                    <w:rPr>
                      <w:rFonts w:ascii="Times New Roman" w:hAnsi="Times New Roman"/>
                      <w:kern w:val="0"/>
                      <w:sz w:val="21"/>
                      <w:szCs w:val="21"/>
                    </w:rPr>
                    <w:instrText xml:space="preserve"> = 4 \* GB3 </w:instrText>
                  </w:r>
                  <w:r>
                    <w:rPr>
                      <w:rFonts w:ascii="Times New Roman" w:hAnsi="Times New Roman"/>
                      <w:kern w:val="0"/>
                      <w:sz w:val="21"/>
                      <w:szCs w:val="21"/>
                    </w:rPr>
                    <w:fldChar w:fldCharType="separate"/>
                  </w:r>
                  <w:r>
                    <w:rPr>
                      <w:rFonts w:hint="eastAsia" w:ascii="宋体" w:hAnsi="宋体" w:cs="宋体"/>
                      <w:kern w:val="0"/>
                      <w:sz w:val="21"/>
                      <w:szCs w:val="21"/>
                    </w:rPr>
                    <w:t>④</w:t>
                  </w:r>
                  <w:r>
                    <w:rPr>
                      <w:rFonts w:ascii="Times New Roman" w:hAnsi="Times New Roman"/>
                      <w:kern w:val="0"/>
                      <w:sz w:val="21"/>
                      <w:szCs w:val="21"/>
                    </w:rPr>
                    <w:fldChar w:fldCharType="end"/>
                  </w:r>
                  <w:r>
                    <w:rPr>
                      <w:rFonts w:ascii="Times New Roman" w:hAnsi="Times New Roman"/>
                      <w:kern w:val="0"/>
                      <w:sz w:val="21"/>
                      <w:szCs w:val="21"/>
                    </w:rPr>
                    <w:t>严格按照相关规定、规程和标准进行设备安装、设施检测及维护维修，使之保持完好状态。在生产中加强对设备的安全管理和定期检测，设备、配件不带</w:t>
                  </w:r>
                  <w:r>
                    <w:rPr>
                      <w:rFonts w:ascii="Times New Roman" w:hAnsi="Times New Roman" w:eastAsia="TimesNewRomanPSMT"/>
                      <w:kern w:val="0"/>
                      <w:sz w:val="21"/>
                      <w:szCs w:val="21"/>
                    </w:rPr>
                    <w:t>“</w:t>
                  </w:r>
                  <w:r>
                    <w:rPr>
                      <w:rFonts w:ascii="Times New Roman" w:hAnsi="Times New Roman"/>
                      <w:kern w:val="0"/>
                      <w:sz w:val="21"/>
                      <w:szCs w:val="21"/>
                    </w:rPr>
                    <w:t>病</w:t>
                  </w:r>
                  <w:r>
                    <w:rPr>
                      <w:rFonts w:ascii="Times New Roman" w:hAnsi="Times New Roman" w:eastAsia="TimesNewRomanPSMT"/>
                      <w:kern w:val="0"/>
                      <w:sz w:val="21"/>
                      <w:szCs w:val="21"/>
                    </w:rPr>
                    <w:t>”</w:t>
                  </w:r>
                  <w:r>
                    <w:rPr>
                      <w:rFonts w:ascii="Times New Roman" w:hAnsi="Times New Roman"/>
                      <w:kern w:val="0"/>
                      <w:sz w:val="21"/>
                      <w:szCs w:val="21"/>
                    </w:rPr>
                    <w:t>上岗。</w:t>
                  </w:r>
                </w:p>
                <w:p>
                  <w:pPr>
                    <w:pStyle w:val="33"/>
                    <w:keepNext w:val="0"/>
                    <w:keepLines w:val="0"/>
                    <w:suppressLineNumbers w:val="0"/>
                    <w:spacing w:beforeAutospacing="0" w:afterAutospacing="0" w:line="240" w:lineRule="auto"/>
                    <w:ind w:left="0" w:right="0" w:firstLine="420"/>
                    <w:rPr>
                      <w:rFonts w:ascii="Times New Roman" w:hAnsi="Times New Roman"/>
                      <w:kern w:val="0"/>
                      <w:sz w:val="21"/>
                      <w:szCs w:val="21"/>
                    </w:rPr>
                  </w:pPr>
                  <w:r>
                    <w:rPr>
                      <w:rFonts w:ascii="Times New Roman" w:hAnsi="Times New Roman"/>
                      <w:kern w:val="0"/>
                      <w:sz w:val="21"/>
                      <w:szCs w:val="21"/>
                    </w:rPr>
                    <w:fldChar w:fldCharType="begin"/>
                  </w:r>
                  <w:r>
                    <w:rPr>
                      <w:rFonts w:ascii="Times New Roman" w:hAnsi="Times New Roman"/>
                      <w:kern w:val="0"/>
                      <w:sz w:val="21"/>
                      <w:szCs w:val="21"/>
                    </w:rPr>
                    <w:instrText xml:space="preserve"> = 5 \* GB3 </w:instrText>
                  </w:r>
                  <w:r>
                    <w:rPr>
                      <w:rFonts w:ascii="Times New Roman" w:hAnsi="Times New Roman"/>
                      <w:kern w:val="0"/>
                      <w:sz w:val="21"/>
                      <w:szCs w:val="21"/>
                    </w:rPr>
                    <w:fldChar w:fldCharType="separate"/>
                  </w:r>
                  <w:r>
                    <w:rPr>
                      <w:rFonts w:hint="eastAsia" w:ascii="宋体" w:hAnsi="宋体" w:cs="宋体"/>
                      <w:kern w:val="0"/>
                      <w:sz w:val="21"/>
                      <w:szCs w:val="21"/>
                    </w:rPr>
                    <w:t>⑤</w:t>
                  </w:r>
                  <w:r>
                    <w:rPr>
                      <w:rFonts w:ascii="Times New Roman" w:hAnsi="Times New Roman"/>
                      <w:kern w:val="0"/>
                      <w:sz w:val="21"/>
                      <w:szCs w:val="21"/>
                    </w:rPr>
                    <w:fldChar w:fldCharType="end"/>
                  </w:r>
                  <w:r>
                    <w:rPr>
                      <w:rFonts w:ascii="Times New Roman" w:hAnsi="Times New Roman"/>
                      <w:kern w:val="0"/>
                      <w:sz w:val="21"/>
                      <w:szCs w:val="21"/>
                    </w:rPr>
                    <w:t>建立完善的紧急事故应急措施计划，以防泄漏物质影响</w:t>
                  </w:r>
                  <w:r>
                    <w:rPr>
                      <w:rFonts w:hint="eastAsia" w:ascii="Times New Roman" w:hAnsi="Times New Roman"/>
                      <w:kern w:val="0"/>
                      <w:sz w:val="21"/>
                      <w:szCs w:val="21"/>
                    </w:rPr>
                    <w:t>周围大气环境及动植物、人群</w:t>
                  </w:r>
                  <w:r>
                    <w:rPr>
                      <w:rFonts w:ascii="Times New Roman" w:hAnsi="Times New Roman"/>
                      <w:kern w:val="0"/>
                      <w:sz w:val="21"/>
                      <w:szCs w:val="21"/>
                    </w:rPr>
                    <w:t>。</w:t>
                  </w:r>
                </w:p>
                <w:p>
                  <w:pPr>
                    <w:pStyle w:val="33"/>
                    <w:keepNext w:val="0"/>
                    <w:keepLines w:val="0"/>
                    <w:suppressLineNumbers w:val="0"/>
                    <w:spacing w:beforeAutospacing="0" w:afterAutospacing="0" w:line="240" w:lineRule="auto"/>
                    <w:ind w:left="0" w:right="0" w:firstLine="420"/>
                    <w:rPr>
                      <w:rFonts w:ascii="Times New Roman" w:hAnsi="Times New Roman"/>
                      <w:kern w:val="0"/>
                      <w:sz w:val="21"/>
                      <w:szCs w:val="21"/>
                    </w:rPr>
                  </w:pPr>
                  <w:r>
                    <w:rPr>
                      <w:rFonts w:ascii="Times New Roman" w:hAnsi="Times New Roman"/>
                      <w:kern w:val="0"/>
                      <w:sz w:val="21"/>
                      <w:szCs w:val="21"/>
                    </w:rPr>
                    <w:fldChar w:fldCharType="begin"/>
                  </w:r>
                  <w:r>
                    <w:rPr>
                      <w:rFonts w:hint="eastAsia" w:ascii="Times New Roman" w:hAnsi="Times New Roman"/>
                      <w:kern w:val="0"/>
                      <w:sz w:val="21"/>
                      <w:szCs w:val="21"/>
                    </w:rPr>
                    <w:instrText xml:space="preserve">= 6 \* GB3</w:instrText>
                  </w:r>
                  <w:r>
                    <w:rPr>
                      <w:rFonts w:ascii="Times New Roman" w:hAnsi="Times New Roman"/>
                      <w:kern w:val="0"/>
                      <w:sz w:val="21"/>
                      <w:szCs w:val="21"/>
                    </w:rPr>
                    <w:fldChar w:fldCharType="separate"/>
                  </w:r>
                  <w:r>
                    <w:rPr>
                      <w:rFonts w:hint="eastAsia" w:ascii="Times New Roman" w:hAnsi="Times New Roman"/>
                      <w:kern w:val="0"/>
                      <w:sz w:val="21"/>
                      <w:szCs w:val="21"/>
                    </w:rPr>
                    <w:t>⑥</w:t>
                  </w:r>
                  <w:r>
                    <w:rPr>
                      <w:rFonts w:ascii="Times New Roman" w:hAnsi="Times New Roman"/>
                      <w:kern w:val="0"/>
                      <w:sz w:val="21"/>
                      <w:szCs w:val="21"/>
                    </w:rPr>
                    <w:fldChar w:fldCharType="end"/>
                  </w:r>
                  <w:r>
                    <w:rPr>
                      <w:rFonts w:hint="eastAsia" w:ascii="Times New Roman" w:hAnsi="Times New Roman"/>
                      <w:kern w:val="0"/>
                      <w:sz w:val="21"/>
                      <w:szCs w:val="21"/>
                    </w:rPr>
                    <w:t>生产使用的乙炔、氧气等应规范使用方法；</w:t>
                  </w:r>
                </w:p>
                <w:p>
                  <w:pPr>
                    <w:pStyle w:val="33"/>
                    <w:keepNext w:val="0"/>
                    <w:keepLines w:val="0"/>
                    <w:suppressLineNumbers w:val="0"/>
                    <w:spacing w:beforeAutospacing="0" w:afterAutospacing="0" w:line="240" w:lineRule="auto"/>
                    <w:ind w:left="0" w:right="0" w:firstLine="420"/>
                    <w:rPr>
                      <w:rFonts w:ascii="Times New Roman" w:hAnsi="Times New Roman"/>
                      <w:kern w:val="0"/>
                      <w:sz w:val="21"/>
                      <w:szCs w:val="21"/>
                    </w:rPr>
                  </w:pPr>
                  <w:r>
                    <w:rPr>
                      <w:rFonts w:ascii="Times New Roman" w:hAnsi="Times New Roman"/>
                      <w:kern w:val="0"/>
                      <w:sz w:val="21"/>
                      <w:szCs w:val="21"/>
                    </w:rPr>
                    <w:fldChar w:fldCharType="begin"/>
                  </w:r>
                  <w:r>
                    <w:rPr>
                      <w:rFonts w:hint="eastAsia" w:ascii="Times New Roman" w:hAnsi="Times New Roman"/>
                      <w:kern w:val="0"/>
                      <w:sz w:val="21"/>
                      <w:szCs w:val="21"/>
                    </w:rPr>
                    <w:instrText xml:space="preserve">= 7 \* GB3</w:instrText>
                  </w:r>
                  <w:r>
                    <w:rPr>
                      <w:rFonts w:ascii="Times New Roman" w:hAnsi="Times New Roman"/>
                      <w:kern w:val="0"/>
                      <w:sz w:val="21"/>
                      <w:szCs w:val="21"/>
                    </w:rPr>
                    <w:fldChar w:fldCharType="separate"/>
                  </w:r>
                  <w:r>
                    <w:rPr>
                      <w:rFonts w:hint="eastAsia" w:ascii="Times New Roman" w:hAnsi="Times New Roman"/>
                      <w:kern w:val="0"/>
                      <w:sz w:val="21"/>
                      <w:szCs w:val="21"/>
                    </w:rPr>
                    <w:t>⑦</w:t>
                  </w:r>
                  <w:r>
                    <w:rPr>
                      <w:rFonts w:ascii="Times New Roman" w:hAnsi="Times New Roman"/>
                      <w:kern w:val="0"/>
                      <w:sz w:val="21"/>
                      <w:szCs w:val="21"/>
                    </w:rPr>
                    <w:fldChar w:fldCharType="end"/>
                  </w:r>
                  <w:r>
                    <w:rPr>
                      <w:rFonts w:hint="eastAsia" w:ascii="Times New Roman" w:hAnsi="Times New Roman"/>
                      <w:kern w:val="0"/>
                      <w:sz w:val="21"/>
                      <w:szCs w:val="21"/>
                    </w:rPr>
                    <w:t>产生的废机油应及时收集按照相关标准进行暂存和处置。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504" w:type="dxa"/>
                  <w:vAlign w:val="center"/>
                </w:tcPr>
                <w:p>
                  <w:pPr>
                    <w:pStyle w:val="33"/>
                    <w:keepNext w:val="0"/>
                    <w:keepLines w:val="0"/>
                    <w:suppressLineNumbers w:val="0"/>
                    <w:spacing w:beforeAutospacing="0" w:afterAutospacing="0" w:line="240" w:lineRule="auto"/>
                    <w:ind w:left="0" w:right="0" w:firstLine="0" w:firstLineChars="0"/>
                    <w:rPr>
                      <w:rFonts w:ascii="Times New Roman" w:hAnsi="Times New Roman"/>
                      <w:kern w:val="0"/>
                      <w:sz w:val="21"/>
                      <w:szCs w:val="21"/>
                    </w:rPr>
                  </w:pPr>
                  <w:r>
                    <w:rPr>
                      <w:rFonts w:hint="eastAsia" w:ascii="Times New Roman" w:hAnsi="Times New Roman"/>
                      <w:kern w:val="0"/>
                      <w:sz w:val="21"/>
                      <w:szCs w:val="21"/>
                    </w:rPr>
                    <w:t>填表说明</w:t>
                  </w:r>
                </w:p>
              </w:tc>
              <w:tc>
                <w:tcPr>
                  <w:tcW w:w="7321" w:type="dxa"/>
                  <w:gridSpan w:val="4"/>
                  <w:vAlign w:val="center"/>
                </w:tcPr>
                <w:p>
                  <w:pPr>
                    <w:pStyle w:val="33"/>
                    <w:keepNext w:val="0"/>
                    <w:keepLines w:val="0"/>
                    <w:suppressLineNumbers w:val="0"/>
                    <w:spacing w:beforeAutospacing="0" w:afterAutospacing="0"/>
                    <w:ind w:left="0" w:right="0" w:firstLine="0" w:firstLineChars="0"/>
                    <w:rPr>
                      <w:rFonts w:ascii="Times New Roman" w:hAnsi="Times New Roman" w:eastAsiaTheme="minorEastAsia"/>
                      <w:kern w:val="0"/>
                      <w:sz w:val="21"/>
                      <w:szCs w:val="21"/>
                    </w:rPr>
                  </w:pPr>
                  <w:r>
                    <w:rPr>
                      <w:rFonts w:hint="eastAsia" w:ascii="Times New Roman" w:hAnsi="Times New Roman" w:eastAsiaTheme="minorEastAsia"/>
                      <w:kern w:val="0"/>
                      <w:sz w:val="21"/>
                      <w:szCs w:val="21"/>
                    </w:rPr>
                    <w:t>根据《建设项目环境风险评价技术导则》（HJ169-2018）附录B中本项目涉及的的风险物质为氯气，根据风险潜势Q&lt;1，本项目评价等级为导则中要求的简单分析。</w:t>
                  </w:r>
                </w:p>
              </w:tc>
            </w:tr>
          </w:tbl>
          <w:p>
            <w:pPr>
              <w:keepNext w:val="0"/>
              <w:keepLines w:val="0"/>
              <w:suppressLineNumbers w:val="0"/>
              <w:spacing w:before="240" w:beforeAutospacing="0" w:after="0" w:afterAutospacing="0"/>
              <w:ind w:left="0" w:right="0" w:firstLine="361" w:firstLineChars="150"/>
              <w:jc w:val="both"/>
              <w:rPr>
                <w:b/>
              </w:rPr>
            </w:pPr>
            <w:r>
              <w:rPr>
                <w:rFonts w:hint="eastAsia"/>
                <w:b/>
              </w:rPr>
              <w:t>三、</w:t>
            </w:r>
            <w:r>
              <w:rPr>
                <w:b/>
              </w:rPr>
              <w:t>产业政策符合性</w:t>
            </w:r>
            <w:r>
              <w:rPr>
                <w:rFonts w:hint="eastAsia"/>
                <w:b/>
              </w:rPr>
              <w:t>、</w:t>
            </w:r>
            <w:r>
              <w:rPr>
                <w:b/>
              </w:rPr>
              <w:t>规划符合性及</w:t>
            </w:r>
            <w:r>
              <w:rPr>
                <w:rFonts w:hint="eastAsia"/>
                <w:b/>
              </w:rPr>
              <w:t>选址合理性分析</w:t>
            </w:r>
          </w:p>
          <w:p>
            <w:pPr>
              <w:keepNext w:val="0"/>
              <w:keepLines w:val="0"/>
              <w:suppressLineNumbers w:val="0"/>
              <w:spacing w:before="0" w:beforeAutospacing="0" w:after="0" w:afterAutospacing="0"/>
              <w:ind w:left="0" w:right="0" w:firstLine="480"/>
              <w:jc w:val="both"/>
            </w:pPr>
            <w:r>
              <w:t>1 、产业政策符合性分析</w:t>
            </w:r>
          </w:p>
          <w:p>
            <w:pPr>
              <w:keepNext w:val="0"/>
              <w:keepLines w:val="0"/>
              <w:widowControl/>
              <w:suppressLineNumbers w:val="0"/>
              <w:spacing w:before="0" w:beforeAutospacing="0" w:after="0" w:afterAutospacing="0"/>
              <w:ind w:left="0" w:right="0" w:firstLine="480"/>
              <w:jc w:val="both"/>
            </w:pPr>
            <w:r>
              <w:t>项目为金属制品制造行业，根据《产业结构调整指导目录 2019年本》和《云南省工业产业结构调整指导目录（2006 本）》，本项目不属于上述文件规定的鼓励类、限制类及淘汰类，属于允许类，故项目建设符合国家和地方产业政策。</w:t>
            </w:r>
          </w:p>
          <w:p>
            <w:pPr>
              <w:keepNext w:val="0"/>
              <w:keepLines w:val="0"/>
              <w:suppressLineNumbers w:val="0"/>
              <w:adjustRightInd w:val="0"/>
              <w:snapToGrid w:val="0"/>
              <w:spacing w:before="0" w:beforeAutospacing="0" w:after="0" w:afterAutospacing="0"/>
              <w:ind w:left="0" w:right="0" w:firstLine="480"/>
              <w:jc w:val="both"/>
              <w:rPr>
                <w:bCs/>
              </w:rPr>
            </w:pPr>
            <w:r>
              <w:rPr>
                <w:bCs/>
              </w:rPr>
              <w:t>2、与《富民城市总体规划修改（2015-2030年）》符合性分析</w:t>
            </w:r>
          </w:p>
          <w:p>
            <w:pPr>
              <w:pStyle w:val="36"/>
              <w:keepNext w:val="0"/>
              <w:keepLines w:val="0"/>
              <w:suppressLineNumbers w:val="0"/>
              <w:topLinePunct/>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《昆明市富民县总体规划修改（2015</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rPr>
              <w:t>2030）》是富民县县域范用内城市建设 法定性文件。本规划的规划期限为</w:t>
            </w:r>
            <w:r>
              <w:rPr>
                <w:rFonts w:ascii="Times New Roman" w:hAnsi="Times New Roman" w:eastAsia="宋体" w:cs="Times New Roman"/>
                <w:sz w:val="24"/>
                <w:szCs w:val="24"/>
                <w:lang w:val="en-US" w:eastAsia="zh-CN"/>
              </w:rPr>
              <w:t>2015-2030</w:t>
            </w:r>
            <w:r>
              <w:rPr>
                <w:rFonts w:ascii="Times New Roman" w:hAnsi="Times New Roman" w:eastAsia="宋体" w:cs="Times New Roman"/>
                <w:sz w:val="24"/>
                <w:szCs w:val="24"/>
              </w:rPr>
              <w:t>年。</w:t>
            </w:r>
          </w:p>
          <w:p>
            <w:pPr>
              <w:pStyle w:val="36"/>
              <w:keepNext w:val="0"/>
              <w:keepLines w:val="0"/>
              <w:suppressLineNumbers w:val="0"/>
              <w:topLinePunct/>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本次总体规划规划范围分为县域、城市规划区和中心城区三个层次。其中：县域：富民县行政辖区范围。</w:t>
            </w:r>
          </w:p>
          <w:p>
            <w:pPr>
              <w:pStyle w:val="36"/>
              <w:keepNext w:val="0"/>
              <w:keepLines w:val="0"/>
              <w:suppressLineNumbers w:val="0"/>
              <w:topLinePunct/>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城市规划区：范围为富民县县域。城市规划区范围总</w:t>
            </w:r>
            <w:r>
              <w:rPr>
                <w:rFonts w:ascii="Times New Roman" w:hAnsi="Times New Roman" w:eastAsia="宋体" w:cs="Times New Roman"/>
                <w:sz w:val="24"/>
                <w:szCs w:val="24"/>
                <w:lang w:eastAsia="zh-CN"/>
              </w:rPr>
              <w:t>面</w:t>
            </w:r>
            <w:r>
              <w:rPr>
                <w:rFonts w:ascii="Times New Roman" w:hAnsi="Times New Roman" w:eastAsia="宋体" w:cs="Times New Roman"/>
                <w:sz w:val="24"/>
                <w:szCs w:val="24"/>
              </w:rPr>
              <w:t>积993平方公里，在此范围内统筹安排县域城镇体系规划、城市总体规划和市政设施规划内容，并协 调保护好县域范围的山脉、河流、农田等自然生态空冋，并与土地利用总体规划 等其他行业规划相互协调配合。</w:t>
            </w:r>
          </w:p>
          <w:p>
            <w:pPr>
              <w:pStyle w:val="36"/>
              <w:keepNext w:val="0"/>
              <w:keepLines w:val="0"/>
              <w:suppressLineNumbers w:val="0"/>
              <w:topLinePunct/>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中心城区：包括永定街道办事处，东起完家大村、西至坝区西部山脚线、北连杨家湾、尹家湾、南接规划长广高速公路。中心城区规划范围总而积为</w:t>
            </w:r>
            <w:r>
              <w:rPr>
                <w:rFonts w:ascii="Times New Roman" w:hAnsi="Times New Roman" w:eastAsia="宋体" w:cs="Times New Roman"/>
                <w:sz w:val="24"/>
                <w:szCs w:val="24"/>
                <w:lang w:val="en-US" w:eastAsia="zh-CN"/>
              </w:rPr>
              <w:t>59.08</w:t>
            </w:r>
            <w:r>
              <w:rPr>
                <w:rFonts w:ascii="Times New Roman" w:hAnsi="Times New Roman" w:eastAsia="宋体" w:cs="Times New Roman"/>
                <w:sz w:val="24"/>
                <w:szCs w:val="24"/>
              </w:rPr>
              <w:t>平方公里。</w:t>
            </w:r>
          </w:p>
          <w:p>
            <w:pPr>
              <w:pStyle w:val="36"/>
              <w:keepNext w:val="0"/>
              <w:keepLines w:val="0"/>
              <w:suppressLineNumbers w:val="0"/>
              <w:tabs>
                <w:tab w:val="left" w:leader="hyphen" w:pos="7888"/>
              </w:tabs>
              <w:topLinePunct/>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根据城镇发展性质，总体规划全县</w:t>
            </w:r>
            <w:r>
              <w:rPr>
                <w:rFonts w:ascii="Times New Roman" w:hAnsi="Times New Roman" w:eastAsia="宋体" w:cs="Times New Roman"/>
                <w:sz w:val="24"/>
                <w:szCs w:val="24"/>
                <w:lang w:eastAsia="zh-CN"/>
              </w:rPr>
              <w:t>城镇</w:t>
            </w:r>
            <w:r>
              <w:rPr>
                <w:rFonts w:ascii="Times New Roman" w:hAnsi="Times New Roman" w:eastAsia="宋体" w:cs="Times New Roman"/>
                <w:sz w:val="24"/>
                <w:szCs w:val="24"/>
              </w:rPr>
              <w:t>分为核心城市——次级中心——</w:t>
            </w:r>
            <w:r>
              <w:rPr>
                <w:rFonts w:ascii="Times New Roman" w:hAnsi="Times New Roman" w:eastAsia="宋体" w:cs="Times New Roman"/>
                <w:sz w:val="24"/>
                <w:szCs w:val="24"/>
                <w:lang w:eastAsia="zh-CN"/>
              </w:rPr>
              <w:t>一</w:t>
            </w:r>
            <w:r>
              <w:rPr>
                <w:rFonts w:ascii="Times New Roman" w:hAnsi="Times New Roman" w:eastAsia="宋体" w:cs="Times New Roman"/>
                <w:sz w:val="24"/>
                <w:szCs w:val="24"/>
              </w:rPr>
              <w:t>般乡績——中心村四级结构，主要职能如下：</w:t>
            </w:r>
          </w:p>
          <w:p>
            <w:pPr>
              <w:pStyle w:val="36"/>
              <w:keepNext w:val="0"/>
              <w:keepLines w:val="0"/>
              <w:suppressLineNumbers w:val="0"/>
              <w:topLinePunct/>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核心城市：富民县社会发展核心，经济发展引撃，辐射县域的公共服务中心。 以第三产业为主，主要发展商贸业、旅游业、房地产业、物流业等，建设综合型 特色田园城市。</w:t>
            </w:r>
          </w:p>
          <w:p>
            <w:pPr>
              <w:pStyle w:val="36"/>
              <w:keepNext w:val="0"/>
              <w:keepLines w:val="0"/>
              <w:suppressLineNumbers w:val="0"/>
              <w:topLinePunct/>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从规划上看，富民县的城市性质定为：昆明都市圈北部辅城，面向滇西北及 川西的门户，重要的休闲养生基地和生态宜居新城，新型产业发展示范区，貝有 山地田园滨河风光的山水园林卫星城。</w:t>
            </w:r>
          </w:p>
          <w:p>
            <w:pPr>
              <w:pStyle w:val="36"/>
              <w:keepNext w:val="0"/>
              <w:keepLines w:val="0"/>
              <w:suppressLineNumbers w:val="0"/>
              <w:topLinePunct/>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但从昆明市</w:t>
            </w:r>
            <w:r>
              <w:rPr>
                <w:rFonts w:hint="eastAsia" w:ascii="Times New Roman" w:hAnsi="Times New Roman" w:eastAsia="宋体" w:cs="Times New Roman"/>
                <w:sz w:val="24"/>
                <w:szCs w:val="24"/>
                <w:lang w:eastAsia="zh-CN"/>
              </w:rPr>
              <w:t>富民县</w:t>
            </w:r>
            <w:r>
              <w:rPr>
                <w:rFonts w:ascii="Times New Roman" w:hAnsi="Times New Roman" w:eastAsia="宋体" w:cs="Times New Roman"/>
                <w:sz w:val="24"/>
                <w:szCs w:val="24"/>
              </w:rPr>
              <w:t>总体规划修改</w:t>
            </w:r>
            <w:r>
              <w:rPr>
                <w:rFonts w:ascii="Times New Roman" w:hAnsi="Times New Roman" w:eastAsia="宋体" w:cs="Times New Roman"/>
                <w:sz w:val="24"/>
                <w:szCs w:val="24"/>
                <w:lang w:eastAsia="zh-CN"/>
              </w:rPr>
              <w:t>（</w:t>
            </w:r>
            <w:r>
              <w:rPr>
                <w:rFonts w:ascii="Times New Roman" w:hAnsi="Times New Roman" w:eastAsia="宋体" w:cs="Times New Roman"/>
                <w:sz w:val="24"/>
                <w:szCs w:val="24"/>
                <w:lang w:val="en-US" w:eastAsia="zh-CN"/>
              </w:rPr>
              <w:t>2015-2030</w:t>
            </w:r>
            <w:r>
              <w:rPr>
                <w:rFonts w:ascii="Times New Roman" w:hAnsi="Times New Roman" w:eastAsia="宋体" w:cs="Times New Roman"/>
                <w:sz w:val="24"/>
                <w:szCs w:val="24"/>
                <w:lang w:eastAsia="zh-CN"/>
              </w:rPr>
              <w:t>）</w:t>
            </w:r>
            <w:r>
              <w:rPr>
                <w:rFonts w:ascii="Times New Roman" w:hAnsi="Times New Roman" w:eastAsia="宋体" w:cs="Times New Roman"/>
                <w:sz w:val="24"/>
                <w:szCs w:val="24"/>
              </w:rPr>
              <w:t>中的用地布局规划上可看出，</w:t>
            </w:r>
            <w:r>
              <w:rPr>
                <w:rFonts w:ascii="Times New Roman" w:hAnsi="Times New Roman" w:eastAsia="宋体" w:cs="Times New Roman"/>
                <w:sz w:val="24"/>
                <w:szCs w:val="24"/>
                <w:lang w:val="en-US" w:eastAsia="zh-CN"/>
              </w:rPr>
              <w:t>目</w:t>
            </w:r>
            <w:r>
              <w:rPr>
                <w:rFonts w:ascii="Times New Roman" w:hAnsi="Times New Roman" w:eastAsia="宋体" w:cs="Times New Roman"/>
                <w:sz w:val="24"/>
                <w:szCs w:val="24"/>
              </w:rPr>
              <w:t>前城市规划的用地规划布局还未规划到项</w:t>
            </w:r>
            <w:r>
              <w:rPr>
                <w:rFonts w:ascii="Times New Roman" w:hAnsi="Times New Roman" w:eastAsia="宋体" w:cs="Times New Roman"/>
                <w:sz w:val="24"/>
                <w:szCs w:val="24"/>
                <w:lang w:val="en-US" w:eastAsia="zh-CN"/>
              </w:rPr>
              <w:t>目</w:t>
            </w:r>
            <w:r>
              <w:rPr>
                <w:rFonts w:ascii="Times New Roman" w:hAnsi="Times New Roman" w:eastAsia="宋体" w:cs="Times New Roman"/>
                <w:sz w:val="24"/>
                <w:szCs w:val="24"/>
              </w:rPr>
              <w:t>所在位置。</w:t>
            </w:r>
          </w:p>
          <w:p>
            <w:pPr>
              <w:pStyle w:val="36"/>
              <w:keepNext w:val="0"/>
              <w:keepLines w:val="0"/>
              <w:suppressLineNumbers w:val="0"/>
              <w:topLinePunct/>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根据县域规划提出的工业发展思路</w:t>
            </w:r>
            <w:r>
              <w:rPr>
                <w:rFonts w:ascii="Times New Roman" w:hAnsi="Times New Roman" w:eastAsia="宋体" w:cs="Times New Roman"/>
                <w:sz w:val="24"/>
                <w:szCs w:val="24"/>
                <w:lang w:eastAsia="zh-CN"/>
              </w:rPr>
              <w:t>：</w:t>
            </w:r>
            <w:r>
              <w:rPr>
                <w:rFonts w:ascii="Times New Roman" w:hAnsi="Times New Roman" w:eastAsia="宋体" w:cs="Times New Roman"/>
                <w:sz w:val="24"/>
                <w:szCs w:val="24"/>
              </w:rPr>
              <w:t>对资源依托型、环境</w:t>
            </w:r>
            <w:r>
              <w:rPr>
                <w:rFonts w:ascii="Times New Roman" w:hAnsi="Times New Roman" w:eastAsia="宋体" w:cs="Times New Roman"/>
                <w:sz w:val="24"/>
                <w:szCs w:val="24"/>
                <w:lang w:eastAsia="zh-CN"/>
              </w:rPr>
              <w:t>有</w:t>
            </w:r>
            <w:r>
              <w:rPr>
                <w:rFonts w:ascii="Times New Roman" w:hAnsi="Times New Roman" w:eastAsia="宋体" w:cs="Times New Roman"/>
                <w:sz w:val="24"/>
                <w:szCs w:val="24"/>
              </w:rPr>
              <w:t>一定污染的企业, 逐步向富民县工业园区集中发展。规划原则上富民县城规划区范围内不再引进工 业项目；本项目布局在富民工业园区内</w:t>
            </w:r>
            <w:r>
              <w:rPr>
                <w:rFonts w:ascii="Times New Roman" w:hAnsi="Times New Roman" w:eastAsia="宋体" w:cs="Times New Roman"/>
                <w:sz w:val="24"/>
                <w:szCs w:val="24"/>
                <w:lang w:eastAsia="zh-CN"/>
              </w:rPr>
              <w:t>白石岩</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lang w:eastAsia="zh-CN"/>
              </w:rPr>
              <w:t>大白坡片区</w:t>
            </w:r>
            <w:r>
              <w:rPr>
                <w:rFonts w:hint="eastAsia" w:ascii="Times New Roman" w:hAnsi="Times New Roman" w:eastAsia="宋体" w:cs="Times New Roman"/>
                <w:sz w:val="24"/>
                <w:szCs w:val="24"/>
                <w:lang w:eastAsia="zh-CN"/>
              </w:rPr>
              <w:t>哨菁机械加工园</w:t>
            </w:r>
            <w:r>
              <w:rPr>
                <w:rFonts w:ascii="Times New Roman" w:hAnsi="Times New Roman" w:eastAsia="宋体" w:cs="Times New Roman"/>
                <w:sz w:val="24"/>
                <w:szCs w:val="24"/>
              </w:rPr>
              <w:t>，因此从总体上来说，项目的建设与城市总体规划不矛盾。</w:t>
            </w:r>
          </w:p>
          <w:p>
            <w:pPr>
              <w:keepNext w:val="0"/>
              <w:keepLines w:val="0"/>
              <w:suppressLineNumbers w:val="0"/>
              <w:adjustRightInd w:val="0"/>
              <w:snapToGrid w:val="0"/>
              <w:spacing w:before="0" w:beforeAutospacing="0" w:after="0" w:afterAutospacing="0"/>
              <w:ind w:left="0" w:right="0" w:firstLine="480"/>
              <w:jc w:val="both"/>
              <w:rPr>
                <w:bCs/>
              </w:rPr>
            </w:pPr>
            <w:r>
              <w:rPr>
                <w:bCs/>
              </w:rPr>
              <w:t>3、与《富民工业园区总体规划修编（2015-2030）》的符合性分析</w:t>
            </w:r>
          </w:p>
          <w:p>
            <w:pPr>
              <w:pStyle w:val="36"/>
              <w:keepNext w:val="0"/>
              <w:keepLines w:val="0"/>
              <w:suppressLineNumbers w:val="0"/>
              <w:wordWrap w:val="0"/>
              <w:topLinePunct/>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富民工业园区位于富民永定街道、罗免镇、赤鹫镇、散</w:t>
            </w:r>
            <w:r>
              <w:rPr>
                <w:rFonts w:ascii="Times New Roman" w:hAnsi="Times New Roman" w:eastAsia="宋体" w:cs="Times New Roman"/>
                <w:sz w:val="24"/>
                <w:szCs w:val="24"/>
                <w:lang w:eastAsia="zh-CN"/>
              </w:rPr>
              <w:t>旦</w:t>
            </w:r>
            <w:r>
              <w:rPr>
                <w:rFonts w:ascii="Times New Roman" w:hAnsi="Times New Roman" w:eastAsia="宋体" w:cs="Times New Roman"/>
                <w:sz w:val="24"/>
                <w:szCs w:val="24"/>
              </w:rPr>
              <w:t>镇、款庄镇、东村镇的部分区域，各级主管部门对富民工</w:t>
            </w:r>
            <w:r>
              <w:rPr>
                <w:rFonts w:ascii="Times New Roman" w:hAnsi="Times New Roman" w:eastAsia="宋体" w:cs="Times New Roman"/>
                <w:sz w:val="24"/>
                <w:szCs w:val="24"/>
                <w:lang w:val="zh-CN" w:eastAsia="zh-CN"/>
              </w:rPr>
              <w:t>业园区</w:t>
            </w:r>
            <w:r>
              <w:rPr>
                <w:rFonts w:ascii="Times New Roman" w:hAnsi="Times New Roman" w:eastAsia="宋体" w:cs="Times New Roman"/>
                <w:sz w:val="24"/>
                <w:szCs w:val="24"/>
              </w:rPr>
              <w:t>规划和建设高度重视2006年完成了《富民工业集聚区总体规划</w:t>
            </w:r>
            <w:r>
              <w:rPr>
                <w:rFonts w:ascii="Times New Roman" w:hAnsi="Times New Roman" w:eastAsia="宋体" w:cs="Times New Roman"/>
                <w:sz w:val="24"/>
                <w:szCs w:val="24"/>
                <w:lang w:val="en-US" w:eastAsia="zh-CN"/>
              </w:rPr>
              <w:t>(2006-2020</w:t>
            </w:r>
            <w:r>
              <w:rPr>
                <w:rFonts w:ascii="Times New Roman" w:hAnsi="Times New Roman" w:eastAsia="宋体" w:cs="Times New Roman"/>
                <w:sz w:val="24"/>
                <w:szCs w:val="24"/>
              </w:rPr>
              <w:t>年)》的编制并获昆明市工业和信息化委员会批准实施，并于2008年7月取得了《富民工业集聚区总体规划环境影响报告书》审査意见</w:t>
            </w:r>
            <w:r>
              <w:rPr>
                <w:rFonts w:ascii="Times New Roman" w:hAnsi="Times New Roman" w:eastAsia="宋体" w:cs="Times New Roman"/>
                <w:sz w:val="24"/>
                <w:szCs w:val="24"/>
                <w:lang w:eastAsia="zh-CN"/>
              </w:rPr>
              <w:t>，</w:t>
            </w:r>
            <w:r>
              <w:rPr>
                <w:rFonts w:ascii="Times New Roman" w:hAnsi="Times New Roman" w:eastAsia="宋体" w:cs="Times New Roman"/>
                <w:sz w:val="24"/>
                <w:szCs w:val="24"/>
              </w:rPr>
              <w:t>2008年被省工信委确定为省级工业园区。</w:t>
            </w:r>
          </w:p>
          <w:p>
            <w:pPr>
              <w:pStyle w:val="36"/>
              <w:keepNext w:val="0"/>
              <w:keepLines w:val="0"/>
              <w:suppressLineNumbers w:val="0"/>
              <w:topLinePunct/>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随</w:t>
            </w:r>
            <w:r>
              <w:rPr>
                <w:rFonts w:ascii="Times New Roman" w:hAnsi="Times New Roman" w:eastAsia="宋体" w:cs="Times New Roman"/>
                <w:sz w:val="24"/>
                <w:szCs w:val="24"/>
                <w:lang w:eastAsia="zh-CN"/>
              </w:rPr>
              <w:t>着</w:t>
            </w:r>
            <w:r>
              <w:rPr>
                <w:rFonts w:ascii="Times New Roman" w:hAnsi="Times New Roman" w:eastAsia="宋体" w:cs="Times New Roman"/>
                <w:sz w:val="24"/>
                <w:szCs w:val="24"/>
              </w:rPr>
              <w:t>云南省出台了关于推动工业跨越式发展以及</w:t>
            </w:r>
            <w:r>
              <w:rPr>
                <w:rFonts w:ascii="Times New Roman" w:hAnsi="Times New Roman" w:eastAsia="宋体" w:cs="Times New Roman"/>
                <w:sz w:val="24"/>
                <w:szCs w:val="24"/>
                <w:lang w:val="zh-CN" w:eastAsia="zh-CN"/>
              </w:rPr>
              <w:t>“城</w:t>
            </w:r>
            <w:r>
              <w:rPr>
                <w:rFonts w:ascii="Times New Roman" w:hAnsi="Times New Roman" w:eastAsia="宋体" w:cs="Times New Roman"/>
                <w:sz w:val="24"/>
                <w:szCs w:val="24"/>
              </w:rPr>
              <w:t>镇、工业上山”的新政策，昆明市针对全市产业布局提出了调整优化的新要求。同时，随着近年来外围工业经济形式的发展和政策细则的落实，原</w:t>
            </w:r>
            <w:r>
              <w:rPr>
                <w:rFonts w:ascii="Times New Roman" w:hAnsi="Times New Roman" w:eastAsia="宋体" w:cs="Times New Roman"/>
                <w:sz w:val="24"/>
                <w:szCs w:val="24"/>
                <w:lang w:eastAsia="zh-CN"/>
              </w:rPr>
              <w:t>有</w:t>
            </w:r>
            <w:r>
              <w:rPr>
                <w:rFonts w:ascii="Times New Roman" w:hAnsi="Times New Roman" w:eastAsia="宋体" w:cs="Times New Roman"/>
                <w:sz w:val="24"/>
                <w:szCs w:val="24"/>
              </w:rPr>
              <w:t>工业园区的规划</w:t>
            </w:r>
            <w:r>
              <w:rPr>
                <w:rFonts w:ascii="Times New Roman" w:hAnsi="Times New Roman" w:eastAsia="宋体" w:cs="Times New Roman"/>
                <w:sz w:val="24"/>
                <w:szCs w:val="24"/>
                <w:lang w:eastAsia="zh-CN"/>
              </w:rPr>
              <w:t>已</w:t>
            </w:r>
            <w:r>
              <w:rPr>
                <w:rFonts w:ascii="Times New Roman" w:hAnsi="Times New Roman" w:eastAsia="宋体" w:cs="Times New Roman"/>
                <w:sz w:val="24"/>
                <w:szCs w:val="24"/>
              </w:rPr>
              <w:t>不能满足目前的 发展需求，需对原有工业园区总体规划作出调整。因此，2014年富民工业园区管委会委托昆明市规划设计研究院编制完成了《富民工业园区总体规划修编 （2015-2030）》</w:t>
            </w:r>
            <w:r>
              <w:rPr>
                <w:rFonts w:ascii="Times New Roman" w:hAnsi="Times New Roman" w:eastAsia="宋体" w:cs="Times New Roman"/>
                <w:sz w:val="24"/>
                <w:szCs w:val="24"/>
                <w:lang w:eastAsia="zh-CN"/>
              </w:rPr>
              <w:t>，</w:t>
            </w:r>
            <w:r>
              <w:rPr>
                <w:rFonts w:ascii="Times New Roman" w:hAnsi="Times New Roman" w:eastAsia="宋体" w:cs="Times New Roman"/>
                <w:sz w:val="24"/>
                <w:szCs w:val="24"/>
              </w:rPr>
              <w:t>并通过了昆明市</w:t>
            </w:r>
            <w:r>
              <w:rPr>
                <w:rFonts w:ascii="Times New Roman" w:hAnsi="Times New Roman" w:eastAsia="宋体" w:cs="Times New Roman"/>
                <w:sz w:val="24"/>
                <w:szCs w:val="24"/>
                <w:lang w:eastAsia="zh-CN"/>
              </w:rPr>
              <w:t>工</w:t>
            </w:r>
            <w:r>
              <w:rPr>
                <w:rFonts w:ascii="Times New Roman" w:hAnsi="Times New Roman" w:eastAsia="宋体" w:cs="Times New Roman"/>
                <w:sz w:val="24"/>
                <w:szCs w:val="24"/>
              </w:rPr>
              <w:t>业和信息化委员会组织的专家审核，并于2015年10月取得了昆明市工业和信息化委员会《关于实施《富民工业园区总体规划修编（2015-2030）》的意见。</w:t>
            </w:r>
          </w:p>
          <w:p>
            <w:pPr>
              <w:pStyle w:val="36"/>
              <w:keepNext w:val="0"/>
              <w:keepLines w:val="0"/>
              <w:suppressLineNumbers w:val="0"/>
              <w:wordWrap w:val="0"/>
              <w:topLinePunct/>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本次规划调整</w:t>
            </w:r>
            <w:r>
              <w:rPr>
                <w:rFonts w:ascii="Times New Roman" w:hAnsi="Times New Roman" w:eastAsia="宋体" w:cs="Times New Roman"/>
                <w:sz w:val="24"/>
                <w:szCs w:val="24"/>
                <w:lang w:eastAsia="zh-CN"/>
              </w:rPr>
              <w:t>工</w:t>
            </w:r>
            <w:r>
              <w:rPr>
                <w:rFonts w:ascii="Times New Roman" w:hAnsi="Times New Roman" w:eastAsia="宋体" w:cs="Times New Roman"/>
                <w:sz w:val="24"/>
                <w:szCs w:val="24"/>
              </w:rPr>
              <w:t>作中，主要是结合园区发展需求的实际情况，重新划定了规划范围，确定本次富民工业园规划区范围为四个片区，其中，白石岩</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lang w:val="zh-CN" w:eastAsia="zh-CN"/>
              </w:rPr>
              <w:t>大</w:t>
            </w:r>
            <w:r>
              <w:rPr>
                <w:rFonts w:ascii="Times New Roman" w:hAnsi="Times New Roman" w:eastAsia="宋体" w:cs="Times New Roman"/>
                <w:sz w:val="24"/>
                <w:szCs w:val="24"/>
                <w:lang w:eastAsia="zh-CN"/>
              </w:rPr>
              <w:t>白</w:t>
            </w:r>
            <w:r>
              <w:rPr>
                <w:rFonts w:ascii="Times New Roman" w:hAnsi="Times New Roman" w:eastAsia="宋体" w:cs="Times New Roman"/>
                <w:sz w:val="24"/>
                <w:szCs w:val="24"/>
              </w:rPr>
              <w:t>坡</w:t>
            </w:r>
            <w:r>
              <w:rPr>
                <w:rFonts w:ascii="Times New Roman" w:hAnsi="Times New Roman" w:eastAsia="宋体" w:cs="Times New Roman"/>
                <w:sz w:val="24"/>
                <w:szCs w:val="24"/>
                <w:lang w:eastAsia="zh-CN"/>
              </w:rPr>
              <w:t>片</w:t>
            </w:r>
            <w:r>
              <w:rPr>
                <w:rFonts w:ascii="Times New Roman" w:hAnsi="Times New Roman" w:eastAsia="宋体" w:cs="Times New Roman"/>
                <w:sz w:val="24"/>
                <w:szCs w:val="24"/>
              </w:rPr>
              <w:t>区主要包括白石岩、大白坡、哨</w:t>
            </w:r>
            <w:r>
              <w:rPr>
                <w:rFonts w:ascii="Times New Roman" w:hAnsi="Times New Roman" w:eastAsia="宋体" w:cs="Times New Roman"/>
                <w:sz w:val="24"/>
                <w:szCs w:val="24"/>
                <w:lang w:eastAsia="zh-CN"/>
              </w:rPr>
              <w:t>箐</w:t>
            </w:r>
            <w:r>
              <w:rPr>
                <w:rFonts w:ascii="Times New Roman" w:hAnsi="Times New Roman" w:eastAsia="宋体" w:cs="Times New Roman"/>
                <w:sz w:val="24"/>
                <w:szCs w:val="24"/>
              </w:rPr>
              <w:t>与赤鹫组团，大营</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lang w:val="zh-CN" w:eastAsia="zh-CN"/>
              </w:rPr>
              <w:t>茨塘</w:t>
            </w:r>
            <w:r>
              <w:rPr>
                <w:rFonts w:ascii="Times New Roman" w:hAnsi="Times New Roman" w:eastAsia="宋体" w:cs="Times New Roman"/>
                <w:sz w:val="24"/>
                <w:szCs w:val="24"/>
              </w:rPr>
              <w:t>片区主要包括大营、茨塘组团，散旦片区主要包括散旦南、散旦西与散旦北组团，款庄</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lang w:val="zh-CN" w:eastAsia="zh-CN"/>
              </w:rPr>
              <w:t>东村</w:t>
            </w:r>
            <w:r>
              <w:rPr>
                <w:rFonts w:ascii="Times New Roman" w:hAnsi="Times New Roman" w:eastAsia="宋体" w:cs="Times New Roman"/>
                <w:sz w:val="24"/>
                <w:szCs w:val="24"/>
              </w:rPr>
              <w:t>片区主要包括款庄、东村与和平</w:t>
            </w:r>
            <w:r>
              <w:rPr>
                <w:rFonts w:ascii="Times New Roman" w:hAnsi="Times New Roman" w:eastAsia="宋体" w:cs="Times New Roman"/>
                <w:sz w:val="24"/>
                <w:szCs w:val="24"/>
                <w:lang w:val="zh-CN" w:eastAsia="zh-CN"/>
              </w:rPr>
              <w:t>组团。</w:t>
            </w:r>
            <w:r>
              <w:rPr>
                <w:rFonts w:ascii="Times New Roman" w:hAnsi="Times New Roman" w:eastAsia="宋体" w:cs="Times New Roman"/>
                <w:sz w:val="24"/>
                <w:szCs w:val="24"/>
              </w:rPr>
              <w:t>在原来规划的基础上新增加</w:t>
            </w:r>
            <w:r>
              <w:rPr>
                <w:rFonts w:ascii="Times New Roman" w:hAnsi="Times New Roman" w:eastAsia="宋体" w:cs="Times New Roman"/>
                <w:sz w:val="24"/>
                <w:szCs w:val="24"/>
                <w:lang w:val="zh-CN" w:eastAsia="zh-CN"/>
              </w:rPr>
              <w:t>了赤</w:t>
            </w:r>
            <w:r>
              <w:rPr>
                <w:rFonts w:ascii="Times New Roman" w:hAnsi="Times New Roman" w:eastAsia="宋体" w:cs="Times New Roman"/>
                <w:sz w:val="24"/>
                <w:szCs w:val="24"/>
              </w:rPr>
              <w:t>鹫镇、散旦镇、款庄镇和东村镇的部分区域，规划建设用地面积由原来的</w:t>
            </w:r>
            <w:r>
              <w:rPr>
                <w:rFonts w:ascii="Times New Roman" w:hAnsi="Times New Roman" w:eastAsia="宋体" w:cs="Times New Roman"/>
                <w:sz w:val="24"/>
                <w:szCs w:val="24"/>
                <w:lang w:val="en-US" w:eastAsia="zh-CN"/>
              </w:rPr>
              <w:t>10.22</w:t>
            </w:r>
            <w:r>
              <w:rPr>
                <w:rFonts w:ascii="Times New Roman" w:hAnsi="Times New Roman" w:eastAsia="宋体" w:cs="Times New Roman"/>
                <w:sz w:val="24"/>
                <w:szCs w:val="24"/>
              </w:rPr>
              <w:t>平方公里调整为</w:t>
            </w:r>
            <w:r>
              <w:rPr>
                <w:rFonts w:ascii="Times New Roman" w:hAnsi="Times New Roman" w:eastAsia="宋体" w:cs="Times New Roman"/>
                <w:sz w:val="24"/>
                <w:szCs w:val="24"/>
                <w:lang w:val="en-US" w:eastAsia="zh-CN"/>
              </w:rPr>
              <w:t>30.4</w:t>
            </w:r>
            <w:r>
              <w:rPr>
                <w:rFonts w:ascii="Times New Roman" w:hAnsi="Times New Roman" w:eastAsia="宋体" w:cs="Times New Roman"/>
                <w:sz w:val="24"/>
                <w:szCs w:val="24"/>
              </w:rPr>
              <w:t>平方公里，增加了</w:t>
            </w:r>
            <w:r>
              <w:rPr>
                <w:rFonts w:ascii="Times New Roman" w:hAnsi="Times New Roman" w:eastAsia="宋体" w:cs="Times New Roman"/>
                <w:sz w:val="24"/>
                <w:szCs w:val="24"/>
                <w:lang w:val="en-US" w:eastAsia="zh-CN"/>
              </w:rPr>
              <w:t>20.18</w:t>
            </w:r>
            <w:r>
              <w:rPr>
                <w:rFonts w:ascii="Times New Roman" w:hAnsi="Times New Roman" w:eastAsia="宋体" w:cs="Times New Roman"/>
                <w:sz w:val="24"/>
                <w:szCs w:val="24"/>
              </w:rPr>
              <w:t>平方公里。调整了发展定位，是以装备制造、钛盐化工和新材料三大产业为主导的产业基地，取消了</w:t>
            </w:r>
            <w:r>
              <w:rPr>
                <w:rFonts w:ascii="Times New Roman" w:hAnsi="Times New Roman" w:eastAsia="宋体" w:cs="Times New Roman"/>
                <w:sz w:val="24"/>
                <w:szCs w:val="24"/>
                <w:lang w:eastAsia="zh-CN"/>
              </w:rPr>
              <w:t>原</w:t>
            </w:r>
            <w:r>
              <w:rPr>
                <w:rFonts w:ascii="Times New Roman" w:hAnsi="Times New Roman" w:eastAsia="宋体" w:cs="Times New Roman"/>
                <w:sz w:val="24"/>
                <w:szCs w:val="24"/>
              </w:rPr>
              <w:t>规划的硫化工、磷化工和饲料添加剂产业。产业布后由原规划的北营、麦竜、大营三个产业片区和奎南物流中心</w:t>
            </w:r>
            <w:r>
              <w:rPr>
                <w:rFonts w:ascii="Times New Roman" w:hAnsi="Times New Roman" w:eastAsia="宋体" w:cs="Times New Roman"/>
                <w:sz w:val="24"/>
                <w:szCs w:val="24"/>
                <w:lang w:val="zh-CN" w:eastAsia="zh-CN"/>
              </w:rPr>
              <w:t>“三片</w:t>
            </w:r>
            <w:r>
              <w:rPr>
                <w:rFonts w:ascii="Times New Roman" w:hAnsi="Times New Roman" w:eastAsia="宋体" w:cs="Times New Roman"/>
                <w:sz w:val="24"/>
                <w:szCs w:val="24"/>
              </w:rPr>
              <w:t>一中心</w:t>
            </w:r>
            <w:r>
              <w:rPr>
                <w:rFonts w:ascii="Times New Roman" w:hAnsi="Times New Roman" w:eastAsia="宋体" w:cs="Times New Roman"/>
                <w:sz w:val="24"/>
                <w:szCs w:val="24"/>
                <w:lang w:val="zh-CN" w:eastAsia="zh-CN"/>
              </w:rPr>
              <w:t>“结</w:t>
            </w:r>
            <w:r>
              <w:rPr>
                <w:rFonts w:ascii="Times New Roman" w:hAnsi="Times New Roman" w:eastAsia="宋体" w:cs="Times New Roman"/>
                <w:sz w:val="24"/>
                <w:szCs w:val="24"/>
              </w:rPr>
              <w:t>构，调整为包括白石岩</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lang w:val="zh-CN" w:eastAsia="zh-CN"/>
              </w:rPr>
              <w:t>大</w:t>
            </w:r>
            <w:r>
              <w:rPr>
                <w:rFonts w:ascii="Times New Roman" w:hAnsi="Times New Roman" w:eastAsia="宋体" w:cs="Times New Roman"/>
                <w:sz w:val="24"/>
                <w:szCs w:val="24"/>
              </w:rPr>
              <w:t>白坡片区、大营片区、散旦片</w:t>
            </w:r>
            <w:r>
              <w:rPr>
                <w:rFonts w:ascii="Times New Roman" w:hAnsi="Times New Roman" w:eastAsia="宋体" w:cs="Times New Roman"/>
                <w:sz w:val="24"/>
                <w:szCs w:val="24"/>
                <w:lang w:eastAsia="zh-CN"/>
              </w:rPr>
              <w:t>区、</w:t>
            </w:r>
            <w:r>
              <w:rPr>
                <w:rFonts w:ascii="Times New Roman" w:hAnsi="Times New Roman" w:eastAsia="宋体" w:cs="Times New Roman"/>
                <w:sz w:val="24"/>
                <w:szCs w:val="24"/>
              </w:rPr>
              <w:t>款庄</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lang w:val="zh-CN" w:eastAsia="zh-CN"/>
              </w:rPr>
              <w:t>东村</w:t>
            </w:r>
            <w:r>
              <w:rPr>
                <w:rFonts w:ascii="Times New Roman" w:hAnsi="Times New Roman" w:eastAsia="宋体" w:cs="Times New Roman"/>
                <w:sz w:val="24"/>
                <w:szCs w:val="24"/>
              </w:rPr>
              <w:t>片区四个工业片区。</w:t>
            </w:r>
          </w:p>
          <w:p>
            <w:pPr>
              <w:pStyle w:val="36"/>
              <w:keepNext w:val="0"/>
              <w:keepLines w:val="0"/>
              <w:suppressLineNumbers w:val="0"/>
              <w:wordWrap w:val="0"/>
              <w:topLinePunct/>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lang w:eastAsia="zh-CN"/>
              </w:rPr>
            </w:pPr>
            <w:r>
              <w:rPr>
                <w:rFonts w:ascii="Times New Roman" w:hAnsi="Times New Roman" w:eastAsia="宋体" w:cs="Times New Roman"/>
                <w:sz w:val="24"/>
                <w:szCs w:val="24"/>
              </w:rPr>
              <w:t>按照修编后的规划，富民工业园区定位为：新型工业园区，以装备制造、钛盐化工和新材料三大产业为主导的产业基地，集生产、生活配套为一体的生态化工业园。整个工业园区规划范围面积为</w:t>
            </w:r>
            <w:r>
              <w:rPr>
                <w:rFonts w:ascii="Times New Roman" w:hAnsi="Times New Roman" w:eastAsia="宋体" w:cs="Times New Roman"/>
                <w:sz w:val="24"/>
                <w:szCs w:val="24"/>
                <w:lang w:val="en-US" w:eastAsia="zh-CN"/>
              </w:rPr>
              <w:t>67.37km</w:t>
            </w:r>
            <w:r>
              <w:rPr>
                <w:rFonts w:ascii="Times New Roman" w:hAnsi="Times New Roman" w:eastAsia="宋体" w:cs="Times New Roman"/>
                <w:sz w:val="24"/>
                <w:szCs w:val="24"/>
                <w:vertAlign w:val="superscript"/>
                <w:lang w:val="en-US" w:eastAsia="zh-CN"/>
              </w:rPr>
              <w:t>2</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rPr>
              <w:t>园区建设用地面积为</w:t>
            </w:r>
            <w:r>
              <w:rPr>
                <w:rFonts w:ascii="Times New Roman" w:hAnsi="Times New Roman" w:eastAsia="宋体" w:cs="Times New Roman"/>
                <w:sz w:val="24"/>
                <w:szCs w:val="24"/>
                <w:lang w:val="en-US" w:eastAsia="zh-CN"/>
              </w:rPr>
              <w:t>30.4km</w:t>
            </w:r>
            <w:r>
              <w:rPr>
                <w:rFonts w:ascii="Times New Roman" w:hAnsi="Times New Roman" w:eastAsia="宋体" w:cs="Times New Roman"/>
                <w:sz w:val="24"/>
                <w:szCs w:val="24"/>
                <w:vertAlign w:val="superscript"/>
                <w:lang w:val="en-US" w:eastAsia="zh-CN"/>
              </w:rPr>
              <w:t>2</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rPr>
              <w:t>按照《富民工业园区总体规划修编（2015-2030）》，园区产业规划构建“两</w:t>
            </w:r>
            <w:r>
              <w:rPr>
                <w:rFonts w:ascii="Times New Roman" w:hAnsi="Times New Roman" w:eastAsia="宋体" w:cs="Times New Roman"/>
                <w:sz w:val="24"/>
                <w:szCs w:val="24"/>
                <w:lang w:eastAsia="zh-CN"/>
              </w:rPr>
              <w:t>轴</w:t>
            </w:r>
            <w:r>
              <w:rPr>
                <w:rFonts w:ascii="Times New Roman" w:hAnsi="Times New Roman" w:eastAsia="宋体" w:cs="Times New Roman"/>
                <w:sz w:val="24"/>
                <w:szCs w:val="24"/>
              </w:rPr>
              <w:t>三园六组团</w:t>
            </w:r>
            <w:r>
              <w:rPr>
                <w:rFonts w:ascii="Times New Roman" w:hAnsi="Times New Roman" w:eastAsia="宋体" w:cs="Times New Roman"/>
                <w:sz w:val="24"/>
                <w:szCs w:val="24"/>
                <w:lang w:val="zh-CN" w:eastAsia="zh-CN"/>
              </w:rPr>
              <w:t>”的</w:t>
            </w:r>
            <w:r>
              <w:rPr>
                <w:rFonts w:ascii="Times New Roman" w:hAnsi="Times New Roman" w:eastAsia="宋体" w:cs="Times New Roman"/>
                <w:sz w:val="24"/>
                <w:szCs w:val="24"/>
              </w:rPr>
              <w:t>产业空间布局结构。两轴为沿昆武高速公路和轿子山旅游专线形成两条产业发展轴线；三园为富民工业园区主要布局装备制造产业园、钛化工产业园和新材料产业园：六个产业组团为白石岩-哨</w:t>
            </w:r>
            <w:r>
              <w:rPr>
                <w:rFonts w:ascii="Times New Roman" w:hAnsi="Times New Roman" w:eastAsia="宋体" w:cs="Times New Roman"/>
                <w:sz w:val="24"/>
                <w:szCs w:val="24"/>
                <w:lang w:eastAsia="zh-CN"/>
              </w:rPr>
              <w:t>箐</w:t>
            </w:r>
            <w:r>
              <w:rPr>
                <w:rFonts w:ascii="Times New Roman" w:hAnsi="Times New Roman" w:eastAsia="宋体" w:cs="Times New Roman"/>
                <w:sz w:val="24"/>
                <w:szCs w:val="24"/>
              </w:rPr>
              <w:t>组团、大白坡组团、赤鹫组团、大营-茨塘组团、散旦组团和款庄-东村组团</w:t>
            </w:r>
            <w:r>
              <w:rPr>
                <w:rFonts w:ascii="Times New Roman" w:hAnsi="Times New Roman" w:eastAsia="宋体" w:cs="Times New Roman"/>
                <w:sz w:val="24"/>
                <w:szCs w:val="24"/>
                <w:lang w:eastAsia="zh-CN"/>
              </w:rPr>
              <w:t>。</w:t>
            </w:r>
          </w:p>
          <w:p>
            <w:pPr>
              <w:pStyle w:val="36"/>
              <w:keepNext w:val="0"/>
              <w:keepLines w:val="0"/>
              <w:suppressLineNumbers w:val="0"/>
              <w:wordWrap w:val="0"/>
              <w:topLinePunct/>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根据规划项目所处位置为大白坡</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lang w:val="zh-CN" w:eastAsia="zh-CN"/>
              </w:rPr>
              <w:t>白石</w:t>
            </w:r>
            <w:r>
              <w:rPr>
                <w:rFonts w:ascii="Times New Roman" w:hAnsi="Times New Roman" w:eastAsia="宋体" w:cs="Times New Roman"/>
                <w:sz w:val="24"/>
                <w:szCs w:val="24"/>
              </w:rPr>
              <w:t>岩片区的哨</w:t>
            </w:r>
            <w:r>
              <w:rPr>
                <w:rFonts w:ascii="Times New Roman" w:hAnsi="Times New Roman" w:eastAsia="宋体" w:cs="Times New Roman"/>
                <w:sz w:val="24"/>
                <w:szCs w:val="24"/>
                <w:lang w:eastAsia="zh-CN"/>
              </w:rPr>
              <w:t>箐</w:t>
            </w:r>
            <w:r>
              <w:rPr>
                <w:rFonts w:hint="eastAsia" w:ascii="Times New Roman" w:hAnsi="Times New Roman" w:eastAsia="宋体" w:cs="Times New Roman"/>
                <w:sz w:val="24"/>
                <w:szCs w:val="24"/>
                <w:lang w:eastAsia="zh-CN"/>
              </w:rPr>
              <w:t>机械加工园</w:t>
            </w:r>
            <w:r>
              <w:rPr>
                <w:rFonts w:ascii="Times New Roman" w:hAnsi="Times New Roman" w:eastAsia="宋体" w:cs="Times New Roman"/>
                <w:sz w:val="24"/>
                <w:szCs w:val="24"/>
              </w:rPr>
              <w:t>，产业定位为装备制造</w:t>
            </w:r>
            <w:r>
              <w:rPr>
                <w:rFonts w:ascii="Times New Roman" w:hAnsi="Times New Roman" w:eastAsia="宋体" w:cs="Times New Roman"/>
                <w:sz w:val="24"/>
                <w:szCs w:val="24"/>
                <w:lang w:eastAsia="zh-CN"/>
              </w:rPr>
              <w:t>和</w:t>
            </w:r>
            <w:r>
              <w:rPr>
                <w:rFonts w:ascii="Times New Roman" w:hAnsi="Times New Roman" w:eastAsia="宋体" w:cs="Times New Roman"/>
                <w:sz w:val="24"/>
                <w:szCs w:val="24"/>
              </w:rPr>
              <w:t>精细化工。本项</w:t>
            </w:r>
            <w:r>
              <w:rPr>
                <w:rFonts w:ascii="Times New Roman" w:hAnsi="Times New Roman" w:eastAsia="宋体" w:cs="Times New Roman"/>
                <w:sz w:val="24"/>
                <w:szCs w:val="24"/>
                <w:lang w:eastAsia="zh-CN"/>
              </w:rPr>
              <w:t>目</w:t>
            </w:r>
            <w:r>
              <w:rPr>
                <w:rFonts w:ascii="Times New Roman" w:hAnsi="Times New Roman" w:eastAsia="宋体" w:cs="Times New Roman"/>
                <w:sz w:val="24"/>
                <w:szCs w:val="24"/>
              </w:rPr>
              <w:t>属</w:t>
            </w:r>
            <w:r>
              <w:rPr>
                <w:rFonts w:hint="eastAsia" w:ascii="Times New Roman" w:hAnsi="Times New Roman" w:eastAsia="宋体" w:cs="Times New Roman"/>
                <w:sz w:val="24"/>
                <w:szCs w:val="24"/>
                <w:lang w:eastAsia="zh-CN"/>
              </w:rPr>
              <w:t>装备制造</w:t>
            </w:r>
            <w:r>
              <w:rPr>
                <w:rFonts w:ascii="Times New Roman" w:hAnsi="Times New Roman" w:eastAsia="宋体" w:cs="Times New Roman"/>
                <w:sz w:val="24"/>
                <w:szCs w:val="24"/>
              </w:rPr>
              <w:t>，因此项目选址符合富民工业园区总体规划布局要求。</w:t>
            </w:r>
            <w:r>
              <w:rPr>
                <w:rFonts w:hint="eastAsia" w:ascii="Times New Roman" w:hAnsi="Times New Roman" w:eastAsia="宋体" w:cs="Times New Roman"/>
                <w:sz w:val="24"/>
                <w:szCs w:val="24"/>
                <w:lang w:eastAsia="zh-CN"/>
              </w:rPr>
              <w:t>本项目为工业园区招商引资项目，富民工业园区管委会招商服务局已证明本项目拟建位置位于</w:t>
            </w:r>
            <w:r>
              <w:rPr>
                <w:rFonts w:ascii="Times New Roman" w:hAnsi="Times New Roman" w:eastAsia="宋体" w:cs="Times New Roman"/>
                <w:sz w:val="24"/>
                <w:szCs w:val="24"/>
              </w:rPr>
              <w:t>哨</w:t>
            </w:r>
            <w:r>
              <w:rPr>
                <w:rFonts w:ascii="Times New Roman" w:hAnsi="Times New Roman" w:eastAsia="宋体" w:cs="Times New Roman"/>
                <w:sz w:val="24"/>
                <w:szCs w:val="24"/>
                <w:lang w:eastAsia="zh-CN"/>
              </w:rPr>
              <w:t>箐</w:t>
            </w:r>
            <w:r>
              <w:rPr>
                <w:rFonts w:hint="eastAsia" w:ascii="Times New Roman" w:hAnsi="Times New Roman" w:eastAsia="宋体" w:cs="Times New Roman"/>
                <w:sz w:val="24"/>
                <w:szCs w:val="24"/>
                <w:lang w:eastAsia="zh-CN"/>
              </w:rPr>
              <w:t>机械加工园</w:t>
            </w:r>
            <w:r>
              <w:rPr>
                <w:rFonts w:ascii="Times New Roman" w:hAnsi="Times New Roman" w:eastAsia="宋体" w:cs="Times New Roman"/>
                <w:sz w:val="24"/>
                <w:szCs w:val="24"/>
                <w:lang w:eastAsia="zh-CN"/>
              </w:rPr>
              <w:t>（见附件</w:t>
            </w:r>
            <w:r>
              <w:rPr>
                <w:rFonts w:ascii="Times New Roman" w:hAnsi="Times New Roman" w:eastAsia="宋体" w:cs="Times New Roman"/>
                <w:sz w:val="24"/>
                <w:szCs w:val="24"/>
                <w:lang w:val="en-US" w:eastAsia="zh-CN"/>
              </w:rPr>
              <w:t>4</w:t>
            </w:r>
            <w:r>
              <w:rPr>
                <w:rFonts w:ascii="Times New Roman" w:hAnsi="Times New Roman" w:eastAsia="宋体" w:cs="Times New Roman"/>
                <w:sz w:val="24"/>
                <w:szCs w:val="24"/>
                <w:lang w:eastAsia="zh-CN"/>
              </w:rPr>
              <w:t>）</w:t>
            </w:r>
            <w:r>
              <w:rPr>
                <w:rFonts w:ascii="Times New Roman" w:hAnsi="Times New Roman" w:eastAsia="宋体" w:cs="Times New Roman"/>
                <w:sz w:val="24"/>
                <w:szCs w:val="24"/>
              </w:rPr>
              <w:t>。</w:t>
            </w:r>
          </w:p>
          <w:p>
            <w:pPr>
              <w:pStyle w:val="36"/>
              <w:keepNext w:val="0"/>
              <w:keepLines w:val="0"/>
              <w:suppressLineNumbers w:val="0"/>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根据《富民工业园区总体规划修编</w:t>
            </w:r>
            <w:r>
              <w:rPr>
                <w:rFonts w:ascii="Times New Roman" w:hAnsi="Times New Roman" w:eastAsia="宋体" w:cs="Times New Roman"/>
                <w:sz w:val="24"/>
                <w:szCs w:val="24"/>
                <w:lang w:val="en-US" w:eastAsia="zh-CN"/>
              </w:rPr>
              <w:t>（2015-203</w:t>
            </w:r>
            <w:r>
              <w:rPr>
                <w:rFonts w:ascii="Times New Roman" w:hAnsi="Times New Roman" w:eastAsia="宋体" w:cs="Times New Roman"/>
                <w:sz w:val="24"/>
                <w:szCs w:val="24"/>
              </w:rPr>
              <w:t>0年）环境影响报告书》提出的项目入园要求：</w:t>
            </w:r>
          </w:p>
          <w:p>
            <w:pPr>
              <w:pStyle w:val="36"/>
              <w:keepNext w:val="0"/>
              <w:keepLines w:val="0"/>
              <w:suppressLineNumbers w:val="0"/>
              <w:tabs>
                <w:tab w:val="left" w:pos="1780"/>
              </w:tabs>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lang w:eastAsia="zh-CN"/>
              </w:rPr>
              <w:t>（</w:t>
            </w:r>
            <w:r>
              <w:rPr>
                <w:rFonts w:ascii="Times New Roman" w:hAnsi="Times New Roman" w:eastAsia="宋体" w:cs="Times New Roman"/>
                <w:sz w:val="24"/>
                <w:szCs w:val="24"/>
                <w:lang w:val="en-US" w:eastAsia="zh-CN"/>
              </w:rPr>
              <w:t>1</w:t>
            </w:r>
            <w:r>
              <w:rPr>
                <w:rFonts w:ascii="Times New Roman" w:hAnsi="Times New Roman" w:eastAsia="宋体" w:cs="Times New Roman"/>
                <w:sz w:val="24"/>
                <w:szCs w:val="24"/>
                <w:lang w:eastAsia="zh-CN"/>
              </w:rPr>
              <w:t>）</w:t>
            </w:r>
            <w:r>
              <w:rPr>
                <w:rFonts w:ascii="Times New Roman" w:hAnsi="Times New Roman" w:eastAsia="宋体" w:cs="Times New Roman"/>
                <w:sz w:val="24"/>
                <w:szCs w:val="24"/>
              </w:rPr>
              <w:t>禁止国家及云南省产业政策中明令淘汰或限制的产业入园；</w:t>
            </w:r>
          </w:p>
          <w:p>
            <w:pPr>
              <w:pStyle w:val="36"/>
              <w:keepNext w:val="0"/>
              <w:keepLines w:val="0"/>
              <w:suppressLineNumbers w:val="0"/>
              <w:tabs>
                <w:tab w:val="left" w:pos="1780"/>
              </w:tabs>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w:t>
            </w:r>
            <w:r>
              <w:rPr>
                <w:rFonts w:ascii="Times New Roman" w:hAnsi="Times New Roman" w:eastAsia="宋体" w:cs="Times New Roman"/>
                <w:sz w:val="24"/>
                <w:szCs w:val="24"/>
                <w:lang w:val="en-US" w:eastAsia="zh-CN"/>
              </w:rPr>
              <w:t>2</w:t>
            </w:r>
            <w:r>
              <w:rPr>
                <w:rFonts w:ascii="Times New Roman" w:hAnsi="Times New Roman" w:eastAsia="宋体" w:cs="Times New Roman"/>
                <w:sz w:val="24"/>
                <w:szCs w:val="24"/>
                <w:lang w:eastAsia="zh-CN"/>
              </w:rPr>
              <w:t>）</w:t>
            </w:r>
            <w:r>
              <w:rPr>
                <w:rFonts w:ascii="Times New Roman" w:hAnsi="Times New Roman" w:eastAsia="宋体" w:cs="Times New Roman"/>
                <w:sz w:val="24"/>
                <w:szCs w:val="24"/>
              </w:rPr>
              <w:t>禁止不符合《规划》中规划产业的项目入园；</w:t>
            </w:r>
          </w:p>
          <w:p>
            <w:pPr>
              <w:pStyle w:val="36"/>
              <w:keepNext w:val="0"/>
              <w:keepLines w:val="0"/>
              <w:suppressLineNumbers w:val="0"/>
              <w:tabs>
                <w:tab w:val="left" w:pos="1780"/>
              </w:tabs>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rPr>
            </w:pPr>
            <w:bookmarkStart w:id="91" w:name="bookmark309"/>
            <w:r>
              <w:rPr>
                <w:rFonts w:ascii="Times New Roman" w:hAnsi="Times New Roman" w:eastAsia="宋体" w:cs="Times New Roman"/>
                <w:sz w:val="24"/>
                <w:szCs w:val="24"/>
              </w:rPr>
              <w:t>（</w:t>
            </w:r>
            <w:bookmarkEnd w:id="91"/>
            <w:r>
              <w:rPr>
                <w:rFonts w:ascii="Times New Roman" w:hAnsi="Times New Roman" w:eastAsia="宋体" w:cs="Times New Roman"/>
                <w:sz w:val="24"/>
                <w:szCs w:val="24"/>
              </w:rPr>
              <w:t>3）禁止未满足区域总量控制要求的项</w:t>
            </w:r>
            <w:r>
              <w:rPr>
                <w:rFonts w:ascii="Times New Roman" w:hAnsi="Times New Roman" w:eastAsia="宋体" w:cs="Times New Roman"/>
                <w:sz w:val="24"/>
                <w:szCs w:val="24"/>
                <w:lang w:val="en-US" w:eastAsia="zh-CN"/>
              </w:rPr>
              <w:t>目</w:t>
            </w:r>
            <w:r>
              <w:rPr>
                <w:rFonts w:ascii="Times New Roman" w:hAnsi="Times New Roman" w:eastAsia="宋体" w:cs="Times New Roman"/>
                <w:sz w:val="24"/>
                <w:szCs w:val="24"/>
              </w:rPr>
              <w:t>入园；</w:t>
            </w:r>
          </w:p>
          <w:p>
            <w:pPr>
              <w:pStyle w:val="36"/>
              <w:keepNext w:val="0"/>
              <w:keepLines w:val="0"/>
              <w:suppressLineNumbers w:val="0"/>
              <w:tabs>
                <w:tab w:val="left" w:pos="1780"/>
              </w:tabs>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rPr>
            </w:pPr>
            <w:bookmarkStart w:id="92" w:name="bookmark310"/>
            <w:r>
              <w:rPr>
                <w:rFonts w:ascii="Times New Roman" w:hAnsi="Times New Roman" w:eastAsia="宋体" w:cs="Times New Roman"/>
                <w:sz w:val="24"/>
                <w:szCs w:val="24"/>
              </w:rPr>
              <w:t>（</w:t>
            </w:r>
            <w:bookmarkEnd w:id="92"/>
            <w:r>
              <w:rPr>
                <w:rFonts w:ascii="Times New Roman" w:hAnsi="Times New Roman" w:eastAsia="宋体" w:cs="Times New Roman"/>
                <w:sz w:val="24"/>
                <w:szCs w:val="24"/>
              </w:rPr>
              <w:t>4）严格控制高钛渣、钛白粉项目入驻，引进的钛产业企业要以钛产品精深加工为主的工业企业；</w:t>
            </w:r>
          </w:p>
          <w:p>
            <w:pPr>
              <w:pStyle w:val="36"/>
              <w:keepNext w:val="0"/>
              <w:keepLines w:val="0"/>
              <w:suppressLineNumbers w:val="0"/>
              <w:tabs>
                <w:tab w:val="left" w:pos="1776"/>
              </w:tabs>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lang w:eastAsia="zh-CN"/>
              </w:rPr>
            </w:pPr>
            <w:bookmarkStart w:id="93" w:name="bookmark311"/>
            <w:r>
              <w:rPr>
                <w:rFonts w:ascii="Times New Roman" w:hAnsi="Times New Roman" w:eastAsia="宋体" w:cs="Times New Roman"/>
                <w:sz w:val="24"/>
                <w:szCs w:val="24"/>
                <w:lang w:val="zh-CN" w:eastAsia="zh-CN"/>
              </w:rPr>
              <w:t>（</w:t>
            </w:r>
            <w:bookmarkEnd w:id="93"/>
            <w:r>
              <w:rPr>
                <w:rFonts w:ascii="Times New Roman" w:hAnsi="Times New Roman" w:eastAsia="宋体" w:cs="Times New Roman"/>
                <w:sz w:val="24"/>
                <w:szCs w:val="24"/>
                <w:lang w:val="zh-CN" w:eastAsia="zh-CN"/>
              </w:rPr>
              <w:t>5）</w:t>
            </w:r>
            <w:r>
              <w:rPr>
                <w:rFonts w:ascii="Times New Roman" w:hAnsi="Times New Roman" w:eastAsia="宋体" w:cs="Times New Roman"/>
                <w:sz w:val="24"/>
                <w:szCs w:val="24"/>
              </w:rPr>
              <w:t>项目入园时（特别是钛化工企业），应充分考虑是否满足环境卫生防护距离的要求，防止入驻企业产生的废气、噪声等对敏感目标的影响</w:t>
            </w:r>
            <w:r>
              <w:rPr>
                <w:rFonts w:ascii="Times New Roman" w:hAnsi="Times New Roman" w:eastAsia="宋体" w:cs="Times New Roman"/>
                <w:sz w:val="24"/>
                <w:szCs w:val="24"/>
                <w:lang w:eastAsia="zh-CN"/>
              </w:rPr>
              <w:t>；</w:t>
            </w:r>
          </w:p>
          <w:p>
            <w:pPr>
              <w:pStyle w:val="36"/>
              <w:keepNext w:val="0"/>
              <w:keepLines w:val="0"/>
              <w:suppressLineNumbers w:val="0"/>
              <w:tabs>
                <w:tab w:val="left" w:pos="1776"/>
              </w:tabs>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rPr>
            </w:pPr>
            <w:bookmarkStart w:id="94" w:name="bookmark312"/>
            <w:r>
              <w:rPr>
                <w:rFonts w:ascii="Times New Roman" w:hAnsi="Times New Roman" w:eastAsia="宋体" w:cs="Times New Roman"/>
                <w:sz w:val="24"/>
                <w:szCs w:val="24"/>
              </w:rPr>
              <w:t>（</w:t>
            </w:r>
            <w:bookmarkEnd w:id="94"/>
            <w:r>
              <w:rPr>
                <w:rFonts w:ascii="Times New Roman" w:hAnsi="Times New Roman" w:eastAsia="宋体" w:cs="Times New Roman"/>
                <w:sz w:val="24"/>
                <w:szCs w:val="24"/>
              </w:rPr>
              <w:t>6）靠近县城、集镇的区域（白石</w:t>
            </w:r>
            <w:r>
              <w:rPr>
                <w:rFonts w:ascii="Times New Roman" w:hAnsi="Times New Roman" w:eastAsia="宋体" w:cs="Times New Roman"/>
                <w:sz w:val="24"/>
                <w:szCs w:val="24"/>
                <w:lang w:val="zh-CN" w:eastAsia="zh-CN"/>
              </w:rPr>
              <w:t>岩组团</w:t>
            </w:r>
            <w:r>
              <w:rPr>
                <w:rFonts w:ascii="Times New Roman" w:hAnsi="Times New Roman" w:eastAsia="宋体" w:cs="Times New Roman"/>
                <w:sz w:val="24"/>
                <w:szCs w:val="24"/>
              </w:rPr>
              <w:t>南部、环保产业园、大营组团、款注组团、东村组团靠近集镇</w:t>
            </w:r>
            <w:r>
              <w:rPr>
                <w:rFonts w:ascii="Times New Roman" w:hAnsi="Times New Roman" w:eastAsia="宋体" w:cs="Times New Roman"/>
                <w:sz w:val="24"/>
                <w:szCs w:val="24"/>
                <w:lang w:val="en-US" w:eastAsia="zh-CN"/>
              </w:rPr>
              <w:t>一</w:t>
            </w:r>
            <w:r>
              <w:rPr>
                <w:rFonts w:ascii="Times New Roman" w:hAnsi="Times New Roman" w:eastAsia="宋体" w:cs="Times New Roman"/>
                <w:sz w:val="24"/>
                <w:szCs w:val="24"/>
              </w:rPr>
              <w:t>侧），不宜引进高污染的工业企业，特别是大</w:t>
            </w:r>
            <w:r>
              <w:rPr>
                <w:rFonts w:ascii="Times New Roman" w:hAnsi="Times New Roman" w:eastAsia="宋体" w:cs="Times New Roman"/>
                <w:sz w:val="24"/>
                <w:szCs w:val="24"/>
                <w:lang w:val="en-US" w:eastAsia="zh-CN"/>
              </w:rPr>
              <w:t>气</w:t>
            </w:r>
            <w:r>
              <w:rPr>
                <w:rFonts w:ascii="Times New Roman" w:hAnsi="Times New Roman" w:eastAsia="宋体" w:cs="Times New Roman"/>
                <w:sz w:val="24"/>
                <w:szCs w:val="24"/>
              </w:rPr>
              <w:t>污染型企业；</w:t>
            </w:r>
          </w:p>
          <w:p>
            <w:pPr>
              <w:keepNext w:val="0"/>
              <w:keepLines w:val="0"/>
              <w:suppressLineNumbers w:val="0"/>
              <w:adjustRightInd w:val="0"/>
              <w:snapToGrid w:val="0"/>
              <w:spacing w:before="0" w:beforeAutospacing="0" w:after="0" w:afterAutospacing="0"/>
              <w:ind w:left="0" w:right="0" w:firstLine="480"/>
              <w:jc w:val="both"/>
            </w:pPr>
            <w:bookmarkStart w:id="95" w:name="bookmark313"/>
            <w:r>
              <w:t>（</w:t>
            </w:r>
            <w:bookmarkEnd w:id="95"/>
            <w:r>
              <w:t>7）规划白石岩组团、大营-茨塘片区东元村片段、散旦片区的西部组团、 款庄-东村片区的东村组团、大栗园组团、和平组团区域岩溶发育，地下水环境较为敏感，不宜布局水质复杂、水量较大的企业，企业入驻时，需对区域水文地质条件进行充分论证，确保企业入驻产生的污染物不影响区域地下水水质。</w:t>
            </w:r>
          </w:p>
          <w:p>
            <w:pPr>
              <w:pStyle w:val="36"/>
              <w:keepNext w:val="0"/>
              <w:keepLines w:val="0"/>
              <w:suppressLineNumbers w:val="0"/>
              <w:tabs>
                <w:tab w:val="left" w:pos="1428"/>
              </w:tabs>
              <w:topLinePunct/>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lang w:val="en-US" w:eastAsia="zh-CN"/>
              </w:rPr>
            </w:pPr>
            <w:r>
              <w:rPr>
                <w:rFonts w:ascii="Times New Roman" w:hAnsi="Times New Roman" w:eastAsia="宋体" w:cs="Times New Roman"/>
                <w:sz w:val="24"/>
                <w:szCs w:val="24"/>
                <w:lang w:val="en-US" w:eastAsia="zh-CN"/>
              </w:rPr>
              <w:t>项目不属于国家及云南省产业政策中</w:t>
            </w:r>
            <w:r>
              <w:rPr>
                <w:rFonts w:ascii="Times New Roman" w:hAnsi="Times New Roman" w:eastAsia="宋体" w:cs="Times New Roman"/>
                <w:sz w:val="24"/>
                <w:szCs w:val="24"/>
              </w:rPr>
              <w:t>明令淘汰或限制</w:t>
            </w:r>
            <w:r>
              <w:rPr>
                <w:rFonts w:ascii="Times New Roman" w:hAnsi="Times New Roman" w:eastAsia="宋体" w:cs="Times New Roman"/>
                <w:sz w:val="24"/>
                <w:szCs w:val="24"/>
                <w:lang w:val="en-US" w:eastAsia="zh-CN"/>
              </w:rPr>
              <w:t>的项目；本项目不涉及二氧化硫、二氧化氮等大气污染控制指标；项目</w:t>
            </w:r>
            <w:r>
              <w:rPr>
                <w:rFonts w:ascii="Times New Roman" w:hAnsi="Times New Roman" w:eastAsia="宋体" w:cs="Times New Roman"/>
                <w:sz w:val="24"/>
                <w:szCs w:val="24"/>
              </w:rPr>
              <w:t>本项目</w:t>
            </w:r>
            <w:r>
              <w:rPr>
                <w:rFonts w:ascii="Times New Roman" w:hAnsi="Times New Roman" w:eastAsia="宋体" w:cs="Times New Roman"/>
                <w:kern w:val="0"/>
                <w:sz w:val="24"/>
                <w:szCs w:val="24"/>
                <w:lang w:val="en-US" w:eastAsia="zh-CN"/>
              </w:rPr>
              <w:t>冷却水循环利用，</w:t>
            </w:r>
            <w:r>
              <w:rPr>
                <w:rFonts w:hint="eastAsia" w:ascii="Times New Roman" w:hAnsi="Times New Roman" w:eastAsia="宋体" w:cs="Times New Roman"/>
                <w:kern w:val="0"/>
                <w:sz w:val="24"/>
                <w:szCs w:val="24"/>
                <w:lang w:val="en-US" w:eastAsia="zh-CN"/>
              </w:rPr>
              <w:t>涂料废水收集后回用</w:t>
            </w:r>
            <w:r>
              <w:rPr>
                <w:rFonts w:ascii="Times New Roman" w:hAnsi="Times New Roman" w:eastAsia="宋体" w:cs="Times New Roman"/>
                <w:kern w:val="0"/>
                <w:sz w:val="24"/>
                <w:szCs w:val="24"/>
                <w:lang w:val="en-US" w:eastAsia="zh-CN"/>
              </w:rPr>
              <w:t>，无生产废水外排；</w:t>
            </w:r>
            <w:r>
              <w:rPr>
                <w:rFonts w:ascii="Times New Roman" w:hAnsi="Times New Roman" w:eastAsia="宋体" w:cs="Times New Roman"/>
                <w:sz w:val="24"/>
                <w:szCs w:val="24"/>
                <w:lang w:eastAsia="zh-CN"/>
              </w:rPr>
              <w:t>办公生活废水</w:t>
            </w:r>
            <w:r>
              <w:rPr>
                <w:rFonts w:ascii="Times New Roman" w:hAnsi="Times New Roman" w:eastAsia="宋体" w:cs="Times New Roman"/>
                <w:sz w:val="24"/>
                <w:szCs w:val="24"/>
              </w:rPr>
              <w:t>排入</w:t>
            </w:r>
            <w:r>
              <w:rPr>
                <w:rFonts w:ascii="Times New Roman" w:hAnsi="Times New Roman" w:eastAsia="宋体" w:cs="Times New Roman"/>
                <w:sz w:val="24"/>
                <w:szCs w:val="24"/>
                <w:lang w:eastAsia="zh-CN"/>
              </w:rPr>
              <w:t>化粪池内</w:t>
            </w:r>
            <w:r>
              <w:rPr>
                <w:rFonts w:ascii="Times New Roman" w:hAnsi="Times New Roman" w:eastAsia="宋体" w:cs="Times New Roman"/>
                <w:kern w:val="1"/>
                <w:sz w:val="24"/>
                <w:szCs w:val="24"/>
                <w:lang w:val="en-US" w:eastAsia="zh-CN"/>
              </w:rPr>
              <w:t>，</w:t>
            </w:r>
            <w:r>
              <w:rPr>
                <w:rFonts w:hint="eastAsia" w:ascii="Times New Roman" w:hAnsi="Times New Roman" w:eastAsia="宋体" w:cs="Times New Roman"/>
                <w:kern w:val="1"/>
                <w:sz w:val="24"/>
                <w:szCs w:val="24"/>
                <w:lang w:val="en-US" w:eastAsia="zh-CN"/>
              </w:rPr>
              <w:t>最终进入园区污水管网</w:t>
            </w:r>
            <w:r>
              <w:rPr>
                <w:rFonts w:ascii="Times New Roman" w:hAnsi="Times New Roman" w:eastAsia="宋体" w:cs="Times New Roman"/>
                <w:sz w:val="24"/>
                <w:szCs w:val="24"/>
                <w:lang w:val="en-US" w:eastAsia="zh-CN"/>
              </w:rPr>
              <w:t>，无废水污染物总量控制指标；项目不属于</w:t>
            </w:r>
            <w:r>
              <w:rPr>
                <w:rFonts w:ascii="Times New Roman" w:hAnsi="Times New Roman" w:eastAsia="宋体" w:cs="Times New Roman"/>
                <w:sz w:val="24"/>
                <w:szCs w:val="24"/>
              </w:rPr>
              <w:t>钛化工</w:t>
            </w:r>
            <w:r>
              <w:rPr>
                <w:rFonts w:ascii="Times New Roman" w:hAnsi="Times New Roman" w:eastAsia="宋体" w:cs="Times New Roman"/>
                <w:sz w:val="24"/>
                <w:szCs w:val="24"/>
                <w:lang w:eastAsia="zh-CN"/>
              </w:rPr>
              <w:t>，</w:t>
            </w:r>
            <w:r>
              <w:rPr>
                <w:rFonts w:ascii="Times New Roman" w:hAnsi="Times New Roman" w:eastAsia="宋体" w:cs="Times New Roman"/>
                <w:sz w:val="24"/>
                <w:szCs w:val="24"/>
                <w:lang w:val="en-US" w:eastAsia="zh-CN"/>
              </w:rPr>
              <w:t>不属于重污染项目。</w:t>
            </w:r>
          </w:p>
          <w:p>
            <w:pPr>
              <w:pStyle w:val="36"/>
              <w:keepNext w:val="0"/>
              <w:keepLines w:val="0"/>
              <w:suppressLineNumbers w:val="0"/>
              <w:topLinePunct/>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2016年</w:t>
            </w:r>
            <w:r>
              <w:rPr>
                <w:rFonts w:ascii="Times New Roman" w:hAnsi="Times New Roman" w:eastAsia="宋体" w:cs="Times New Roman"/>
                <w:sz w:val="24"/>
                <w:szCs w:val="24"/>
                <w:lang w:val="en-US" w:eastAsia="zh-CN"/>
              </w:rPr>
              <w:t>1</w:t>
            </w:r>
            <w:r>
              <w:rPr>
                <w:rFonts w:ascii="Times New Roman" w:hAnsi="Times New Roman" w:eastAsia="宋体" w:cs="Times New Roman"/>
                <w:sz w:val="24"/>
                <w:szCs w:val="24"/>
              </w:rPr>
              <w:t>月11日，云南省环境保护厅以云环函</w:t>
            </w:r>
            <w:r>
              <w:rPr>
                <w:rFonts w:ascii="Times New Roman" w:hAnsi="Times New Roman" w:eastAsia="宋体" w:cs="Times New Roman"/>
                <w:sz w:val="24"/>
                <w:szCs w:val="24"/>
                <w:lang w:val="en-US" w:eastAsia="zh-CN"/>
              </w:rPr>
              <w:t>[2016]1</w:t>
            </w:r>
            <w:r>
              <w:rPr>
                <w:rFonts w:ascii="Times New Roman" w:hAnsi="Times New Roman" w:eastAsia="宋体" w:cs="Times New Roman"/>
                <w:sz w:val="24"/>
                <w:szCs w:val="24"/>
              </w:rPr>
              <w:t>0号出具了《云南省 环境保护厅关于《富民工业园区总体规划修编</w:t>
            </w:r>
            <w:r>
              <w:rPr>
                <w:rFonts w:ascii="Times New Roman" w:hAnsi="Times New Roman" w:eastAsia="宋体" w:cs="Times New Roman"/>
                <w:sz w:val="24"/>
                <w:szCs w:val="24"/>
                <w:lang w:val="en-US" w:eastAsia="zh-CN"/>
              </w:rPr>
              <w:t>（2015-2030）</w:t>
            </w:r>
            <w:r>
              <w:rPr>
                <w:rFonts w:ascii="Times New Roman" w:hAnsi="Times New Roman" w:eastAsia="宋体" w:cs="Times New Roman"/>
                <w:sz w:val="24"/>
                <w:szCs w:val="24"/>
              </w:rPr>
              <w:t>环境影响报告书》审査意见的函》，在审査意见的函中，和本项目相关的主要为：</w:t>
            </w:r>
          </w:p>
          <w:p>
            <w:pPr>
              <w:pStyle w:val="36"/>
              <w:keepNext w:val="0"/>
              <w:keepLines w:val="0"/>
              <w:suppressLineNumbers w:val="0"/>
              <w:tabs>
                <w:tab w:val="left" w:pos="1428"/>
              </w:tabs>
              <w:topLinePunct/>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rPr>
            </w:pPr>
            <w:bookmarkStart w:id="96" w:name="bookmark314"/>
            <w:bookmarkEnd w:id="96"/>
            <w:r>
              <w:rPr>
                <w:rFonts w:ascii="Times New Roman" w:hAnsi="Times New Roman" w:eastAsia="宋体" w:cs="Times New Roman"/>
                <w:sz w:val="24"/>
                <w:szCs w:val="24"/>
                <w:lang w:eastAsia="zh-CN"/>
              </w:rPr>
              <w:t>（</w:t>
            </w:r>
            <w:r>
              <w:rPr>
                <w:rFonts w:ascii="Times New Roman" w:hAnsi="Times New Roman" w:eastAsia="宋体" w:cs="Times New Roman"/>
                <w:sz w:val="24"/>
                <w:szCs w:val="24"/>
                <w:lang w:val="en-US" w:eastAsia="zh-CN"/>
              </w:rPr>
              <w:t>1</w:t>
            </w:r>
            <w:r>
              <w:rPr>
                <w:rFonts w:ascii="Times New Roman" w:hAnsi="Times New Roman" w:eastAsia="宋体" w:cs="Times New Roman"/>
                <w:sz w:val="24"/>
                <w:szCs w:val="24"/>
                <w:lang w:eastAsia="zh-CN"/>
              </w:rPr>
              <w:t>）</w:t>
            </w:r>
            <w:r>
              <w:rPr>
                <w:rFonts w:ascii="Times New Roman" w:hAnsi="Times New Roman" w:eastAsia="宋体" w:cs="Times New Roman"/>
                <w:sz w:val="24"/>
                <w:szCs w:val="24"/>
              </w:rPr>
              <w:t>园区主要环境制约因素是目前螳螂川不能满足水环境功能区划水质要求</w:t>
            </w:r>
            <w:r>
              <w:rPr>
                <w:rFonts w:ascii="Times New Roman" w:hAnsi="Times New Roman" w:eastAsia="宋体" w:cs="Times New Roman"/>
                <w:sz w:val="24"/>
                <w:szCs w:val="24"/>
                <w:lang w:eastAsia="zh-CN"/>
              </w:rPr>
              <w:t>，</w:t>
            </w:r>
            <w:r>
              <w:rPr>
                <w:rFonts w:ascii="Times New Roman" w:hAnsi="Times New Roman" w:eastAsia="宋体" w:cs="Times New Roman"/>
                <w:sz w:val="24"/>
                <w:szCs w:val="24"/>
              </w:rPr>
              <w:t>不具备主要污染物纳污能力和环境容量。要求入园企业要建设生产废水处理和</w:t>
            </w:r>
            <w:r>
              <w:rPr>
                <w:rFonts w:ascii="Times New Roman" w:hAnsi="Times New Roman" w:eastAsia="宋体" w:cs="Times New Roman"/>
                <w:sz w:val="24"/>
                <w:szCs w:val="24"/>
                <w:lang w:val="en-US" w:eastAsia="zh-CN"/>
              </w:rPr>
              <w:t>回</w:t>
            </w:r>
            <w:r>
              <w:rPr>
                <w:rFonts w:ascii="Times New Roman" w:hAnsi="Times New Roman" w:eastAsia="宋体" w:cs="Times New Roman"/>
                <w:sz w:val="24"/>
                <w:szCs w:val="24"/>
              </w:rPr>
              <w:t>用设施。</w:t>
            </w:r>
          </w:p>
          <w:p>
            <w:pPr>
              <w:pStyle w:val="36"/>
              <w:keepNext w:val="0"/>
              <w:keepLines w:val="0"/>
              <w:suppressLineNumbers w:val="0"/>
              <w:tabs>
                <w:tab w:val="left" w:pos="1428"/>
              </w:tabs>
              <w:topLinePunct/>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本项目</w:t>
            </w:r>
            <w:r>
              <w:rPr>
                <w:rFonts w:ascii="Times New Roman" w:hAnsi="Times New Roman" w:eastAsia="宋体" w:cs="Times New Roman"/>
                <w:kern w:val="0"/>
                <w:sz w:val="24"/>
                <w:szCs w:val="24"/>
                <w:lang w:val="en-US" w:eastAsia="zh-CN"/>
              </w:rPr>
              <w:t>冷却水循环利用，</w:t>
            </w:r>
            <w:r>
              <w:rPr>
                <w:rFonts w:hint="eastAsia" w:ascii="Times New Roman" w:hAnsi="Times New Roman" w:eastAsia="宋体" w:cs="Times New Roman"/>
                <w:kern w:val="0"/>
                <w:sz w:val="24"/>
                <w:szCs w:val="24"/>
                <w:lang w:val="en-US" w:eastAsia="zh-CN"/>
              </w:rPr>
              <w:t>涂料</w:t>
            </w:r>
            <w:r>
              <w:rPr>
                <w:rFonts w:ascii="Times New Roman" w:hAnsi="Times New Roman" w:eastAsia="宋体" w:cs="Times New Roman"/>
                <w:kern w:val="0"/>
                <w:sz w:val="24"/>
                <w:szCs w:val="24"/>
                <w:lang w:val="en-US" w:eastAsia="zh-CN"/>
              </w:rPr>
              <w:t>废水回用于原料，无生产废水外排；</w:t>
            </w:r>
            <w:r>
              <w:rPr>
                <w:rFonts w:ascii="Times New Roman" w:hAnsi="Times New Roman" w:eastAsia="宋体" w:cs="Times New Roman"/>
                <w:sz w:val="24"/>
                <w:szCs w:val="24"/>
                <w:lang w:eastAsia="zh-CN"/>
              </w:rPr>
              <w:t>办公生活废水</w:t>
            </w:r>
            <w:r>
              <w:rPr>
                <w:rFonts w:ascii="Times New Roman" w:hAnsi="Times New Roman" w:eastAsia="宋体" w:cs="Times New Roman"/>
                <w:sz w:val="24"/>
                <w:szCs w:val="24"/>
              </w:rPr>
              <w:t>排入</w:t>
            </w:r>
            <w:r>
              <w:rPr>
                <w:rFonts w:ascii="Times New Roman" w:hAnsi="Times New Roman" w:eastAsia="宋体" w:cs="Times New Roman"/>
                <w:sz w:val="24"/>
                <w:szCs w:val="24"/>
                <w:lang w:eastAsia="zh-CN"/>
              </w:rPr>
              <w:t>化粪池内</w:t>
            </w:r>
            <w:r>
              <w:rPr>
                <w:rFonts w:ascii="Times New Roman" w:hAnsi="Times New Roman" w:eastAsia="宋体" w:cs="Times New Roman"/>
                <w:kern w:val="1"/>
                <w:sz w:val="24"/>
                <w:szCs w:val="24"/>
                <w:lang w:val="en-US" w:eastAsia="zh-CN"/>
              </w:rPr>
              <w:t>，</w:t>
            </w:r>
            <w:r>
              <w:rPr>
                <w:rFonts w:hint="eastAsia" w:ascii="Times New Roman" w:hAnsi="Times New Roman" w:eastAsia="宋体" w:cs="Times New Roman"/>
                <w:kern w:val="1"/>
                <w:sz w:val="24"/>
                <w:szCs w:val="24"/>
                <w:lang w:val="en-US" w:eastAsia="zh-CN"/>
              </w:rPr>
              <w:t>最终排入园区污水管网</w:t>
            </w:r>
            <w:r>
              <w:rPr>
                <w:rFonts w:ascii="Times New Roman" w:hAnsi="Times New Roman" w:eastAsia="宋体" w:cs="Times New Roman"/>
                <w:sz w:val="24"/>
                <w:szCs w:val="24"/>
                <w:lang w:eastAsia="zh-CN"/>
              </w:rPr>
              <w:t>，</w:t>
            </w:r>
            <w:r>
              <w:rPr>
                <w:rFonts w:ascii="Times New Roman" w:hAnsi="Times New Roman" w:eastAsia="宋体" w:cs="Times New Roman"/>
                <w:sz w:val="24"/>
                <w:szCs w:val="24"/>
              </w:rPr>
              <w:t>符合相关要求。</w:t>
            </w:r>
          </w:p>
          <w:p>
            <w:pPr>
              <w:pStyle w:val="36"/>
              <w:keepNext w:val="0"/>
              <w:keepLines w:val="0"/>
              <w:suppressLineNumbers w:val="0"/>
              <w:tabs>
                <w:tab w:val="left" w:pos="1404"/>
              </w:tabs>
              <w:topLinePunct/>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rPr>
            </w:pPr>
            <w:bookmarkStart w:id="97" w:name="bookmark315"/>
            <w:bookmarkEnd w:id="97"/>
            <w:r>
              <w:rPr>
                <w:rFonts w:ascii="Times New Roman" w:hAnsi="Times New Roman" w:eastAsia="宋体" w:cs="Times New Roman"/>
                <w:sz w:val="24"/>
                <w:szCs w:val="24"/>
                <w:lang w:eastAsia="zh-CN"/>
              </w:rPr>
              <w:t>（</w:t>
            </w:r>
            <w:r>
              <w:rPr>
                <w:rFonts w:ascii="Times New Roman" w:hAnsi="Times New Roman" w:eastAsia="宋体" w:cs="Times New Roman"/>
                <w:sz w:val="24"/>
                <w:szCs w:val="24"/>
                <w:lang w:val="en-US" w:eastAsia="zh-CN"/>
              </w:rPr>
              <w:t>2</w:t>
            </w:r>
            <w:r>
              <w:rPr>
                <w:rFonts w:ascii="Times New Roman" w:hAnsi="Times New Roman" w:eastAsia="宋体" w:cs="Times New Roman"/>
                <w:sz w:val="24"/>
                <w:szCs w:val="24"/>
                <w:lang w:eastAsia="zh-CN"/>
              </w:rPr>
              <w:t>）</w:t>
            </w:r>
            <w:r>
              <w:rPr>
                <w:rFonts w:ascii="Times New Roman" w:hAnsi="Times New Roman" w:eastAsia="宋体" w:cs="Times New Roman"/>
                <w:sz w:val="24"/>
                <w:szCs w:val="24"/>
              </w:rPr>
              <w:t>加快环保基础设施建设，按照</w:t>
            </w:r>
            <w:r>
              <w:rPr>
                <w:rFonts w:ascii="Times New Roman" w:hAnsi="Times New Roman" w:eastAsia="宋体" w:cs="Times New Roman"/>
                <w:sz w:val="24"/>
                <w:szCs w:val="24"/>
                <w:lang w:val="en-US" w:eastAsia="zh-CN"/>
              </w:rPr>
              <w:t>雨</w:t>
            </w:r>
            <w:r>
              <w:rPr>
                <w:rFonts w:ascii="Times New Roman" w:hAnsi="Times New Roman" w:eastAsia="宋体" w:cs="Times New Roman"/>
                <w:sz w:val="24"/>
                <w:szCs w:val="24"/>
              </w:rPr>
              <w:t>污分流、生产废水和生活污水分流、分 散与集中处理相结合的原则，根据园区各片区用地规模、开发程度、产业集聚程 度及排水情况进行规划建设，采取企业自行处理与园区集中处理相结合的方式， 规范设计和建设各工业片区初期雨水收集系统、事故水收集系统、生活污水、生 产废水的收集处理系统和回用系统。</w:t>
            </w:r>
          </w:p>
          <w:p>
            <w:pPr>
              <w:pStyle w:val="36"/>
              <w:keepNext w:val="0"/>
              <w:keepLines w:val="0"/>
              <w:suppressLineNumbers w:val="0"/>
              <w:tabs>
                <w:tab w:val="left" w:pos="1404"/>
              </w:tabs>
              <w:topLinePunct/>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本项目设计中管网布置</w:t>
            </w:r>
            <w:r>
              <w:rPr>
                <w:rFonts w:ascii="Times New Roman" w:hAnsi="Times New Roman" w:eastAsia="宋体" w:cs="Times New Roman"/>
                <w:sz w:val="24"/>
                <w:szCs w:val="24"/>
                <w:lang w:val="en-US" w:eastAsia="zh-CN"/>
              </w:rPr>
              <w:t>已</w:t>
            </w:r>
            <w:r>
              <w:rPr>
                <w:rFonts w:ascii="Times New Roman" w:hAnsi="Times New Roman" w:eastAsia="宋体" w:cs="Times New Roman"/>
                <w:sz w:val="24"/>
                <w:szCs w:val="24"/>
              </w:rPr>
              <w:t>采取雨污分流，</w:t>
            </w:r>
            <w:r>
              <w:rPr>
                <w:rFonts w:ascii="Times New Roman" w:hAnsi="Times New Roman" w:eastAsia="宋体" w:cs="Times New Roman"/>
                <w:kern w:val="0"/>
                <w:sz w:val="24"/>
                <w:szCs w:val="24"/>
                <w:lang w:val="en-US" w:eastAsia="zh-CN"/>
              </w:rPr>
              <w:t>冷却水循环利用，</w:t>
            </w:r>
            <w:r>
              <w:rPr>
                <w:rFonts w:hint="eastAsia" w:ascii="Times New Roman" w:hAnsi="Times New Roman" w:eastAsia="宋体" w:cs="Times New Roman"/>
                <w:kern w:val="0"/>
                <w:sz w:val="24"/>
                <w:szCs w:val="24"/>
                <w:lang w:val="en-US" w:eastAsia="zh-CN"/>
              </w:rPr>
              <w:t>涂料</w:t>
            </w:r>
            <w:r>
              <w:rPr>
                <w:rFonts w:ascii="Times New Roman" w:hAnsi="Times New Roman" w:eastAsia="宋体" w:cs="Times New Roman"/>
                <w:kern w:val="0"/>
                <w:sz w:val="24"/>
                <w:szCs w:val="24"/>
                <w:lang w:val="en-US" w:eastAsia="zh-CN"/>
              </w:rPr>
              <w:t>废水回用于原料，无生产废水外排；</w:t>
            </w:r>
            <w:r>
              <w:rPr>
                <w:rFonts w:ascii="Times New Roman" w:hAnsi="Times New Roman" w:eastAsia="宋体" w:cs="Times New Roman"/>
                <w:sz w:val="24"/>
                <w:szCs w:val="24"/>
                <w:lang w:eastAsia="zh-CN"/>
              </w:rPr>
              <w:t>办公生活废水</w:t>
            </w:r>
            <w:r>
              <w:rPr>
                <w:rFonts w:ascii="Times New Roman" w:hAnsi="Times New Roman" w:eastAsia="宋体" w:cs="Times New Roman"/>
                <w:sz w:val="24"/>
                <w:szCs w:val="24"/>
              </w:rPr>
              <w:t>排入</w:t>
            </w:r>
            <w:r>
              <w:rPr>
                <w:rFonts w:ascii="Times New Roman" w:hAnsi="Times New Roman" w:eastAsia="宋体" w:cs="Times New Roman"/>
                <w:sz w:val="24"/>
                <w:szCs w:val="24"/>
                <w:lang w:eastAsia="zh-CN"/>
              </w:rPr>
              <w:t>化粪池内</w:t>
            </w:r>
            <w:r>
              <w:rPr>
                <w:rFonts w:ascii="Times New Roman" w:hAnsi="Times New Roman" w:eastAsia="宋体" w:cs="Times New Roman"/>
                <w:kern w:val="1"/>
                <w:sz w:val="24"/>
                <w:szCs w:val="24"/>
                <w:lang w:val="en-US" w:eastAsia="zh-CN"/>
              </w:rPr>
              <w:t>，</w:t>
            </w:r>
            <w:r>
              <w:rPr>
                <w:rFonts w:hint="eastAsia" w:ascii="Times New Roman" w:hAnsi="Times New Roman" w:eastAsia="宋体" w:cs="Times New Roman"/>
                <w:kern w:val="1"/>
                <w:sz w:val="24"/>
                <w:szCs w:val="24"/>
                <w:lang w:val="en-US" w:eastAsia="zh-CN"/>
              </w:rPr>
              <w:t>最终排入园区管网</w:t>
            </w:r>
            <w:r>
              <w:rPr>
                <w:rFonts w:ascii="Times New Roman" w:hAnsi="Times New Roman" w:eastAsia="宋体" w:cs="Times New Roman"/>
                <w:sz w:val="24"/>
                <w:szCs w:val="24"/>
              </w:rPr>
              <w:t>。</w:t>
            </w:r>
          </w:p>
          <w:p>
            <w:pPr>
              <w:pStyle w:val="36"/>
              <w:keepNext w:val="0"/>
              <w:keepLines w:val="0"/>
              <w:suppressLineNumbers w:val="0"/>
              <w:topLinePunct/>
              <w:adjustRightInd w:val="0"/>
              <w:snapToGrid w:val="0"/>
              <w:spacing w:before="0" w:beforeAutospacing="0" w:after="0" w:afterAutospacing="0" w:line="360" w:lineRule="auto"/>
              <w:ind w:left="0" w:right="0" w:firstLine="480" w:firstLineChars="200"/>
              <w:rPr>
                <w:rFonts w:ascii="Times New Roman" w:hAnsi="Times New Roman" w:eastAsia="宋体" w:cs="Times New Roman"/>
                <w:sz w:val="24"/>
                <w:szCs w:val="24"/>
                <w:lang w:eastAsia="zh-CN"/>
              </w:rPr>
            </w:pPr>
            <w:r>
              <w:rPr>
                <w:rFonts w:ascii="Times New Roman" w:hAnsi="Times New Roman" w:eastAsia="宋体" w:cs="Times New Roman"/>
                <w:sz w:val="24"/>
                <w:szCs w:val="24"/>
                <w:lang w:val="en-US" w:eastAsia="zh-CN"/>
              </w:rPr>
              <w:t>综上分析，</w:t>
            </w:r>
            <w:r>
              <w:rPr>
                <w:rFonts w:ascii="Times New Roman" w:hAnsi="Times New Roman" w:eastAsia="宋体" w:cs="Times New Roman"/>
                <w:sz w:val="24"/>
                <w:szCs w:val="24"/>
              </w:rPr>
              <w:t>根据与</w:t>
            </w:r>
            <w:r>
              <w:rPr>
                <w:rFonts w:ascii="Times New Roman" w:hAnsi="Times New Roman" w:eastAsia="宋体" w:cs="Times New Roman"/>
                <w:sz w:val="24"/>
                <w:szCs w:val="24"/>
                <w:lang w:val="en-US" w:eastAsia="zh-CN"/>
              </w:rPr>
              <w:t>以上内容</w:t>
            </w:r>
            <w:r>
              <w:rPr>
                <w:rFonts w:ascii="Times New Roman" w:hAnsi="Times New Roman" w:eastAsia="宋体" w:cs="Times New Roman"/>
                <w:sz w:val="24"/>
                <w:szCs w:val="24"/>
              </w:rPr>
              <w:t>对照，项目不违反规划</w:t>
            </w:r>
            <w:r>
              <w:rPr>
                <w:rFonts w:ascii="Times New Roman" w:hAnsi="Times New Roman" w:eastAsia="宋体" w:cs="Times New Roman"/>
                <w:sz w:val="24"/>
                <w:szCs w:val="24"/>
                <w:lang w:eastAsia="zh-CN"/>
              </w:rPr>
              <w:t>环评</w:t>
            </w:r>
            <w:r>
              <w:rPr>
                <w:rFonts w:ascii="Times New Roman" w:hAnsi="Times New Roman" w:eastAsia="宋体" w:cs="Times New Roman"/>
                <w:sz w:val="24"/>
                <w:szCs w:val="24"/>
              </w:rPr>
              <w:t>及规划环评</w:t>
            </w:r>
            <w:r>
              <w:rPr>
                <w:rFonts w:ascii="Times New Roman" w:hAnsi="Times New Roman" w:eastAsia="宋体" w:cs="Times New Roman"/>
                <w:sz w:val="24"/>
                <w:szCs w:val="24"/>
                <w:lang w:eastAsia="zh-CN"/>
              </w:rPr>
              <w:t>审查意见</w:t>
            </w:r>
            <w:r>
              <w:rPr>
                <w:rFonts w:ascii="Times New Roman" w:hAnsi="Times New Roman" w:eastAsia="宋体" w:cs="Times New Roman"/>
                <w:sz w:val="24"/>
                <w:szCs w:val="24"/>
              </w:rPr>
              <w:t>的要求；且从现场踏勘的情况看，目前项</w:t>
            </w:r>
            <w:r>
              <w:rPr>
                <w:rFonts w:ascii="Times New Roman" w:hAnsi="Times New Roman" w:eastAsia="宋体" w:cs="Times New Roman"/>
                <w:sz w:val="24"/>
                <w:szCs w:val="24"/>
                <w:lang w:val="en-US" w:eastAsia="zh-CN"/>
              </w:rPr>
              <w:t>目</w:t>
            </w:r>
            <w:r>
              <w:rPr>
                <w:rFonts w:ascii="Times New Roman" w:hAnsi="Times New Roman" w:eastAsia="宋体" w:cs="Times New Roman"/>
                <w:sz w:val="24"/>
                <w:szCs w:val="24"/>
              </w:rPr>
              <w:t>规划厂址周围均为机械加工企业或化工企业，本项目主要污染物为</w:t>
            </w:r>
            <w:r>
              <w:rPr>
                <w:rFonts w:ascii="Times New Roman" w:hAnsi="Times New Roman" w:eastAsia="宋体" w:cs="Times New Roman"/>
                <w:sz w:val="24"/>
                <w:szCs w:val="24"/>
                <w:lang w:val="en-US" w:eastAsia="zh-CN"/>
              </w:rPr>
              <w:t>少量的TVOC和颗粒物</w:t>
            </w:r>
            <w:r>
              <w:rPr>
                <w:rFonts w:ascii="Times New Roman" w:hAnsi="Times New Roman" w:eastAsia="宋体" w:cs="Times New Roman"/>
                <w:sz w:val="24"/>
                <w:szCs w:val="24"/>
                <w:lang w:eastAsia="zh-CN"/>
              </w:rPr>
              <w:t>，</w:t>
            </w:r>
            <w:r>
              <w:rPr>
                <w:rFonts w:ascii="Times New Roman" w:hAnsi="Times New Roman" w:eastAsia="宋体" w:cs="Times New Roman"/>
                <w:sz w:val="24"/>
                <w:szCs w:val="24"/>
              </w:rPr>
              <w:t>与周边企业不存在不相容性。</w:t>
            </w:r>
          </w:p>
          <w:p>
            <w:pPr>
              <w:keepNext w:val="0"/>
              <w:keepLines w:val="0"/>
              <w:suppressLineNumbers w:val="0"/>
              <w:autoSpaceDE w:val="0"/>
              <w:autoSpaceDN w:val="0"/>
              <w:adjustRightInd w:val="0"/>
              <w:spacing w:before="0" w:beforeAutospacing="0" w:after="0" w:afterAutospacing="0" w:line="400" w:lineRule="exact"/>
              <w:ind w:left="0" w:right="0" w:firstLine="480" w:firstLineChars="0"/>
              <w:jc w:val="both"/>
              <w:rPr>
                <w:b/>
                <w:kern w:val="0"/>
                <w:lang w:val="zh-CN"/>
              </w:rPr>
            </w:pPr>
            <w:r>
              <w:rPr>
                <w:rFonts w:hint="eastAsia"/>
                <w:b/>
              </w:rPr>
              <w:t>四、</w:t>
            </w:r>
            <w:r>
              <w:rPr>
                <w:b/>
                <w:kern w:val="0"/>
                <w:lang w:val="zh-CN"/>
              </w:rPr>
              <w:t>与《挥发性有机物（VOCs）污染防治技术政策》（环保部2013年31号公告）的符合性</w:t>
            </w:r>
          </w:p>
          <w:p>
            <w:pPr>
              <w:keepNext w:val="0"/>
              <w:keepLines w:val="0"/>
              <w:suppressLineNumbers w:val="0"/>
              <w:autoSpaceDE w:val="0"/>
              <w:autoSpaceDN w:val="0"/>
              <w:adjustRightInd w:val="0"/>
              <w:spacing w:before="0" w:beforeAutospacing="0" w:after="0" w:afterAutospacing="0" w:line="240" w:lineRule="auto"/>
              <w:ind w:left="0" w:right="0" w:firstLine="480" w:firstLineChars="0"/>
              <w:jc w:val="center"/>
              <w:rPr>
                <w:b/>
                <w:kern w:val="0"/>
                <w:sz w:val="21"/>
                <w:szCs w:val="21"/>
                <w:lang w:val="zh-CN"/>
              </w:rPr>
            </w:pPr>
            <w:r>
              <w:rPr>
                <w:rFonts w:hint="eastAsia"/>
                <w:b/>
                <w:sz w:val="21"/>
                <w:szCs w:val="21"/>
                <w:lang w:val="zh-CN"/>
              </w:rPr>
              <w:t>表7-19本项目</w:t>
            </w:r>
            <w:r>
              <w:rPr>
                <w:b/>
                <w:kern w:val="0"/>
                <w:sz w:val="21"/>
                <w:szCs w:val="21"/>
                <w:lang w:val="zh-CN"/>
              </w:rPr>
              <w:t>与《挥发性有机物（VOCs）污染防治技术政策》的符合性</w:t>
            </w:r>
            <w:r>
              <w:rPr>
                <w:rFonts w:hint="eastAsia"/>
                <w:b/>
                <w:kern w:val="0"/>
                <w:sz w:val="21"/>
                <w:szCs w:val="21"/>
                <w:lang w:val="zh-CN"/>
              </w:rPr>
              <w:t>分析表</w:t>
            </w:r>
          </w:p>
          <w:tbl>
            <w:tblPr>
              <w:tblStyle w:val="19"/>
              <w:tblW w:w="0" w:type="auto"/>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703"/>
              <w:gridCol w:w="3819"/>
              <w:gridCol w:w="2406"/>
              <w:gridCol w:w="1348"/>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c>
                <w:tcPr>
                  <w:tcW w:w="704" w:type="dxa"/>
                  <w:vAlign w:val="center"/>
                </w:tcPr>
                <w:p>
                  <w:pPr>
                    <w:pStyle w:val="36"/>
                    <w:keepNext w:val="0"/>
                    <w:keepLines w:val="0"/>
                    <w:suppressLineNumbers w:val="0"/>
                    <w:topLinePunct/>
                    <w:adjustRightInd w:val="0"/>
                    <w:snapToGrid w:val="0"/>
                    <w:spacing w:before="0" w:beforeAutospacing="0" w:after="0" w:afterAutospacing="0" w:line="240" w:lineRule="auto"/>
                    <w:ind w:left="0" w:right="0" w:firstLine="0"/>
                    <w:jc w:val="center"/>
                    <w:rPr>
                      <w:rFonts w:ascii="Times New Roman" w:hAnsi="Times New Roman" w:eastAsia="宋体" w:cs="Times New Roman"/>
                      <w:b/>
                      <w:sz w:val="21"/>
                      <w:szCs w:val="21"/>
                      <w:lang w:val="en-US" w:eastAsia="zh-CN"/>
                    </w:rPr>
                  </w:pPr>
                  <w:r>
                    <w:rPr>
                      <w:rFonts w:hint="eastAsia" w:ascii="Times New Roman" w:hAnsi="Times New Roman" w:eastAsia="宋体" w:cs="Times New Roman"/>
                      <w:b/>
                      <w:sz w:val="21"/>
                      <w:szCs w:val="21"/>
                      <w:lang w:val="en-US" w:eastAsia="zh-CN"/>
                    </w:rPr>
                    <w:t>项目</w:t>
                  </w:r>
                </w:p>
              </w:tc>
              <w:tc>
                <w:tcPr>
                  <w:tcW w:w="3827" w:type="dxa"/>
                  <w:vAlign w:val="center"/>
                </w:tcPr>
                <w:p>
                  <w:pPr>
                    <w:pStyle w:val="36"/>
                    <w:keepNext w:val="0"/>
                    <w:keepLines w:val="0"/>
                    <w:suppressLineNumbers w:val="0"/>
                    <w:topLinePunct/>
                    <w:adjustRightInd w:val="0"/>
                    <w:snapToGrid w:val="0"/>
                    <w:spacing w:before="0" w:beforeAutospacing="0" w:after="0" w:afterAutospacing="0" w:line="240" w:lineRule="auto"/>
                    <w:ind w:left="0" w:right="0" w:firstLine="0"/>
                    <w:jc w:val="center"/>
                    <w:rPr>
                      <w:rFonts w:ascii="Times New Roman" w:hAnsi="Times New Roman" w:eastAsia="宋体" w:cs="Times New Roman"/>
                      <w:b/>
                      <w:sz w:val="21"/>
                      <w:szCs w:val="21"/>
                      <w:lang w:val="en-US" w:eastAsia="zh-CN"/>
                    </w:rPr>
                  </w:pPr>
                  <w:r>
                    <w:rPr>
                      <w:rFonts w:hint="eastAsia" w:ascii="Times New Roman" w:hAnsi="Times New Roman" w:eastAsia="宋体" w:cs="Times New Roman"/>
                      <w:b/>
                      <w:sz w:val="21"/>
                      <w:szCs w:val="21"/>
                      <w:lang w:val="en-US" w:eastAsia="zh-CN"/>
                    </w:rPr>
                    <w:t>具体要求</w:t>
                  </w:r>
                </w:p>
              </w:tc>
              <w:tc>
                <w:tcPr>
                  <w:tcW w:w="2410" w:type="dxa"/>
                  <w:vAlign w:val="center"/>
                </w:tcPr>
                <w:p>
                  <w:pPr>
                    <w:pStyle w:val="36"/>
                    <w:keepNext w:val="0"/>
                    <w:keepLines w:val="0"/>
                    <w:suppressLineNumbers w:val="0"/>
                    <w:topLinePunct/>
                    <w:adjustRightInd w:val="0"/>
                    <w:snapToGrid w:val="0"/>
                    <w:spacing w:before="0" w:beforeAutospacing="0" w:after="0" w:afterAutospacing="0" w:line="240" w:lineRule="auto"/>
                    <w:ind w:left="0" w:right="0" w:firstLine="0"/>
                    <w:jc w:val="center"/>
                    <w:rPr>
                      <w:rFonts w:ascii="Times New Roman" w:hAnsi="Times New Roman" w:eastAsia="宋体" w:cs="Times New Roman"/>
                      <w:b/>
                      <w:sz w:val="21"/>
                      <w:szCs w:val="21"/>
                      <w:lang w:val="en-US" w:eastAsia="zh-CN"/>
                    </w:rPr>
                  </w:pPr>
                  <w:r>
                    <w:rPr>
                      <w:rFonts w:hint="eastAsia" w:ascii="Times New Roman" w:hAnsi="Times New Roman" w:eastAsia="宋体" w:cs="Times New Roman"/>
                      <w:b/>
                      <w:sz w:val="21"/>
                      <w:szCs w:val="21"/>
                      <w:lang w:val="en-US" w:eastAsia="zh-CN"/>
                    </w:rPr>
                    <w:t>本项目情况</w:t>
                  </w:r>
                </w:p>
              </w:tc>
              <w:tc>
                <w:tcPr>
                  <w:tcW w:w="1350" w:type="dxa"/>
                  <w:vAlign w:val="center"/>
                </w:tcPr>
                <w:p>
                  <w:pPr>
                    <w:pStyle w:val="36"/>
                    <w:keepNext w:val="0"/>
                    <w:keepLines w:val="0"/>
                    <w:suppressLineNumbers w:val="0"/>
                    <w:topLinePunct/>
                    <w:adjustRightInd w:val="0"/>
                    <w:snapToGrid w:val="0"/>
                    <w:spacing w:before="0" w:beforeAutospacing="0" w:after="0" w:afterAutospacing="0" w:line="240" w:lineRule="auto"/>
                    <w:ind w:left="0" w:right="0" w:firstLine="0"/>
                    <w:jc w:val="center"/>
                    <w:rPr>
                      <w:rFonts w:ascii="Times New Roman" w:hAnsi="Times New Roman" w:eastAsia="宋体" w:cs="Times New Roman"/>
                      <w:b/>
                      <w:sz w:val="21"/>
                      <w:szCs w:val="21"/>
                      <w:lang w:val="en-US" w:eastAsia="zh-CN"/>
                    </w:rPr>
                  </w:pPr>
                  <w:r>
                    <w:rPr>
                      <w:rFonts w:hint="eastAsia" w:ascii="Times New Roman" w:hAnsi="Times New Roman" w:eastAsia="宋体" w:cs="Times New Roman"/>
                      <w:b/>
                      <w:sz w:val="21"/>
                      <w:szCs w:val="21"/>
                      <w:lang w:val="en-US" w:eastAsia="zh-CN"/>
                    </w:rPr>
                    <w:t>符合性</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c>
                <w:tcPr>
                  <w:tcW w:w="704" w:type="dxa"/>
                  <w:vAlign w:val="center"/>
                </w:tcPr>
                <w:p>
                  <w:pPr>
                    <w:pStyle w:val="36"/>
                    <w:keepNext w:val="0"/>
                    <w:keepLines w:val="0"/>
                    <w:suppressLineNumbers w:val="0"/>
                    <w:topLinePunct/>
                    <w:adjustRightInd w:val="0"/>
                    <w:snapToGrid w:val="0"/>
                    <w:spacing w:before="0" w:beforeAutospacing="0" w:after="0" w:afterAutospacing="0" w:line="240" w:lineRule="auto"/>
                    <w:ind w:left="0" w:right="0" w:firstLine="0"/>
                    <w:jc w:val="center"/>
                    <w:rPr>
                      <w:rFonts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源头和过程控制</w:t>
                  </w:r>
                </w:p>
              </w:tc>
              <w:tc>
                <w:tcPr>
                  <w:tcW w:w="3827" w:type="dxa"/>
                  <w:vAlign w:val="center"/>
                </w:tcPr>
                <w:p>
                  <w:pPr>
                    <w:pStyle w:val="36"/>
                    <w:keepNext w:val="0"/>
                    <w:keepLines w:val="0"/>
                    <w:suppressLineNumbers w:val="0"/>
                    <w:topLinePunct/>
                    <w:adjustRightInd w:val="0"/>
                    <w:snapToGrid w:val="0"/>
                    <w:spacing w:before="0" w:beforeAutospacing="0" w:after="0" w:afterAutospacing="0" w:line="240" w:lineRule="auto"/>
                    <w:ind w:left="0" w:right="0" w:firstLine="0"/>
                    <w:jc w:val="center"/>
                    <w:rPr>
                      <w:rFonts w:ascii="Times New Roman" w:hAnsi="Times New Roman" w:eastAsia="宋体" w:cs="Times New Roman"/>
                      <w:sz w:val="21"/>
                      <w:szCs w:val="21"/>
                      <w:lang w:val="en-US" w:eastAsia="zh-CN"/>
                    </w:rPr>
                  </w:pPr>
                  <w:r>
                    <w:rPr>
                      <w:rFonts w:ascii="Times New Roman" w:hAnsi="Times New Roman" w:eastAsia="宋体" w:cs="Times New Roman"/>
                      <w:sz w:val="21"/>
                      <w:szCs w:val="21"/>
                      <w:lang w:val="en-US" w:eastAsia="zh-CN"/>
                    </w:rPr>
                    <w:t>（十）在涂装、印刷、粘合、工业清洗等含VOCs产品的使用过程中的VOCs污染防治技术措施包括：1、鼓励使用通过环境标志产品认证的环保型涂料、油墨、胶粘剂和清洗剂；2、根据涂装工艺的不同，鼓励使用水性涂料、高固份涂料、粉未涂料、紫外光固化（UV）涂料等环保型涂料：推广采用静电喷涂、淋涂、辊涂、浸涂等效率较高的涂装工艺；应尽量避免无VOCs净化、回收措施的露天喷涂作业；</w:t>
                  </w:r>
                </w:p>
              </w:tc>
              <w:tc>
                <w:tcPr>
                  <w:tcW w:w="2410" w:type="dxa"/>
                  <w:vMerge w:val="restart"/>
                  <w:vAlign w:val="center"/>
                </w:tcPr>
                <w:p>
                  <w:pPr>
                    <w:keepNext w:val="0"/>
                    <w:keepLines w:val="0"/>
                    <w:suppressLineNumbers w:val="0"/>
                    <w:autoSpaceDE w:val="0"/>
                    <w:autoSpaceDN w:val="0"/>
                    <w:adjustRightInd w:val="0"/>
                    <w:spacing w:before="0" w:beforeAutospacing="0" w:after="0" w:afterAutospacing="0" w:line="240" w:lineRule="auto"/>
                    <w:ind w:left="0" w:right="0" w:firstLine="0" w:firstLineChars="0"/>
                    <w:jc w:val="center"/>
                    <w:rPr>
                      <w:kern w:val="0"/>
                      <w:sz w:val="21"/>
                      <w:szCs w:val="21"/>
                      <w:lang w:val="zh-CN"/>
                    </w:rPr>
                  </w:pPr>
                  <w:r>
                    <w:rPr>
                      <w:kern w:val="0"/>
                      <w:sz w:val="21"/>
                      <w:szCs w:val="21"/>
                      <w:lang w:val="zh-CN"/>
                    </w:rPr>
                    <w:t>本项目使用水性涂料，VOCs含量很低，喷漆在封闭式喷漆室进行，喷漆烘干废气经“过滤棉+活性炭吸附”处理后经一根15m高排气简排放，不存在露天喷涂作业的问题。</w:t>
                  </w:r>
                </w:p>
              </w:tc>
              <w:tc>
                <w:tcPr>
                  <w:tcW w:w="1350" w:type="dxa"/>
                  <w:vAlign w:val="center"/>
                </w:tcPr>
                <w:p>
                  <w:pPr>
                    <w:pStyle w:val="36"/>
                    <w:keepNext w:val="0"/>
                    <w:keepLines w:val="0"/>
                    <w:suppressLineNumbers w:val="0"/>
                    <w:topLinePunct/>
                    <w:adjustRightInd w:val="0"/>
                    <w:snapToGrid w:val="0"/>
                    <w:spacing w:before="0" w:beforeAutospacing="0" w:after="0" w:afterAutospacing="0" w:line="240" w:lineRule="auto"/>
                    <w:ind w:left="0" w:right="0" w:firstLine="0"/>
                    <w:jc w:val="center"/>
                    <w:rPr>
                      <w:rFonts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c>
                <w:tcPr>
                  <w:tcW w:w="704" w:type="dxa"/>
                  <w:vAlign w:val="center"/>
                </w:tcPr>
                <w:p>
                  <w:pPr>
                    <w:pStyle w:val="36"/>
                    <w:keepNext w:val="0"/>
                    <w:keepLines w:val="0"/>
                    <w:suppressLineNumbers w:val="0"/>
                    <w:topLinePunct/>
                    <w:adjustRightInd w:val="0"/>
                    <w:snapToGrid w:val="0"/>
                    <w:spacing w:before="0" w:beforeAutospacing="0" w:after="0" w:afterAutospacing="0" w:line="240" w:lineRule="auto"/>
                    <w:ind w:left="0" w:right="0" w:firstLine="0"/>
                    <w:jc w:val="center"/>
                    <w:rPr>
                      <w:rFonts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末端治理和综利用</w:t>
                  </w:r>
                </w:p>
              </w:tc>
              <w:tc>
                <w:tcPr>
                  <w:tcW w:w="3827" w:type="dxa"/>
                  <w:vAlign w:val="center"/>
                </w:tcPr>
                <w:p>
                  <w:pPr>
                    <w:keepNext w:val="0"/>
                    <w:keepLines w:val="0"/>
                    <w:suppressLineNumbers w:val="0"/>
                    <w:autoSpaceDE w:val="0"/>
                    <w:autoSpaceDN w:val="0"/>
                    <w:adjustRightInd w:val="0"/>
                    <w:spacing w:before="0" w:beforeAutospacing="0" w:after="0" w:afterAutospacing="0" w:line="240" w:lineRule="auto"/>
                    <w:ind w:left="0" w:right="0" w:firstLine="0" w:firstLineChars="0"/>
                    <w:jc w:val="center"/>
                    <w:rPr>
                      <w:kern w:val="0"/>
                      <w:sz w:val="21"/>
                      <w:szCs w:val="21"/>
                      <w:lang w:val="zh-CN"/>
                    </w:rPr>
                  </w:pPr>
                  <w:r>
                    <w:rPr>
                      <w:kern w:val="0"/>
                      <w:sz w:val="21"/>
                      <w:szCs w:val="21"/>
                      <w:lang w:val="zh-CN"/>
                    </w:rPr>
                    <w:t>（十五）对于含低浓度</w:t>
                  </w:r>
                  <w:r>
                    <w:rPr>
                      <w:sz w:val="21"/>
                      <w:szCs w:val="21"/>
                    </w:rPr>
                    <w:t>VOCs</w:t>
                  </w:r>
                  <w:r>
                    <w:rPr>
                      <w:kern w:val="0"/>
                      <w:sz w:val="21"/>
                      <w:szCs w:val="21"/>
                      <w:lang w:val="zh-CN"/>
                    </w:rPr>
                    <w:t>的废气，有回收价值时可采用吸附技术、吸收技术对有机溶剂回收后达标排放；不宜回收时，可采用吸附浓缩燃烧技术、生物技术、吸收技术、等离子体技术或紫外光高级氧化技术等净化后达标排放</w:t>
                  </w:r>
                </w:p>
              </w:tc>
              <w:tc>
                <w:tcPr>
                  <w:tcW w:w="2410" w:type="dxa"/>
                  <w:vMerge w:val="continue"/>
                  <w:vAlign w:val="center"/>
                </w:tcPr>
                <w:p>
                  <w:pPr>
                    <w:keepNext w:val="0"/>
                    <w:keepLines w:val="0"/>
                    <w:suppressLineNumbers w:val="0"/>
                    <w:autoSpaceDE w:val="0"/>
                    <w:autoSpaceDN w:val="0"/>
                    <w:adjustRightInd w:val="0"/>
                    <w:spacing w:before="0" w:beforeAutospacing="0" w:after="0" w:afterAutospacing="0" w:line="240" w:lineRule="auto"/>
                    <w:ind w:left="0" w:right="0" w:firstLine="0" w:firstLineChars="0"/>
                    <w:jc w:val="center"/>
                    <w:rPr>
                      <w:kern w:val="0"/>
                      <w:sz w:val="21"/>
                      <w:szCs w:val="21"/>
                      <w:lang w:val="zh-CN"/>
                    </w:rPr>
                  </w:pPr>
                </w:p>
              </w:tc>
              <w:tc>
                <w:tcPr>
                  <w:tcW w:w="1350" w:type="dxa"/>
                  <w:vAlign w:val="center"/>
                </w:tcPr>
                <w:p>
                  <w:pPr>
                    <w:pStyle w:val="36"/>
                    <w:keepNext w:val="0"/>
                    <w:keepLines w:val="0"/>
                    <w:suppressLineNumbers w:val="0"/>
                    <w:topLinePunct/>
                    <w:adjustRightInd w:val="0"/>
                    <w:snapToGrid w:val="0"/>
                    <w:spacing w:before="0" w:beforeAutospacing="0" w:after="0" w:afterAutospacing="0" w:line="240" w:lineRule="auto"/>
                    <w:ind w:left="0" w:right="0" w:firstLine="0"/>
                    <w:jc w:val="center"/>
                    <w:rPr>
                      <w:rFonts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符合</w:t>
                  </w:r>
                </w:p>
              </w:tc>
            </w:tr>
          </w:tbl>
          <w:p>
            <w:pPr>
              <w:keepNext w:val="0"/>
              <w:keepLines w:val="0"/>
              <w:suppressLineNumbers w:val="0"/>
              <w:spacing w:before="0" w:beforeAutospacing="0" w:after="0" w:afterAutospacing="0"/>
              <w:ind w:left="0" w:right="0" w:firstLine="482"/>
              <w:jc w:val="both"/>
              <w:rPr>
                <w:b/>
              </w:rPr>
            </w:pPr>
            <w:r>
              <w:rPr>
                <w:rFonts w:hint="eastAsia"/>
                <w:b/>
              </w:rPr>
              <w:t>五 、平面布局合理性分析</w:t>
            </w:r>
          </w:p>
          <w:p>
            <w:pPr>
              <w:keepNext w:val="0"/>
              <w:keepLines w:val="0"/>
              <w:suppressLineNumbers w:val="0"/>
              <w:adjustRightInd w:val="0"/>
              <w:snapToGrid w:val="0"/>
              <w:spacing w:before="0" w:beforeAutospacing="0" w:after="0" w:afterAutospacing="0"/>
              <w:ind w:left="0" w:right="0" w:firstLine="480"/>
              <w:jc w:val="both"/>
            </w:pPr>
            <w:r>
              <w:t>总平面布置按功能分为生产区和办公生活区。厂区拟设1个出入口，出口设于厂区东侧，紧邻G108国道（昆禄公路）约5m，便于原料的运入及产品的运出，交通十分便利。生产区主要包括布置于厂区东区域的</w:t>
            </w:r>
            <w:r>
              <w:rPr>
                <w:rFonts w:hint="eastAsia"/>
              </w:rPr>
              <w:t>综合楼</w:t>
            </w:r>
            <w:r>
              <w:t>，</w:t>
            </w:r>
            <w:r>
              <w:rPr>
                <w:rFonts w:hint="eastAsia"/>
              </w:rPr>
              <w:t>中间</w:t>
            </w:r>
            <w:r>
              <w:t>区域的1#</w:t>
            </w:r>
            <w:r>
              <w:rPr>
                <w:rFonts w:hint="eastAsia"/>
              </w:rPr>
              <w:t>及2#生产厂房</w:t>
            </w:r>
            <w:r>
              <w:t>；项目建构筑物分区设置，使生产线、仓储、办公等相对独立，分区明确，不相互影响。项目建、构筑物的布置紧凑合理，人货流通畅顺捷，减少交叉。可满足生产系统的加工和储、装、运等主要生产</w:t>
            </w:r>
            <w:r>
              <w:rPr>
                <w:rFonts w:hint="eastAsia"/>
              </w:rPr>
              <w:t>环节</w:t>
            </w:r>
            <w:r>
              <w:t>的要求。</w:t>
            </w:r>
            <w:r>
              <w:rPr>
                <w:rFonts w:hint="eastAsia"/>
              </w:rPr>
              <w:t>另外本项目</w:t>
            </w:r>
            <w:r>
              <w:rPr>
                <w:rFonts w:hint="eastAsia" w:asciiTheme="minorEastAsia" w:hAnsiTheme="minorEastAsia" w:eastAsiaTheme="minorEastAsia"/>
              </w:rPr>
              <w:t>项目主要的噪声来源于设备噪声，在建厂时，考虑到厂区东侧及北侧距离敏感目标较近，机械安装靠近东侧及北侧可能对周围敏感目标影响较大。所以本项目加工区设置时尽量远离东、北两侧，这一布局降低了噪声对周围敏感目标的影响，厂区布局上是基本合理的。</w:t>
            </w:r>
            <w:r>
              <w:t>因此，项目平面总体布置合理。</w:t>
            </w:r>
          </w:p>
          <w:p>
            <w:pPr>
              <w:pStyle w:val="2"/>
              <w:keepNext w:val="0"/>
              <w:keepLines w:val="0"/>
              <w:suppressLineNumbers w:val="0"/>
              <w:spacing w:before="0" w:beforeAutospacing="0" w:after="0" w:afterAutospacing="0"/>
              <w:ind w:left="0" w:right="0" w:firstLine="482"/>
              <w:jc w:val="both"/>
              <w:rPr>
                <w:b/>
              </w:rPr>
            </w:pPr>
            <w:r>
              <w:rPr>
                <w:rFonts w:hint="eastAsia"/>
                <w:b/>
              </w:rPr>
              <w:t>六、项目选址合理性分析</w:t>
            </w:r>
          </w:p>
          <w:p>
            <w:pPr>
              <w:keepNext w:val="0"/>
              <w:keepLines w:val="0"/>
              <w:suppressLineNumbers w:val="0"/>
              <w:adjustRightInd w:val="0"/>
              <w:snapToGrid w:val="0"/>
              <w:spacing w:before="0" w:beforeAutospacing="0" w:after="0" w:afterAutospacing="0"/>
              <w:ind w:left="0" w:right="0" w:firstLine="480"/>
              <w:jc w:val="both"/>
            </w:pPr>
            <w:r>
              <w:t>本项目位于富民县工业园哨箐</w:t>
            </w:r>
            <w:r>
              <w:rPr>
                <w:rFonts w:hint="eastAsia"/>
              </w:rPr>
              <w:t>机械加工园</w:t>
            </w:r>
            <w:r>
              <w:t>，项目建设不在自然保护区、风景名胜区、生态功能保护区等需特殊保护的环境敏感区生态红线范围内，项目区域交通建设基本完善，水、电供应有保障，为项目建设堤供了良好的条件。</w:t>
            </w:r>
          </w:p>
          <w:p>
            <w:pPr>
              <w:keepNext w:val="0"/>
              <w:keepLines w:val="0"/>
              <w:suppressLineNumbers w:val="0"/>
              <w:adjustRightInd w:val="0"/>
              <w:snapToGrid w:val="0"/>
              <w:spacing w:before="0" w:beforeAutospacing="0" w:after="0" w:afterAutospacing="0"/>
              <w:ind w:left="0" w:right="0" w:firstLine="480"/>
              <w:jc w:val="both"/>
            </w:pPr>
            <w:r>
              <w:t>环境影响结果表明，项目废水、废气、噪声、固废等对环境影响较小，项目在运行过程中产生的污染物在采取处理措施后可达标，不会改变区域环境功能。</w:t>
            </w:r>
          </w:p>
          <w:p>
            <w:pPr>
              <w:keepNext w:val="0"/>
              <w:keepLines w:val="0"/>
              <w:suppressLineNumbers w:val="0"/>
              <w:adjustRightInd w:val="0"/>
              <w:snapToGrid w:val="0"/>
              <w:spacing w:before="0" w:beforeAutospacing="0" w:after="0" w:afterAutospacing="0"/>
              <w:ind w:left="0" w:right="0" w:firstLine="480"/>
              <w:jc w:val="both"/>
            </w:pPr>
            <w:r>
              <w:t>综上所述，本项目的建设选址合理。</w:t>
            </w:r>
          </w:p>
          <w:p>
            <w:pPr>
              <w:keepNext w:val="0"/>
              <w:keepLines w:val="0"/>
              <w:suppressLineNumbers w:val="0"/>
              <w:adjustRightInd w:val="0"/>
              <w:snapToGrid w:val="0"/>
              <w:spacing w:before="0" w:beforeAutospacing="0" w:after="0" w:afterAutospacing="0"/>
              <w:ind w:left="0" w:right="0" w:firstLine="482"/>
              <w:jc w:val="both"/>
            </w:pPr>
            <w:r>
              <w:rPr>
                <w:rFonts w:hint="eastAsia"/>
                <w:b/>
              </w:rPr>
              <w:t>七</w:t>
            </w:r>
            <w:r>
              <w:rPr>
                <w:b/>
              </w:rPr>
              <w:t>、环境管理</w:t>
            </w:r>
          </w:p>
          <w:p>
            <w:pPr>
              <w:keepNext w:val="0"/>
              <w:keepLines w:val="0"/>
              <w:suppressLineNumbers w:val="0"/>
              <w:spacing w:before="0" w:beforeAutospacing="0" w:after="0" w:afterAutospacing="0"/>
              <w:ind w:left="0" w:right="0" w:firstLine="480"/>
              <w:jc w:val="both"/>
            </w:pPr>
            <w:r>
              <w:t>遵循国家及当地政府关于环境保护的方针、政策、法令、法规，应将项目的环境管理纳入项目日常管理之中。本项目制定了环境管理计划如表</w:t>
            </w:r>
            <w:r>
              <w:rPr>
                <w:rFonts w:hint="eastAsia"/>
              </w:rPr>
              <w:t>7-13</w:t>
            </w:r>
            <w:r>
              <w:t>。</w:t>
            </w:r>
          </w:p>
          <w:p>
            <w:pPr>
              <w:pStyle w:val="25"/>
              <w:keepNext w:val="0"/>
              <w:keepLines w:val="0"/>
              <w:suppressLineNumbers w:val="0"/>
              <w:spacing w:before="0" w:beforeAutospacing="0" w:after="0" w:afterAutospacing="0" w:line="240" w:lineRule="auto"/>
              <w:ind w:left="0" w:right="0"/>
            </w:pPr>
            <w:r>
              <w:t>表</w:t>
            </w:r>
            <w:r>
              <w:rPr>
                <w:rFonts w:hint="eastAsia"/>
              </w:rPr>
              <w:t>7-13</w:t>
            </w:r>
            <w:r>
              <w:t xml:space="preserve">   环境管理计划</w:t>
            </w:r>
          </w:p>
          <w:tbl>
            <w:tblPr>
              <w:tblStyle w:val="19"/>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37"/>
              <w:gridCol w:w="673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575" w:type="dxa"/>
                  <w:noWrap/>
                  <w:vAlign w:val="center"/>
                </w:tcPr>
                <w:p>
                  <w:pPr>
                    <w:pStyle w:val="26"/>
                    <w:keepNext w:val="0"/>
                    <w:keepLines w:val="0"/>
                    <w:suppressLineNumbers w:val="0"/>
                    <w:spacing w:before="0" w:beforeAutospacing="0" w:after="0" w:afterAutospacing="0"/>
                    <w:ind w:left="0" w:right="0"/>
                    <w:rPr>
                      <w:b w:val="0"/>
                      <w:bCs w:val="0"/>
                      <w:color w:val="auto"/>
                    </w:rPr>
                  </w:pPr>
                  <w:bookmarkStart w:id="98" w:name="_Toc14238"/>
                  <w:r>
                    <w:rPr>
                      <w:b w:val="0"/>
                      <w:bCs w:val="0"/>
                      <w:color w:val="auto"/>
                    </w:rPr>
                    <w:t>阶段</w:t>
                  </w:r>
                  <w:bookmarkEnd w:id="98"/>
                </w:p>
              </w:tc>
              <w:tc>
                <w:tcPr>
                  <w:tcW w:w="6929" w:type="dxa"/>
                  <w:noWrap/>
                  <w:vAlign w:val="center"/>
                </w:tcPr>
                <w:p>
                  <w:pPr>
                    <w:pStyle w:val="26"/>
                    <w:keepNext w:val="0"/>
                    <w:keepLines w:val="0"/>
                    <w:suppressLineNumbers w:val="0"/>
                    <w:spacing w:before="0" w:beforeAutospacing="0" w:after="0" w:afterAutospacing="0"/>
                    <w:ind w:left="0" w:right="0"/>
                    <w:rPr>
                      <w:b w:val="0"/>
                      <w:bCs w:val="0"/>
                      <w:color w:val="auto"/>
                    </w:rPr>
                  </w:pPr>
                  <w:bookmarkStart w:id="99" w:name="_Toc17216"/>
                  <w:r>
                    <w:rPr>
                      <w:b w:val="0"/>
                      <w:bCs w:val="0"/>
                      <w:color w:val="auto"/>
                    </w:rPr>
                    <w:t>环境管理工作主要内容</w:t>
                  </w:r>
                  <w:bookmarkEnd w:id="99"/>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575" w:type="dxa"/>
                  <w:noWrap/>
                  <w:vAlign w:val="center"/>
                </w:tcPr>
                <w:p>
                  <w:pPr>
                    <w:pStyle w:val="26"/>
                    <w:keepNext w:val="0"/>
                    <w:keepLines w:val="0"/>
                    <w:suppressLineNumbers w:val="0"/>
                    <w:spacing w:before="0" w:beforeAutospacing="0" w:after="0" w:afterAutospacing="0"/>
                    <w:ind w:left="0" w:right="0"/>
                    <w:rPr>
                      <w:b w:val="0"/>
                      <w:bCs w:val="0"/>
                      <w:color w:val="auto"/>
                    </w:rPr>
                  </w:pPr>
                  <w:bookmarkStart w:id="100" w:name="_Toc28421"/>
                  <w:r>
                    <w:rPr>
                      <w:b w:val="0"/>
                      <w:bCs w:val="0"/>
                      <w:color w:val="auto"/>
                    </w:rPr>
                    <w:t>管理机构职能</w:t>
                  </w:r>
                  <w:bookmarkEnd w:id="100"/>
                </w:p>
              </w:tc>
              <w:tc>
                <w:tcPr>
                  <w:tcW w:w="6929" w:type="dxa"/>
                  <w:noWrap/>
                  <w:vAlign w:val="center"/>
                </w:tcPr>
                <w:p>
                  <w:pPr>
                    <w:pStyle w:val="26"/>
                    <w:keepNext w:val="0"/>
                    <w:keepLines w:val="0"/>
                    <w:suppressLineNumbers w:val="0"/>
                    <w:spacing w:before="0" w:beforeAutospacing="0" w:after="0" w:afterAutospacing="0"/>
                    <w:ind w:left="0" w:right="0"/>
                    <w:rPr>
                      <w:b w:val="0"/>
                      <w:bCs w:val="0"/>
                      <w:color w:val="auto"/>
                    </w:rPr>
                  </w:pPr>
                  <w:bookmarkStart w:id="101" w:name="_Toc18858"/>
                  <w:r>
                    <w:rPr>
                      <w:b w:val="0"/>
                      <w:bCs w:val="0"/>
                      <w:color w:val="auto"/>
                    </w:rPr>
                    <w:t>根据国家建设项目环境管理规定，认真落实各项环保手续，完成各级主管部门对本企业提出的环境管理要求，对本企业内部各项管理计划的执行及完成情况进行监督、控制，确保环境管理工作真正发挥作用。</w:t>
                  </w:r>
                  <w:bookmarkEnd w:id="101"/>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575" w:type="dxa"/>
                  <w:noWrap/>
                  <w:vAlign w:val="center"/>
                </w:tcPr>
                <w:p>
                  <w:pPr>
                    <w:pStyle w:val="26"/>
                    <w:keepNext w:val="0"/>
                    <w:keepLines w:val="0"/>
                    <w:suppressLineNumbers w:val="0"/>
                    <w:spacing w:before="0" w:beforeAutospacing="0" w:after="0" w:afterAutospacing="0"/>
                    <w:ind w:left="0" w:right="0"/>
                    <w:rPr>
                      <w:b w:val="0"/>
                      <w:bCs w:val="0"/>
                      <w:color w:val="auto"/>
                    </w:rPr>
                  </w:pPr>
                  <w:bookmarkStart w:id="102" w:name="_Toc529"/>
                  <w:r>
                    <w:rPr>
                      <w:b w:val="0"/>
                      <w:bCs w:val="0"/>
                      <w:color w:val="auto"/>
                    </w:rPr>
                    <w:t>生产运行期</w:t>
                  </w:r>
                  <w:bookmarkEnd w:id="102"/>
                </w:p>
              </w:tc>
              <w:tc>
                <w:tcPr>
                  <w:tcW w:w="6929" w:type="dxa"/>
                  <w:noWrap/>
                  <w:vAlign w:val="center"/>
                </w:tcPr>
                <w:p>
                  <w:pPr>
                    <w:pStyle w:val="26"/>
                    <w:keepNext w:val="0"/>
                    <w:keepLines w:val="0"/>
                    <w:suppressLineNumbers w:val="0"/>
                    <w:spacing w:before="0" w:beforeAutospacing="0" w:after="0" w:afterAutospacing="0"/>
                    <w:ind w:left="0" w:right="0"/>
                    <w:jc w:val="left"/>
                    <w:rPr>
                      <w:b w:val="0"/>
                      <w:bCs w:val="0"/>
                      <w:color w:val="auto"/>
                    </w:rPr>
                  </w:pPr>
                  <w:bookmarkStart w:id="103" w:name="_Toc6470"/>
                  <w:r>
                    <w:rPr>
                      <w:b w:val="0"/>
                      <w:bCs w:val="0"/>
                      <w:color w:val="auto"/>
                    </w:rPr>
                    <w:t>（1）严格执行各项生产及环境管理制度，保证生产的正常运行；</w:t>
                  </w:r>
                  <w:bookmarkEnd w:id="103"/>
                </w:p>
                <w:p>
                  <w:pPr>
                    <w:pStyle w:val="26"/>
                    <w:keepNext w:val="0"/>
                    <w:keepLines w:val="0"/>
                    <w:suppressLineNumbers w:val="0"/>
                    <w:spacing w:before="0" w:beforeAutospacing="0" w:after="0" w:afterAutospacing="0"/>
                    <w:ind w:left="525" w:right="0" w:hanging="525" w:hangingChars="250"/>
                    <w:jc w:val="left"/>
                    <w:rPr>
                      <w:b w:val="0"/>
                      <w:bCs w:val="0"/>
                      <w:color w:val="auto"/>
                    </w:rPr>
                  </w:pPr>
                  <w:bookmarkStart w:id="104" w:name="_Toc1564"/>
                  <w:r>
                    <w:rPr>
                      <w:b w:val="0"/>
                      <w:bCs w:val="0"/>
                      <w:color w:val="auto"/>
                    </w:rPr>
                    <w:t>（2）设立环保设施运行卡，对环保设施定期进行检查、维护，做到勤查、勤记、勤养护，按照监测计划定期组织进行项目区内的污染源监测，对不达标的环保设施应立即进行查找原因，及时处理；</w:t>
                  </w:r>
                  <w:bookmarkEnd w:id="104"/>
                </w:p>
                <w:p>
                  <w:pPr>
                    <w:pStyle w:val="26"/>
                    <w:keepNext w:val="0"/>
                    <w:keepLines w:val="0"/>
                    <w:suppressLineNumbers w:val="0"/>
                    <w:spacing w:before="0" w:beforeAutospacing="0" w:after="0" w:afterAutospacing="0"/>
                    <w:ind w:left="525" w:right="0" w:hanging="525" w:hangingChars="250"/>
                    <w:jc w:val="left"/>
                    <w:rPr>
                      <w:b w:val="0"/>
                      <w:bCs w:val="0"/>
                      <w:color w:val="auto"/>
                    </w:rPr>
                  </w:pPr>
                  <w:bookmarkStart w:id="105" w:name="_Toc3372"/>
                  <w:r>
                    <w:rPr>
                      <w:b w:val="0"/>
                      <w:bCs w:val="0"/>
                      <w:color w:val="auto"/>
                    </w:rPr>
                    <w:t>（3）不断加强技术培训，组织企业内部之间进行技术交流，提高业务水平，保持企业内部职工素质稳定；</w:t>
                  </w:r>
                  <w:bookmarkEnd w:id="105"/>
                </w:p>
                <w:p>
                  <w:pPr>
                    <w:pStyle w:val="26"/>
                    <w:keepNext w:val="0"/>
                    <w:keepLines w:val="0"/>
                    <w:suppressLineNumbers w:val="0"/>
                    <w:spacing w:before="0" w:beforeAutospacing="0" w:after="0" w:afterAutospacing="0"/>
                    <w:ind w:left="525" w:right="0" w:hanging="525" w:hangingChars="250"/>
                    <w:jc w:val="left"/>
                    <w:rPr>
                      <w:b w:val="0"/>
                      <w:bCs w:val="0"/>
                      <w:color w:val="auto"/>
                    </w:rPr>
                  </w:pPr>
                  <w:bookmarkStart w:id="106" w:name="_Toc8309"/>
                  <w:r>
                    <w:rPr>
                      <w:b w:val="0"/>
                      <w:bCs w:val="0"/>
                      <w:color w:val="auto"/>
                    </w:rPr>
                    <w:t>（4）重视群众监督作用，提高企业职工环保意识，鼓励职工及外部人员对生产状况提出意见，并通过积极吸收宝贵意见来提高企业环境管理水平；</w:t>
                  </w:r>
                  <w:bookmarkEnd w:id="106"/>
                </w:p>
                <w:p>
                  <w:pPr>
                    <w:pStyle w:val="26"/>
                    <w:keepNext w:val="0"/>
                    <w:keepLines w:val="0"/>
                    <w:suppressLineNumbers w:val="0"/>
                    <w:spacing w:before="0" w:beforeAutospacing="0" w:after="0" w:afterAutospacing="0"/>
                    <w:ind w:left="0" w:right="0"/>
                    <w:jc w:val="left"/>
                    <w:rPr>
                      <w:b w:val="0"/>
                      <w:bCs w:val="0"/>
                      <w:color w:val="auto"/>
                    </w:rPr>
                  </w:pPr>
                  <w:bookmarkStart w:id="107" w:name="_Toc31136"/>
                  <w:r>
                    <w:rPr>
                      <w:b w:val="0"/>
                      <w:bCs w:val="0"/>
                      <w:color w:val="auto"/>
                    </w:rPr>
                    <w:t>（5）积极配合环保部门的检查。</w:t>
                  </w:r>
                  <w:bookmarkEnd w:id="107"/>
                </w:p>
                <w:p>
                  <w:pPr>
                    <w:keepNext w:val="0"/>
                    <w:keepLines w:val="0"/>
                    <w:suppressLineNumbers w:val="0"/>
                    <w:spacing w:before="0" w:beforeAutospacing="0" w:after="0" w:afterAutospacing="0" w:line="240" w:lineRule="auto"/>
                    <w:ind w:left="0" w:right="0" w:firstLine="0" w:firstLineChars="0"/>
                    <w:rPr>
                      <w:sz w:val="21"/>
                      <w:szCs w:val="21"/>
                    </w:rPr>
                  </w:pPr>
                  <w:r>
                    <w:rPr>
                      <w:rFonts w:hint="eastAsia"/>
                      <w:sz w:val="21"/>
                      <w:szCs w:val="21"/>
                    </w:rPr>
                    <w:t>（6）设置本项目台账记录</w:t>
                  </w:r>
                </w:p>
                <w:p>
                  <w:pPr>
                    <w:keepNext w:val="0"/>
                    <w:keepLines w:val="0"/>
                    <w:suppressLineNumbers w:val="0"/>
                    <w:spacing w:before="0" w:beforeAutospacing="0" w:after="0" w:afterAutospacing="0" w:line="240" w:lineRule="auto"/>
                    <w:ind w:left="528" w:leftChars="220" w:right="0" w:firstLine="0" w:firstLineChars="0"/>
                    <w:rPr>
                      <w:sz w:val="21"/>
                      <w:szCs w:val="21"/>
                    </w:rPr>
                  </w:pPr>
                  <w:r>
                    <w:rPr>
                      <w:rFonts w:hint="eastAsia"/>
                      <w:sz w:val="21"/>
                      <w:szCs w:val="21"/>
                    </w:rPr>
                    <w:t>原辅材料信息：主要记录本项目涂料的名称、成分检测报告、使用量、库存量、回收方式及回收量等。按照批次记录，每批次记录1次。</w:t>
                  </w:r>
                </w:p>
                <w:p>
                  <w:pPr>
                    <w:pStyle w:val="11"/>
                    <w:keepNext w:val="0"/>
                    <w:keepLines w:val="0"/>
                    <w:suppressLineNumbers w:val="0"/>
                    <w:spacing w:before="0" w:beforeAutospacing="0" w:after="0" w:afterAutospacing="0" w:line="240" w:lineRule="auto"/>
                    <w:ind w:left="528" w:leftChars="220" w:right="0" w:firstLine="0" w:firstLineChars="0"/>
                  </w:pPr>
                  <w:r>
                    <w:rPr>
                      <w:rFonts w:hint="eastAsia" w:ascii="Times New Roman" w:hAnsi="Times New Roman" w:cs="Times New Roman"/>
                      <w:sz w:val="21"/>
                    </w:rPr>
                    <w:t>产品产量信息：主要产品名称及其产量、涂装总面积等。连续性生产按照批次记录，每批次记录一次。</w:t>
                  </w:r>
                </w:p>
              </w:tc>
            </w:tr>
          </w:tbl>
          <w:p>
            <w:pPr>
              <w:keepNext w:val="0"/>
              <w:keepLines w:val="0"/>
              <w:suppressLineNumbers w:val="0"/>
              <w:spacing w:before="0" w:beforeAutospacing="0" w:after="0" w:afterAutospacing="0"/>
              <w:ind w:left="0" w:right="0" w:firstLine="472" w:firstLineChars="196"/>
              <w:jc w:val="both"/>
              <w:rPr>
                <w:b/>
              </w:rPr>
            </w:pPr>
            <w:r>
              <w:rPr>
                <w:rFonts w:hint="eastAsia"/>
                <w:b/>
              </w:rPr>
              <w:t>八</w:t>
            </w:r>
            <w:r>
              <w:rPr>
                <w:b/>
              </w:rPr>
              <w:t>、环境监测计划</w:t>
            </w:r>
          </w:p>
          <w:p>
            <w:pPr>
              <w:keepNext w:val="0"/>
              <w:keepLines w:val="0"/>
              <w:suppressLineNumbers w:val="0"/>
              <w:spacing w:before="0" w:beforeAutospacing="0" w:after="0" w:afterAutospacing="0"/>
              <w:ind w:left="0" w:right="0" w:firstLine="480"/>
              <w:jc w:val="both"/>
            </w:pPr>
            <w:r>
              <w:t>项目运营期环境监测计划见表</w:t>
            </w:r>
            <w:r>
              <w:rPr>
                <w:rFonts w:hint="eastAsia"/>
              </w:rPr>
              <w:t>7-14</w:t>
            </w:r>
            <w:r>
              <w:t>。</w:t>
            </w:r>
          </w:p>
          <w:p>
            <w:pPr>
              <w:pStyle w:val="25"/>
              <w:keepNext w:val="0"/>
              <w:keepLines w:val="0"/>
              <w:suppressLineNumbers w:val="0"/>
              <w:spacing w:before="0" w:beforeAutospacing="0" w:after="0" w:afterAutospacing="0"/>
              <w:ind w:left="0" w:right="0"/>
            </w:pPr>
            <w:r>
              <w:t>表</w:t>
            </w:r>
            <w:r>
              <w:rPr>
                <w:rFonts w:hint="eastAsia"/>
              </w:rPr>
              <w:t xml:space="preserve">7-14 </w:t>
            </w:r>
            <w:r>
              <w:t>运营期环境监测计划表</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45"/>
              <w:gridCol w:w="1867"/>
              <w:gridCol w:w="744"/>
              <w:gridCol w:w="2133"/>
              <w:gridCol w:w="1601"/>
              <w:gridCol w:w="108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4" w:hRule="atLeast"/>
                <w:jc w:val="center"/>
              </w:trPr>
              <w:tc>
                <w:tcPr>
                  <w:tcW w:w="867"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类别</w:t>
                  </w:r>
                </w:p>
              </w:tc>
              <w:tc>
                <w:tcPr>
                  <w:tcW w:w="1925"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监测点位</w:t>
                  </w:r>
                </w:p>
              </w:tc>
              <w:tc>
                <w:tcPr>
                  <w:tcW w:w="763"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点数</w:t>
                  </w:r>
                </w:p>
              </w:tc>
              <w:tc>
                <w:tcPr>
                  <w:tcW w:w="2200"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监测项目</w:t>
                  </w:r>
                </w:p>
              </w:tc>
              <w:tc>
                <w:tcPr>
                  <w:tcW w:w="1650"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监测频率</w:t>
                  </w:r>
                </w:p>
              </w:tc>
              <w:tc>
                <w:tcPr>
                  <w:tcW w:w="1116"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监测方法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2" w:hRule="atLeast"/>
                <w:jc w:val="center"/>
              </w:trPr>
              <w:tc>
                <w:tcPr>
                  <w:tcW w:w="867"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噪声</w:t>
                  </w:r>
                </w:p>
              </w:tc>
              <w:tc>
                <w:tcPr>
                  <w:tcW w:w="1925"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厂界四周</w:t>
                  </w:r>
                </w:p>
              </w:tc>
              <w:tc>
                <w:tcPr>
                  <w:tcW w:w="763"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4个</w:t>
                  </w:r>
                </w:p>
              </w:tc>
              <w:tc>
                <w:tcPr>
                  <w:tcW w:w="2200"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等效声级</w:t>
                  </w:r>
                </w:p>
              </w:tc>
              <w:tc>
                <w:tcPr>
                  <w:tcW w:w="1650"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竣工验收时监测1次，验收后纳入当地环境保护局的正常监测管理</w:t>
                  </w:r>
                </w:p>
              </w:tc>
              <w:tc>
                <w:tcPr>
                  <w:tcW w:w="1116"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按国家标准方法进行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6" w:hRule="atLeast"/>
                <w:jc w:val="center"/>
              </w:trPr>
              <w:tc>
                <w:tcPr>
                  <w:tcW w:w="867" w:type="dxa"/>
                  <w:noWrap/>
                  <w:vAlign w:val="center"/>
                </w:tcPr>
                <w:p>
                  <w:pPr>
                    <w:pStyle w:val="26"/>
                    <w:keepNext w:val="0"/>
                    <w:keepLines w:val="0"/>
                    <w:suppressLineNumbers w:val="0"/>
                    <w:spacing w:before="0" w:beforeAutospacing="0" w:after="0" w:afterAutospacing="0"/>
                    <w:ind w:left="0" w:right="0"/>
                    <w:rPr>
                      <w:b w:val="0"/>
                      <w:bCs w:val="0"/>
                      <w:color w:val="auto"/>
                    </w:rPr>
                  </w:pPr>
                  <w:bookmarkStart w:id="108" w:name="OLE_LINK74" w:colFirst="3" w:colLast="4"/>
                  <w:r>
                    <w:rPr>
                      <w:b w:val="0"/>
                      <w:bCs w:val="0"/>
                      <w:color w:val="auto"/>
                    </w:rPr>
                    <w:t>无组织排放废气</w:t>
                  </w:r>
                </w:p>
              </w:tc>
              <w:tc>
                <w:tcPr>
                  <w:tcW w:w="1925"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厂界上风向1个，下风向2个点</w:t>
                  </w:r>
                </w:p>
              </w:tc>
              <w:tc>
                <w:tcPr>
                  <w:tcW w:w="763"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3个</w:t>
                  </w:r>
                </w:p>
              </w:tc>
              <w:tc>
                <w:tcPr>
                  <w:tcW w:w="2200"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TSP</w:t>
                  </w:r>
                  <w:r>
                    <w:rPr>
                      <w:b w:val="0"/>
                      <w:bCs w:val="0"/>
                      <w:color w:val="auto"/>
                    </w:rPr>
                    <w:t>、</w:t>
                  </w:r>
                  <w:r>
                    <w:rPr>
                      <w:rFonts w:hint="eastAsia"/>
                      <w:b w:val="0"/>
                      <w:bCs w:val="0"/>
                      <w:color w:val="auto"/>
                    </w:rPr>
                    <w:t>VOCs</w:t>
                  </w:r>
                </w:p>
              </w:tc>
              <w:tc>
                <w:tcPr>
                  <w:tcW w:w="1650"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116"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2" w:hRule="atLeast"/>
                <w:jc w:val="center"/>
              </w:trPr>
              <w:tc>
                <w:tcPr>
                  <w:tcW w:w="867"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有组织排放废气</w:t>
                  </w:r>
                </w:p>
              </w:tc>
              <w:tc>
                <w:tcPr>
                  <w:tcW w:w="1925"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喷漆房排气筒出口</w:t>
                  </w:r>
                </w:p>
              </w:tc>
              <w:tc>
                <w:tcPr>
                  <w:tcW w:w="763"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1</w:t>
                  </w:r>
                </w:p>
              </w:tc>
              <w:tc>
                <w:tcPr>
                  <w:tcW w:w="2200"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VOCs</w:t>
                  </w:r>
                  <w:r>
                    <w:rPr>
                      <w:b w:val="0"/>
                      <w:bCs w:val="0"/>
                      <w:color w:val="auto"/>
                    </w:rPr>
                    <w:t>、</w:t>
                  </w:r>
                  <w:r>
                    <w:rPr>
                      <w:rFonts w:hint="eastAsia"/>
                      <w:b w:val="0"/>
                      <w:bCs w:val="0"/>
                      <w:color w:val="auto"/>
                    </w:rPr>
                    <w:t>T</w:t>
                  </w:r>
                  <w:r>
                    <w:rPr>
                      <w:b w:val="0"/>
                      <w:bCs w:val="0"/>
                      <w:color w:val="auto"/>
                    </w:rPr>
                    <w:t>废气量</w:t>
                  </w:r>
                </w:p>
              </w:tc>
              <w:tc>
                <w:tcPr>
                  <w:tcW w:w="1650"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116"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bookmarkEnd w:id="108"/>
          </w:tbl>
          <w:p>
            <w:pPr>
              <w:keepNext w:val="0"/>
              <w:keepLines w:val="0"/>
              <w:suppressLineNumbers w:val="0"/>
              <w:adjustRightInd w:val="0"/>
              <w:snapToGrid w:val="0"/>
              <w:spacing w:before="240" w:beforeAutospacing="0" w:after="0" w:afterAutospacing="0"/>
              <w:ind w:left="0" w:right="0" w:firstLine="472" w:firstLineChars="196"/>
              <w:jc w:val="both"/>
              <w:rPr>
                <w:b/>
              </w:rPr>
            </w:pPr>
            <w:r>
              <w:rPr>
                <w:rFonts w:hint="eastAsia"/>
                <w:b/>
              </w:rPr>
              <w:t>九</w:t>
            </w:r>
            <w:r>
              <w:rPr>
                <w:b/>
              </w:rPr>
              <w:t>、“三同时”验收一览表</w:t>
            </w:r>
          </w:p>
          <w:p>
            <w:pPr>
              <w:keepNext w:val="0"/>
              <w:keepLines w:val="0"/>
              <w:suppressLineNumbers w:val="0"/>
              <w:spacing w:before="0" w:beforeAutospacing="0" w:after="0" w:afterAutospacing="0"/>
              <w:ind w:left="0" w:right="0" w:firstLine="480"/>
              <w:jc w:val="both"/>
            </w:pPr>
            <w:r>
              <w:t>本项目竣工环保验收内容详见表</w:t>
            </w:r>
            <w:r>
              <w:rPr>
                <w:rFonts w:hint="eastAsia"/>
              </w:rPr>
              <w:t>7-19</w:t>
            </w:r>
            <w:r>
              <w:t>。</w:t>
            </w:r>
          </w:p>
          <w:p>
            <w:pPr>
              <w:pStyle w:val="25"/>
              <w:keepNext w:val="0"/>
              <w:keepLines w:val="0"/>
              <w:suppressLineNumbers w:val="0"/>
              <w:spacing w:before="0" w:beforeAutospacing="0" w:after="0" w:afterAutospacing="0" w:line="240" w:lineRule="auto"/>
              <w:ind w:left="0" w:right="0"/>
            </w:pPr>
            <w:r>
              <w:t>表</w:t>
            </w:r>
            <w:r>
              <w:rPr>
                <w:rFonts w:hint="eastAsia"/>
              </w:rPr>
              <w:t>7-19</w:t>
            </w:r>
            <w:r>
              <w:t xml:space="preserve"> 项目“三同时”验收一览表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1"/>
              <w:gridCol w:w="634"/>
              <w:gridCol w:w="487"/>
              <w:gridCol w:w="1005"/>
              <w:gridCol w:w="2531"/>
              <w:gridCol w:w="3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57"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污染源</w:t>
                  </w:r>
                </w:p>
              </w:tc>
              <w:tc>
                <w:tcPr>
                  <w:tcW w:w="1397"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污染物</w:t>
                  </w:r>
                </w:p>
              </w:tc>
              <w:tc>
                <w:tcPr>
                  <w:tcW w:w="2569"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环保措施项目</w:t>
                  </w:r>
                </w:p>
              </w:tc>
              <w:tc>
                <w:tcPr>
                  <w:tcW w:w="3073"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17"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大气污染源</w:t>
                  </w:r>
                </w:p>
              </w:tc>
              <w:tc>
                <w:tcPr>
                  <w:tcW w:w="640"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生产车间</w:t>
                  </w:r>
                </w:p>
              </w:tc>
              <w:tc>
                <w:tcPr>
                  <w:tcW w:w="1397"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烟尘</w:t>
                  </w:r>
                  <w:r>
                    <w:rPr>
                      <w:rFonts w:hint="eastAsia"/>
                      <w:b w:val="0"/>
                      <w:bCs w:val="0"/>
                      <w:color w:val="auto"/>
                    </w:rPr>
                    <w:t>、粉尘</w:t>
                  </w:r>
                </w:p>
              </w:tc>
              <w:tc>
                <w:tcPr>
                  <w:tcW w:w="2569"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移动式除尘器（2台）</w:t>
                  </w:r>
                </w:p>
              </w:tc>
              <w:tc>
                <w:tcPr>
                  <w:tcW w:w="3073"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《大气污染物综合排放标准》（GB16297-1996）表2无组织排放浓度限值≤1.0mg/</w:t>
                  </w:r>
                  <w:r>
                    <w:rPr>
                      <w:rFonts w:hint="eastAsia"/>
                      <w:b w:val="0"/>
                      <w:bCs w:val="0"/>
                      <w:color w:val="auto"/>
                    </w:rPr>
                    <w:t>m</w:t>
                  </w:r>
                  <w:r>
                    <w:rPr>
                      <w:rFonts w:hint="eastAsia"/>
                      <w:b w:val="0"/>
                      <w:bCs w:val="0"/>
                      <w:color w:val="auto"/>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618"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641"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喷漆房</w:t>
                  </w:r>
                </w:p>
              </w:tc>
              <w:tc>
                <w:tcPr>
                  <w:tcW w:w="1388"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漆雾、VOCs</w:t>
                  </w:r>
                </w:p>
                <w:p>
                  <w:pPr>
                    <w:pStyle w:val="26"/>
                    <w:keepNext w:val="0"/>
                    <w:keepLines w:val="0"/>
                    <w:suppressLineNumbers w:val="0"/>
                    <w:spacing w:before="0" w:beforeAutospacing="0" w:after="0" w:afterAutospacing="0"/>
                    <w:ind w:left="0" w:right="0"/>
                    <w:rPr>
                      <w:b w:val="0"/>
                      <w:bCs w:val="0"/>
                      <w:color w:val="auto"/>
                    </w:rPr>
                  </w:pPr>
                </w:p>
              </w:tc>
              <w:tc>
                <w:tcPr>
                  <w:tcW w:w="2572"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各喷漆房分别经管道收集，最终设置1套“负压风机（风机风量10000m</w:t>
                  </w:r>
                  <w:r>
                    <w:rPr>
                      <w:rFonts w:hint="eastAsia"/>
                      <w:b w:val="0"/>
                      <w:bCs w:val="0"/>
                      <w:color w:val="auto"/>
                      <w:vertAlign w:val="superscript"/>
                    </w:rPr>
                    <w:t>3</w:t>
                  </w:r>
                  <w:r>
                    <w:rPr>
                      <w:rFonts w:hint="eastAsia"/>
                      <w:b w:val="0"/>
                      <w:bCs w:val="0"/>
                      <w:color w:val="auto"/>
                    </w:rPr>
                    <w:t>/h）+过滤棉+活性炭吸附理装置（挥发性有机物去除率80%）+15m高排气筒”并设标识标牌</w:t>
                  </w:r>
                </w:p>
              </w:tc>
              <w:tc>
                <w:tcPr>
                  <w:tcW w:w="3077"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有组织排放达到</w:t>
                  </w:r>
                  <w:r>
                    <w:rPr>
                      <w:b w:val="0"/>
                      <w:bCs w:val="0"/>
                      <w:color w:val="auto"/>
                    </w:rPr>
                    <w:t>《大气污染物综合排放标准》（GB16297-1996）二级标准限值要求</w:t>
                  </w:r>
                  <w:r>
                    <w:rPr>
                      <w:rFonts w:hint="eastAsia"/>
                      <w:b w:val="0"/>
                      <w:bCs w:val="0"/>
                      <w:color w:val="auto"/>
                    </w:rPr>
                    <w:t>；无组织排放颗粒物达到</w:t>
                  </w:r>
                  <w:r>
                    <w:rPr>
                      <w:b w:val="0"/>
                      <w:bCs w:val="0"/>
                      <w:color w:val="auto"/>
                    </w:rPr>
                    <w:t>（GB16297-1996）</w:t>
                  </w:r>
                  <w:r>
                    <w:rPr>
                      <w:rFonts w:hint="eastAsia"/>
                      <w:b w:val="0"/>
                      <w:bCs w:val="0"/>
                      <w:color w:val="auto"/>
                    </w:rPr>
                    <w:t>《大气污染物综合排放标准》</w:t>
                  </w:r>
                  <w:r>
                    <w:rPr>
                      <w:b w:val="0"/>
                      <w:bCs w:val="0"/>
                      <w:color w:val="auto"/>
                    </w:rPr>
                    <w:t>表2</w:t>
                  </w:r>
                  <w:r>
                    <w:rPr>
                      <w:rFonts w:hint="eastAsia"/>
                      <w:b w:val="0"/>
                      <w:bCs w:val="0"/>
                      <w:color w:val="auto"/>
                    </w:rPr>
                    <w:t>中无组织排放监控浓度限值要求（周界外浓度最高点：1.0mg/m3），无组织排放VOCs执行《挥发性有机物无组织排放控制标准》（GB37822-2019）附录A表A.1中规定的排放限值要求；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618"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641"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食堂</w:t>
                  </w:r>
                </w:p>
              </w:tc>
              <w:tc>
                <w:tcPr>
                  <w:tcW w:w="1388"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油烟</w:t>
                  </w:r>
                </w:p>
              </w:tc>
              <w:tc>
                <w:tcPr>
                  <w:tcW w:w="2572"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油烟净化器（油烟去除率≥60%）1</w:t>
                  </w:r>
                  <w:r>
                    <w:rPr>
                      <w:rFonts w:hint="eastAsia"/>
                      <w:b w:val="0"/>
                      <w:bCs w:val="0"/>
                      <w:color w:val="auto"/>
                    </w:rPr>
                    <w:t>套+专用油烟管1套引至楼顶排放。</w:t>
                  </w:r>
                </w:p>
              </w:tc>
              <w:tc>
                <w:tcPr>
                  <w:tcW w:w="3077"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lang w:val="zh-CN"/>
                    </w:rPr>
                    <w:t>《饮食业油烟排放标准（试行）》（GB18483-2001）最高允许排放浓度2.0mg/m</w:t>
                  </w:r>
                  <w:r>
                    <w:rPr>
                      <w:rFonts w:hint="eastAsia"/>
                      <w:b w:val="0"/>
                      <w:bCs w:val="0"/>
                      <w:color w:val="auto"/>
                      <w:vertAlign w:val="superscript"/>
                      <w:lang w:val="zh-CN"/>
                    </w:rPr>
                    <w:t>3</w:t>
                  </w:r>
                  <w:r>
                    <w:rPr>
                      <w:rFonts w:hint="eastAsia"/>
                      <w:b w:val="0"/>
                      <w:bCs w:val="0"/>
                      <w:color w:val="auto"/>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618"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废水</w:t>
                  </w:r>
                </w:p>
              </w:tc>
              <w:tc>
                <w:tcPr>
                  <w:tcW w:w="641"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生活污水</w:t>
                  </w:r>
                </w:p>
              </w:tc>
              <w:tc>
                <w:tcPr>
                  <w:tcW w:w="492" w:type="dxa"/>
                  <w:tcBorders>
                    <w:right w:val="single" w:color="auto" w:sz="12" w:space="0"/>
                  </w:tcBorders>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食堂废水</w:t>
                  </w:r>
                </w:p>
              </w:tc>
              <w:tc>
                <w:tcPr>
                  <w:tcW w:w="896" w:type="dxa"/>
                  <w:tcBorders>
                    <w:left w:val="single" w:color="auto" w:sz="12" w:space="0"/>
                  </w:tcBorders>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SS，COD</w:t>
                  </w:r>
                </w:p>
                <w:p>
                  <w:pPr>
                    <w:pStyle w:val="26"/>
                    <w:keepNext w:val="0"/>
                    <w:keepLines w:val="0"/>
                    <w:suppressLineNumbers w:val="0"/>
                    <w:spacing w:before="0" w:beforeAutospacing="0" w:after="0" w:afterAutospacing="0"/>
                    <w:ind w:left="0" w:right="0"/>
                    <w:rPr>
                      <w:b w:val="0"/>
                      <w:bCs w:val="0"/>
                      <w:color w:val="auto"/>
                    </w:rPr>
                  </w:pPr>
                  <w:r>
                    <w:rPr>
                      <w:b w:val="0"/>
                      <w:bCs w:val="0"/>
                      <w:color w:val="auto"/>
                    </w:rPr>
                    <w:t>BOD</w:t>
                  </w:r>
                  <w:r>
                    <w:rPr>
                      <w:b w:val="0"/>
                      <w:bCs w:val="0"/>
                      <w:color w:val="auto"/>
                      <w:vertAlign w:val="subscript"/>
                    </w:rPr>
                    <w:t>5</w:t>
                  </w:r>
                  <w:r>
                    <w:rPr>
                      <w:b w:val="0"/>
                      <w:bCs w:val="0"/>
                      <w:color w:val="auto"/>
                    </w:rPr>
                    <w:t xml:space="preserve"> NH</w:t>
                  </w:r>
                  <w:r>
                    <w:rPr>
                      <w:b w:val="0"/>
                      <w:bCs w:val="0"/>
                      <w:color w:val="auto"/>
                      <w:vertAlign w:val="subscript"/>
                    </w:rPr>
                    <w:t>3</w:t>
                  </w:r>
                  <w:r>
                    <w:rPr>
                      <w:b w:val="0"/>
                      <w:bCs w:val="0"/>
                      <w:color w:val="auto"/>
                    </w:rPr>
                    <w:t>-N</w:t>
                  </w:r>
                </w:p>
              </w:tc>
              <w:tc>
                <w:tcPr>
                  <w:tcW w:w="2572"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设置1个隔油池（3m</w:t>
                  </w:r>
                  <w:r>
                    <w:rPr>
                      <w:rFonts w:hint="eastAsia"/>
                      <w:b w:val="0"/>
                      <w:bCs w:val="0"/>
                      <w:color w:val="auto"/>
                      <w:vertAlign w:val="superscript"/>
                    </w:rPr>
                    <w:t>3</w:t>
                  </w:r>
                  <w:r>
                    <w:rPr>
                      <w:rFonts w:hint="eastAsia"/>
                      <w:b w:val="0"/>
                      <w:bCs w:val="0"/>
                      <w:color w:val="auto"/>
                    </w:rPr>
                    <w:t>）、1个1#化粪池（12 m</w:t>
                  </w:r>
                  <w:r>
                    <w:rPr>
                      <w:rFonts w:hint="eastAsia"/>
                      <w:b w:val="0"/>
                      <w:bCs w:val="0"/>
                      <w:color w:val="auto"/>
                      <w:vertAlign w:val="superscript"/>
                    </w:rPr>
                    <w:t>3</w:t>
                  </w:r>
                  <w:r>
                    <w:rPr>
                      <w:rFonts w:hint="eastAsia"/>
                      <w:b w:val="0"/>
                      <w:bCs w:val="0"/>
                      <w:color w:val="auto"/>
                    </w:rPr>
                    <w:t>）处理后排入园区污水管网</w:t>
                  </w:r>
                </w:p>
              </w:tc>
              <w:tc>
                <w:tcPr>
                  <w:tcW w:w="3077"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617"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640"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492" w:type="dxa"/>
                  <w:tcBorders>
                    <w:right w:val="single" w:color="auto" w:sz="12" w:space="0"/>
                  </w:tcBorders>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日常生活污水</w:t>
                  </w:r>
                </w:p>
              </w:tc>
              <w:tc>
                <w:tcPr>
                  <w:tcW w:w="905" w:type="dxa"/>
                  <w:tcBorders>
                    <w:left w:val="single" w:color="auto" w:sz="12" w:space="0"/>
                  </w:tcBorders>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SS，COD</w:t>
                  </w:r>
                </w:p>
                <w:p>
                  <w:pPr>
                    <w:pStyle w:val="26"/>
                    <w:keepNext w:val="0"/>
                    <w:keepLines w:val="0"/>
                    <w:suppressLineNumbers w:val="0"/>
                    <w:spacing w:before="0" w:beforeAutospacing="0" w:after="0" w:afterAutospacing="0"/>
                    <w:ind w:left="0" w:right="0"/>
                    <w:rPr>
                      <w:b w:val="0"/>
                      <w:bCs w:val="0"/>
                      <w:color w:val="auto"/>
                    </w:rPr>
                  </w:pPr>
                  <w:r>
                    <w:rPr>
                      <w:b w:val="0"/>
                      <w:bCs w:val="0"/>
                      <w:color w:val="auto"/>
                    </w:rPr>
                    <w:t>BOD</w:t>
                  </w:r>
                  <w:r>
                    <w:rPr>
                      <w:b w:val="0"/>
                      <w:bCs w:val="0"/>
                      <w:color w:val="auto"/>
                      <w:vertAlign w:val="subscript"/>
                    </w:rPr>
                    <w:t>5</w:t>
                  </w:r>
                  <w:r>
                    <w:rPr>
                      <w:b w:val="0"/>
                      <w:bCs w:val="0"/>
                      <w:color w:val="auto"/>
                    </w:rPr>
                    <w:t xml:space="preserve"> NH</w:t>
                  </w:r>
                  <w:r>
                    <w:rPr>
                      <w:b w:val="0"/>
                      <w:bCs w:val="0"/>
                      <w:color w:val="auto"/>
                      <w:vertAlign w:val="subscript"/>
                    </w:rPr>
                    <w:t>3</w:t>
                  </w:r>
                  <w:r>
                    <w:rPr>
                      <w:b w:val="0"/>
                      <w:bCs w:val="0"/>
                      <w:color w:val="auto"/>
                    </w:rPr>
                    <w:t>-N、</w:t>
                  </w:r>
                  <w:r>
                    <w:rPr>
                      <w:rFonts w:hint="eastAsia"/>
                      <w:b w:val="0"/>
                      <w:bCs w:val="0"/>
                      <w:color w:val="auto"/>
                    </w:rPr>
                    <w:t>动植物油</w:t>
                  </w:r>
                </w:p>
              </w:tc>
              <w:tc>
                <w:tcPr>
                  <w:tcW w:w="2569"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1个2#化粪池（12 m</w:t>
                  </w:r>
                  <w:r>
                    <w:rPr>
                      <w:rFonts w:hint="eastAsia"/>
                      <w:b w:val="0"/>
                      <w:bCs w:val="0"/>
                      <w:color w:val="auto"/>
                      <w:vertAlign w:val="superscript"/>
                    </w:rPr>
                    <w:t>3</w:t>
                  </w:r>
                  <w:r>
                    <w:rPr>
                      <w:rFonts w:hint="eastAsia"/>
                      <w:b w:val="0"/>
                      <w:bCs w:val="0"/>
                      <w:color w:val="auto"/>
                    </w:rPr>
                    <w:t>）处理后排入园区污水管网</w:t>
                  </w:r>
                </w:p>
              </w:tc>
              <w:tc>
                <w:tcPr>
                  <w:tcW w:w="3073"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617"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640" w:type="dxa"/>
                  <w:vMerge w:val="restart"/>
                  <w:noWrap/>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生产废水</w:t>
                  </w:r>
                </w:p>
              </w:tc>
              <w:tc>
                <w:tcPr>
                  <w:tcW w:w="492" w:type="dxa"/>
                  <w:tcBorders>
                    <w:right w:val="single" w:color="auto" w:sz="12" w:space="0"/>
                  </w:tcBorders>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冷却废水</w:t>
                  </w:r>
                </w:p>
              </w:tc>
              <w:tc>
                <w:tcPr>
                  <w:tcW w:w="905" w:type="dxa"/>
                  <w:tcBorders>
                    <w:left w:val="single" w:color="auto" w:sz="12" w:space="0"/>
                  </w:tcBorders>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SS</w:t>
                  </w:r>
                </w:p>
              </w:tc>
              <w:tc>
                <w:tcPr>
                  <w:tcW w:w="2569"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进入各冲床下部钢结构的废水收集池（4m</w:t>
                  </w:r>
                  <w:r>
                    <w:rPr>
                      <w:rFonts w:hint="eastAsia"/>
                      <w:b w:val="0"/>
                      <w:bCs w:val="0"/>
                      <w:color w:val="auto"/>
                      <w:vertAlign w:val="superscript"/>
                    </w:rPr>
                    <w:t>3</w:t>
                  </w:r>
                  <w:r>
                    <w:rPr>
                      <w:rFonts w:hint="eastAsia"/>
                      <w:b w:val="0"/>
                      <w:bCs w:val="0"/>
                      <w:color w:val="auto"/>
                    </w:rPr>
                    <w:t>），本项目共设置6各。经滤网过滤后回用。</w:t>
                  </w:r>
                </w:p>
              </w:tc>
              <w:tc>
                <w:tcPr>
                  <w:tcW w:w="3073"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617"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640"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492" w:type="dxa"/>
                  <w:tcBorders>
                    <w:right w:val="single" w:color="auto" w:sz="12" w:space="0"/>
                  </w:tcBorders>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涂料废液</w:t>
                  </w:r>
                </w:p>
              </w:tc>
              <w:tc>
                <w:tcPr>
                  <w:tcW w:w="905" w:type="dxa"/>
                  <w:tcBorders>
                    <w:left w:val="single" w:color="auto" w:sz="12" w:space="0"/>
                  </w:tcBorders>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涂料</w:t>
                  </w:r>
                </w:p>
              </w:tc>
              <w:tc>
                <w:tcPr>
                  <w:tcW w:w="2569"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涂料废液随各喷漆房地面（钢板）的孔进入涂料回收池（60 m</w:t>
                  </w:r>
                  <w:r>
                    <w:rPr>
                      <w:rFonts w:hint="eastAsia"/>
                      <w:b w:val="0"/>
                      <w:bCs w:val="0"/>
                      <w:color w:val="auto"/>
                      <w:vertAlign w:val="superscript"/>
                    </w:rPr>
                    <w:t>3</w:t>
                  </w:r>
                  <w:r>
                    <w:rPr>
                      <w:rFonts w:hint="eastAsia"/>
                      <w:b w:val="0"/>
                      <w:bCs w:val="0"/>
                      <w:color w:val="auto"/>
                    </w:rPr>
                    <w:t>），本项目共设置2个，产生的废液暂存后回用于原环节。</w:t>
                  </w:r>
                </w:p>
              </w:tc>
              <w:tc>
                <w:tcPr>
                  <w:tcW w:w="3073"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617"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噪声</w:t>
                  </w:r>
                </w:p>
              </w:tc>
              <w:tc>
                <w:tcPr>
                  <w:tcW w:w="640"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各车间</w:t>
                  </w:r>
                </w:p>
              </w:tc>
              <w:tc>
                <w:tcPr>
                  <w:tcW w:w="492" w:type="dxa"/>
                  <w:tcBorders>
                    <w:right w:val="single" w:color="auto" w:sz="12" w:space="0"/>
                  </w:tcBorders>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设备噪声</w:t>
                  </w:r>
                </w:p>
              </w:tc>
              <w:tc>
                <w:tcPr>
                  <w:tcW w:w="905" w:type="dxa"/>
                  <w:tcBorders>
                    <w:left w:val="single" w:color="auto" w:sz="12" w:space="0"/>
                  </w:tcBorders>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w:t>
                  </w:r>
                </w:p>
              </w:tc>
              <w:tc>
                <w:tcPr>
                  <w:tcW w:w="2569"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产噪设备合理布局，设备基础减震、距离衰减。定期检查，维修设备，使设备处于良好的运行状态</w:t>
                  </w:r>
                </w:p>
              </w:tc>
              <w:tc>
                <w:tcPr>
                  <w:tcW w:w="3073"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经车间围墙的阻隔和距离衰减后，</w:t>
                  </w:r>
                  <w:r>
                    <w:rPr>
                      <w:rFonts w:hint="eastAsia"/>
                      <w:b w:val="0"/>
                      <w:bCs w:val="0"/>
                      <w:color w:val="auto"/>
                    </w:rPr>
                    <w:t>达到</w:t>
                  </w:r>
                  <w:r>
                    <w:rPr>
                      <w:b w:val="0"/>
                      <w:bCs w:val="0"/>
                      <w:color w:val="auto"/>
                    </w:rPr>
                    <w:t>《工业企业厂界环境噪声排放标准》（GB12348-2008）3、4</w:t>
                  </w:r>
                  <w:r>
                    <w:rPr>
                      <w:rFonts w:hint="eastAsia"/>
                      <w:b w:val="0"/>
                      <w:bCs w:val="0"/>
                      <w:color w:val="auto"/>
                    </w:rPr>
                    <w:t>a</w:t>
                  </w:r>
                  <w:r>
                    <w:rPr>
                      <w:b w:val="0"/>
                      <w:bCs w:val="0"/>
                      <w:color w:val="auto"/>
                    </w:rPr>
                    <w:t>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17"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p>
                <w:p>
                  <w:pPr>
                    <w:pStyle w:val="26"/>
                    <w:keepNext w:val="0"/>
                    <w:keepLines w:val="0"/>
                    <w:suppressLineNumbers w:val="0"/>
                    <w:spacing w:before="0" w:beforeAutospacing="0" w:after="0" w:afterAutospacing="0"/>
                    <w:ind w:left="0" w:right="0"/>
                    <w:rPr>
                      <w:b w:val="0"/>
                      <w:bCs w:val="0"/>
                      <w:color w:val="auto"/>
                    </w:rPr>
                  </w:pPr>
                  <w:r>
                    <w:rPr>
                      <w:b w:val="0"/>
                      <w:bCs w:val="0"/>
                      <w:color w:val="auto"/>
                    </w:rPr>
                    <w:t>固废</w:t>
                  </w:r>
                </w:p>
              </w:tc>
              <w:tc>
                <w:tcPr>
                  <w:tcW w:w="640"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生产</w:t>
                  </w:r>
                </w:p>
                <w:p>
                  <w:pPr>
                    <w:pStyle w:val="26"/>
                    <w:keepNext w:val="0"/>
                    <w:keepLines w:val="0"/>
                    <w:suppressLineNumbers w:val="0"/>
                    <w:spacing w:before="0" w:beforeAutospacing="0" w:after="0" w:afterAutospacing="0"/>
                    <w:ind w:left="0" w:right="0"/>
                    <w:rPr>
                      <w:b w:val="0"/>
                      <w:bCs w:val="0"/>
                      <w:color w:val="auto"/>
                    </w:rPr>
                  </w:pPr>
                  <w:r>
                    <w:rPr>
                      <w:b w:val="0"/>
                      <w:bCs w:val="0"/>
                      <w:color w:val="auto"/>
                    </w:rPr>
                    <w:t>生活</w:t>
                  </w:r>
                </w:p>
              </w:tc>
              <w:tc>
                <w:tcPr>
                  <w:tcW w:w="1397"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一般工业固废</w:t>
                  </w:r>
                </w:p>
              </w:tc>
              <w:tc>
                <w:tcPr>
                  <w:tcW w:w="2569"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收集后外售</w:t>
                  </w:r>
                </w:p>
              </w:tc>
              <w:tc>
                <w:tcPr>
                  <w:tcW w:w="3073" w:type="dxa"/>
                  <w:vMerge w:val="restart"/>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处置率100%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17"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640"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397"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生活垃圾</w:t>
                  </w:r>
                </w:p>
              </w:tc>
              <w:tc>
                <w:tcPr>
                  <w:tcW w:w="2569" w:type="dxa"/>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生活垃圾收集桶收集后交环卫部门进行处理</w:t>
                  </w:r>
                </w:p>
              </w:tc>
              <w:tc>
                <w:tcPr>
                  <w:tcW w:w="3073"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3" w:hRule="atLeast"/>
                <w:jc w:val="center"/>
              </w:trPr>
              <w:tc>
                <w:tcPr>
                  <w:tcW w:w="617"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640"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c>
                <w:tcPr>
                  <w:tcW w:w="1397" w:type="dxa"/>
                  <w:gridSpan w:val="2"/>
                  <w:noWrap/>
                  <w:vAlign w:val="center"/>
                </w:tcPr>
                <w:p>
                  <w:pPr>
                    <w:pStyle w:val="26"/>
                    <w:keepNext w:val="0"/>
                    <w:keepLines w:val="0"/>
                    <w:suppressLineNumbers w:val="0"/>
                    <w:spacing w:before="0" w:beforeAutospacing="0" w:after="0" w:afterAutospacing="0"/>
                    <w:ind w:left="0" w:right="0"/>
                    <w:rPr>
                      <w:b w:val="0"/>
                      <w:bCs w:val="0"/>
                      <w:color w:val="auto"/>
                    </w:rPr>
                  </w:pPr>
                  <w:r>
                    <w:rPr>
                      <w:rFonts w:hint="eastAsia"/>
                      <w:b w:val="0"/>
                      <w:bCs w:val="0"/>
                      <w:color w:val="auto"/>
                    </w:rPr>
                    <w:t>危废</w:t>
                  </w:r>
                </w:p>
              </w:tc>
              <w:tc>
                <w:tcPr>
                  <w:tcW w:w="2569"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设危废暂存间</w:t>
                  </w:r>
                  <w:r>
                    <w:rPr>
                      <w:rFonts w:hint="eastAsia"/>
                      <w:b w:val="0"/>
                      <w:bCs w:val="0"/>
                      <w:color w:val="auto"/>
                    </w:rPr>
                    <w:t>8m</w:t>
                  </w:r>
                  <w:r>
                    <w:rPr>
                      <w:rFonts w:hint="eastAsia"/>
                      <w:b w:val="0"/>
                      <w:bCs w:val="0"/>
                      <w:color w:val="auto"/>
                      <w:vertAlign w:val="superscript"/>
                    </w:rPr>
                    <w:t>2</w:t>
                  </w:r>
                  <w:r>
                    <w:rPr>
                      <w:b w:val="0"/>
                      <w:bCs w:val="0"/>
                      <w:color w:val="auto"/>
                    </w:rPr>
                    <w:t>，进行防渗处理</w:t>
                  </w:r>
                  <w:r>
                    <w:rPr>
                      <w:rFonts w:hint="eastAsia"/>
                      <w:b w:val="0"/>
                      <w:bCs w:val="0"/>
                      <w:color w:val="auto"/>
                    </w:rPr>
                    <w:t>（防渗系数10×10-7cm/s）</w:t>
                  </w:r>
                  <w:r>
                    <w:rPr>
                      <w:b w:val="0"/>
                      <w:bCs w:val="0"/>
                      <w:color w:val="auto"/>
                    </w:rPr>
                    <w:t>，暂存间内分区，不相容的危险废物必须分开存放，暂存间设标识标牌；废</w:t>
                  </w:r>
                  <w:r>
                    <w:rPr>
                      <w:rFonts w:hint="eastAsia"/>
                      <w:b w:val="0"/>
                      <w:bCs w:val="0"/>
                      <w:color w:val="auto"/>
                    </w:rPr>
                    <w:t>机</w:t>
                  </w:r>
                  <w:r>
                    <w:rPr>
                      <w:b w:val="0"/>
                      <w:bCs w:val="0"/>
                      <w:color w:val="auto"/>
                    </w:rPr>
                    <w:t>油、废</w:t>
                  </w:r>
                  <w:r>
                    <w:rPr>
                      <w:rFonts w:hint="eastAsia"/>
                      <w:b w:val="0"/>
                      <w:bCs w:val="0"/>
                      <w:color w:val="auto"/>
                    </w:rPr>
                    <w:t>过滤棉+活性炭</w:t>
                  </w:r>
                  <w:r>
                    <w:rPr>
                      <w:b w:val="0"/>
                      <w:bCs w:val="0"/>
                      <w:color w:val="auto"/>
                    </w:rPr>
                    <w:t>需分别收集盛装于危险废物收集容器内，废原料桶无法装入常用容器，可用防胶袋盛装，容器设标识标签</w:t>
                  </w:r>
                </w:p>
              </w:tc>
              <w:tc>
                <w:tcPr>
                  <w:tcW w:w="3073" w:type="dxa"/>
                  <w:vMerge w:val="continue"/>
                  <w:noWrap/>
                  <w:vAlign w:val="center"/>
                </w:tcPr>
                <w:p>
                  <w:pPr>
                    <w:pStyle w:val="26"/>
                    <w:keepNext w:val="0"/>
                    <w:keepLines w:val="0"/>
                    <w:suppressLineNumbers w:val="0"/>
                    <w:spacing w:before="0" w:beforeAutospacing="0" w:after="0" w:afterAutospacing="0"/>
                    <w:ind w:left="0" w:right="0"/>
                    <w:rPr>
                      <w:b w:val="0"/>
                      <w:bCs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617" w:type="dxa"/>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环境管理</w:t>
                  </w:r>
                </w:p>
              </w:tc>
              <w:tc>
                <w:tcPr>
                  <w:tcW w:w="7679" w:type="dxa"/>
                  <w:gridSpan w:val="5"/>
                  <w:noWrap/>
                  <w:vAlign w:val="center"/>
                </w:tcPr>
                <w:p>
                  <w:pPr>
                    <w:pStyle w:val="26"/>
                    <w:keepNext w:val="0"/>
                    <w:keepLines w:val="0"/>
                    <w:suppressLineNumbers w:val="0"/>
                    <w:spacing w:before="0" w:beforeAutospacing="0" w:after="0" w:afterAutospacing="0"/>
                    <w:ind w:left="0" w:right="0"/>
                    <w:rPr>
                      <w:b w:val="0"/>
                      <w:bCs w:val="0"/>
                      <w:color w:val="auto"/>
                    </w:rPr>
                  </w:pPr>
                  <w:r>
                    <w:rPr>
                      <w:b w:val="0"/>
                      <w:bCs w:val="0"/>
                      <w:color w:val="auto"/>
                    </w:rPr>
                    <w:t>1、加强生产管理和设备设施的日常维护及监控工作，保证污水处理设施正常运行。</w:t>
                  </w:r>
                </w:p>
                <w:p>
                  <w:pPr>
                    <w:pStyle w:val="26"/>
                    <w:keepNext w:val="0"/>
                    <w:keepLines w:val="0"/>
                    <w:suppressLineNumbers w:val="0"/>
                    <w:spacing w:before="0" w:beforeAutospacing="0" w:after="0" w:afterAutospacing="0"/>
                    <w:ind w:left="0" w:right="0"/>
                    <w:rPr>
                      <w:b w:val="0"/>
                      <w:bCs w:val="0"/>
                      <w:color w:val="auto"/>
                    </w:rPr>
                  </w:pPr>
                  <w:r>
                    <w:rPr>
                      <w:b w:val="0"/>
                      <w:bCs w:val="0"/>
                      <w:color w:val="auto"/>
                    </w:rPr>
                    <w:t>2、加强环保设施的维护检修，保障环保设施的处理效率。</w:t>
                  </w:r>
                </w:p>
                <w:p>
                  <w:pPr>
                    <w:pStyle w:val="26"/>
                    <w:keepNext w:val="0"/>
                    <w:keepLines w:val="0"/>
                    <w:suppressLineNumbers w:val="0"/>
                    <w:spacing w:before="0" w:beforeAutospacing="0" w:after="0" w:afterAutospacing="0"/>
                    <w:ind w:left="0" w:right="0"/>
                    <w:rPr>
                      <w:b w:val="0"/>
                      <w:bCs w:val="0"/>
                      <w:color w:val="auto"/>
                    </w:rPr>
                  </w:pPr>
                  <w:r>
                    <w:rPr>
                      <w:b w:val="0"/>
                      <w:bCs w:val="0"/>
                      <w:color w:val="auto"/>
                    </w:rPr>
                    <w:t>3、建立、健全生产环保规章制度。</w:t>
                  </w:r>
                </w:p>
                <w:p>
                  <w:pPr>
                    <w:pStyle w:val="26"/>
                    <w:keepNext w:val="0"/>
                    <w:keepLines w:val="0"/>
                    <w:suppressLineNumbers w:val="0"/>
                    <w:spacing w:before="0" w:beforeAutospacing="0" w:after="0" w:afterAutospacing="0"/>
                    <w:ind w:left="0" w:right="0"/>
                    <w:rPr>
                      <w:b w:val="0"/>
                      <w:bCs w:val="0"/>
                      <w:color w:val="auto"/>
                    </w:rPr>
                  </w:pPr>
                  <w:r>
                    <w:rPr>
                      <w:b w:val="0"/>
                      <w:bCs w:val="0"/>
                      <w:color w:val="auto"/>
                    </w:rPr>
                    <w:t>4、严格在岗人员操作管理。</w:t>
                  </w:r>
                </w:p>
              </w:tc>
            </w:tr>
          </w:tbl>
          <w:p>
            <w:pPr>
              <w:keepNext w:val="0"/>
              <w:keepLines w:val="0"/>
              <w:suppressLineNumbers w:val="0"/>
              <w:adjustRightInd w:val="0"/>
              <w:snapToGrid w:val="0"/>
              <w:spacing w:before="240" w:beforeAutospacing="0" w:after="0" w:afterAutospacing="0"/>
              <w:ind w:left="0" w:right="0" w:firstLine="475" w:firstLineChars="197"/>
              <w:jc w:val="both"/>
              <w:rPr>
                <w:b/>
              </w:rPr>
            </w:pPr>
            <w:r>
              <w:rPr>
                <w:rFonts w:hint="eastAsia"/>
                <w:b/>
              </w:rPr>
              <w:t>十</w:t>
            </w:r>
            <w:r>
              <w:rPr>
                <w:b/>
              </w:rPr>
              <w:t>、</w:t>
            </w:r>
            <w:r>
              <w:rPr>
                <w:rFonts w:hint="eastAsia"/>
                <w:b/>
              </w:rPr>
              <w:t>项目排污许可</w:t>
            </w:r>
          </w:p>
          <w:p>
            <w:pPr>
              <w:keepNext w:val="0"/>
              <w:keepLines w:val="0"/>
              <w:suppressLineNumbers w:val="0"/>
              <w:spacing w:before="0" w:beforeAutospacing="0" w:after="0" w:afterAutospacing="0" w:line="460" w:lineRule="exact"/>
              <w:ind w:left="0" w:right="0" w:firstLine="480"/>
            </w:pPr>
            <w:r>
              <w:rPr>
                <w:rFonts w:hint="eastAsia"/>
              </w:rPr>
              <w:t>1、排污许可相关要求</w:t>
            </w:r>
          </w:p>
          <w:p>
            <w:pPr>
              <w:keepNext w:val="0"/>
              <w:keepLines w:val="0"/>
              <w:suppressLineNumbers w:val="0"/>
              <w:spacing w:before="0" w:beforeAutospacing="0" w:after="0" w:afterAutospacing="0"/>
              <w:ind w:left="0" w:right="0" w:firstLine="480"/>
              <w:rPr>
                <w:szCs w:val="21"/>
              </w:rPr>
            </w:pPr>
            <w:r>
              <w:rPr>
                <w:rFonts w:hint="eastAsia"/>
                <w:szCs w:val="21"/>
              </w:rPr>
              <w:t>根据《排污许可管理办法（试行）》（环境保护部令第48号令，2019年8月22日生态环境部令第7号令修改），本项目应在投入生产并产生实际排污行为之前申请领取排污许可证。建设单位应按照环境保护部制定的排污许可证申请与核发技术规范，包括《排污许可证申请与核发技术规范 总则》</w:t>
            </w:r>
            <w:r>
              <w:rPr>
                <w:szCs w:val="21"/>
              </w:rPr>
              <w:t>(HJ942-2018)</w:t>
            </w:r>
            <w:r>
              <w:rPr>
                <w:rFonts w:hint="eastAsia"/>
                <w:szCs w:val="21"/>
              </w:rPr>
              <w:t>、《在全国排污许可证管理信息平台申报系统填报《排污许可证申请表》中的相关信息表，提交排污许可申请。</w:t>
            </w:r>
          </w:p>
          <w:p>
            <w:pPr>
              <w:keepNext w:val="0"/>
              <w:keepLines w:val="0"/>
              <w:suppressLineNumbers w:val="0"/>
              <w:spacing w:before="0" w:beforeAutospacing="0" w:after="0" w:afterAutospacing="0"/>
              <w:ind w:left="0" w:right="0" w:firstLine="480"/>
              <w:rPr>
                <w:szCs w:val="21"/>
              </w:rPr>
            </w:pPr>
            <w:r>
              <w:rPr>
                <w:rFonts w:hint="eastAsia"/>
                <w:szCs w:val="21"/>
              </w:rPr>
              <w:t>建设单位应当严格执行排污许可证的规定：</w:t>
            </w:r>
          </w:p>
          <w:p>
            <w:pPr>
              <w:keepNext w:val="0"/>
              <w:keepLines w:val="0"/>
              <w:suppressLineNumbers w:val="0"/>
              <w:spacing w:before="0" w:beforeAutospacing="0" w:after="0" w:afterAutospacing="0"/>
              <w:ind w:left="0" w:right="0" w:firstLine="480"/>
              <w:rPr>
                <w:szCs w:val="21"/>
              </w:rPr>
            </w:pPr>
            <w:r>
              <w:rPr>
                <w:rFonts w:hint="eastAsia"/>
                <w:szCs w:val="21"/>
              </w:rPr>
              <w:t>基本信息填报应包括：单位名称、是否需要整改、排污许可证管理类别、邮政编码、是否投产、投产日期、生产经营场所中心经纬度、所在地是否属于环境敏感区（如大气重点控制区域、总磷总氮控制区等）、所属工业园区名称、环境影响评价审批意见文号（备案编号）、地方政府对违规项目的认定或备案文件文号、主要污染物总量分配计划文件文号、颗粒物总量指标（t/a）、二氧化硫总量指标（t/a）、氮氧化物总量指标（t/a）、化学需氧量总量指标（t/a）、氨氮总量指标（t/a）、其他污染物总量指标（如有）等。</w:t>
            </w:r>
          </w:p>
          <w:p>
            <w:pPr>
              <w:keepNext w:val="0"/>
              <w:keepLines w:val="0"/>
              <w:suppressLineNumbers w:val="0"/>
              <w:spacing w:before="0" w:beforeAutospacing="0" w:after="0" w:afterAutospacing="0"/>
              <w:ind w:left="0" w:right="0" w:firstLine="480"/>
              <w:rPr>
                <w:szCs w:val="21"/>
              </w:rPr>
            </w:pPr>
            <w:r>
              <w:rPr>
                <w:rFonts w:hint="eastAsia"/>
                <w:szCs w:val="21"/>
              </w:rPr>
              <w:t>落实重污染天气应急管控措施、遵守法律规定的最新环境保护要求等；按排污许可证规定的监测点位、监测因子、监测频次和相关监测技术规范开展自行监测并公开；按规范进行台账记录，主要内容包括生产信息、燃料、原辅材料使用情况、污染防治设施运行记录、监测数据等；</w:t>
            </w:r>
          </w:p>
          <w:p>
            <w:pPr>
              <w:keepNext w:val="0"/>
              <w:keepLines w:val="0"/>
              <w:suppressLineNumbers w:val="0"/>
              <w:spacing w:before="0" w:beforeAutospacing="0" w:after="0" w:afterAutospacing="0"/>
              <w:ind w:left="0" w:right="0" w:firstLine="480"/>
              <w:rPr>
                <w:szCs w:val="21"/>
              </w:rPr>
            </w:pPr>
            <w:r>
              <w:rPr>
                <w:rFonts w:hint="eastAsia"/>
                <w:szCs w:val="21"/>
              </w:rPr>
              <w:t>按排污许可证规定，定期在全国排污许可证管理信息平台填报信息，编制排污许可证执行报告，及时报送有核发权的环境保护主管部门并公开，执行报告主要内容包括生产信息、污染防治设施运行情况、污染物按证排放情况等。</w:t>
            </w:r>
          </w:p>
          <w:p>
            <w:pPr>
              <w:keepNext w:val="0"/>
              <w:keepLines w:val="0"/>
              <w:suppressLineNumbers w:val="0"/>
              <w:spacing w:before="0" w:beforeAutospacing="0" w:after="0" w:afterAutospacing="0" w:line="460" w:lineRule="exact"/>
              <w:ind w:left="0" w:right="0" w:firstLine="480"/>
            </w:pPr>
            <w:r>
              <w:rPr>
                <w:rFonts w:hint="eastAsia"/>
              </w:rPr>
              <w:t>2、排污口规范化设置</w:t>
            </w:r>
          </w:p>
          <w:p>
            <w:pPr>
              <w:keepNext w:val="0"/>
              <w:keepLines w:val="0"/>
              <w:widowControl/>
              <w:suppressLineNumbers w:val="0"/>
              <w:spacing w:before="0" w:beforeAutospacing="0" w:after="0" w:afterAutospacing="0"/>
              <w:ind w:left="0" w:right="0" w:firstLine="480"/>
              <w:rPr>
                <w:rFonts w:ascii="宋体" w:hAnsi="宋体" w:cs="宋体"/>
                <w:kern w:val="0"/>
              </w:rPr>
            </w:pPr>
            <w:r>
              <w:rPr>
                <w:rFonts w:hint="eastAsia" w:ascii="宋体" w:hAnsi="宋体" w:cs="宋体"/>
                <w:kern w:val="0"/>
              </w:rPr>
              <w:t>废气排放口、噪声源必须按照国家有关规定进行建设，应符合“一明显、二合理、三便 于”的要求，即环保标志明显，排污口（接管口）设置合理，便于采集样品、便于监测计量、 便于监督管理。同时要求按照国家环保总局制定的《环境保护图形标志实施细则（试行）》 的规定，设置与排污口相应的图形标志牌。</w:t>
            </w:r>
          </w:p>
          <w:p>
            <w:pPr>
              <w:keepNext w:val="0"/>
              <w:keepLines w:val="0"/>
              <w:widowControl/>
              <w:suppressLineNumbers w:val="0"/>
              <w:spacing w:before="0" w:beforeAutospacing="0" w:after="0" w:afterAutospacing="0"/>
              <w:ind w:left="0" w:right="0" w:firstLine="360" w:firstLineChars="150"/>
              <w:rPr>
                <w:rFonts w:ascii="宋体" w:hAnsi="宋体" w:cs="宋体"/>
                <w:kern w:val="0"/>
              </w:rPr>
            </w:pPr>
            <w:r>
              <w:rPr>
                <w:rFonts w:hint="eastAsia" w:ascii="宋体" w:hAnsi="宋体" w:cs="宋体"/>
                <w:kern w:val="0"/>
              </w:rPr>
              <w:t>（</w:t>
            </w:r>
            <w:r>
              <w:rPr>
                <w:kern w:val="0"/>
              </w:rPr>
              <w:t>1</w:t>
            </w:r>
            <w:r>
              <w:rPr>
                <w:rFonts w:hint="eastAsia" w:ascii="宋体" w:hAnsi="宋体" w:cs="宋体"/>
                <w:kern w:val="0"/>
              </w:rPr>
              <w:t xml:space="preserve">）排污口管理 </w:t>
            </w:r>
          </w:p>
          <w:p>
            <w:pPr>
              <w:keepNext w:val="0"/>
              <w:keepLines w:val="0"/>
              <w:widowControl/>
              <w:suppressLineNumbers w:val="0"/>
              <w:spacing w:before="0" w:beforeAutospacing="0" w:after="0" w:afterAutospacing="0"/>
              <w:ind w:left="0" w:right="0" w:firstLine="480"/>
              <w:rPr>
                <w:rFonts w:ascii="宋体" w:hAnsi="宋体" w:cs="宋体"/>
                <w:kern w:val="0"/>
              </w:rPr>
            </w:pPr>
            <w:r>
              <w:rPr>
                <w:rFonts w:hint="eastAsia" w:ascii="宋体" w:hAnsi="宋体" w:cs="宋体"/>
                <w:kern w:val="0"/>
              </w:rPr>
              <w:t>建设单位应在各个排污口处树立标志牌，并如实填写《中华人民共和国规范化排污口标 记登记证》，由环保部门签发。环保主管部门和建设单位可分别按以下内容建立排污口管理 的专门档案：排污口性质和编号；位置；排放主要污染物种类、数量、浓度；排放去向；达 标情况；治理设施运行情况及整改意见。</w:t>
            </w:r>
          </w:p>
          <w:p>
            <w:pPr>
              <w:keepNext w:val="0"/>
              <w:keepLines w:val="0"/>
              <w:widowControl/>
              <w:suppressLineNumbers w:val="0"/>
              <w:spacing w:before="0" w:beforeAutospacing="0" w:after="0" w:afterAutospacing="0"/>
              <w:ind w:left="0" w:right="0" w:firstLine="360" w:firstLineChars="150"/>
              <w:rPr>
                <w:rFonts w:ascii="宋体" w:hAnsi="宋体" w:cs="宋体"/>
                <w:kern w:val="0"/>
              </w:rPr>
            </w:pPr>
            <w:r>
              <w:rPr>
                <w:rFonts w:hint="eastAsia" w:ascii="宋体" w:hAnsi="宋体" w:cs="宋体"/>
                <w:kern w:val="0"/>
              </w:rPr>
              <w:t>（</w:t>
            </w:r>
            <w:r>
              <w:rPr>
                <w:kern w:val="0"/>
              </w:rPr>
              <w:t>2</w:t>
            </w:r>
            <w:r>
              <w:rPr>
                <w:rFonts w:hint="eastAsia" w:ascii="宋体" w:hAnsi="宋体" w:cs="宋体"/>
                <w:kern w:val="0"/>
              </w:rPr>
              <w:t xml:space="preserve">）环境保护图形标志 </w:t>
            </w:r>
          </w:p>
          <w:p>
            <w:pPr>
              <w:keepNext w:val="0"/>
              <w:keepLines w:val="0"/>
              <w:widowControl/>
              <w:suppressLineNumbers w:val="0"/>
              <w:spacing w:before="0" w:beforeAutospacing="0" w:after="0" w:afterAutospacing="0"/>
              <w:ind w:left="0" w:right="0" w:firstLine="480"/>
              <w:rPr>
                <w:rFonts w:ascii="宋体" w:hAnsi="宋体" w:cs="宋体"/>
                <w:kern w:val="0"/>
              </w:rPr>
            </w:pPr>
            <w:r>
              <w:rPr>
                <w:rFonts w:hint="eastAsia" w:ascii="宋体" w:hAnsi="宋体" w:cs="宋体"/>
                <w:kern w:val="0"/>
              </w:rPr>
              <w:t xml:space="preserve">在项目区的废气排放口应设置环境保护图形标志，图形符号分为提示图形和警告图形符 号两种，分别按 </w:t>
            </w:r>
            <w:r>
              <w:rPr>
                <w:kern w:val="0"/>
              </w:rPr>
              <w:t>GB15562.1-1995</w:t>
            </w:r>
            <w:r>
              <w:rPr>
                <w:rFonts w:hint="eastAsia" w:ascii="宋体" w:hAnsi="宋体" w:cs="宋体"/>
                <w:kern w:val="0"/>
              </w:rPr>
              <w:t>、</w:t>
            </w:r>
            <w:r>
              <w:rPr>
                <w:kern w:val="0"/>
              </w:rPr>
              <w:t xml:space="preserve">GB15562.2-1995 </w:t>
            </w:r>
            <w:r>
              <w:rPr>
                <w:rFonts w:hint="eastAsia" w:ascii="宋体" w:hAnsi="宋体" w:cs="宋体"/>
                <w:kern w:val="0"/>
              </w:rPr>
              <w:t>执行。</w:t>
            </w:r>
          </w:p>
          <w:p>
            <w:pPr>
              <w:keepNext w:val="0"/>
              <w:keepLines w:val="0"/>
              <w:suppressLineNumbers w:val="0"/>
              <w:spacing w:before="0" w:beforeAutospacing="0" w:after="0" w:afterAutospacing="0"/>
              <w:ind w:left="0" w:right="0" w:firstLine="480"/>
            </w:pPr>
            <w:r>
              <w:rPr>
                <w:rFonts w:hint="eastAsia"/>
              </w:rPr>
              <w:t>3、污染物排放清单</w:t>
            </w:r>
          </w:p>
          <w:p>
            <w:pPr>
              <w:keepNext w:val="0"/>
              <w:keepLines w:val="0"/>
              <w:suppressLineNumbers w:val="0"/>
              <w:spacing w:before="0" w:beforeAutospacing="0" w:after="0" w:afterAutospacing="0" w:line="240" w:lineRule="auto"/>
              <w:ind w:left="0" w:right="0" w:firstLine="0" w:firstLineChars="0"/>
              <w:jc w:val="center"/>
              <w:rPr>
                <w:b/>
                <w:szCs w:val="21"/>
              </w:rPr>
            </w:pPr>
            <w:r>
              <w:rPr>
                <w:rFonts w:hint="eastAsia"/>
                <w:b/>
                <w:szCs w:val="21"/>
              </w:rPr>
              <w:t>表7-20 项目污染物排放清单</w:t>
            </w:r>
          </w:p>
          <w:tbl>
            <w:tblPr>
              <w:tblStyle w:val="18"/>
              <w:tblW w:w="4992"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290"/>
              <w:gridCol w:w="824"/>
              <w:gridCol w:w="885"/>
              <w:gridCol w:w="945"/>
              <w:gridCol w:w="1698"/>
              <w:gridCol w:w="1748"/>
              <w:gridCol w:w="601"/>
              <w:gridCol w:w="717"/>
              <w:gridCol w:w="5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713" w:type="pct"/>
                  <w:gridSpan w:val="2"/>
                  <w:vAlign w:val="center"/>
                </w:tcPr>
                <w:p>
                  <w:pPr>
                    <w:pStyle w:val="26"/>
                    <w:keepNext w:val="0"/>
                    <w:keepLines w:val="0"/>
                    <w:suppressLineNumbers w:val="0"/>
                    <w:spacing w:before="0" w:beforeAutospacing="0" w:after="0" w:afterAutospacing="0"/>
                    <w:ind w:left="0" w:right="0"/>
                    <w:rPr>
                      <w:color w:val="auto"/>
                      <w:sz w:val="18"/>
                      <w:szCs w:val="18"/>
                    </w:rPr>
                  </w:pPr>
                  <w:r>
                    <w:rPr>
                      <w:color w:val="auto"/>
                      <w:sz w:val="18"/>
                      <w:szCs w:val="18"/>
                    </w:rPr>
                    <w:t>污染源</w:t>
                  </w:r>
                </w:p>
              </w:tc>
              <w:tc>
                <w:tcPr>
                  <w:tcW w:w="555" w:type="pct"/>
                  <w:vAlign w:val="center"/>
                </w:tcPr>
                <w:p>
                  <w:pPr>
                    <w:pStyle w:val="26"/>
                    <w:keepNext w:val="0"/>
                    <w:keepLines w:val="0"/>
                    <w:suppressLineNumbers w:val="0"/>
                    <w:spacing w:before="0" w:beforeAutospacing="0" w:after="0" w:afterAutospacing="0"/>
                    <w:ind w:left="0" w:right="0"/>
                    <w:rPr>
                      <w:color w:val="auto"/>
                      <w:sz w:val="18"/>
                      <w:szCs w:val="18"/>
                    </w:rPr>
                  </w:pPr>
                  <w:r>
                    <w:rPr>
                      <w:color w:val="auto"/>
                      <w:sz w:val="18"/>
                      <w:szCs w:val="18"/>
                    </w:rPr>
                    <w:t>污染物</w:t>
                  </w:r>
                </w:p>
                <w:p>
                  <w:pPr>
                    <w:pStyle w:val="26"/>
                    <w:keepNext w:val="0"/>
                    <w:keepLines w:val="0"/>
                    <w:suppressLineNumbers w:val="0"/>
                    <w:spacing w:before="0" w:beforeAutospacing="0" w:after="0" w:afterAutospacing="0"/>
                    <w:ind w:left="0" w:right="0"/>
                    <w:rPr>
                      <w:color w:val="auto"/>
                      <w:sz w:val="18"/>
                      <w:szCs w:val="18"/>
                    </w:rPr>
                  </w:pPr>
                  <w:r>
                    <w:rPr>
                      <w:color w:val="auto"/>
                      <w:sz w:val="18"/>
                      <w:szCs w:val="18"/>
                    </w:rPr>
                    <w:t>名称</w:t>
                  </w:r>
                </w:p>
              </w:tc>
              <w:tc>
                <w:tcPr>
                  <w:tcW w:w="591" w:type="pct"/>
                  <w:vAlign w:val="center"/>
                </w:tcPr>
                <w:p>
                  <w:pPr>
                    <w:pStyle w:val="26"/>
                    <w:keepNext w:val="0"/>
                    <w:keepLines w:val="0"/>
                    <w:suppressLineNumbers w:val="0"/>
                    <w:spacing w:before="0" w:beforeAutospacing="0" w:after="0" w:afterAutospacing="0"/>
                    <w:ind w:left="0" w:right="0"/>
                    <w:rPr>
                      <w:color w:val="auto"/>
                      <w:sz w:val="18"/>
                      <w:szCs w:val="18"/>
                    </w:rPr>
                  </w:pPr>
                  <w:r>
                    <w:rPr>
                      <w:color w:val="auto"/>
                      <w:sz w:val="18"/>
                      <w:szCs w:val="18"/>
                    </w:rPr>
                    <w:t>排放量</w:t>
                  </w:r>
                </w:p>
              </w:tc>
              <w:tc>
                <w:tcPr>
                  <w:tcW w:w="1047" w:type="pct"/>
                  <w:vAlign w:val="center"/>
                </w:tcPr>
                <w:p>
                  <w:pPr>
                    <w:pStyle w:val="26"/>
                    <w:keepNext w:val="0"/>
                    <w:keepLines w:val="0"/>
                    <w:suppressLineNumbers w:val="0"/>
                    <w:spacing w:before="0" w:beforeAutospacing="0" w:after="0" w:afterAutospacing="0"/>
                    <w:ind w:left="0" w:right="0"/>
                    <w:rPr>
                      <w:color w:val="auto"/>
                      <w:sz w:val="18"/>
                      <w:szCs w:val="18"/>
                    </w:rPr>
                  </w:pPr>
                  <w:r>
                    <w:rPr>
                      <w:color w:val="auto"/>
                      <w:sz w:val="18"/>
                      <w:szCs w:val="18"/>
                    </w:rPr>
                    <w:t>处置措施</w:t>
                  </w:r>
                </w:p>
              </w:tc>
              <w:tc>
                <w:tcPr>
                  <w:tcW w:w="1077" w:type="pct"/>
                  <w:vAlign w:val="center"/>
                </w:tcPr>
                <w:p>
                  <w:pPr>
                    <w:pStyle w:val="26"/>
                    <w:keepNext w:val="0"/>
                    <w:keepLines w:val="0"/>
                    <w:suppressLineNumbers w:val="0"/>
                    <w:spacing w:before="0" w:beforeAutospacing="0" w:after="0" w:afterAutospacing="0"/>
                    <w:ind w:left="0" w:right="0"/>
                    <w:rPr>
                      <w:color w:val="auto"/>
                      <w:sz w:val="18"/>
                      <w:szCs w:val="18"/>
                    </w:rPr>
                  </w:pPr>
                  <w:r>
                    <w:rPr>
                      <w:color w:val="auto"/>
                      <w:sz w:val="18"/>
                      <w:szCs w:val="18"/>
                    </w:rPr>
                    <w:t>执行标准</w:t>
                  </w:r>
                </w:p>
              </w:tc>
              <w:tc>
                <w:tcPr>
                  <w:tcW w:w="383" w:type="pct"/>
                  <w:vAlign w:val="center"/>
                </w:tcPr>
                <w:p>
                  <w:pPr>
                    <w:pStyle w:val="26"/>
                    <w:keepNext w:val="0"/>
                    <w:keepLines w:val="0"/>
                    <w:suppressLineNumbers w:val="0"/>
                    <w:spacing w:before="0" w:beforeAutospacing="0" w:after="0" w:afterAutospacing="0"/>
                    <w:ind w:left="0" w:right="0"/>
                    <w:rPr>
                      <w:color w:val="auto"/>
                      <w:sz w:val="18"/>
                      <w:szCs w:val="18"/>
                    </w:rPr>
                  </w:pPr>
                  <w:r>
                    <w:rPr>
                      <w:color w:val="auto"/>
                      <w:sz w:val="18"/>
                      <w:szCs w:val="18"/>
                    </w:rPr>
                    <w:t>达标情况</w:t>
                  </w:r>
                </w:p>
              </w:tc>
              <w:tc>
                <w:tcPr>
                  <w:tcW w:w="279" w:type="pct"/>
                  <w:vAlign w:val="center"/>
                </w:tcPr>
                <w:p>
                  <w:pPr>
                    <w:pStyle w:val="26"/>
                    <w:keepNext w:val="0"/>
                    <w:keepLines w:val="0"/>
                    <w:suppressLineNumbers w:val="0"/>
                    <w:spacing w:before="0" w:beforeAutospacing="0" w:after="0" w:afterAutospacing="0"/>
                    <w:ind w:left="0" w:right="0" w:firstLine="480"/>
                    <w:rPr>
                      <w:color w:val="auto"/>
                      <w:sz w:val="18"/>
                      <w:szCs w:val="18"/>
                    </w:rPr>
                  </w:pPr>
                  <w:r>
                    <w:rPr>
                      <w:color w:val="auto"/>
                      <w:sz w:val="18"/>
                      <w:szCs w:val="18"/>
                    </w:rPr>
                    <w:t>排污口设置</w:t>
                  </w:r>
                </w:p>
              </w:tc>
              <w:tc>
                <w:tcPr>
                  <w:tcW w:w="355" w:type="pct"/>
                  <w:vAlign w:val="center"/>
                </w:tcPr>
                <w:p>
                  <w:pPr>
                    <w:pStyle w:val="26"/>
                    <w:keepNext w:val="0"/>
                    <w:keepLines w:val="0"/>
                    <w:suppressLineNumbers w:val="0"/>
                    <w:spacing w:before="0" w:beforeAutospacing="0" w:after="0" w:afterAutospacing="0"/>
                    <w:ind w:left="0" w:right="0"/>
                    <w:rPr>
                      <w:color w:val="auto"/>
                      <w:sz w:val="18"/>
                      <w:szCs w:val="18"/>
                    </w:rPr>
                  </w:pPr>
                  <w:r>
                    <w:rPr>
                      <w:color w:val="auto"/>
                      <w:sz w:val="18"/>
                      <w:szCs w:val="18"/>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887" w:hRule="atLeast"/>
              </w:trPr>
              <w:tc>
                <w:tcPr>
                  <w:tcW w:w="195" w:type="pct"/>
                  <w:vMerge w:val="restar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废气</w:t>
                  </w:r>
                </w:p>
              </w:tc>
              <w:tc>
                <w:tcPr>
                  <w:tcW w:w="518"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喷漆</w:t>
                  </w:r>
                </w:p>
              </w:tc>
              <w:tc>
                <w:tcPr>
                  <w:tcW w:w="555" w:type="pct"/>
                  <w:vAlign w:val="center"/>
                </w:tcPr>
                <w:p>
                  <w:pPr>
                    <w:keepNext w:val="0"/>
                    <w:keepLines w:val="0"/>
                    <w:suppressLineNumbers w:val="0"/>
                    <w:spacing w:before="0" w:beforeAutospacing="0" w:after="0" w:afterAutospacing="0" w:line="240" w:lineRule="auto"/>
                    <w:ind w:left="0" w:right="0" w:firstLine="0" w:firstLineChars="0"/>
                    <w:jc w:val="center"/>
                    <w:rPr>
                      <w:sz w:val="18"/>
                      <w:szCs w:val="18"/>
                      <w:vertAlign w:val="subscript"/>
                    </w:rPr>
                  </w:pPr>
                  <w:r>
                    <w:rPr>
                      <w:sz w:val="18"/>
                      <w:szCs w:val="18"/>
                    </w:rPr>
                    <w:t>VOC</w:t>
                  </w:r>
                  <w:r>
                    <w:rPr>
                      <w:sz w:val="18"/>
                      <w:szCs w:val="18"/>
                      <w:vertAlign w:val="subscript"/>
                    </w:rPr>
                    <w:t>S</w:t>
                  </w:r>
                </w:p>
                <w:p>
                  <w:pPr>
                    <w:keepNext w:val="0"/>
                    <w:keepLines w:val="0"/>
                    <w:suppressLineNumbers w:val="0"/>
                    <w:spacing w:before="0" w:beforeAutospacing="0" w:after="0" w:afterAutospacing="0" w:line="240" w:lineRule="auto"/>
                    <w:ind w:left="0" w:right="0" w:firstLine="0" w:firstLineChars="0"/>
                    <w:jc w:val="center"/>
                    <w:rPr>
                      <w:sz w:val="18"/>
                      <w:szCs w:val="18"/>
                    </w:rPr>
                  </w:pPr>
                  <w:r>
                    <w:rPr>
                      <w:sz w:val="18"/>
                      <w:szCs w:val="18"/>
                    </w:rPr>
                    <w:t>（</w:t>
                  </w:r>
                  <w:r>
                    <w:rPr>
                      <w:rFonts w:hint="eastAsia"/>
                      <w:sz w:val="18"/>
                      <w:szCs w:val="18"/>
                    </w:rPr>
                    <w:t>有组织</w:t>
                  </w:r>
                  <w:r>
                    <w:rPr>
                      <w:sz w:val="18"/>
                      <w:szCs w:val="18"/>
                    </w:rPr>
                    <w:t>）</w:t>
                  </w:r>
                </w:p>
              </w:tc>
              <w:tc>
                <w:tcPr>
                  <w:tcW w:w="591"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0.017t/a</w:t>
                  </w:r>
                </w:p>
              </w:tc>
              <w:tc>
                <w:tcPr>
                  <w:tcW w:w="1047"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bCs w:val="0"/>
                      <w:color w:val="auto"/>
                      <w:sz w:val="18"/>
                      <w:szCs w:val="18"/>
                    </w:rPr>
                    <w:t>各喷漆房分别经管道收集，最终设置1套“负压风机+过滤棉+活性炭吸附理装置+15m高排气筒”并设标识标牌</w:t>
                  </w:r>
                </w:p>
              </w:tc>
              <w:tc>
                <w:tcPr>
                  <w:tcW w:w="1077"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《大气污染物综合排放标准》（GB16297-1996）</w:t>
                  </w:r>
                </w:p>
              </w:tc>
              <w:tc>
                <w:tcPr>
                  <w:tcW w:w="383"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达标</w:t>
                  </w:r>
                </w:p>
                <w:p>
                  <w:pPr>
                    <w:pStyle w:val="26"/>
                    <w:keepNext w:val="0"/>
                    <w:keepLines w:val="0"/>
                    <w:suppressLineNumbers w:val="0"/>
                    <w:spacing w:before="0" w:beforeAutospacing="0" w:after="0" w:afterAutospacing="0"/>
                    <w:ind w:left="0" w:right="0" w:firstLine="480"/>
                    <w:rPr>
                      <w:b w:val="0"/>
                      <w:color w:val="auto"/>
                      <w:sz w:val="18"/>
                      <w:szCs w:val="18"/>
                    </w:rPr>
                  </w:pPr>
                </w:p>
              </w:tc>
              <w:tc>
                <w:tcPr>
                  <w:tcW w:w="279"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15</w:t>
                  </w:r>
                  <w:r>
                    <w:rPr>
                      <w:rFonts w:hint="eastAsia"/>
                      <w:b w:val="0"/>
                      <w:color w:val="auto"/>
                      <w:sz w:val="18"/>
                      <w:szCs w:val="18"/>
                    </w:rPr>
                    <w:t>m高排气筒</w:t>
                  </w:r>
                </w:p>
              </w:tc>
              <w:tc>
                <w:tcPr>
                  <w:tcW w:w="355" w:type="pct"/>
                  <w:vAlign w:val="center"/>
                </w:tcPr>
                <w:p>
                  <w:pPr>
                    <w:pStyle w:val="26"/>
                    <w:keepNext w:val="0"/>
                    <w:keepLines w:val="0"/>
                    <w:suppressLineNumbers w:val="0"/>
                    <w:spacing w:before="0" w:beforeAutospacing="0" w:after="0" w:afterAutospacing="0"/>
                    <w:ind w:left="0" w:right="0"/>
                    <w:rPr>
                      <w:b w:val="0"/>
                      <w:color w:val="auto"/>
                      <w:sz w:val="18"/>
                      <w:szCs w:val="18"/>
                    </w:rPr>
                  </w:pPr>
                  <w:r>
                    <w:rPr>
                      <w:rFonts w:hint="eastAsia"/>
                      <w:b w:val="0"/>
                      <w:color w:val="auto"/>
                      <w:sz w:val="18"/>
                      <w:szCs w:val="18"/>
                    </w:rPr>
                    <w:t>有组织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887" w:hRule="atLeast"/>
              </w:trPr>
              <w:tc>
                <w:tcPr>
                  <w:tcW w:w="195" w:type="pct"/>
                  <w:vMerge w:val="continue"/>
                  <w:vAlign w:val="center"/>
                </w:tcPr>
                <w:p>
                  <w:pPr>
                    <w:pStyle w:val="26"/>
                    <w:keepNext w:val="0"/>
                    <w:keepLines w:val="0"/>
                    <w:suppressLineNumbers w:val="0"/>
                    <w:spacing w:before="0" w:beforeAutospacing="0" w:after="0" w:afterAutospacing="0"/>
                    <w:ind w:left="0" w:right="0"/>
                    <w:rPr>
                      <w:b w:val="0"/>
                      <w:color w:val="auto"/>
                      <w:sz w:val="18"/>
                      <w:szCs w:val="18"/>
                    </w:rPr>
                  </w:pPr>
                </w:p>
              </w:tc>
              <w:tc>
                <w:tcPr>
                  <w:tcW w:w="518"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喷漆</w:t>
                  </w:r>
                </w:p>
              </w:tc>
              <w:tc>
                <w:tcPr>
                  <w:tcW w:w="555" w:type="pct"/>
                  <w:vAlign w:val="center"/>
                </w:tcPr>
                <w:p>
                  <w:pPr>
                    <w:keepNext w:val="0"/>
                    <w:keepLines w:val="0"/>
                    <w:suppressLineNumbers w:val="0"/>
                    <w:spacing w:before="0" w:beforeAutospacing="0" w:after="0" w:afterAutospacing="0" w:line="240" w:lineRule="auto"/>
                    <w:ind w:left="0" w:right="0" w:firstLine="0" w:firstLineChars="0"/>
                    <w:jc w:val="center"/>
                    <w:rPr>
                      <w:sz w:val="18"/>
                      <w:szCs w:val="18"/>
                      <w:vertAlign w:val="subscript"/>
                    </w:rPr>
                  </w:pPr>
                  <w:r>
                    <w:rPr>
                      <w:sz w:val="18"/>
                      <w:szCs w:val="18"/>
                    </w:rPr>
                    <w:t>VOC</w:t>
                  </w:r>
                  <w:r>
                    <w:rPr>
                      <w:sz w:val="18"/>
                      <w:szCs w:val="18"/>
                      <w:vertAlign w:val="subscript"/>
                    </w:rPr>
                    <w:t>S</w:t>
                  </w:r>
                </w:p>
                <w:p>
                  <w:pPr>
                    <w:keepNext w:val="0"/>
                    <w:keepLines w:val="0"/>
                    <w:suppressLineNumbers w:val="0"/>
                    <w:spacing w:before="0" w:beforeAutospacing="0" w:after="0" w:afterAutospacing="0" w:line="240" w:lineRule="auto"/>
                    <w:ind w:left="0" w:right="0" w:firstLine="0" w:firstLineChars="0"/>
                    <w:jc w:val="center"/>
                    <w:rPr>
                      <w:sz w:val="18"/>
                      <w:szCs w:val="18"/>
                    </w:rPr>
                  </w:pPr>
                  <w:r>
                    <w:rPr>
                      <w:sz w:val="18"/>
                      <w:szCs w:val="18"/>
                    </w:rPr>
                    <w:t>（</w:t>
                  </w:r>
                  <w:r>
                    <w:rPr>
                      <w:rFonts w:hint="eastAsia"/>
                      <w:sz w:val="18"/>
                      <w:szCs w:val="18"/>
                    </w:rPr>
                    <w:t>无组织</w:t>
                  </w:r>
                  <w:r>
                    <w:rPr>
                      <w:sz w:val="18"/>
                      <w:szCs w:val="18"/>
                    </w:rPr>
                    <w:t>）</w:t>
                  </w:r>
                </w:p>
              </w:tc>
              <w:tc>
                <w:tcPr>
                  <w:tcW w:w="591" w:type="pct"/>
                  <w:vAlign w:val="center"/>
                </w:tcPr>
                <w:p>
                  <w:pPr>
                    <w:pStyle w:val="26"/>
                    <w:keepNext w:val="0"/>
                    <w:keepLines w:val="0"/>
                    <w:suppressLineNumbers w:val="0"/>
                    <w:spacing w:before="0" w:beforeAutospacing="0" w:after="0" w:afterAutospacing="0"/>
                    <w:ind w:left="0" w:right="0"/>
                    <w:rPr>
                      <w:b w:val="0"/>
                      <w:color w:val="auto"/>
                      <w:sz w:val="18"/>
                      <w:szCs w:val="18"/>
                    </w:rPr>
                  </w:pPr>
                </w:p>
              </w:tc>
              <w:tc>
                <w:tcPr>
                  <w:tcW w:w="1047" w:type="pct"/>
                  <w:vAlign w:val="center"/>
                </w:tcPr>
                <w:p>
                  <w:pPr>
                    <w:pStyle w:val="26"/>
                    <w:keepNext w:val="0"/>
                    <w:keepLines w:val="0"/>
                    <w:suppressLineNumbers w:val="0"/>
                    <w:spacing w:before="0" w:beforeAutospacing="0" w:after="0" w:afterAutospacing="0"/>
                    <w:ind w:left="0" w:right="0"/>
                    <w:rPr>
                      <w:b w:val="0"/>
                      <w:bCs w:val="0"/>
                      <w:color w:val="auto"/>
                      <w:sz w:val="18"/>
                      <w:szCs w:val="18"/>
                    </w:rPr>
                  </w:pPr>
                  <w:r>
                    <w:rPr>
                      <w:rFonts w:hint="eastAsia"/>
                      <w:b w:val="0"/>
                      <w:bCs w:val="0"/>
                      <w:color w:val="auto"/>
                      <w:sz w:val="18"/>
                      <w:szCs w:val="18"/>
                    </w:rPr>
                    <w:t>车间通风</w:t>
                  </w:r>
                </w:p>
              </w:tc>
              <w:tc>
                <w:tcPr>
                  <w:tcW w:w="1077" w:type="pct"/>
                  <w:vAlign w:val="center"/>
                </w:tcPr>
                <w:p>
                  <w:pPr>
                    <w:pStyle w:val="26"/>
                    <w:keepNext w:val="0"/>
                    <w:keepLines w:val="0"/>
                    <w:suppressLineNumbers w:val="0"/>
                    <w:spacing w:before="0" w:beforeAutospacing="0" w:after="0" w:afterAutospacing="0"/>
                    <w:ind w:left="0" w:right="0"/>
                    <w:rPr>
                      <w:b w:val="0"/>
                      <w:color w:val="auto"/>
                      <w:sz w:val="18"/>
                      <w:szCs w:val="18"/>
                    </w:rPr>
                  </w:pPr>
                  <w:r>
                    <w:rPr>
                      <w:rFonts w:hint="eastAsia"/>
                      <w:b w:val="0"/>
                      <w:color w:val="auto"/>
                      <w:sz w:val="18"/>
                      <w:szCs w:val="18"/>
                    </w:rPr>
                    <w:t>达到</w:t>
                  </w:r>
                  <w:r>
                    <w:rPr>
                      <w:b w:val="0"/>
                      <w:color w:val="auto"/>
                      <w:sz w:val="18"/>
                      <w:szCs w:val="18"/>
                    </w:rPr>
                    <w:t>挥发性有机物无组织排放控制标准》（GB37822-2019）“厂区内监控点任意一次NMHC值”的要求</w:t>
                  </w:r>
                  <w:r>
                    <w:rPr>
                      <w:b w:val="0"/>
                      <w:color w:val="auto"/>
                      <w:kern w:val="0"/>
                      <w:sz w:val="18"/>
                      <w:szCs w:val="18"/>
                      <w:lang w:val="zh-CN"/>
                    </w:rPr>
                    <w:t>浓度限30mg/m</w:t>
                  </w:r>
                  <w:r>
                    <w:rPr>
                      <w:b w:val="0"/>
                      <w:color w:val="auto"/>
                      <w:kern w:val="0"/>
                      <w:sz w:val="18"/>
                      <w:szCs w:val="18"/>
                      <w:vertAlign w:val="superscript"/>
                      <w:lang w:val="zh-CN"/>
                    </w:rPr>
                    <w:t>3</w:t>
                  </w:r>
                  <w:r>
                    <w:rPr>
                      <w:b w:val="0"/>
                      <w:color w:val="auto"/>
                      <w:kern w:val="0"/>
                      <w:sz w:val="18"/>
                      <w:szCs w:val="18"/>
                      <w:lang w:val="zh-CN"/>
                    </w:rPr>
                    <w:t>。</w:t>
                  </w:r>
                </w:p>
              </w:tc>
              <w:tc>
                <w:tcPr>
                  <w:tcW w:w="383"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达标</w:t>
                  </w:r>
                </w:p>
              </w:tc>
              <w:tc>
                <w:tcPr>
                  <w:tcW w:w="279"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w:t>
                  </w:r>
                </w:p>
              </w:tc>
              <w:tc>
                <w:tcPr>
                  <w:tcW w:w="355" w:type="pct"/>
                  <w:vAlign w:val="center"/>
                </w:tcPr>
                <w:p>
                  <w:pPr>
                    <w:pStyle w:val="26"/>
                    <w:keepNext w:val="0"/>
                    <w:keepLines w:val="0"/>
                    <w:suppressLineNumbers w:val="0"/>
                    <w:spacing w:before="0" w:beforeAutospacing="0" w:after="0" w:afterAutospacing="0"/>
                    <w:ind w:left="0" w:right="0"/>
                    <w:rPr>
                      <w:b w:val="0"/>
                      <w:color w:val="auto"/>
                      <w:sz w:val="18"/>
                      <w:szCs w:val="18"/>
                    </w:rPr>
                  </w:pPr>
                  <w:r>
                    <w:rPr>
                      <w:rFonts w:hint="eastAsia"/>
                      <w:b w:val="0"/>
                      <w:color w:val="auto"/>
                      <w:sz w:val="18"/>
                      <w:szCs w:val="18"/>
                    </w:rPr>
                    <w:t>无组织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3" w:hRule="atLeast"/>
              </w:trPr>
              <w:tc>
                <w:tcPr>
                  <w:tcW w:w="195"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518" w:type="pct"/>
                  <w:vMerge w:val="restart"/>
                  <w:vAlign w:val="center"/>
                </w:tcPr>
                <w:p>
                  <w:pPr>
                    <w:pStyle w:val="26"/>
                    <w:keepNext w:val="0"/>
                    <w:keepLines w:val="0"/>
                    <w:suppressLineNumbers w:val="0"/>
                    <w:spacing w:before="0" w:beforeAutospacing="0" w:after="0" w:afterAutospacing="0"/>
                    <w:ind w:left="0" w:right="0"/>
                    <w:rPr>
                      <w:b w:val="0"/>
                      <w:color w:val="auto"/>
                      <w:sz w:val="18"/>
                      <w:szCs w:val="18"/>
                    </w:rPr>
                  </w:pPr>
                  <w:r>
                    <w:rPr>
                      <w:rFonts w:hint="eastAsia"/>
                      <w:b w:val="0"/>
                      <w:color w:val="auto"/>
                      <w:sz w:val="18"/>
                      <w:szCs w:val="18"/>
                    </w:rPr>
                    <w:t>喷漆</w:t>
                  </w:r>
                </w:p>
              </w:tc>
              <w:tc>
                <w:tcPr>
                  <w:tcW w:w="555"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sz w:val="18"/>
                      <w:szCs w:val="18"/>
                      <w:vertAlign w:val="subscript"/>
                    </w:rPr>
                  </w:pPr>
                  <w:r>
                    <w:rPr>
                      <w:rFonts w:hint="eastAsia"/>
                      <w:sz w:val="18"/>
                      <w:szCs w:val="18"/>
                    </w:rPr>
                    <w:t>漆雾</w:t>
                  </w:r>
                </w:p>
              </w:tc>
              <w:tc>
                <w:tcPr>
                  <w:tcW w:w="591"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0.129t/a</w:t>
                  </w:r>
                </w:p>
              </w:tc>
              <w:tc>
                <w:tcPr>
                  <w:tcW w:w="1047" w:type="pct"/>
                  <w:vAlign w:val="center"/>
                </w:tcPr>
                <w:p>
                  <w:pPr>
                    <w:pStyle w:val="26"/>
                    <w:keepNext w:val="0"/>
                    <w:keepLines w:val="0"/>
                    <w:suppressLineNumbers w:val="0"/>
                    <w:spacing w:before="0" w:beforeAutospacing="0" w:after="0" w:afterAutospacing="0"/>
                    <w:ind w:left="0" w:right="0"/>
                    <w:rPr>
                      <w:b w:val="0"/>
                      <w:color w:val="auto"/>
                      <w:sz w:val="18"/>
                      <w:szCs w:val="18"/>
                    </w:rPr>
                  </w:pPr>
                  <w:r>
                    <w:rPr>
                      <w:rFonts w:hint="eastAsia"/>
                      <w:b w:val="0"/>
                      <w:color w:val="auto"/>
                      <w:sz w:val="18"/>
                      <w:szCs w:val="18"/>
                    </w:rPr>
                    <w:t>车间通风</w:t>
                  </w:r>
                </w:p>
              </w:tc>
              <w:tc>
                <w:tcPr>
                  <w:tcW w:w="1077" w:type="pct"/>
                  <w:vMerge w:val="restar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w:t>
                  </w:r>
                </w:p>
              </w:tc>
              <w:tc>
                <w:tcPr>
                  <w:tcW w:w="383" w:type="pct"/>
                  <w:vMerge w:val="restar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w:t>
                  </w:r>
                </w:p>
              </w:tc>
              <w:tc>
                <w:tcPr>
                  <w:tcW w:w="279" w:type="pct"/>
                  <w:vAlign w:val="center"/>
                </w:tcPr>
                <w:p>
                  <w:pPr>
                    <w:pStyle w:val="26"/>
                    <w:keepNext w:val="0"/>
                    <w:keepLines w:val="0"/>
                    <w:suppressLineNumbers w:val="0"/>
                    <w:spacing w:before="0" w:beforeAutospacing="0" w:after="0" w:afterAutospacing="0"/>
                    <w:ind w:left="0" w:right="0"/>
                    <w:rPr>
                      <w:b w:val="0"/>
                      <w:color w:val="auto"/>
                      <w:sz w:val="18"/>
                      <w:szCs w:val="18"/>
                    </w:rPr>
                  </w:pPr>
                  <w:r>
                    <w:rPr>
                      <w:rFonts w:hint="eastAsia"/>
                      <w:b w:val="0"/>
                      <w:color w:val="auto"/>
                      <w:sz w:val="18"/>
                      <w:szCs w:val="18"/>
                    </w:rPr>
                    <w:t>/</w:t>
                  </w:r>
                </w:p>
              </w:tc>
              <w:tc>
                <w:tcPr>
                  <w:tcW w:w="355" w:type="pct"/>
                  <w:vAlign w:val="center"/>
                </w:tcPr>
                <w:p>
                  <w:pPr>
                    <w:pStyle w:val="26"/>
                    <w:keepNext w:val="0"/>
                    <w:keepLines w:val="0"/>
                    <w:suppressLineNumbers w:val="0"/>
                    <w:spacing w:before="0" w:beforeAutospacing="0" w:after="0" w:afterAutospacing="0"/>
                    <w:ind w:left="0" w:right="0"/>
                    <w:rPr>
                      <w:b w:val="0"/>
                      <w:color w:val="auto"/>
                      <w:sz w:val="18"/>
                      <w:szCs w:val="18"/>
                    </w:rPr>
                  </w:pPr>
                  <w:r>
                    <w:rPr>
                      <w:rFonts w:hint="eastAsia"/>
                      <w:b w:val="0"/>
                      <w:color w:val="auto"/>
                      <w:sz w:val="18"/>
                      <w:szCs w:val="18"/>
                    </w:rPr>
                    <w:t>无组织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6" w:hRule="atLeast"/>
              </w:trPr>
              <w:tc>
                <w:tcPr>
                  <w:tcW w:w="195"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518"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555"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591"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0.045t/a</w:t>
                  </w:r>
                </w:p>
              </w:tc>
              <w:tc>
                <w:tcPr>
                  <w:tcW w:w="1047"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bCs w:val="0"/>
                      <w:color w:val="auto"/>
                      <w:sz w:val="18"/>
                      <w:szCs w:val="18"/>
                    </w:rPr>
                    <w:t>各喷漆房分别经管道收集，最终设置1套“负压风机+过滤棉+活性炭吸附理装置+15m高排气筒”并设标识标牌</w:t>
                  </w:r>
                </w:p>
              </w:tc>
              <w:tc>
                <w:tcPr>
                  <w:tcW w:w="1077"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383"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279"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15</w:t>
                  </w:r>
                  <w:r>
                    <w:rPr>
                      <w:rFonts w:hint="eastAsia"/>
                      <w:b w:val="0"/>
                      <w:color w:val="auto"/>
                      <w:sz w:val="18"/>
                      <w:szCs w:val="18"/>
                    </w:rPr>
                    <w:t>m高排气筒</w:t>
                  </w:r>
                </w:p>
              </w:tc>
              <w:tc>
                <w:tcPr>
                  <w:tcW w:w="355"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有组织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204" w:hRule="atLeast"/>
              </w:trPr>
              <w:tc>
                <w:tcPr>
                  <w:tcW w:w="195"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518" w:type="pct"/>
                  <w:vAlign w:val="center"/>
                </w:tcPr>
                <w:p>
                  <w:pPr>
                    <w:pStyle w:val="26"/>
                    <w:keepNext w:val="0"/>
                    <w:keepLines w:val="0"/>
                    <w:suppressLineNumbers w:val="0"/>
                    <w:spacing w:before="0" w:beforeAutospacing="0" w:after="0" w:afterAutospacing="0"/>
                    <w:ind w:left="0" w:right="0"/>
                    <w:rPr>
                      <w:b w:val="0"/>
                      <w:color w:val="auto"/>
                      <w:sz w:val="18"/>
                      <w:szCs w:val="18"/>
                    </w:rPr>
                  </w:pPr>
                  <w:r>
                    <w:rPr>
                      <w:rFonts w:hint="eastAsia"/>
                      <w:b w:val="0"/>
                      <w:color w:val="auto"/>
                      <w:sz w:val="18"/>
                      <w:szCs w:val="18"/>
                    </w:rPr>
                    <w:t>机加工</w:t>
                  </w:r>
                </w:p>
              </w:tc>
              <w:tc>
                <w:tcPr>
                  <w:tcW w:w="555"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粉尘（TSP）</w:t>
                  </w:r>
                </w:p>
              </w:tc>
              <w:tc>
                <w:tcPr>
                  <w:tcW w:w="591"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0.009t/a</w:t>
                  </w:r>
                </w:p>
              </w:tc>
              <w:tc>
                <w:tcPr>
                  <w:tcW w:w="1047" w:type="pct"/>
                  <w:vMerge w:val="restart"/>
                  <w:vAlign w:val="center"/>
                </w:tcPr>
                <w:p>
                  <w:pPr>
                    <w:pStyle w:val="26"/>
                    <w:keepNext w:val="0"/>
                    <w:keepLines w:val="0"/>
                    <w:suppressLineNumbers w:val="0"/>
                    <w:spacing w:before="0" w:beforeAutospacing="0" w:after="0" w:afterAutospacing="0"/>
                    <w:ind w:left="0" w:right="0"/>
                    <w:rPr>
                      <w:b w:val="0"/>
                      <w:color w:val="auto"/>
                      <w:sz w:val="18"/>
                      <w:szCs w:val="18"/>
                    </w:rPr>
                  </w:pPr>
                  <w:r>
                    <w:rPr>
                      <w:rFonts w:hint="eastAsia"/>
                      <w:b w:val="0"/>
                      <w:color w:val="auto"/>
                      <w:sz w:val="18"/>
                      <w:szCs w:val="18"/>
                    </w:rPr>
                    <w:t>移动式除尘器</w:t>
                  </w:r>
                </w:p>
              </w:tc>
              <w:tc>
                <w:tcPr>
                  <w:tcW w:w="1077" w:type="pct"/>
                  <w:vMerge w:val="restar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《大气污染物综合排放标准》（GB16297-1996）表2无组织排放浓度限值≤1.0mg/</w:t>
                  </w:r>
                  <w:r>
                    <w:rPr>
                      <w:rFonts w:hint="eastAsia"/>
                      <w:b w:val="0"/>
                      <w:color w:val="auto"/>
                      <w:sz w:val="18"/>
                      <w:szCs w:val="18"/>
                    </w:rPr>
                    <w:t>m</w:t>
                  </w:r>
                  <w:r>
                    <w:rPr>
                      <w:rFonts w:hint="eastAsia"/>
                      <w:b w:val="0"/>
                      <w:color w:val="auto"/>
                      <w:sz w:val="18"/>
                      <w:szCs w:val="18"/>
                      <w:vertAlign w:val="superscript"/>
                    </w:rPr>
                    <w:t>3</w:t>
                  </w:r>
                </w:p>
              </w:tc>
              <w:tc>
                <w:tcPr>
                  <w:tcW w:w="383" w:type="pct"/>
                  <w:vMerge w:val="restart"/>
                  <w:vAlign w:val="center"/>
                </w:tcPr>
                <w:p>
                  <w:pPr>
                    <w:pStyle w:val="26"/>
                    <w:keepNext w:val="0"/>
                    <w:keepLines w:val="0"/>
                    <w:suppressLineNumbers w:val="0"/>
                    <w:spacing w:before="0" w:beforeAutospacing="0" w:after="0" w:afterAutospacing="0"/>
                    <w:ind w:left="0" w:right="0"/>
                    <w:rPr>
                      <w:b w:val="0"/>
                      <w:color w:val="auto"/>
                      <w:sz w:val="18"/>
                      <w:szCs w:val="18"/>
                    </w:rPr>
                  </w:pPr>
                  <w:r>
                    <w:rPr>
                      <w:rFonts w:hint="eastAsia"/>
                      <w:b w:val="0"/>
                      <w:color w:val="auto"/>
                      <w:sz w:val="18"/>
                      <w:szCs w:val="18"/>
                    </w:rPr>
                    <w:t>达标</w:t>
                  </w:r>
                </w:p>
              </w:tc>
              <w:tc>
                <w:tcPr>
                  <w:tcW w:w="279" w:type="pct"/>
                  <w:vMerge w:val="restar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w:t>
                  </w:r>
                </w:p>
                <w:p>
                  <w:pPr>
                    <w:pStyle w:val="26"/>
                    <w:keepNext w:val="0"/>
                    <w:keepLines w:val="0"/>
                    <w:suppressLineNumbers w:val="0"/>
                    <w:spacing w:before="0" w:beforeAutospacing="0" w:after="0" w:afterAutospacing="0"/>
                    <w:ind w:left="0" w:right="0" w:firstLine="480"/>
                    <w:rPr>
                      <w:color w:val="auto"/>
                    </w:rPr>
                  </w:pPr>
                  <w:r>
                    <w:rPr>
                      <w:b w:val="0"/>
                      <w:color w:val="auto"/>
                      <w:sz w:val="18"/>
                      <w:szCs w:val="18"/>
                    </w:rPr>
                    <w:t>/</w:t>
                  </w:r>
                </w:p>
              </w:tc>
              <w:tc>
                <w:tcPr>
                  <w:tcW w:w="355"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无组织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3" w:hRule="atLeast"/>
              </w:trPr>
              <w:tc>
                <w:tcPr>
                  <w:tcW w:w="195"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518" w:type="pct"/>
                  <w:vAlign w:val="center"/>
                </w:tcPr>
                <w:p>
                  <w:pPr>
                    <w:pStyle w:val="26"/>
                    <w:keepNext w:val="0"/>
                    <w:keepLines w:val="0"/>
                    <w:suppressLineNumbers w:val="0"/>
                    <w:spacing w:before="0" w:beforeAutospacing="0" w:after="0" w:afterAutospacing="0"/>
                    <w:ind w:left="0" w:right="0"/>
                    <w:rPr>
                      <w:b w:val="0"/>
                      <w:color w:val="auto"/>
                      <w:sz w:val="18"/>
                      <w:szCs w:val="18"/>
                    </w:rPr>
                  </w:pPr>
                  <w:r>
                    <w:rPr>
                      <w:rFonts w:hint="eastAsia"/>
                      <w:b w:val="0"/>
                      <w:color w:val="auto"/>
                      <w:sz w:val="18"/>
                      <w:szCs w:val="18"/>
                    </w:rPr>
                    <w:t>焊接</w:t>
                  </w:r>
                </w:p>
              </w:tc>
              <w:tc>
                <w:tcPr>
                  <w:tcW w:w="555" w:type="pct"/>
                  <w:vAlign w:val="center"/>
                </w:tcPr>
                <w:p>
                  <w:pPr>
                    <w:pStyle w:val="26"/>
                    <w:keepNext w:val="0"/>
                    <w:keepLines w:val="0"/>
                    <w:suppressLineNumbers w:val="0"/>
                    <w:spacing w:before="0" w:beforeAutospacing="0" w:after="0" w:afterAutospacing="0"/>
                    <w:ind w:left="0" w:right="0"/>
                    <w:rPr>
                      <w:b w:val="0"/>
                      <w:color w:val="auto"/>
                      <w:sz w:val="18"/>
                      <w:szCs w:val="18"/>
                    </w:rPr>
                  </w:pPr>
                  <w:r>
                    <w:rPr>
                      <w:rFonts w:hint="eastAsia"/>
                      <w:b w:val="0"/>
                      <w:color w:val="auto"/>
                      <w:sz w:val="18"/>
                      <w:szCs w:val="18"/>
                    </w:rPr>
                    <w:t>烟尘</w:t>
                  </w:r>
                </w:p>
              </w:tc>
              <w:tc>
                <w:tcPr>
                  <w:tcW w:w="591"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0.05t/a</w:t>
                  </w:r>
                </w:p>
              </w:tc>
              <w:tc>
                <w:tcPr>
                  <w:tcW w:w="1047" w:type="pct"/>
                  <w:vMerge w:val="continue"/>
                  <w:vAlign w:val="center"/>
                </w:tcPr>
                <w:p>
                  <w:pPr>
                    <w:pStyle w:val="26"/>
                    <w:keepNext w:val="0"/>
                    <w:keepLines w:val="0"/>
                    <w:suppressLineNumbers w:val="0"/>
                    <w:spacing w:before="0" w:beforeAutospacing="0" w:after="0" w:afterAutospacing="0"/>
                    <w:ind w:left="0" w:right="0"/>
                    <w:rPr>
                      <w:b w:val="0"/>
                      <w:color w:val="auto"/>
                      <w:sz w:val="18"/>
                      <w:szCs w:val="18"/>
                    </w:rPr>
                  </w:pPr>
                </w:p>
              </w:tc>
              <w:tc>
                <w:tcPr>
                  <w:tcW w:w="1077"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383"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279"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355"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无组织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4" w:hRule="atLeast"/>
              </w:trPr>
              <w:tc>
                <w:tcPr>
                  <w:tcW w:w="195"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518"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食堂</w:t>
                  </w:r>
                </w:p>
              </w:tc>
              <w:tc>
                <w:tcPr>
                  <w:tcW w:w="555"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食堂油烟</w:t>
                  </w:r>
                </w:p>
              </w:tc>
              <w:tc>
                <w:tcPr>
                  <w:tcW w:w="591"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0.0016t/a</w:t>
                  </w:r>
                </w:p>
              </w:tc>
              <w:tc>
                <w:tcPr>
                  <w:tcW w:w="1047"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油烟净化器（油烟去除率≥60%）1套+专用油烟管1套引至楼顶排放</w:t>
                  </w:r>
                </w:p>
              </w:tc>
              <w:tc>
                <w:tcPr>
                  <w:tcW w:w="1077"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lang w:val="zh-CN"/>
                    </w:rPr>
                    <w:t>达到《饮食业油烟排放标准（试行）》（GB18483-2001）最高允许排放浓度2.0mg/m</w:t>
                  </w:r>
                  <w:r>
                    <w:rPr>
                      <w:b w:val="0"/>
                      <w:color w:val="auto"/>
                      <w:sz w:val="18"/>
                      <w:szCs w:val="18"/>
                      <w:vertAlign w:val="superscript"/>
                      <w:lang w:val="zh-CN"/>
                    </w:rPr>
                    <w:t>3</w:t>
                  </w:r>
                </w:p>
              </w:tc>
              <w:tc>
                <w:tcPr>
                  <w:tcW w:w="383"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279"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w:t>
                  </w:r>
                </w:p>
              </w:tc>
              <w:tc>
                <w:tcPr>
                  <w:tcW w:w="355"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有组织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195" w:type="pct"/>
                  <w:vMerge w:val="restar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废水</w:t>
                  </w:r>
                </w:p>
                <w:p>
                  <w:pPr>
                    <w:pStyle w:val="26"/>
                    <w:keepNext w:val="0"/>
                    <w:keepLines w:val="0"/>
                    <w:suppressLineNumbers w:val="0"/>
                    <w:spacing w:before="0" w:beforeAutospacing="0" w:after="0" w:afterAutospacing="0"/>
                    <w:ind w:left="0" w:right="0" w:firstLine="480"/>
                    <w:rPr>
                      <w:b w:val="0"/>
                      <w:color w:val="auto"/>
                      <w:sz w:val="18"/>
                      <w:szCs w:val="18"/>
                    </w:rPr>
                  </w:pPr>
                </w:p>
              </w:tc>
              <w:tc>
                <w:tcPr>
                  <w:tcW w:w="518" w:type="pct"/>
                  <w:vAlign w:val="center"/>
                </w:tcPr>
                <w:p>
                  <w:pPr>
                    <w:pStyle w:val="26"/>
                    <w:keepNext w:val="0"/>
                    <w:keepLines w:val="0"/>
                    <w:suppressLineNumbers w:val="0"/>
                    <w:spacing w:before="0" w:beforeAutospacing="0" w:after="0" w:afterAutospacing="0"/>
                    <w:ind w:left="0" w:right="0"/>
                    <w:rPr>
                      <w:b w:val="0"/>
                      <w:color w:val="auto"/>
                      <w:sz w:val="18"/>
                      <w:szCs w:val="18"/>
                    </w:rPr>
                  </w:pPr>
                  <w:r>
                    <w:rPr>
                      <w:rFonts w:hint="eastAsia"/>
                      <w:b w:val="0"/>
                      <w:color w:val="auto"/>
                      <w:sz w:val="18"/>
                      <w:szCs w:val="18"/>
                    </w:rPr>
                    <w:t>打孔冷却水</w:t>
                  </w:r>
                </w:p>
              </w:tc>
              <w:tc>
                <w:tcPr>
                  <w:tcW w:w="555"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SS</w:t>
                  </w:r>
                </w:p>
              </w:tc>
              <w:tc>
                <w:tcPr>
                  <w:tcW w:w="591"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309.44t/a</w:t>
                  </w:r>
                </w:p>
              </w:tc>
              <w:tc>
                <w:tcPr>
                  <w:tcW w:w="1047"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滤网快速过滤后回用于原环节</w:t>
                  </w:r>
                </w:p>
              </w:tc>
              <w:tc>
                <w:tcPr>
                  <w:tcW w:w="1077"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w:t>
                  </w:r>
                </w:p>
              </w:tc>
              <w:tc>
                <w:tcPr>
                  <w:tcW w:w="383"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w:t>
                  </w:r>
                </w:p>
              </w:tc>
              <w:tc>
                <w:tcPr>
                  <w:tcW w:w="279" w:type="pct"/>
                  <w:vAlign w:val="center"/>
                </w:tcPr>
                <w:p>
                  <w:pPr>
                    <w:pStyle w:val="26"/>
                    <w:keepNext w:val="0"/>
                    <w:keepLines w:val="0"/>
                    <w:suppressLineNumbers w:val="0"/>
                    <w:spacing w:before="0" w:beforeAutospacing="0" w:after="0" w:afterAutospacing="0"/>
                    <w:ind w:left="0" w:right="0" w:firstLine="480"/>
                    <w:rPr>
                      <w:b w:val="0"/>
                      <w:color w:val="auto"/>
                      <w:sz w:val="18"/>
                      <w:szCs w:val="18"/>
                    </w:rPr>
                  </w:pPr>
                  <w:r>
                    <w:rPr>
                      <w:b w:val="0"/>
                      <w:color w:val="auto"/>
                      <w:sz w:val="18"/>
                      <w:szCs w:val="18"/>
                    </w:rPr>
                    <w:t>/</w:t>
                  </w:r>
                </w:p>
              </w:tc>
              <w:tc>
                <w:tcPr>
                  <w:tcW w:w="355"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不外排</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195" w:type="pct"/>
                  <w:vMerge w:val="continue"/>
                  <w:vAlign w:val="center"/>
                </w:tcPr>
                <w:p>
                  <w:pPr>
                    <w:pStyle w:val="26"/>
                    <w:keepNext w:val="0"/>
                    <w:keepLines w:val="0"/>
                    <w:suppressLineNumbers w:val="0"/>
                    <w:spacing w:before="0" w:beforeAutospacing="0" w:after="0" w:afterAutospacing="0"/>
                    <w:ind w:left="0" w:right="0"/>
                    <w:rPr>
                      <w:b w:val="0"/>
                      <w:color w:val="auto"/>
                      <w:sz w:val="18"/>
                      <w:szCs w:val="18"/>
                    </w:rPr>
                  </w:pPr>
                </w:p>
              </w:tc>
              <w:tc>
                <w:tcPr>
                  <w:tcW w:w="518" w:type="pct"/>
                  <w:vAlign w:val="center"/>
                </w:tcPr>
                <w:p>
                  <w:pPr>
                    <w:pStyle w:val="26"/>
                    <w:keepNext w:val="0"/>
                    <w:keepLines w:val="0"/>
                    <w:suppressLineNumbers w:val="0"/>
                    <w:spacing w:before="0" w:beforeAutospacing="0" w:after="0" w:afterAutospacing="0"/>
                    <w:ind w:left="0" w:right="0"/>
                    <w:rPr>
                      <w:b w:val="0"/>
                      <w:color w:val="auto"/>
                      <w:sz w:val="18"/>
                      <w:szCs w:val="18"/>
                    </w:rPr>
                  </w:pPr>
                  <w:r>
                    <w:rPr>
                      <w:rFonts w:hint="eastAsia"/>
                      <w:b w:val="0"/>
                      <w:color w:val="auto"/>
                      <w:sz w:val="18"/>
                      <w:szCs w:val="18"/>
                    </w:rPr>
                    <w:t>涂料废液</w:t>
                  </w:r>
                </w:p>
              </w:tc>
              <w:tc>
                <w:tcPr>
                  <w:tcW w:w="555"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w:t>
                  </w:r>
                </w:p>
              </w:tc>
              <w:tc>
                <w:tcPr>
                  <w:tcW w:w="591" w:type="pct"/>
                  <w:vAlign w:val="center"/>
                </w:tcPr>
                <w:p>
                  <w:pPr>
                    <w:pStyle w:val="26"/>
                    <w:keepNext w:val="0"/>
                    <w:keepLines w:val="0"/>
                    <w:suppressLineNumbers w:val="0"/>
                    <w:spacing w:before="0" w:beforeAutospacing="0" w:after="0" w:afterAutospacing="0"/>
                    <w:ind w:left="0" w:right="0"/>
                    <w:rPr>
                      <w:b w:val="0"/>
                      <w:color w:val="auto"/>
                      <w:sz w:val="18"/>
                      <w:szCs w:val="18"/>
                    </w:rPr>
                  </w:pPr>
                </w:p>
              </w:tc>
              <w:tc>
                <w:tcPr>
                  <w:tcW w:w="1047" w:type="pct"/>
                  <w:vAlign w:val="center"/>
                </w:tcPr>
                <w:p>
                  <w:pPr>
                    <w:pStyle w:val="26"/>
                    <w:keepNext w:val="0"/>
                    <w:keepLines w:val="0"/>
                    <w:suppressLineNumbers w:val="0"/>
                    <w:spacing w:before="0" w:beforeAutospacing="0" w:after="0" w:afterAutospacing="0"/>
                    <w:ind w:left="0" w:right="0"/>
                    <w:rPr>
                      <w:b w:val="0"/>
                      <w:color w:val="auto"/>
                      <w:sz w:val="18"/>
                      <w:szCs w:val="18"/>
                    </w:rPr>
                  </w:pPr>
                  <w:r>
                    <w:rPr>
                      <w:rFonts w:hint="eastAsia"/>
                      <w:b w:val="0"/>
                      <w:color w:val="auto"/>
                      <w:sz w:val="18"/>
                      <w:szCs w:val="18"/>
                    </w:rPr>
                    <w:t>收集后回用于调漆</w:t>
                  </w:r>
                </w:p>
              </w:tc>
              <w:tc>
                <w:tcPr>
                  <w:tcW w:w="1077"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w:t>
                  </w:r>
                </w:p>
              </w:tc>
              <w:tc>
                <w:tcPr>
                  <w:tcW w:w="383"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w:t>
                  </w:r>
                </w:p>
              </w:tc>
              <w:tc>
                <w:tcPr>
                  <w:tcW w:w="279" w:type="pct"/>
                  <w:vAlign w:val="center"/>
                </w:tcPr>
                <w:p>
                  <w:pPr>
                    <w:pStyle w:val="26"/>
                    <w:keepNext w:val="0"/>
                    <w:keepLines w:val="0"/>
                    <w:suppressLineNumbers w:val="0"/>
                    <w:spacing w:before="0" w:beforeAutospacing="0" w:after="0" w:afterAutospacing="0"/>
                    <w:ind w:left="0" w:right="0" w:firstLine="480"/>
                    <w:rPr>
                      <w:b w:val="0"/>
                      <w:color w:val="auto"/>
                      <w:sz w:val="18"/>
                      <w:szCs w:val="18"/>
                    </w:rPr>
                  </w:pPr>
                  <w:r>
                    <w:rPr>
                      <w:b w:val="0"/>
                      <w:color w:val="auto"/>
                      <w:sz w:val="18"/>
                      <w:szCs w:val="18"/>
                    </w:rPr>
                    <w:t>/</w:t>
                  </w:r>
                </w:p>
              </w:tc>
              <w:tc>
                <w:tcPr>
                  <w:tcW w:w="355"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不外排</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195"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518"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生活污水</w:t>
                  </w:r>
                </w:p>
              </w:tc>
              <w:tc>
                <w:tcPr>
                  <w:tcW w:w="555"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COD</w:t>
                  </w:r>
                  <w:r>
                    <w:rPr>
                      <w:b w:val="0"/>
                      <w:color w:val="auto"/>
                      <w:sz w:val="18"/>
                      <w:szCs w:val="18"/>
                      <w:vertAlign w:val="subscript"/>
                    </w:rPr>
                    <w:t>Cr</w:t>
                  </w:r>
                  <w:r>
                    <w:rPr>
                      <w:b w:val="0"/>
                      <w:color w:val="auto"/>
                      <w:sz w:val="18"/>
                      <w:szCs w:val="18"/>
                    </w:rPr>
                    <w:t>、BOD</w:t>
                  </w:r>
                  <w:r>
                    <w:rPr>
                      <w:b w:val="0"/>
                      <w:color w:val="auto"/>
                      <w:sz w:val="18"/>
                      <w:szCs w:val="18"/>
                      <w:vertAlign w:val="subscript"/>
                    </w:rPr>
                    <w:t>5</w:t>
                  </w:r>
                  <w:r>
                    <w:rPr>
                      <w:b w:val="0"/>
                      <w:color w:val="auto"/>
                      <w:sz w:val="18"/>
                      <w:szCs w:val="18"/>
                    </w:rPr>
                    <w:t>、NH</w:t>
                  </w:r>
                  <w:r>
                    <w:rPr>
                      <w:b w:val="0"/>
                      <w:color w:val="auto"/>
                      <w:sz w:val="18"/>
                      <w:szCs w:val="18"/>
                      <w:vertAlign w:val="subscript"/>
                    </w:rPr>
                    <w:t>3</w:t>
                  </w:r>
                  <w:r>
                    <w:rPr>
                      <w:b w:val="0"/>
                      <w:color w:val="auto"/>
                      <w:sz w:val="18"/>
                      <w:szCs w:val="18"/>
                    </w:rPr>
                    <w:t>-N、TP、TN</w:t>
                  </w:r>
                </w:p>
              </w:tc>
              <w:tc>
                <w:tcPr>
                  <w:tcW w:w="591"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0</w:t>
                  </w:r>
                </w:p>
              </w:tc>
              <w:tc>
                <w:tcPr>
                  <w:tcW w:w="1047"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收集进入</w:t>
                  </w:r>
                  <w:r>
                    <w:rPr>
                      <w:rFonts w:hint="eastAsia"/>
                      <w:b w:val="0"/>
                      <w:color w:val="auto"/>
                      <w:sz w:val="18"/>
                      <w:szCs w:val="18"/>
                    </w:rPr>
                    <w:t>隔油池、</w:t>
                  </w:r>
                  <w:r>
                    <w:rPr>
                      <w:b w:val="0"/>
                      <w:color w:val="auto"/>
                      <w:sz w:val="18"/>
                      <w:szCs w:val="18"/>
                    </w:rPr>
                    <w:t>化粪池（8m</w:t>
                  </w:r>
                  <w:r>
                    <w:rPr>
                      <w:b w:val="0"/>
                      <w:color w:val="auto"/>
                      <w:sz w:val="18"/>
                      <w:szCs w:val="18"/>
                      <w:vertAlign w:val="superscript"/>
                    </w:rPr>
                    <w:t>3</w:t>
                  </w:r>
                  <w:r>
                    <w:rPr>
                      <w:b w:val="0"/>
                      <w:color w:val="auto"/>
                      <w:sz w:val="18"/>
                      <w:szCs w:val="18"/>
                    </w:rPr>
                    <w:t>）处理后</w:t>
                  </w:r>
                  <w:r>
                    <w:rPr>
                      <w:rFonts w:hint="eastAsia"/>
                      <w:b w:val="0"/>
                      <w:color w:val="auto"/>
                      <w:sz w:val="18"/>
                      <w:szCs w:val="18"/>
                    </w:rPr>
                    <w:t>排入园区管网</w:t>
                  </w:r>
                </w:p>
              </w:tc>
              <w:tc>
                <w:tcPr>
                  <w:tcW w:w="1077"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w:t>
                  </w:r>
                </w:p>
              </w:tc>
              <w:tc>
                <w:tcPr>
                  <w:tcW w:w="383"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w:t>
                  </w:r>
                </w:p>
              </w:tc>
              <w:tc>
                <w:tcPr>
                  <w:tcW w:w="279" w:type="pct"/>
                  <w:vAlign w:val="center"/>
                </w:tcPr>
                <w:p>
                  <w:pPr>
                    <w:pStyle w:val="26"/>
                    <w:keepNext w:val="0"/>
                    <w:keepLines w:val="0"/>
                    <w:suppressLineNumbers w:val="0"/>
                    <w:spacing w:before="0" w:beforeAutospacing="0" w:after="0" w:afterAutospacing="0"/>
                    <w:ind w:left="0" w:right="0"/>
                    <w:rPr>
                      <w:b w:val="0"/>
                      <w:color w:val="auto"/>
                      <w:sz w:val="18"/>
                      <w:szCs w:val="18"/>
                    </w:rPr>
                  </w:pPr>
                  <w:r>
                    <w:rPr>
                      <w:rFonts w:hint="eastAsia"/>
                      <w:b w:val="0"/>
                      <w:color w:val="auto"/>
                      <w:sz w:val="18"/>
                      <w:szCs w:val="18"/>
                    </w:rPr>
                    <w:t>设置一个生活污水排污口</w:t>
                  </w:r>
                </w:p>
              </w:tc>
              <w:tc>
                <w:tcPr>
                  <w:tcW w:w="355" w:type="pct"/>
                  <w:vAlign w:val="center"/>
                </w:tcPr>
                <w:p>
                  <w:pPr>
                    <w:pStyle w:val="26"/>
                    <w:keepNext w:val="0"/>
                    <w:keepLines w:val="0"/>
                    <w:suppressLineNumbers w:val="0"/>
                    <w:spacing w:before="0" w:beforeAutospacing="0" w:after="0" w:afterAutospacing="0"/>
                    <w:ind w:left="0" w:right="0"/>
                    <w:rPr>
                      <w:b w:val="0"/>
                      <w:color w:val="auto"/>
                      <w:sz w:val="18"/>
                      <w:szCs w:val="18"/>
                    </w:rPr>
                  </w:pPr>
                  <w:r>
                    <w:rPr>
                      <w:rFonts w:hint="eastAsia"/>
                      <w:b w:val="0"/>
                      <w:color w:val="auto"/>
                      <w:sz w:val="18"/>
                      <w:szCs w:val="18"/>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195"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噪</w:t>
                  </w:r>
                </w:p>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声</w:t>
                  </w:r>
                </w:p>
              </w:tc>
              <w:tc>
                <w:tcPr>
                  <w:tcW w:w="1073" w:type="pct"/>
                  <w:gridSpan w:val="2"/>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生产设备、风机</w:t>
                  </w:r>
                </w:p>
              </w:tc>
              <w:tc>
                <w:tcPr>
                  <w:tcW w:w="591" w:type="pct"/>
                  <w:vAlign w:val="center"/>
                </w:tcPr>
                <w:p>
                  <w:pPr>
                    <w:pStyle w:val="26"/>
                    <w:keepNext w:val="0"/>
                    <w:keepLines w:val="0"/>
                    <w:suppressLineNumbers w:val="0"/>
                    <w:spacing w:before="0" w:beforeAutospacing="0" w:after="0" w:afterAutospacing="0"/>
                    <w:ind w:left="0" w:right="0" w:firstLine="480"/>
                    <w:rPr>
                      <w:b w:val="0"/>
                      <w:color w:val="auto"/>
                      <w:sz w:val="18"/>
                      <w:szCs w:val="18"/>
                    </w:rPr>
                  </w:pPr>
                  <w:r>
                    <w:rPr>
                      <w:b w:val="0"/>
                      <w:color w:val="auto"/>
                      <w:sz w:val="18"/>
                      <w:szCs w:val="18"/>
                    </w:rPr>
                    <w:t>/</w:t>
                  </w:r>
                </w:p>
              </w:tc>
              <w:tc>
                <w:tcPr>
                  <w:tcW w:w="1047"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snapToGrid w:val="0"/>
                      <w:color w:val="auto"/>
                      <w:sz w:val="18"/>
                      <w:szCs w:val="18"/>
                    </w:rPr>
                    <w:t>设备基座减震，隔音墙</w:t>
                  </w:r>
                </w:p>
              </w:tc>
              <w:tc>
                <w:tcPr>
                  <w:tcW w:w="1077"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《工业企业厂界环境噪声排放标准》（GB12348-2008）</w:t>
                  </w:r>
                </w:p>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中3类标准</w:t>
                  </w:r>
                </w:p>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昼间：65dB(A)、夜间：55dB(A)</w:t>
                  </w:r>
                </w:p>
              </w:tc>
              <w:tc>
                <w:tcPr>
                  <w:tcW w:w="383"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达标</w:t>
                  </w:r>
                </w:p>
              </w:tc>
              <w:tc>
                <w:tcPr>
                  <w:tcW w:w="279"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w:t>
                  </w:r>
                </w:p>
              </w:tc>
              <w:tc>
                <w:tcPr>
                  <w:tcW w:w="355"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39" w:hRule="atLeast"/>
              </w:trPr>
              <w:tc>
                <w:tcPr>
                  <w:tcW w:w="195" w:type="pct"/>
                  <w:vMerge w:val="restart"/>
                  <w:vAlign w:val="center"/>
                </w:tcPr>
                <w:p>
                  <w:pPr>
                    <w:pStyle w:val="26"/>
                    <w:keepNext w:val="0"/>
                    <w:keepLines w:val="0"/>
                    <w:suppressLineNumbers w:val="0"/>
                    <w:spacing w:before="0" w:beforeAutospacing="0" w:after="0" w:afterAutospacing="0"/>
                    <w:ind w:left="0" w:right="0"/>
                    <w:rPr>
                      <w:b w:val="0"/>
                      <w:color w:val="auto"/>
                      <w:sz w:val="18"/>
                      <w:szCs w:val="18"/>
                    </w:rPr>
                  </w:pPr>
                  <w:bookmarkStart w:id="109" w:name="OLE_LINK16" w:colFirst="4" w:colLast="4"/>
                  <w:r>
                    <w:rPr>
                      <w:b w:val="0"/>
                      <w:color w:val="auto"/>
                      <w:sz w:val="18"/>
                      <w:szCs w:val="18"/>
                    </w:rPr>
                    <w:t>固</w:t>
                  </w:r>
                </w:p>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废</w:t>
                  </w:r>
                </w:p>
              </w:tc>
              <w:tc>
                <w:tcPr>
                  <w:tcW w:w="1073" w:type="pct"/>
                  <w:gridSpan w:val="2"/>
                  <w:vAlign w:val="center"/>
                </w:tcPr>
                <w:p>
                  <w:pPr>
                    <w:pStyle w:val="24"/>
                    <w:keepNext w:val="0"/>
                    <w:keepLines w:val="0"/>
                    <w:suppressLineNumbers w:val="0"/>
                    <w:spacing w:before="0" w:beforeAutospacing="0" w:after="0" w:afterAutospacing="0"/>
                    <w:ind w:left="0" w:right="0"/>
                    <w:rPr>
                      <w:rFonts w:ascii="宋体" w:hAnsi="宋体" w:eastAsia="宋体" w:cs="宋体"/>
                      <w:sz w:val="18"/>
                      <w:szCs w:val="18"/>
                    </w:rPr>
                  </w:pPr>
                  <w:r>
                    <w:rPr>
                      <w:rFonts w:hint="eastAsia" w:ascii="宋体" w:hAnsi="宋体" w:eastAsia="宋体" w:cs="宋体"/>
                      <w:sz w:val="18"/>
                      <w:szCs w:val="18"/>
                    </w:rPr>
                    <w:t>金属边角料</w:t>
                  </w:r>
                </w:p>
              </w:tc>
              <w:tc>
                <w:tcPr>
                  <w:tcW w:w="591" w:type="pct"/>
                  <w:vMerge w:val="restar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0</w:t>
                  </w:r>
                </w:p>
              </w:tc>
              <w:tc>
                <w:tcPr>
                  <w:tcW w:w="1047"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收集后</w:t>
                  </w:r>
                  <w:r>
                    <w:rPr>
                      <w:rFonts w:hint="eastAsia"/>
                      <w:b w:val="0"/>
                      <w:color w:val="auto"/>
                      <w:sz w:val="18"/>
                      <w:szCs w:val="18"/>
                    </w:rPr>
                    <w:t>外售</w:t>
                  </w:r>
                </w:p>
              </w:tc>
              <w:tc>
                <w:tcPr>
                  <w:tcW w:w="1077"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w:t>
                  </w:r>
                </w:p>
              </w:tc>
              <w:tc>
                <w:tcPr>
                  <w:tcW w:w="383"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综合利用</w:t>
                  </w:r>
                </w:p>
              </w:tc>
              <w:tc>
                <w:tcPr>
                  <w:tcW w:w="279" w:type="pct"/>
                  <w:vMerge w:val="restart"/>
                  <w:vAlign w:val="center"/>
                </w:tcPr>
                <w:p>
                  <w:pPr>
                    <w:pStyle w:val="26"/>
                    <w:keepNext w:val="0"/>
                    <w:keepLines w:val="0"/>
                    <w:suppressLineNumbers w:val="0"/>
                    <w:spacing w:before="0" w:beforeAutospacing="0" w:after="0" w:afterAutospacing="0"/>
                    <w:ind w:left="0" w:right="0" w:firstLine="480"/>
                    <w:rPr>
                      <w:b w:val="0"/>
                      <w:color w:val="auto"/>
                      <w:sz w:val="18"/>
                      <w:szCs w:val="18"/>
                    </w:rPr>
                  </w:pPr>
                  <w:r>
                    <w:rPr>
                      <w:b w:val="0"/>
                      <w:color w:val="auto"/>
                      <w:sz w:val="18"/>
                      <w:szCs w:val="18"/>
                    </w:rPr>
                    <w:t>/</w:t>
                  </w:r>
                </w:p>
              </w:tc>
              <w:tc>
                <w:tcPr>
                  <w:tcW w:w="355" w:type="pct"/>
                  <w:vMerge w:val="restar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处置率100%</w:t>
                  </w:r>
                </w:p>
                <w:p>
                  <w:pPr>
                    <w:pStyle w:val="26"/>
                    <w:keepNext w:val="0"/>
                    <w:keepLines w:val="0"/>
                    <w:suppressLineNumbers w:val="0"/>
                    <w:spacing w:before="0" w:beforeAutospacing="0" w:after="0" w:afterAutospacing="0"/>
                    <w:ind w:left="0" w:right="0" w:firstLine="480"/>
                    <w:rPr>
                      <w:b w:val="0"/>
                      <w:color w:val="auto"/>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95"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1073" w:type="pct"/>
                  <w:gridSpan w:val="2"/>
                  <w:vAlign w:val="center"/>
                </w:tcPr>
                <w:p>
                  <w:pPr>
                    <w:pStyle w:val="24"/>
                    <w:keepNext w:val="0"/>
                    <w:keepLines w:val="0"/>
                    <w:suppressLineNumbers w:val="0"/>
                    <w:spacing w:before="0" w:beforeAutospacing="0" w:after="0" w:afterAutospacing="0"/>
                    <w:ind w:left="0" w:right="0"/>
                    <w:rPr>
                      <w:rFonts w:ascii="宋体" w:hAnsi="宋体" w:eastAsia="宋体" w:cs="宋体"/>
                      <w:sz w:val="18"/>
                      <w:szCs w:val="18"/>
                    </w:rPr>
                  </w:pPr>
                  <w:r>
                    <w:rPr>
                      <w:rFonts w:hint="eastAsia" w:ascii="宋体" w:hAnsi="宋体" w:eastAsia="宋体" w:cs="宋体"/>
                      <w:sz w:val="18"/>
                      <w:szCs w:val="18"/>
                    </w:rPr>
                    <w:t>废包装材料</w:t>
                  </w:r>
                </w:p>
              </w:tc>
              <w:tc>
                <w:tcPr>
                  <w:tcW w:w="591"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1047"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收集后</w:t>
                  </w:r>
                  <w:r>
                    <w:rPr>
                      <w:rFonts w:hint="eastAsia"/>
                      <w:b w:val="0"/>
                      <w:color w:val="auto"/>
                      <w:sz w:val="18"/>
                      <w:szCs w:val="18"/>
                    </w:rPr>
                    <w:t>外售</w:t>
                  </w:r>
                </w:p>
              </w:tc>
              <w:tc>
                <w:tcPr>
                  <w:tcW w:w="1077" w:type="pct"/>
                  <w:vMerge w:val="restar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w:t>
                  </w:r>
                </w:p>
              </w:tc>
              <w:tc>
                <w:tcPr>
                  <w:tcW w:w="383"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综合利用</w:t>
                  </w:r>
                </w:p>
              </w:tc>
              <w:tc>
                <w:tcPr>
                  <w:tcW w:w="279"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355"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95"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1073" w:type="pct"/>
                  <w:gridSpan w:val="2"/>
                  <w:vAlign w:val="center"/>
                </w:tcPr>
                <w:p>
                  <w:pPr>
                    <w:pStyle w:val="24"/>
                    <w:keepNext w:val="0"/>
                    <w:keepLines w:val="0"/>
                    <w:suppressLineNumbers w:val="0"/>
                    <w:spacing w:before="0" w:beforeAutospacing="0" w:after="0" w:afterAutospacing="0"/>
                    <w:ind w:left="0" w:right="0"/>
                    <w:rPr>
                      <w:rFonts w:ascii="宋体" w:hAnsi="宋体" w:eastAsia="宋体" w:cs="宋体"/>
                      <w:sz w:val="18"/>
                      <w:szCs w:val="18"/>
                    </w:rPr>
                  </w:pPr>
                  <w:r>
                    <w:rPr>
                      <w:rFonts w:hint="eastAsia" w:ascii="宋体" w:hAnsi="宋体" w:eastAsia="宋体" w:cs="宋体"/>
                      <w:sz w:val="18"/>
                      <w:szCs w:val="18"/>
                    </w:rPr>
                    <w:t>除尘器收集粉尘</w:t>
                  </w:r>
                </w:p>
              </w:tc>
              <w:tc>
                <w:tcPr>
                  <w:tcW w:w="591"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1047"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收集后</w:t>
                  </w:r>
                  <w:r>
                    <w:rPr>
                      <w:rFonts w:hint="eastAsia"/>
                      <w:b w:val="0"/>
                      <w:color w:val="auto"/>
                      <w:sz w:val="18"/>
                      <w:szCs w:val="18"/>
                    </w:rPr>
                    <w:t>外售</w:t>
                  </w:r>
                </w:p>
              </w:tc>
              <w:tc>
                <w:tcPr>
                  <w:tcW w:w="1077"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383"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综合利用</w:t>
                  </w:r>
                </w:p>
              </w:tc>
              <w:tc>
                <w:tcPr>
                  <w:tcW w:w="279"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355"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95"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1073" w:type="pct"/>
                  <w:gridSpan w:val="2"/>
                  <w:vAlign w:val="center"/>
                </w:tcPr>
                <w:p>
                  <w:pPr>
                    <w:pStyle w:val="24"/>
                    <w:keepNext w:val="0"/>
                    <w:keepLines w:val="0"/>
                    <w:suppressLineNumbers w:val="0"/>
                    <w:spacing w:before="0" w:beforeAutospacing="0" w:after="0" w:afterAutospacing="0"/>
                    <w:ind w:left="0" w:right="0"/>
                    <w:rPr>
                      <w:rFonts w:ascii="宋体" w:hAnsi="宋体" w:eastAsia="宋体" w:cs="宋体"/>
                      <w:sz w:val="18"/>
                      <w:szCs w:val="18"/>
                    </w:rPr>
                  </w:pPr>
                  <w:r>
                    <w:rPr>
                      <w:rFonts w:hint="eastAsia" w:ascii="宋体" w:hAnsi="宋体" w:eastAsia="宋体" w:cs="宋体"/>
                      <w:sz w:val="18"/>
                      <w:szCs w:val="18"/>
                    </w:rPr>
                    <w:t>焊渣</w:t>
                  </w:r>
                </w:p>
              </w:tc>
              <w:tc>
                <w:tcPr>
                  <w:tcW w:w="591"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1047"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收集后</w:t>
                  </w:r>
                  <w:r>
                    <w:rPr>
                      <w:rFonts w:hint="eastAsia"/>
                      <w:b w:val="0"/>
                      <w:color w:val="auto"/>
                      <w:sz w:val="18"/>
                      <w:szCs w:val="18"/>
                    </w:rPr>
                    <w:t>外售</w:t>
                  </w:r>
                </w:p>
              </w:tc>
              <w:tc>
                <w:tcPr>
                  <w:tcW w:w="1077"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w:t>
                  </w:r>
                </w:p>
              </w:tc>
              <w:tc>
                <w:tcPr>
                  <w:tcW w:w="383"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综合利用</w:t>
                  </w:r>
                </w:p>
              </w:tc>
              <w:tc>
                <w:tcPr>
                  <w:tcW w:w="279"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355"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195"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1073" w:type="pct"/>
                  <w:gridSpan w:val="2"/>
                  <w:vAlign w:val="center"/>
                </w:tcPr>
                <w:p>
                  <w:pPr>
                    <w:pStyle w:val="24"/>
                    <w:keepNext w:val="0"/>
                    <w:keepLines w:val="0"/>
                    <w:suppressLineNumbers w:val="0"/>
                    <w:spacing w:before="0" w:beforeAutospacing="0" w:after="0" w:afterAutospacing="0"/>
                    <w:ind w:left="0" w:right="0"/>
                    <w:rPr>
                      <w:rFonts w:ascii="宋体" w:hAnsi="宋体" w:eastAsia="宋体" w:cs="宋体"/>
                      <w:sz w:val="18"/>
                      <w:szCs w:val="18"/>
                    </w:rPr>
                  </w:pPr>
                  <w:r>
                    <w:rPr>
                      <w:rFonts w:hint="eastAsia" w:ascii="宋体" w:hAnsi="宋体" w:eastAsia="宋体" w:cs="宋体"/>
                      <w:sz w:val="18"/>
                      <w:szCs w:val="18"/>
                    </w:rPr>
                    <w:t>生活垃圾</w:t>
                  </w:r>
                </w:p>
              </w:tc>
              <w:tc>
                <w:tcPr>
                  <w:tcW w:w="591"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1047"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收集清运由环卫部门处理</w:t>
                  </w:r>
                </w:p>
              </w:tc>
              <w:tc>
                <w:tcPr>
                  <w:tcW w:w="1077"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《一般工业固体废物贮存、处置场污染控制标准》（GB18599-2001）及其修改单</w:t>
                  </w:r>
                </w:p>
              </w:tc>
              <w:tc>
                <w:tcPr>
                  <w:tcW w:w="383"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妥善处置</w:t>
                  </w:r>
                </w:p>
              </w:tc>
              <w:tc>
                <w:tcPr>
                  <w:tcW w:w="279"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355"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r>
            <w:bookmarkEnd w:id="109"/>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195"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1073" w:type="pct"/>
                  <w:gridSpan w:val="2"/>
                  <w:vAlign w:val="center"/>
                </w:tcPr>
                <w:p>
                  <w:pPr>
                    <w:pStyle w:val="24"/>
                    <w:keepNext w:val="0"/>
                    <w:keepLines w:val="0"/>
                    <w:suppressLineNumbers w:val="0"/>
                    <w:spacing w:before="0" w:beforeAutospacing="0" w:after="0" w:afterAutospacing="0"/>
                    <w:ind w:left="0" w:right="0"/>
                    <w:rPr>
                      <w:rFonts w:ascii="宋体" w:hAnsi="宋体" w:eastAsia="宋体" w:cs="宋体"/>
                      <w:sz w:val="18"/>
                      <w:szCs w:val="18"/>
                    </w:rPr>
                  </w:pPr>
                  <w:r>
                    <w:rPr>
                      <w:rFonts w:hint="eastAsia" w:ascii="宋体" w:hAnsi="宋体" w:eastAsia="宋体" w:cs="宋体"/>
                      <w:sz w:val="18"/>
                      <w:szCs w:val="18"/>
                    </w:rPr>
                    <w:t>废机油</w:t>
                  </w:r>
                </w:p>
              </w:tc>
              <w:tc>
                <w:tcPr>
                  <w:tcW w:w="591"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1047" w:type="pct"/>
                  <w:vMerge w:val="restar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收集暂存于危废暂存间，交有资质单位清运处理</w:t>
                  </w:r>
                </w:p>
              </w:tc>
              <w:tc>
                <w:tcPr>
                  <w:tcW w:w="1077"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w:t>
                  </w:r>
                </w:p>
              </w:tc>
              <w:tc>
                <w:tcPr>
                  <w:tcW w:w="383" w:type="pct"/>
                  <w:vMerge w:val="restar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妥善处置</w:t>
                  </w:r>
                </w:p>
              </w:tc>
              <w:tc>
                <w:tcPr>
                  <w:tcW w:w="279"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355"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195"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1073" w:type="pct"/>
                  <w:gridSpan w:val="2"/>
                  <w:vAlign w:val="center"/>
                </w:tcPr>
                <w:p>
                  <w:pPr>
                    <w:pStyle w:val="24"/>
                    <w:keepNext w:val="0"/>
                    <w:keepLines w:val="0"/>
                    <w:suppressLineNumbers w:val="0"/>
                    <w:spacing w:before="0" w:beforeAutospacing="0" w:after="0" w:afterAutospacing="0"/>
                    <w:ind w:left="0" w:right="0"/>
                    <w:rPr>
                      <w:rFonts w:ascii="宋体" w:hAnsi="宋体" w:eastAsia="宋体" w:cs="宋体"/>
                      <w:sz w:val="18"/>
                      <w:szCs w:val="18"/>
                    </w:rPr>
                  </w:pPr>
                  <w:r>
                    <w:rPr>
                      <w:rFonts w:hint="eastAsia" w:ascii="宋体" w:hAnsi="宋体" w:eastAsia="宋体" w:cs="宋体"/>
                      <w:sz w:val="18"/>
                      <w:szCs w:val="18"/>
                    </w:rPr>
                    <w:t>废原料桶</w:t>
                  </w:r>
                </w:p>
              </w:tc>
              <w:tc>
                <w:tcPr>
                  <w:tcW w:w="591" w:type="pct"/>
                  <w:vMerge w:val="continue"/>
                  <w:vAlign w:val="center"/>
                </w:tcPr>
                <w:p>
                  <w:pPr>
                    <w:pStyle w:val="26"/>
                    <w:keepNext w:val="0"/>
                    <w:keepLines w:val="0"/>
                    <w:suppressLineNumbers w:val="0"/>
                    <w:spacing w:before="0" w:beforeAutospacing="0" w:after="0" w:afterAutospacing="0"/>
                    <w:ind w:left="0" w:right="0"/>
                    <w:rPr>
                      <w:b w:val="0"/>
                      <w:color w:val="auto"/>
                      <w:sz w:val="18"/>
                      <w:szCs w:val="18"/>
                    </w:rPr>
                  </w:pPr>
                </w:p>
              </w:tc>
              <w:tc>
                <w:tcPr>
                  <w:tcW w:w="1047" w:type="pct"/>
                  <w:vMerge w:val="continue"/>
                  <w:vAlign w:val="center"/>
                </w:tcPr>
                <w:p>
                  <w:pPr>
                    <w:pStyle w:val="26"/>
                    <w:keepNext w:val="0"/>
                    <w:keepLines w:val="0"/>
                    <w:suppressLineNumbers w:val="0"/>
                    <w:spacing w:before="0" w:beforeAutospacing="0" w:after="0" w:afterAutospacing="0"/>
                    <w:ind w:left="0" w:right="0"/>
                    <w:rPr>
                      <w:b w:val="0"/>
                      <w:color w:val="auto"/>
                      <w:sz w:val="18"/>
                      <w:szCs w:val="18"/>
                    </w:rPr>
                  </w:pPr>
                </w:p>
              </w:tc>
              <w:tc>
                <w:tcPr>
                  <w:tcW w:w="1077"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w:t>
                  </w:r>
                </w:p>
              </w:tc>
              <w:tc>
                <w:tcPr>
                  <w:tcW w:w="383" w:type="pct"/>
                  <w:vMerge w:val="continue"/>
                  <w:vAlign w:val="center"/>
                </w:tcPr>
                <w:p>
                  <w:pPr>
                    <w:pStyle w:val="26"/>
                    <w:keepNext w:val="0"/>
                    <w:keepLines w:val="0"/>
                    <w:suppressLineNumbers w:val="0"/>
                    <w:spacing w:before="0" w:beforeAutospacing="0" w:after="0" w:afterAutospacing="0"/>
                    <w:ind w:left="0" w:right="0"/>
                    <w:rPr>
                      <w:b w:val="0"/>
                      <w:color w:val="auto"/>
                      <w:sz w:val="18"/>
                      <w:szCs w:val="18"/>
                    </w:rPr>
                  </w:pPr>
                </w:p>
              </w:tc>
              <w:tc>
                <w:tcPr>
                  <w:tcW w:w="279" w:type="pct"/>
                  <w:vMerge w:val="restart"/>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355"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195" w:type="pct"/>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1073" w:type="pct"/>
                  <w:gridSpan w:val="2"/>
                  <w:vAlign w:val="center"/>
                </w:tcPr>
                <w:p>
                  <w:pPr>
                    <w:pStyle w:val="24"/>
                    <w:keepNext w:val="0"/>
                    <w:keepLines w:val="0"/>
                    <w:suppressLineNumbers w:val="0"/>
                    <w:spacing w:before="0" w:beforeAutospacing="0" w:after="0" w:afterAutospacing="0"/>
                    <w:ind w:left="0" w:right="0"/>
                    <w:rPr>
                      <w:rFonts w:ascii="宋体" w:hAnsi="宋体" w:eastAsia="宋体" w:cs="宋体"/>
                      <w:sz w:val="18"/>
                      <w:szCs w:val="18"/>
                    </w:rPr>
                  </w:pPr>
                  <w:r>
                    <w:rPr>
                      <w:rFonts w:hint="eastAsia" w:ascii="宋体" w:hAnsi="宋体" w:eastAsia="宋体" w:cs="宋体"/>
                      <w:sz w:val="18"/>
                      <w:szCs w:val="18"/>
                    </w:rPr>
                    <w:t>废活性炭、废过滤棉</w:t>
                  </w:r>
                </w:p>
              </w:tc>
              <w:tc>
                <w:tcPr>
                  <w:tcW w:w="591" w:type="pct"/>
                  <w:vMerge w:val="continue"/>
                  <w:vAlign w:val="center"/>
                </w:tcPr>
                <w:p>
                  <w:pPr>
                    <w:pStyle w:val="26"/>
                    <w:keepNext w:val="0"/>
                    <w:keepLines w:val="0"/>
                    <w:suppressLineNumbers w:val="0"/>
                    <w:spacing w:before="0" w:beforeAutospacing="0" w:after="0" w:afterAutospacing="0"/>
                    <w:ind w:left="0" w:right="0"/>
                    <w:rPr>
                      <w:b w:val="0"/>
                      <w:color w:val="auto"/>
                      <w:sz w:val="18"/>
                      <w:szCs w:val="18"/>
                    </w:rPr>
                  </w:pPr>
                </w:p>
              </w:tc>
              <w:tc>
                <w:tcPr>
                  <w:tcW w:w="1047" w:type="pct"/>
                  <w:vMerge w:val="continue"/>
                  <w:vAlign w:val="center"/>
                </w:tcPr>
                <w:p>
                  <w:pPr>
                    <w:pStyle w:val="26"/>
                    <w:keepNext w:val="0"/>
                    <w:keepLines w:val="0"/>
                    <w:suppressLineNumbers w:val="0"/>
                    <w:spacing w:before="0" w:beforeAutospacing="0" w:after="0" w:afterAutospacing="0"/>
                    <w:ind w:left="0" w:right="0"/>
                    <w:rPr>
                      <w:b w:val="0"/>
                      <w:color w:val="auto"/>
                      <w:sz w:val="18"/>
                      <w:szCs w:val="18"/>
                    </w:rPr>
                  </w:pPr>
                </w:p>
              </w:tc>
              <w:tc>
                <w:tcPr>
                  <w:tcW w:w="1077" w:type="pct"/>
                  <w:vAlign w:val="center"/>
                </w:tcPr>
                <w:p>
                  <w:pPr>
                    <w:pStyle w:val="26"/>
                    <w:keepNext w:val="0"/>
                    <w:keepLines w:val="0"/>
                    <w:suppressLineNumbers w:val="0"/>
                    <w:spacing w:before="0" w:beforeAutospacing="0" w:after="0" w:afterAutospacing="0"/>
                    <w:ind w:left="0" w:right="0"/>
                    <w:rPr>
                      <w:b w:val="0"/>
                      <w:color w:val="auto"/>
                      <w:sz w:val="18"/>
                      <w:szCs w:val="18"/>
                    </w:rPr>
                  </w:pPr>
                  <w:r>
                    <w:rPr>
                      <w:b w:val="0"/>
                      <w:color w:val="auto"/>
                      <w:sz w:val="18"/>
                      <w:szCs w:val="18"/>
                    </w:rPr>
                    <w:t>/</w:t>
                  </w:r>
                </w:p>
              </w:tc>
              <w:tc>
                <w:tcPr>
                  <w:tcW w:w="383" w:type="pct"/>
                  <w:vMerge w:val="continue"/>
                  <w:vAlign w:val="center"/>
                </w:tcPr>
                <w:p>
                  <w:pPr>
                    <w:pStyle w:val="26"/>
                    <w:keepNext w:val="0"/>
                    <w:keepLines w:val="0"/>
                    <w:suppressLineNumbers w:val="0"/>
                    <w:spacing w:before="0" w:beforeAutospacing="0" w:after="0" w:afterAutospacing="0"/>
                    <w:ind w:left="0" w:right="0"/>
                    <w:rPr>
                      <w:b w:val="0"/>
                      <w:color w:val="auto"/>
                      <w:sz w:val="18"/>
                      <w:szCs w:val="18"/>
                    </w:rPr>
                  </w:pPr>
                </w:p>
              </w:tc>
              <w:tc>
                <w:tcPr>
                  <w:tcW w:w="279"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c>
                <w:tcPr>
                  <w:tcW w:w="355" w:type="pct"/>
                  <w:vMerge w:val="continue"/>
                  <w:vAlign w:val="center"/>
                </w:tcPr>
                <w:p>
                  <w:pPr>
                    <w:pStyle w:val="26"/>
                    <w:keepNext w:val="0"/>
                    <w:keepLines w:val="0"/>
                    <w:suppressLineNumbers w:val="0"/>
                    <w:spacing w:before="0" w:beforeAutospacing="0" w:after="0" w:afterAutospacing="0"/>
                    <w:ind w:left="0" w:right="0" w:firstLine="480"/>
                    <w:rPr>
                      <w:b w:val="0"/>
                      <w:color w:val="auto"/>
                      <w:sz w:val="18"/>
                      <w:szCs w:val="18"/>
                    </w:rPr>
                  </w:pPr>
                </w:p>
              </w:tc>
            </w:tr>
          </w:tbl>
          <w:p>
            <w:pPr>
              <w:pStyle w:val="2"/>
              <w:keepNext w:val="0"/>
              <w:keepLines w:val="0"/>
              <w:suppressLineNumbers w:val="0"/>
              <w:spacing w:before="0" w:beforeAutospacing="0" w:after="0" w:afterAutospacing="0"/>
              <w:ind w:left="0" w:right="0" w:firstLine="0" w:firstLineChars="0"/>
              <w:jc w:val="both"/>
            </w:pPr>
          </w:p>
          <w:p>
            <w:pPr>
              <w:keepNext w:val="0"/>
              <w:keepLines w:val="0"/>
              <w:suppressLineNumbers w:val="0"/>
              <w:spacing w:before="0" w:beforeAutospacing="0" w:after="0" w:afterAutospacing="0"/>
              <w:ind w:left="0" w:right="0" w:firstLine="480"/>
            </w:pPr>
          </w:p>
          <w:p>
            <w:pPr>
              <w:pStyle w:val="2"/>
              <w:keepNext w:val="0"/>
              <w:keepLines w:val="0"/>
              <w:suppressLineNumbers w:val="0"/>
              <w:spacing w:before="0" w:beforeAutospacing="0" w:after="0" w:afterAutospacing="0"/>
              <w:ind w:left="0" w:right="0" w:firstLine="480"/>
            </w:pPr>
          </w:p>
          <w:p>
            <w:pPr>
              <w:keepNext w:val="0"/>
              <w:keepLines w:val="0"/>
              <w:suppressLineNumbers w:val="0"/>
              <w:spacing w:before="0" w:beforeAutospacing="0" w:after="0" w:afterAutospacing="0"/>
              <w:ind w:left="0" w:right="0" w:firstLine="480"/>
            </w:pPr>
          </w:p>
          <w:p>
            <w:pPr>
              <w:pStyle w:val="11"/>
              <w:keepNext w:val="0"/>
              <w:keepLines w:val="0"/>
              <w:suppressLineNumbers w:val="0"/>
              <w:spacing w:before="0" w:beforeAutospacing="0" w:after="0" w:afterAutospacing="0"/>
              <w:ind w:left="0" w:right="0" w:firstLine="480"/>
            </w:pPr>
          </w:p>
          <w:p>
            <w:pPr>
              <w:pStyle w:val="2"/>
              <w:keepNext w:val="0"/>
              <w:keepLines w:val="0"/>
              <w:suppressLineNumbers w:val="0"/>
              <w:spacing w:before="0" w:beforeAutospacing="0" w:after="0" w:afterAutospacing="0"/>
              <w:ind w:left="0" w:right="0" w:firstLine="0" w:firstLineChars="0"/>
            </w:pPr>
          </w:p>
          <w:p>
            <w:pPr>
              <w:pStyle w:val="2"/>
              <w:keepNext w:val="0"/>
              <w:keepLines w:val="0"/>
              <w:suppressLineNumbers w:val="0"/>
              <w:spacing w:before="0" w:beforeAutospacing="0" w:after="0" w:afterAutospacing="0"/>
              <w:ind w:left="0" w:right="0" w:firstLine="0" w:firstLineChars="0"/>
            </w:pPr>
          </w:p>
        </w:tc>
      </w:tr>
    </w:tbl>
    <w:p>
      <w:pPr>
        <w:pStyle w:val="3"/>
        <w:jc w:val="both"/>
      </w:pPr>
      <w:bookmarkStart w:id="110" w:name="_Toc7353"/>
      <w:bookmarkStart w:id="111" w:name="_Toc16021"/>
      <w:bookmarkStart w:id="112" w:name="_Toc29352"/>
      <w:bookmarkStart w:id="113" w:name="_Toc6816"/>
      <w:bookmarkStart w:id="114" w:name="_Toc20454"/>
      <w:bookmarkStart w:id="115" w:name="_Toc32030"/>
      <w:r>
        <w:t>表八  建设项目拟采取的防治措施及预期治理效果</w:t>
      </w:r>
      <w:bookmarkEnd w:id="110"/>
      <w:bookmarkEnd w:id="111"/>
      <w:bookmarkEnd w:id="112"/>
      <w:bookmarkEnd w:id="113"/>
      <w:bookmarkEnd w:id="114"/>
      <w:bookmarkEnd w:id="115"/>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
        <w:gridCol w:w="426"/>
        <w:gridCol w:w="2027"/>
        <w:gridCol w:w="1113"/>
        <w:gridCol w:w="1788"/>
        <w:gridCol w:w="22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550" w:type="pct"/>
            <w:tcBorders>
              <w:bottom w:val="single" w:color="auto" w:sz="4" w:space="0"/>
              <w:tl2br w:val="single" w:color="auto" w:sz="4" w:space="0"/>
            </w:tcBorders>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内容</w:t>
            </w:r>
          </w:p>
          <w:p>
            <w:pPr>
              <w:pStyle w:val="2"/>
              <w:keepNext w:val="0"/>
              <w:keepLines w:val="0"/>
              <w:suppressLineNumbers w:val="0"/>
              <w:spacing w:before="0" w:beforeAutospacing="0" w:after="0" w:afterAutospacing="0" w:line="240" w:lineRule="auto"/>
              <w:ind w:left="0" w:right="0" w:firstLine="420"/>
              <w:jc w:val="center"/>
              <w:rPr>
                <w:sz w:val="21"/>
                <w:szCs w:val="21"/>
              </w:rPr>
            </w:pPr>
          </w:p>
          <w:p>
            <w:pPr>
              <w:pStyle w:val="2"/>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类别</w:t>
            </w:r>
          </w:p>
        </w:tc>
        <w:tc>
          <w:tcPr>
            <w:tcW w:w="1439" w:type="pct"/>
            <w:gridSpan w:val="2"/>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排放源</w:t>
            </w:r>
          </w:p>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（编号）</w:t>
            </w: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污染物</w:t>
            </w:r>
          </w:p>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名称</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防治措施</w:t>
            </w:r>
          </w:p>
        </w:tc>
        <w:tc>
          <w:tcPr>
            <w:tcW w:w="130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预期治理效果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550" w:type="pct"/>
            <w:vMerge w:val="restart"/>
            <w:tcBorders>
              <w:tl2br w:val="nil"/>
            </w:tcBorders>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大气污染物</w:t>
            </w:r>
          </w:p>
        </w:tc>
        <w:tc>
          <w:tcPr>
            <w:tcW w:w="250"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施工期</w:t>
            </w: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施工作业</w:t>
            </w: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粉尘、扬尘</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洒水降尘</w:t>
            </w:r>
          </w:p>
        </w:tc>
        <w:tc>
          <w:tcPr>
            <w:tcW w:w="130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对环境影响较小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highlight w:val="red"/>
              </w:rPr>
            </w:pPr>
          </w:p>
        </w:tc>
        <w:tc>
          <w:tcPr>
            <w:tcW w:w="250"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营运期</w:t>
            </w:r>
          </w:p>
        </w:tc>
        <w:tc>
          <w:tcPr>
            <w:tcW w:w="1189" w:type="pct"/>
            <w:vMerge w:val="restart"/>
            <w:vAlign w:val="center"/>
          </w:tcPr>
          <w:p>
            <w:pPr>
              <w:keepNext w:val="0"/>
              <w:keepLines w:val="0"/>
              <w:suppressLineNumbers w:val="0"/>
              <w:spacing w:before="0" w:beforeAutospacing="0" w:after="0" w:afterAutospacing="0" w:line="240" w:lineRule="auto"/>
              <w:ind w:left="0" w:right="-120" w:rightChars="-50" w:firstLine="0" w:firstLineChars="0"/>
              <w:jc w:val="center"/>
              <w:rPr>
                <w:sz w:val="21"/>
                <w:szCs w:val="21"/>
              </w:rPr>
            </w:pPr>
            <w:r>
              <w:rPr>
                <w:rFonts w:hint="eastAsia"/>
                <w:sz w:val="21"/>
                <w:szCs w:val="21"/>
              </w:rPr>
              <w:t>喷漆</w:t>
            </w: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VOC</w:t>
            </w:r>
            <w:r>
              <w:rPr>
                <w:rFonts w:hint="eastAsia"/>
                <w:sz w:val="21"/>
                <w:szCs w:val="21"/>
                <w:vertAlign w:val="subscript"/>
              </w:rPr>
              <w:t>S</w:t>
            </w:r>
          </w:p>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(有组织）</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各喷漆房分别经管道收集，最终设置1套“负压风机（风机风量10000m</w:t>
            </w:r>
            <w:r>
              <w:rPr>
                <w:rFonts w:hint="eastAsia"/>
                <w:sz w:val="21"/>
                <w:szCs w:val="21"/>
                <w:vertAlign w:val="superscript"/>
              </w:rPr>
              <w:t>3</w:t>
            </w:r>
            <w:r>
              <w:rPr>
                <w:rFonts w:hint="eastAsia"/>
                <w:sz w:val="21"/>
                <w:szCs w:val="21"/>
              </w:rPr>
              <w:t>/h）+过滤棉+活性炭吸附理装置（挥发性有机物去除率80%）+15m高排气筒”</w:t>
            </w:r>
          </w:p>
        </w:tc>
        <w:tc>
          <w:tcPr>
            <w:tcW w:w="130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有组织排放达到</w:t>
            </w:r>
            <w:r>
              <w:rPr>
                <w:sz w:val="21"/>
                <w:szCs w:val="21"/>
              </w:rPr>
              <w:t>《大气污染物综合排放标准》（GB16297-1996）二级标准限值要求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highlight w:val="red"/>
              </w:rPr>
            </w:pPr>
          </w:p>
        </w:tc>
        <w:tc>
          <w:tcPr>
            <w:tcW w:w="250" w:type="pct"/>
            <w:vMerge w:val="continue"/>
            <w:vAlign w:val="center"/>
          </w:tcPr>
          <w:p>
            <w:pPr>
              <w:keepNext w:val="0"/>
              <w:keepLines w:val="0"/>
              <w:suppressLineNumbers w:val="0"/>
              <w:spacing w:before="0" w:beforeAutospacing="0" w:after="0" w:afterAutospacing="0" w:line="240" w:lineRule="auto"/>
              <w:ind w:left="-120" w:leftChars="-50" w:right="-120" w:rightChars="-50" w:firstLine="420"/>
              <w:jc w:val="center"/>
              <w:rPr>
                <w:sz w:val="21"/>
                <w:szCs w:val="21"/>
              </w:rPr>
            </w:pPr>
          </w:p>
        </w:tc>
        <w:tc>
          <w:tcPr>
            <w:tcW w:w="1189" w:type="pct"/>
            <w:vMerge w:val="continue"/>
            <w:vAlign w:val="center"/>
          </w:tcPr>
          <w:p>
            <w:pPr>
              <w:keepNext w:val="0"/>
              <w:keepLines w:val="0"/>
              <w:suppressLineNumbers w:val="0"/>
              <w:spacing w:before="0" w:beforeAutospacing="0" w:after="0" w:afterAutospacing="0" w:line="240" w:lineRule="auto"/>
              <w:ind w:left="-120" w:leftChars="-50" w:right="-120" w:rightChars="-50" w:firstLine="420"/>
              <w:jc w:val="center"/>
              <w:rPr>
                <w:sz w:val="21"/>
                <w:szCs w:val="21"/>
              </w:rPr>
            </w:pP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VOC</w:t>
            </w:r>
            <w:r>
              <w:rPr>
                <w:rFonts w:hint="eastAsia"/>
                <w:sz w:val="21"/>
                <w:szCs w:val="21"/>
                <w:vertAlign w:val="subscript"/>
              </w:rPr>
              <w:t>S</w:t>
            </w:r>
          </w:p>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(无组织）</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车间通风</w:t>
            </w:r>
          </w:p>
        </w:tc>
        <w:tc>
          <w:tcPr>
            <w:tcW w:w="130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达到</w:t>
            </w:r>
            <w:r>
              <w:rPr>
                <w:sz w:val="21"/>
                <w:szCs w:val="21"/>
              </w:rPr>
              <w:t>挥发性有机物无组织排放控制标准》（GB37822-2019）“厂区内监控点任意一次NMHC值”的要求</w:t>
            </w:r>
            <w:r>
              <w:rPr>
                <w:kern w:val="0"/>
                <w:sz w:val="21"/>
                <w:szCs w:val="21"/>
                <w:lang w:val="zh-CN"/>
              </w:rPr>
              <w:t>浓度限30mg/m</w:t>
            </w:r>
            <w:r>
              <w:rPr>
                <w:kern w:val="0"/>
                <w:sz w:val="21"/>
                <w:szCs w:val="21"/>
                <w:vertAlign w:val="superscript"/>
                <w:lang w:val="zh-CN"/>
              </w:rPr>
              <w:t>3</w:t>
            </w:r>
            <w:r>
              <w:rPr>
                <w:kern w:val="0"/>
                <w:sz w:val="21"/>
                <w:szCs w:val="21"/>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highlight w:val="red"/>
              </w:rPr>
            </w:pPr>
          </w:p>
        </w:tc>
        <w:tc>
          <w:tcPr>
            <w:tcW w:w="250" w:type="pct"/>
            <w:vMerge w:val="continue"/>
            <w:vAlign w:val="center"/>
          </w:tcPr>
          <w:p>
            <w:pPr>
              <w:keepNext w:val="0"/>
              <w:keepLines w:val="0"/>
              <w:suppressLineNumbers w:val="0"/>
              <w:spacing w:before="0" w:beforeAutospacing="0" w:after="0" w:afterAutospacing="0" w:line="240" w:lineRule="auto"/>
              <w:ind w:left="-120" w:leftChars="-50" w:right="-120" w:rightChars="-50" w:firstLine="420"/>
              <w:jc w:val="center"/>
              <w:rPr>
                <w:sz w:val="21"/>
                <w:szCs w:val="21"/>
              </w:rPr>
            </w:pPr>
          </w:p>
        </w:tc>
        <w:tc>
          <w:tcPr>
            <w:tcW w:w="1189" w:type="pct"/>
            <w:vMerge w:val="continue"/>
            <w:vAlign w:val="center"/>
          </w:tcPr>
          <w:p>
            <w:pPr>
              <w:keepNext w:val="0"/>
              <w:keepLines w:val="0"/>
              <w:suppressLineNumbers w:val="0"/>
              <w:spacing w:before="0" w:beforeAutospacing="0" w:after="0" w:afterAutospacing="0" w:line="240" w:lineRule="auto"/>
              <w:ind w:left="-120" w:leftChars="-50" w:right="-120" w:rightChars="-50" w:firstLine="420"/>
              <w:jc w:val="center"/>
              <w:rPr>
                <w:sz w:val="21"/>
                <w:szCs w:val="21"/>
              </w:rPr>
            </w:pP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漆雾</w:t>
            </w:r>
          </w:p>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(有组织）</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各喷漆房分别经管道收集，最终设置1套“负压风机（风机风量10000m</w:t>
            </w:r>
            <w:r>
              <w:rPr>
                <w:rFonts w:hint="eastAsia"/>
                <w:sz w:val="21"/>
                <w:szCs w:val="21"/>
                <w:vertAlign w:val="superscript"/>
              </w:rPr>
              <w:t>3</w:t>
            </w:r>
            <w:r>
              <w:rPr>
                <w:rFonts w:hint="eastAsia"/>
                <w:sz w:val="21"/>
                <w:szCs w:val="21"/>
              </w:rPr>
              <w:t>/h）+过滤棉+活性炭吸附理装置（挥发性有机物去除率80%）+15m高排气筒”</w:t>
            </w:r>
          </w:p>
        </w:tc>
        <w:tc>
          <w:tcPr>
            <w:tcW w:w="130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对环境影响较小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highlight w:val="red"/>
              </w:rPr>
            </w:pPr>
          </w:p>
        </w:tc>
        <w:tc>
          <w:tcPr>
            <w:tcW w:w="250" w:type="pct"/>
            <w:vMerge w:val="continue"/>
            <w:vAlign w:val="center"/>
          </w:tcPr>
          <w:p>
            <w:pPr>
              <w:keepNext w:val="0"/>
              <w:keepLines w:val="0"/>
              <w:suppressLineNumbers w:val="0"/>
              <w:spacing w:before="0" w:beforeAutospacing="0" w:after="0" w:afterAutospacing="0" w:line="240" w:lineRule="auto"/>
              <w:ind w:left="-120" w:leftChars="-50" w:right="-120" w:rightChars="-50" w:firstLine="420"/>
              <w:jc w:val="center"/>
              <w:rPr>
                <w:sz w:val="21"/>
                <w:szCs w:val="21"/>
              </w:rPr>
            </w:pPr>
          </w:p>
        </w:tc>
        <w:tc>
          <w:tcPr>
            <w:tcW w:w="1189" w:type="pct"/>
            <w:vMerge w:val="continue"/>
            <w:vAlign w:val="center"/>
          </w:tcPr>
          <w:p>
            <w:pPr>
              <w:keepNext w:val="0"/>
              <w:keepLines w:val="0"/>
              <w:suppressLineNumbers w:val="0"/>
              <w:spacing w:before="0" w:beforeAutospacing="0" w:after="0" w:afterAutospacing="0" w:line="240" w:lineRule="auto"/>
              <w:ind w:left="-120" w:leftChars="-50" w:right="-120" w:rightChars="-50" w:firstLine="420"/>
              <w:jc w:val="center"/>
              <w:rPr>
                <w:sz w:val="21"/>
                <w:szCs w:val="21"/>
              </w:rPr>
            </w:pP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漆雾</w:t>
            </w:r>
          </w:p>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(无组织）</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车间通风</w:t>
            </w:r>
          </w:p>
        </w:tc>
        <w:tc>
          <w:tcPr>
            <w:tcW w:w="130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对环境影响较小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highlight w:val="red"/>
              </w:rPr>
            </w:pPr>
          </w:p>
        </w:tc>
        <w:tc>
          <w:tcPr>
            <w:tcW w:w="250" w:type="pct"/>
            <w:vMerge w:val="continue"/>
            <w:vAlign w:val="center"/>
          </w:tcPr>
          <w:p>
            <w:pPr>
              <w:keepNext w:val="0"/>
              <w:keepLines w:val="0"/>
              <w:suppressLineNumbers w:val="0"/>
              <w:spacing w:before="0" w:beforeAutospacing="0" w:after="0" w:afterAutospacing="0" w:line="240" w:lineRule="auto"/>
              <w:ind w:left="-120" w:leftChars="-50" w:right="-120" w:rightChars="-50" w:firstLine="420"/>
              <w:jc w:val="center"/>
              <w:rPr>
                <w:sz w:val="21"/>
                <w:szCs w:val="21"/>
              </w:rPr>
            </w:pPr>
          </w:p>
        </w:tc>
        <w:tc>
          <w:tcPr>
            <w:tcW w:w="1189" w:type="pct"/>
            <w:vAlign w:val="center"/>
          </w:tcPr>
          <w:p>
            <w:pPr>
              <w:keepNext w:val="0"/>
              <w:keepLines w:val="0"/>
              <w:suppressLineNumbers w:val="0"/>
              <w:spacing w:before="0" w:beforeAutospacing="0" w:after="0" w:afterAutospacing="0" w:line="240" w:lineRule="auto"/>
              <w:ind w:left="0" w:right="-120" w:rightChars="-50" w:firstLine="0" w:firstLineChars="0"/>
              <w:jc w:val="center"/>
              <w:rPr>
                <w:sz w:val="21"/>
                <w:szCs w:val="21"/>
              </w:rPr>
            </w:pPr>
            <w:r>
              <w:rPr>
                <w:rFonts w:hint="eastAsia"/>
                <w:sz w:val="21"/>
                <w:szCs w:val="21"/>
              </w:rPr>
              <w:t>机加工</w:t>
            </w: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粉尘</w:t>
            </w:r>
          </w:p>
        </w:tc>
        <w:tc>
          <w:tcPr>
            <w:tcW w:w="1049" w:type="pct"/>
            <w:vMerge w:val="restart"/>
            <w:vAlign w:val="center"/>
          </w:tcPr>
          <w:p>
            <w:pPr>
              <w:keepNext w:val="0"/>
              <w:keepLines w:val="0"/>
              <w:suppressLineNumbers w:val="0"/>
              <w:spacing w:before="0" w:beforeAutospacing="0" w:after="0" w:afterAutospacing="0" w:line="240" w:lineRule="auto"/>
              <w:ind w:left="0" w:right="0" w:firstLine="0" w:firstLineChars="0"/>
              <w:rPr>
                <w:sz w:val="21"/>
                <w:szCs w:val="21"/>
              </w:rPr>
            </w:pPr>
            <w:r>
              <w:rPr>
                <w:rFonts w:hint="eastAsia"/>
                <w:sz w:val="21"/>
                <w:szCs w:val="21"/>
              </w:rPr>
              <w:t>移动式除尘器处理后经车间无组织排放</w:t>
            </w:r>
          </w:p>
        </w:tc>
        <w:tc>
          <w:tcPr>
            <w:tcW w:w="1309"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《大气污染物综合排放标准》（GB16297-1996）表2无组织排放浓度限值≤1.0mg/</w:t>
            </w:r>
            <w:r>
              <w:rPr>
                <w:rFonts w:hint="eastAsia"/>
                <w:sz w:val="21"/>
                <w:szCs w:val="21"/>
              </w:rPr>
              <w:t>m</w:t>
            </w:r>
            <w:r>
              <w:rPr>
                <w:rFonts w:hint="eastAsia"/>
                <w:sz w:val="21"/>
                <w:szCs w:val="21"/>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highlight w:val="red"/>
              </w:rPr>
            </w:pPr>
          </w:p>
        </w:tc>
        <w:tc>
          <w:tcPr>
            <w:tcW w:w="250" w:type="pct"/>
            <w:vMerge w:val="continue"/>
            <w:vAlign w:val="center"/>
          </w:tcPr>
          <w:p>
            <w:pPr>
              <w:keepNext w:val="0"/>
              <w:keepLines w:val="0"/>
              <w:suppressLineNumbers w:val="0"/>
              <w:spacing w:before="0" w:beforeAutospacing="0" w:after="0" w:afterAutospacing="0" w:line="240" w:lineRule="auto"/>
              <w:ind w:left="-120" w:leftChars="-50" w:right="-120" w:rightChars="-50" w:firstLine="420"/>
              <w:jc w:val="center"/>
              <w:rPr>
                <w:sz w:val="21"/>
                <w:szCs w:val="21"/>
              </w:rPr>
            </w:pPr>
          </w:p>
        </w:tc>
        <w:tc>
          <w:tcPr>
            <w:tcW w:w="1189" w:type="pct"/>
            <w:vAlign w:val="center"/>
          </w:tcPr>
          <w:p>
            <w:pPr>
              <w:keepNext w:val="0"/>
              <w:keepLines w:val="0"/>
              <w:suppressLineNumbers w:val="0"/>
              <w:spacing w:before="0" w:beforeAutospacing="0" w:after="0" w:afterAutospacing="0" w:line="240" w:lineRule="auto"/>
              <w:ind w:left="0" w:right="-120" w:rightChars="-50" w:firstLine="0" w:firstLineChars="0"/>
              <w:jc w:val="center"/>
              <w:rPr>
                <w:sz w:val="21"/>
                <w:szCs w:val="21"/>
              </w:rPr>
            </w:pPr>
            <w:r>
              <w:rPr>
                <w:rFonts w:hint="eastAsia"/>
                <w:sz w:val="21"/>
                <w:szCs w:val="21"/>
              </w:rPr>
              <w:t>焊接</w:t>
            </w: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烟尘</w:t>
            </w:r>
          </w:p>
        </w:tc>
        <w:tc>
          <w:tcPr>
            <w:tcW w:w="1049" w:type="pct"/>
            <w:vMerge w:val="continue"/>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p>
        </w:tc>
        <w:tc>
          <w:tcPr>
            <w:tcW w:w="1309" w:type="pct"/>
            <w:vMerge w:val="continue"/>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6" w:hRule="atLeast"/>
          <w:jc w:val="center"/>
        </w:trPr>
        <w:tc>
          <w:tcPr>
            <w:tcW w:w="550"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highlight w:val="red"/>
              </w:rPr>
            </w:pPr>
            <w:r>
              <w:rPr>
                <w:rFonts w:hint="eastAsia"/>
                <w:sz w:val="21"/>
                <w:szCs w:val="21"/>
              </w:rPr>
              <w:t>水</w:t>
            </w:r>
            <w:r>
              <w:rPr>
                <w:sz w:val="21"/>
                <w:szCs w:val="21"/>
              </w:rPr>
              <w:t>污染物</w:t>
            </w:r>
          </w:p>
        </w:tc>
        <w:tc>
          <w:tcPr>
            <w:tcW w:w="250"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施工期</w:t>
            </w: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生活污水</w:t>
            </w: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COD</w:t>
            </w:r>
          </w:p>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SS</w:t>
            </w:r>
          </w:p>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NH</w:t>
            </w:r>
            <w:r>
              <w:rPr>
                <w:sz w:val="21"/>
                <w:szCs w:val="21"/>
                <w:vertAlign w:val="subscript"/>
              </w:rPr>
              <w:t>3</w:t>
            </w:r>
            <w:r>
              <w:rPr>
                <w:sz w:val="21"/>
                <w:szCs w:val="21"/>
              </w:rPr>
              <w:t>-N</w:t>
            </w:r>
          </w:p>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BOD</w:t>
            </w:r>
            <w:r>
              <w:rPr>
                <w:sz w:val="21"/>
                <w:szCs w:val="21"/>
                <w:vertAlign w:val="subscript"/>
              </w:rPr>
              <w:t>5</w:t>
            </w:r>
          </w:p>
        </w:tc>
        <w:tc>
          <w:tcPr>
            <w:tcW w:w="1049" w:type="pct"/>
            <w:vAlign w:val="center"/>
          </w:tcPr>
          <w:p>
            <w:pPr>
              <w:keepNext w:val="0"/>
              <w:keepLines w:val="0"/>
              <w:suppressLineNumbers w:val="0"/>
              <w:spacing w:before="0" w:beforeAutospacing="0" w:after="0" w:afterAutospacing="0" w:line="240" w:lineRule="auto"/>
              <w:ind w:left="0" w:right="0" w:firstLine="0" w:firstLineChars="0"/>
              <w:rPr>
                <w:sz w:val="21"/>
                <w:szCs w:val="21"/>
              </w:rPr>
            </w:pPr>
            <w:r>
              <w:rPr>
                <w:rFonts w:hint="eastAsia"/>
                <w:sz w:val="21"/>
                <w:szCs w:val="21"/>
              </w:rPr>
              <w:t>经园区化粪池处理后排入园区污水管网</w:t>
            </w:r>
          </w:p>
        </w:tc>
        <w:tc>
          <w:tcPr>
            <w:tcW w:w="130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对环境影响较小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6"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营运期</w:t>
            </w: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员工日常生活污水</w:t>
            </w: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COD</w:t>
            </w:r>
          </w:p>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BOD</w:t>
            </w:r>
            <w:r>
              <w:rPr>
                <w:sz w:val="21"/>
                <w:szCs w:val="21"/>
                <w:vertAlign w:val="subscript"/>
              </w:rPr>
              <w:t>5</w:t>
            </w:r>
          </w:p>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SS</w:t>
            </w:r>
          </w:p>
          <w:p>
            <w:pPr>
              <w:keepNext w:val="0"/>
              <w:keepLines w:val="0"/>
              <w:suppressLineNumbers w:val="0"/>
              <w:spacing w:before="0" w:beforeAutospacing="0" w:after="0" w:afterAutospacing="0"/>
              <w:ind w:left="0" w:right="0" w:firstLine="0" w:firstLineChars="0"/>
              <w:jc w:val="center"/>
              <w:rPr>
                <w:sz w:val="21"/>
                <w:szCs w:val="21"/>
              </w:rPr>
            </w:pPr>
            <w:r>
              <w:rPr>
                <w:sz w:val="21"/>
                <w:szCs w:val="21"/>
              </w:rPr>
              <w:t>NH</w:t>
            </w:r>
            <w:r>
              <w:rPr>
                <w:sz w:val="21"/>
                <w:szCs w:val="21"/>
                <w:vertAlign w:val="subscript"/>
              </w:rPr>
              <w:t>3</w:t>
            </w:r>
            <w:r>
              <w:rPr>
                <w:sz w:val="21"/>
                <w:szCs w:val="21"/>
              </w:rPr>
              <w:t>-N</w:t>
            </w:r>
          </w:p>
        </w:tc>
        <w:tc>
          <w:tcPr>
            <w:tcW w:w="1049" w:type="pct"/>
            <w:vAlign w:val="center"/>
          </w:tcPr>
          <w:p>
            <w:pPr>
              <w:keepNext w:val="0"/>
              <w:keepLines w:val="0"/>
              <w:suppressLineNumbers w:val="0"/>
              <w:spacing w:before="0" w:beforeAutospacing="0" w:after="0" w:afterAutospacing="0" w:line="240" w:lineRule="auto"/>
              <w:ind w:left="0" w:right="0" w:firstLine="0" w:firstLineChars="0"/>
              <w:rPr>
                <w:sz w:val="21"/>
                <w:szCs w:val="21"/>
              </w:rPr>
            </w:pPr>
            <w:r>
              <w:rPr>
                <w:rFonts w:hint="eastAsia"/>
                <w:sz w:val="21"/>
                <w:szCs w:val="21"/>
              </w:rPr>
              <w:t>经本项目建设的化粪池处理后排入园区管网</w:t>
            </w:r>
          </w:p>
        </w:tc>
        <w:tc>
          <w:tcPr>
            <w:tcW w:w="130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对环境影响较小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0"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食堂废水</w:t>
            </w:r>
          </w:p>
        </w:tc>
        <w:tc>
          <w:tcPr>
            <w:tcW w:w="653" w:type="pct"/>
            <w:vAlign w:val="center"/>
          </w:tcPr>
          <w:p>
            <w:pPr>
              <w:pStyle w:val="39"/>
              <w:keepNext w:val="0"/>
              <w:keepLines w:val="0"/>
              <w:suppressLineNumbers w:val="0"/>
              <w:spacing w:before="90" w:beforeAutospacing="0" w:after="0" w:afterAutospacing="0"/>
              <w:ind w:left="0" w:right="2"/>
              <w:jc w:val="center"/>
              <w:rPr>
                <w:rFonts w:ascii="Times New Roman" w:hAnsi="Times New Roman"/>
                <w:sz w:val="21"/>
                <w:szCs w:val="21"/>
              </w:rPr>
            </w:pPr>
            <w:r>
              <w:rPr>
                <w:rFonts w:ascii="Times New Roman" w:hAnsi="Times New Roman"/>
                <w:sz w:val="21"/>
                <w:szCs w:val="21"/>
              </w:rPr>
              <w:t>COD</w:t>
            </w:r>
          </w:p>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ascii="Times New Roman" w:hAnsi="Times New Roman"/>
                <w:sz w:val="21"/>
                <w:szCs w:val="21"/>
                <w:lang w:eastAsia="zh-CN"/>
              </w:rPr>
              <w:t>SS</w:t>
            </w:r>
          </w:p>
          <w:p>
            <w:pPr>
              <w:pStyle w:val="39"/>
              <w:keepNext w:val="0"/>
              <w:keepLines w:val="0"/>
              <w:suppressLineNumbers w:val="0"/>
              <w:spacing w:before="92" w:beforeAutospacing="0" w:after="0" w:afterAutospacing="0"/>
              <w:ind w:left="0" w:right="0"/>
              <w:jc w:val="center"/>
              <w:rPr>
                <w:rFonts w:ascii="Times New Roman" w:hAnsi="Times New Roman"/>
                <w:sz w:val="21"/>
                <w:szCs w:val="21"/>
                <w:lang w:eastAsia="zh-CN"/>
              </w:rPr>
            </w:pPr>
            <w:r>
              <w:rPr>
                <w:rFonts w:hint="eastAsia" w:ascii="Times New Roman" w:hAnsi="Times New Roman"/>
                <w:sz w:val="21"/>
                <w:szCs w:val="21"/>
                <w:lang w:eastAsia="zh-CN"/>
              </w:rPr>
              <w:t>BOD</w:t>
            </w:r>
            <w:r>
              <w:rPr>
                <w:rFonts w:hint="eastAsia" w:ascii="Times New Roman" w:hAnsi="Times New Roman"/>
                <w:sz w:val="21"/>
                <w:szCs w:val="21"/>
                <w:vertAlign w:val="subscript"/>
                <w:lang w:eastAsia="zh-CN"/>
              </w:rPr>
              <w:t>5</w:t>
            </w:r>
          </w:p>
          <w:p>
            <w:pPr>
              <w:pStyle w:val="39"/>
              <w:keepNext w:val="0"/>
              <w:keepLines w:val="0"/>
              <w:suppressLineNumbers w:val="0"/>
              <w:spacing w:before="88" w:beforeAutospacing="0" w:after="0" w:afterAutospacing="0"/>
              <w:ind w:left="0" w:right="0"/>
              <w:jc w:val="center"/>
              <w:rPr>
                <w:rFonts w:ascii="Times New Roman" w:hAnsi="Times New Roman"/>
                <w:sz w:val="21"/>
                <w:szCs w:val="21"/>
                <w:lang w:eastAsia="zh-CN"/>
              </w:rPr>
            </w:pPr>
            <w:r>
              <w:rPr>
                <w:rFonts w:ascii="Times New Roman" w:hAnsi="Times New Roman"/>
                <w:position w:val="2"/>
                <w:sz w:val="21"/>
                <w:szCs w:val="21"/>
                <w:lang w:eastAsia="zh-CN"/>
              </w:rPr>
              <w:t>NH</w:t>
            </w:r>
            <w:r>
              <w:rPr>
                <w:rFonts w:ascii="Times New Roman" w:hAnsi="Times New Roman"/>
                <w:sz w:val="21"/>
                <w:szCs w:val="21"/>
                <w:vertAlign w:val="subscript"/>
                <w:lang w:eastAsia="zh-CN"/>
              </w:rPr>
              <w:t>3</w:t>
            </w:r>
            <w:r>
              <w:rPr>
                <w:rFonts w:ascii="Times New Roman" w:hAnsi="Times New Roman"/>
                <w:position w:val="2"/>
                <w:sz w:val="21"/>
                <w:szCs w:val="21"/>
                <w:lang w:eastAsia="zh-CN"/>
              </w:rPr>
              <w:t>-N</w:t>
            </w:r>
          </w:p>
          <w:p>
            <w:pPr>
              <w:pStyle w:val="39"/>
              <w:keepNext w:val="0"/>
              <w:keepLines w:val="0"/>
              <w:suppressLineNumbers w:val="0"/>
              <w:spacing w:before="88" w:beforeAutospacing="0" w:after="0" w:afterAutospacing="0"/>
              <w:ind w:left="0" w:right="0"/>
              <w:jc w:val="center"/>
              <w:rPr>
                <w:rFonts w:ascii="Times New Roman" w:hAnsi="Times New Roman"/>
                <w:sz w:val="21"/>
                <w:szCs w:val="21"/>
              </w:rPr>
            </w:pPr>
            <w:r>
              <w:rPr>
                <w:rFonts w:hint="eastAsia" w:ascii="Times New Roman" w:hAnsi="Times New Roman"/>
                <w:position w:val="2"/>
                <w:sz w:val="21"/>
                <w:szCs w:val="21"/>
                <w:lang w:eastAsia="zh-CN"/>
              </w:rPr>
              <w:t>动植物油</w:t>
            </w:r>
          </w:p>
        </w:tc>
        <w:tc>
          <w:tcPr>
            <w:tcW w:w="1049" w:type="pct"/>
            <w:vAlign w:val="center"/>
          </w:tcPr>
          <w:p>
            <w:pPr>
              <w:keepNext w:val="0"/>
              <w:keepLines w:val="0"/>
              <w:suppressLineNumbers w:val="0"/>
              <w:spacing w:before="0" w:beforeAutospacing="0" w:after="0" w:afterAutospacing="0" w:line="240" w:lineRule="auto"/>
              <w:ind w:left="0" w:right="0" w:firstLine="0" w:firstLineChars="0"/>
              <w:rPr>
                <w:sz w:val="21"/>
                <w:szCs w:val="21"/>
              </w:rPr>
            </w:pPr>
            <w:r>
              <w:rPr>
                <w:rFonts w:hint="eastAsia"/>
                <w:sz w:val="21"/>
                <w:szCs w:val="21"/>
              </w:rPr>
              <w:t>经本项目建设的隔油池、化粪池处理后排入园区管网</w:t>
            </w:r>
          </w:p>
        </w:tc>
        <w:tc>
          <w:tcPr>
            <w:tcW w:w="130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对环境影响较小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喷漆</w:t>
            </w:r>
            <w:r>
              <w:rPr>
                <w:rFonts w:hint="eastAsia"/>
                <w:position w:val="2"/>
                <w:sz w:val="21"/>
                <w:szCs w:val="21"/>
              </w:rPr>
              <w:t>废液</w:t>
            </w:r>
          </w:p>
        </w:tc>
        <w:tc>
          <w:tcPr>
            <w:tcW w:w="653" w:type="pct"/>
            <w:vAlign w:val="center"/>
          </w:tcPr>
          <w:p>
            <w:pPr>
              <w:pStyle w:val="39"/>
              <w:keepNext w:val="0"/>
              <w:keepLines w:val="0"/>
              <w:suppressLineNumbers w:val="0"/>
              <w:spacing w:before="88" w:beforeAutospacing="0" w:after="0" w:afterAutospacing="0"/>
              <w:ind w:left="0" w:right="0"/>
              <w:jc w:val="center"/>
              <w:rPr>
                <w:rFonts w:ascii="Times New Roman" w:hAnsi="Times New Roman"/>
                <w:position w:val="2"/>
                <w:sz w:val="21"/>
                <w:szCs w:val="21"/>
                <w:lang w:eastAsia="zh-CN"/>
              </w:rPr>
            </w:pPr>
            <w:r>
              <w:rPr>
                <w:rFonts w:hint="eastAsia" w:ascii="Times New Roman" w:hAnsi="Times New Roman"/>
                <w:position w:val="2"/>
                <w:sz w:val="21"/>
                <w:szCs w:val="21"/>
                <w:lang w:eastAsia="zh-CN"/>
              </w:rPr>
              <w:t>涂料</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收集后回用于调漆</w:t>
            </w:r>
          </w:p>
        </w:tc>
        <w:tc>
          <w:tcPr>
            <w:tcW w:w="130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对环境影响较小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打孔冷却水</w:t>
            </w:r>
          </w:p>
        </w:tc>
        <w:tc>
          <w:tcPr>
            <w:tcW w:w="653" w:type="pct"/>
            <w:vAlign w:val="center"/>
          </w:tcPr>
          <w:p>
            <w:pPr>
              <w:pStyle w:val="39"/>
              <w:keepNext w:val="0"/>
              <w:keepLines w:val="0"/>
              <w:suppressLineNumbers w:val="0"/>
              <w:spacing w:before="88" w:beforeAutospacing="0" w:after="0" w:afterAutospacing="0"/>
              <w:ind w:left="0" w:right="0"/>
              <w:jc w:val="center"/>
              <w:rPr>
                <w:rFonts w:ascii="Times New Roman" w:hAnsi="Times New Roman"/>
                <w:position w:val="2"/>
                <w:sz w:val="21"/>
                <w:szCs w:val="21"/>
                <w:lang w:eastAsia="zh-CN"/>
              </w:rPr>
            </w:pPr>
            <w:r>
              <w:rPr>
                <w:rFonts w:hint="eastAsia" w:ascii="Times New Roman" w:hAnsi="Times New Roman"/>
                <w:position w:val="2"/>
                <w:sz w:val="21"/>
                <w:szCs w:val="21"/>
                <w:lang w:eastAsia="zh-CN"/>
              </w:rPr>
              <w:t>SS</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滤网快速过滤后回用于原环节</w:t>
            </w:r>
          </w:p>
        </w:tc>
        <w:tc>
          <w:tcPr>
            <w:tcW w:w="130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对环境影响较小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固</w:t>
            </w:r>
          </w:p>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体</w:t>
            </w:r>
          </w:p>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废</w:t>
            </w:r>
          </w:p>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物</w:t>
            </w:r>
          </w:p>
        </w:tc>
        <w:tc>
          <w:tcPr>
            <w:tcW w:w="250"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施工期</w:t>
            </w: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设备安装</w:t>
            </w: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废包装材料</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hAnsiTheme="minorEastAsia" w:eastAsiaTheme="minorEastAsia"/>
                <w:sz w:val="21"/>
                <w:szCs w:val="21"/>
              </w:rPr>
              <w:t>部分回收、部分作为生活垃圾清运至</w:t>
            </w:r>
            <w:r>
              <w:rPr>
                <w:rFonts w:hAnsiTheme="minorEastAsia" w:eastAsiaTheme="minorEastAsia"/>
                <w:sz w:val="21"/>
                <w:szCs w:val="21"/>
              </w:rPr>
              <w:t>园区垃圾收集处，由环卫部门处理</w:t>
            </w:r>
          </w:p>
        </w:tc>
        <w:tc>
          <w:tcPr>
            <w:tcW w:w="1309"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处置率100％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施工人员</w:t>
            </w:r>
          </w:p>
        </w:tc>
        <w:tc>
          <w:tcPr>
            <w:tcW w:w="653"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生活垃圾</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统一收集清运至园区垃圾收集处，由环卫部门处理</w:t>
            </w:r>
            <w:r>
              <w:rPr>
                <w:rFonts w:hAnsiTheme="minorEastAsia" w:eastAsiaTheme="minorEastAsia"/>
                <w:sz w:val="21"/>
                <w:szCs w:val="21"/>
              </w:rPr>
              <w:t>。</w:t>
            </w:r>
          </w:p>
        </w:tc>
        <w:tc>
          <w:tcPr>
            <w:tcW w:w="1309" w:type="pct"/>
            <w:vMerge w:val="continue"/>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营运期</w:t>
            </w: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员工</w:t>
            </w:r>
          </w:p>
        </w:tc>
        <w:tc>
          <w:tcPr>
            <w:tcW w:w="653" w:type="pct"/>
            <w:vAlign w:val="center"/>
          </w:tcPr>
          <w:p>
            <w:pPr>
              <w:keepNext w:val="0"/>
              <w:keepLines w:val="0"/>
              <w:suppressLineNumbers w:val="0"/>
              <w:spacing w:before="0" w:beforeAutospacing="0" w:after="0" w:afterAutospacing="0" w:line="240" w:lineRule="auto"/>
              <w:ind w:left="-120" w:leftChars="-50" w:right="-120" w:rightChars="-50" w:firstLine="0" w:firstLineChars="0"/>
              <w:jc w:val="center"/>
              <w:rPr>
                <w:sz w:val="21"/>
                <w:szCs w:val="21"/>
              </w:rPr>
            </w:pPr>
            <w:r>
              <w:rPr>
                <w:sz w:val="21"/>
                <w:szCs w:val="21"/>
              </w:rPr>
              <w:t>生活垃圾</w:t>
            </w:r>
          </w:p>
        </w:tc>
        <w:tc>
          <w:tcPr>
            <w:tcW w:w="104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收集清运由环卫部门处理</w:t>
            </w:r>
          </w:p>
        </w:tc>
        <w:tc>
          <w:tcPr>
            <w:tcW w:w="1309" w:type="pct"/>
            <w:vMerge w:val="continue"/>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生产加工</w:t>
            </w:r>
          </w:p>
        </w:tc>
        <w:tc>
          <w:tcPr>
            <w:tcW w:w="653" w:type="pct"/>
            <w:vAlign w:val="center"/>
          </w:tcPr>
          <w:p>
            <w:pPr>
              <w:keepNext w:val="0"/>
              <w:keepLines w:val="0"/>
              <w:suppressLineNumbers w:val="0"/>
              <w:spacing w:before="0" w:beforeAutospacing="0" w:after="0" w:afterAutospacing="0" w:line="240" w:lineRule="auto"/>
              <w:ind w:left="-120" w:leftChars="-50" w:right="-120" w:rightChars="-50" w:firstLine="0" w:firstLineChars="0"/>
              <w:jc w:val="center"/>
              <w:rPr>
                <w:sz w:val="21"/>
                <w:szCs w:val="21"/>
              </w:rPr>
            </w:pPr>
            <w:r>
              <w:rPr>
                <w:rFonts w:hint="eastAsia"/>
                <w:sz w:val="21"/>
                <w:szCs w:val="21"/>
              </w:rPr>
              <w:t>金属边角料</w:t>
            </w:r>
          </w:p>
        </w:tc>
        <w:tc>
          <w:tcPr>
            <w:tcW w:w="1049" w:type="pct"/>
            <w:vMerge w:val="restart"/>
            <w:vAlign w:val="center"/>
          </w:tcPr>
          <w:p>
            <w:pPr>
              <w:keepNext w:val="0"/>
              <w:keepLines w:val="0"/>
              <w:suppressLineNumbers w:val="0"/>
              <w:spacing w:before="0" w:beforeAutospacing="0" w:after="0" w:afterAutospacing="0"/>
              <w:ind w:left="0" w:right="0" w:firstLine="0" w:firstLineChars="0"/>
              <w:jc w:val="center"/>
              <w:rPr>
                <w:sz w:val="21"/>
                <w:szCs w:val="21"/>
              </w:rPr>
            </w:pPr>
            <w:r>
              <w:rPr>
                <w:rFonts w:hint="eastAsia"/>
                <w:sz w:val="21"/>
                <w:szCs w:val="21"/>
              </w:rPr>
              <w:t>收集后外售</w:t>
            </w:r>
          </w:p>
        </w:tc>
        <w:tc>
          <w:tcPr>
            <w:tcW w:w="1309" w:type="pct"/>
            <w:vMerge w:val="continue"/>
            <w:vAlign w:val="center"/>
          </w:tcPr>
          <w:p>
            <w:pPr>
              <w:keepNext w:val="0"/>
              <w:keepLines w:val="0"/>
              <w:suppressLineNumbers w:val="0"/>
              <w:spacing w:before="0" w:beforeAutospacing="0" w:after="0" w:afterAutospacing="0" w:line="240" w:lineRule="auto"/>
              <w:ind w:left="0" w:right="0"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移动除尘器</w:t>
            </w:r>
          </w:p>
        </w:tc>
        <w:tc>
          <w:tcPr>
            <w:tcW w:w="653" w:type="pct"/>
            <w:vAlign w:val="center"/>
          </w:tcPr>
          <w:p>
            <w:pPr>
              <w:keepNext w:val="0"/>
              <w:keepLines w:val="0"/>
              <w:suppressLineNumbers w:val="0"/>
              <w:spacing w:before="0" w:beforeAutospacing="0" w:after="0" w:afterAutospacing="0" w:line="240" w:lineRule="auto"/>
              <w:ind w:left="-120" w:leftChars="-50" w:right="-120" w:rightChars="-50" w:firstLine="0" w:firstLineChars="0"/>
              <w:jc w:val="center"/>
              <w:rPr>
                <w:sz w:val="21"/>
                <w:szCs w:val="21"/>
              </w:rPr>
            </w:pPr>
            <w:r>
              <w:rPr>
                <w:rFonts w:hint="eastAsia"/>
                <w:sz w:val="21"/>
                <w:szCs w:val="21"/>
              </w:rPr>
              <w:t>收集粉尘</w:t>
            </w:r>
          </w:p>
        </w:tc>
        <w:tc>
          <w:tcPr>
            <w:tcW w:w="1049" w:type="pct"/>
            <w:vMerge w:val="continue"/>
            <w:vAlign w:val="center"/>
          </w:tcPr>
          <w:p>
            <w:pPr>
              <w:keepNext w:val="0"/>
              <w:keepLines w:val="0"/>
              <w:suppressLineNumbers w:val="0"/>
              <w:spacing w:before="0" w:beforeAutospacing="0" w:after="0" w:afterAutospacing="0"/>
              <w:ind w:left="0" w:right="0" w:firstLine="420"/>
              <w:jc w:val="center"/>
              <w:rPr>
                <w:sz w:val="21"/>
                <w:szCs w:val="21"/>
              </w:rPr>
            </w:pPr>
          </w:p>
        </w:tc>
        <w:tc>
          <w:tcPr>
            <w:tcW w:w="1309" w:type="pct"/>
            <w:vMerge w:val="continue"/>
            <w:vAlign w:val="center"/>
          </w:tcPr>
          <w:p>
            <w:pPr>
              <w:keepNext w:val="0"/>
              <w:keepLines w:val="0"/>
              <w:suppressLineNumbers w:val="0"/>
              <w:spacing w:before="0" w:beforeAutospacing="0" w:after="0" w:afterAutospacing="0" w:line="240" w:lineRule="auto"/>
              <w:ind w:left="0" w:right="0"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焊接</w:t>
            </w:r>
          </w:p>
        </w:tc>
        <w:tc>
          <w:tcPr>
            <w:tcW w:w="653" w:type="pct"/>
            <w:vAlign w:val="center"/>
          </w:tcPr>
          <w:p>
            <w:pPr>
              <w:keepNext w:val="0"/>
              <w:keepLines w:val="0"/>
              <w:suppressLineNumbers w:val="0"/>
              <w:spacing w:before="0" w:beforeAutospacing="0" w:after="0" w:afterAutospacing="0" w:line="240" w:lineRule="auto"/>
              <w:ind w:left="-120" w:leftChars="-50" w:right="-120" w:rightChars="-50" w:firstLine="0" w:firstLineChars="0"/>
              <w:jc w:val="center"/>
              <w:rPr>
                <w:sz w:val="21"/>
                <w:szCs w:val="21"/>
              </w:rPr>
            </w:pPr>
            <w:r>
              <w:rPr>
                <w:rFonts w:hint="eastAsia"/>
                <w:sz w:val="21"/>
                <w:szCs w:val="21"/>
              </w:rPr>
              <w:t>焊渣</w:t>
            </w:r>
          </w:p>
        </w:tc>
        <w:tc>
          <w:tcPr>
            <w:tcW w:w="1049" w:type="pct"/>
            <w:vMerge w:val="continue"/>
            <w:vAlign w:val="center"/>
          </w:tcPr>
          <w:p>
            <w:pPr>
              <w:keepNext w:val="0"/>
              <w:keepLines w:val="0"/>
              <w:suppressLineNumbers w:val="0"/>
              <w:spacing w:before="0" w:beforeAutospacing="0" w:after="0" w:afterAutospacing="0"/>
              <w:ind w:left="0" w:right="0" w:firstLine="420"/>
              <w:jc w:val="center"/>
              <w:rPr>
                <w:sz w:val="21"/>
                <w:szCs w:val="21"/>
              </w:rPr>
            </w:pPr>
          </w:p>
        </w:tc>
        <w:tc>
          <w:tcPr>
            <w:tcW w:w="1309" w:type="pct"/>
            <w:vMerge w:val="continue"/>
            <w:vAlign w:val="center"/>
          </w:tcPr>
          <w:p>
            <w:pPr>
              <w:keepNext w:val="0"/>
              <w:keepLines w:val="0"/>
              <w:suppressLineNumbers w:val="0"/>
              <w:spacing w:before="0" w:beforeAutospacing="0" w:after="0" w:afterAutospacing="0" w:line="240" w:lineRule="auto"/>
              <w:ind w:left="0" w:right="0"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原料包装</w:t>
            </w:r>
          </w:p>
        </w:tc>
        <w:tc>
          <w:tcPr>
            <w:tcW w:w="653" w:type="pct"/>
            <w:vAlign w:val="center"/>
          </w:tcPr>
          <w:p>
            <w:pPr>
              <w:keepNext w:val="0"/>
              <w:keepLines w:val="0"/>
              <w:suppressLineNumbers w:val="0"/>
              <w:spacing w:before="0" w:beforeAutospacing="0" w:after="0" w:afterAutospacing="0" w:line="240" w:lineRule="auto"/>
              <w:ind w:left="-120" w:leftChars="-50" w:right="-120" w:rightChars="-50" w:firstLine="0" w:firstLineChars="0"/>
              <w:jc w:val="center"/>
              <w:rPr>
                <w:sz w:val="21"/>
                <w:szCs w:val="21"/>
              </w:rPr>
            </w:pPr>
            <w:r>
              <w:rPr>
                <w:rFonts w:hint="eastAsia"/>
                <w:sz w:val="21"/>
                <w:szCs w:val="21"/>
              </w:rPr>
              <w:t>废包装材料</w:t>
            </w:r>
          </w:p>
        </w:tc>
        <w:tc>
          <w:tcPr>
            <w:tcW w:w="1049" w:type="pct"/>
            <w:vMerge w:val="continue"/>
            <w:vAlign w:val="center"/>
          </w:tcPr>
          <w:p>
            <w:pPr>
              <w:keepNext w:val="0"/>
              <w:keepLines w:val="0"/>
              <w:suppressLineNumbers w:val="0"/>
              <w:spacing w:before="0" w:beforeAutospacing="0" w:after="0" w:afterAutospacing="0"/>
              <w:ind w:left="0" w:right="0" w:firstLine="420"/>
              <w:jc w:val="center"/>
              <w:rPr>
                <w:sz w:val="21"/>
                <w:szCs w:val="21"/>
              </w:rPr>
            </w:pPr>
          </w:p>
        </w:tc>
        <w:tc>
          <w:tcPr>
            <w:tcW w:w="1309" w:type="pct"/>
            <w:vMerge w:val="continue"/>
            <w:vAlign w:val="center"/>
          </w:tcPr>
          <w:p>
            <w:pPr>
              <w:keepNext w:val="0"/>
              <w:keepLines w:val="0"/>
              <w:suppressLineNumbers w:val="0"/>
              <w:spacing w:before="0" w:beforeAutospacing="0" w:after="0" w:afterAutospacing="0" w:line="240" w:lineRule="auto"/>
              <w:ind w:left="0" w:right="0"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冷却水回收池</w:t>
            </w:r>
          </w:p>
        </w:tc>
        <w:tc>
          <w:tcPr>
            <w:tcW w:w="653" w:type="pct"/>
            <w:vAlign w:val="center"/>
          </w:tcPr>
          <w:p>
            <w:pPr>
              <w:keepNext w:val="0"/>
              <w:keepLines w:val="0"/>
              <w:suppressLineNumbers w:val="0"/>
              <w:spacing w:before="0" w:beforeAutospacing="0" w:after="0" w:afterAutospacing="0" w:line="240" w:lineRule="auto"/>
              <w:ind w:left="-120" w:leftChars="-50" w:right="-120" w:rightChars="-50" w:firstLine="0" w:firstLineChars="0"/>
              <w:jc w:val="center"/>
              <w:rPr>
                <w:sz w:val="21"/>
                <w:szCs w:val="21"/>
              </w:rPr>
            </w:pPr>
            <w:r>
              <w:rPr>
                <w:rFonts w:hint="eastAsia"/>
                <w:sz w:val="21"/>
                <w:szCs w:val="21"/>
              </w:rPr>
              <w:t>滤渣</w:t>
            </w:r>
          </w:p>
        </w:tc>
        <w:tc>
          <w:tcPr>
            <w:tcW w:w="1049" w:type="pct"/>
            <w:vMerge w:val="continue"/>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p>
        </w:tc>
        <w:tc>
          <w:tcPr>
            <w:tcW w:w="1309" w:type="pct"/>
            <w:vMerge w:val="continue"/>
            <w:vAlign w:val="center"/>
          </w:tcPr>
          <w:p>
            <w:pPr>
              <w:keepNext w:val="0"/>
              <w:keepLines w:val="0"/>
              <w:suppressLineNumbers w:val="0"/>
              <w:spacing w:before="0" w:beforeAutospacing="0" w:after="0" w:afterAutospacing="0" w:line="240" w:lineRule="auto"/>
              <w:ind w:left="0" w:right="0"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Merge w:val="restar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废气处理</w:t>
            </w:r>
          </w:p>
        </w:tc>
        <w:tc>
          <w:tcPr>
            <w:tcW w:w="653" w:type="pct"/>
            <w:vAlign w:val="center"/>
          </w:tcPr>
          <w:p>
            <w:pPr>
              <w:keepNext w:val="0"/>
              <w:keepLines w:val="0"/>
              <w:suppressLineNumbers w:val="0"/>
              <w:spacing w:before="0" w:beforeAutospacing="0" w:after="0" w:afterAutospacing="0" w:line="240" w:lineRule="auto"/>
              <w:ind w:left="-120" w:leftChars="-50" w:right="-120" w:rightChars="-50" w:firstLine="0" w:firstLineChars="0"/>
              <w:jc w:val="center"/>
              <w:rPr>
                <w:sz w:val="21"/>
                <w:szCs w:val="21"/>
              </w:rPr>
            </w:pPr>
            <w:r>
              <w:rPr>
                <w:rFonts w:hint="eastAsia"/>
                <w:sz w:val="21"/>
                <w:szCs w:val="21"/>
              </w:rPr>
              <w:t>废过滤棉</w:t>
            </w:r>
          </w:p>
        </w:tc>
        <w:tc>
          <w:tcPr>
            <w:tcW w:w="1049" w:type="pct"/>
            <w:vMerge w:val="restart"/>
            <w:vAlign w:val="center"/>
          </w:tcPr>
          <w:p>
            <w:pPr>
              <w:keepNext w:val="0"/>
              <w:keepLines w:val="0"/>
              <w:suppressLineNumbers w:val="0"/>
              <w:spacing w:before="0" w:beforeAutospacing="0" w:after="0" w:afterAutospacing="0" w:line="240" w:lineRule="auto"/>
              <w:ind w:left="0" w:right="0" w:firstLine="0" w:firstLineChars="0"/>
              <w:rPr>
                <w:sz w:val="21"/>
                <w:szCs w:val="21"/>
              </w:rPr>
            </w:pPr>
            <w:r>
              <w:rPr>
                <w:rFonts w:hint="eastAsia"/>
                <w:sz w:val="21"/>
                <w:szCs w:val="21"/>
              </w:rPr>
              <w:t>收集后暂存于危废暂存间，委托有相关处理资质的单位处理</w:t>
            </w:r>
            <w:r>
              <w:rPr>
                <w:bCs/>
                <w:sz w:val="21"/>
                <w:szCs w:val="21"/>
              </w:rPr>
              <w:t>）</w:t>
            </w:r>
          </w:p>
        </w:tc>
        <w:tc>
          <w:tcPr>
            <w:tcW w:w="1309" w:type="pct"/>
            <w:vMerge w:val="continue"/>
            <w:vAlign w:val="center"/>
          </w:tcPr>
          <w:p>
            <w:pPr>
              <w:keepNext w:val="0"/>
              <w:keepLines w:val="0"/>
              <w:suppressLineNumbers w:val="0"/>
              <w:spacing w:before="0" w:beforeAutospacing="0" w:after="0" w:afterAutospacing="0" w:line="240" w:lineRule="auto"/>
              <w:ind w:left="0" w:right="0"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Merge w:val="continue"/>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p>
        </w:tc>
        <w:tc>
          <w:tcPr>
            <w:tcW w:w="653" w:type="pct"/>
            <w:vAlign w:val="center"/>
          </w:tcPr>
          <w:p>
            <w:pPr>
              <w:keepNext w:val="0"/>
              <w:keepLines w:val="0"/>
              <w:suppressLineNumbers w:val="0"/>
              <w:spacing w:before="0" w:beforeAutospacing="0" w:after="0" w:afterAutospacing="0" w:line="240" w:lineRule="auto"/>
              <w:ind w:left="-120" w:leftChars="-50" w:right="-120" w:rightChars="-50" w:firstLine="0" w:firstLineChars="0"/>
              <w:jc w:val="center"/>
              <w:rPr>
                <w:sz w:val="21"/>
                <w:szCs w:val="21"/>
              </w:rPr>
            </w:pPr>
            <w:r>
              <w:rPr>
                <w:rFonts w:hint="eastAsia"/>
                <w:sz w:val="21"/>
                <w:szCs w:val="21"/>
              </w:rPr>
              <w:t>废活性炭</w:t>
            </w:r>
          </w:p>
        </w:tc>
        <w:tc>
          <w:tcPr>
            <w:tcW w:w="1049" w:type="pct"/>
            <w:vMerge w:val="continue"/>
            <w:vAlign w:val="center"/>
          </w:tcPr>
          <w:p>
            <w:pPr>
              <w:keepNext w:val="0"/>
              <w:keepLines w:val="0"/>
              <w:suppressLineNumbers w:val="0"/>
              <w:spacing w:before="0" w:beforeAutospacing="0" w:after="0" w:afterAutospacing="0"/>
              <w:ind w:left="0" w:right="0" w:firstLine="420"/>
              <w:jc w:val="center"/>
              <w:rPr>
                <w:sz w:val="21"/>
                <w:szCs w:val="21"/>
              </w:rPr>
            </w:pPr>
          </w:p>
        </w:tc>
        <w:tc>
          <w:tcPr>
            <w:tcW w:w="1309" w:type="pct"/>
            <w:vMerge w:val="continue"/>
            <w:vAlign w:val="center"/>
          </w:tcPr>
          <w:p>
            <w:pPr>
              <w:keepNext w:val="0"/>
              <w:keepLines w:val="0"/>
              <w:suppressLineNumbers w:val="0"/>
              <w:spacing w:before="0" w:beforeAutospacing="0" w:after="0" w:afterAutospacing="0"/>
              <w:ind w:left="0" w:right="0" w:firstLine="42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涂料</w:t>
            </w:r>
          </w:p>
        </w:tc>
        <w:tc>
          <w:tcPr>
            <w:tcW w:w="653" w:type="pct"/>
            <w:vAlign w:val="center"/>
          </w:tcPr>
          <w:p>
            <w:pPr>
              <w:keepNext w:val="0"/>
              <w:keepLines w:val="0"/>
              <w:suppressLineNumbers w:val="0"/>
              <w:spacing w:before="0" w:beforeAutospacing="0" w:after="0" w:afterAutospacing="0" w:line="240" w:lineRule="auto"/>
              <w:ind w:left="-120" w:leftChars="-50" w:right="-120" w:rightChars="-50" w:firstLine="0" w:firstLineChars="0"/>
              <w:jc w:val="center"/>
              <w:rPr>
                <w:sz w:val="21"/>
                <w:szCs w:val="21"/>
              </w:rPr>
            </w:pPr>
            <w:r>
              <w:rPr>
                <w:rFonts w:hint="eastAsia"/>
                <w:sz w:val="21"/>
                <w:szCs w:val="21"/>
              </w:rPr>
              <w:t>废原料桶</w:t>
            </w:r>
          </w:p>
        </w:tc>
        <w:tc>
          <w:tcPr>
            <w:tcW w:w="1049" w:type="pct"/>
            <w:vMerge w:val="continue"/>
            <w:vAlign w:val="center"/>
          </w:tcPr>
          <w:p>
            <w:pPr>
              <w:keepNext w:val="0"/>
              <w:keepLines w:val="0"/>
              <w:suppressLineNumbers w:val="0"/>
              <w:spacing w:before="0" w:beforeAutospacing="0" w:after="0" w:afterAutospacing="0"/>
              <w:ind w:left="0" w:right="0" w:firstLine="420"/>
              <w:jc w:val="center"/>
              <w:rPr>
                <w:sz w:val="21"/>
                <w:szCs w:val="21"/>
              </w:rPr>
            </w:pPr>
          </w:p>
        </w:tc>
        <w:tc>
          <w:tcPr>
            <w:tcW w:w="1309" w:type="pct"/>
            <w:vMerge w:val="continue"/>
            <w:vAlign w:val="center"/>
          </w:tcPr>
          <w:p>
            <w:pPr>
              <w:keepNext w:val="0"/>
              <w:keepLines w:val="0"/>
              <w:suppressLineNumbers w:val="0"/>
              <w:spacing w:before="0" w:beforeAutospacing="0" w:after="0" w:afterAutospacing="0" w:line="240" w:lineRule="auto"/>
              <w:ind w:left="0" w:right="0"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250" w:type="pct"/>
            <w:vMerge w:val="continue"/>
            <w:vAlign w:val="center"/>
          </w:tcPr>
          <w:p>
            <w:pPr>
              <w:keepNext w:val="0"/>
              <w:keepLines w:val="0"/>
              <w:suppressLineNumbers w:val="0"/>
              <w:spacing w:before="0" w:beforeAutospacing="0" w:after="0" w:afterAutospacing="0" w:line="240" w:lineRule="auto"/>
              <w:ind w:left="0" w:right="0" w:firstLine="420"/>
              <w:jc w:val="center"/>
              <w:rPr>
                <w:sz w:val="21"/>
                <w:szCs w:val="21"/>
              </w:rPr>
            </w:pPr>
          </w:p>
        </w:tc>
        <w:tc>
          <w:tcPr>
            <w:tcW w:w="1189"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设备维护</w:t>
            </w:r>
          </w:p>
        </w:tc>
        <w:tc>
          <w:tcPr>
            <w:tcW w:w="653" w:type="pct"/>
            <w:vAlign w:val="center"/>
          </w:tcPr>
          <w:p>
            <w:pPr>
              <w:keepNext w:val="0"/>
              <w:keepLines w:val="0"/>
              <w:suppressLineNumbers w:val="0"/>
              <w:spacing w:before="0" w:beforeAutospacing="0" w:after="0" w:afterAutospacing="0" w:line="240" w:lineRule="auto"/>
              <w:ind w:left="-120" w:leftChars="-50" w:right="-120" w:rightChars="-50" w:firstLine="0" w:firstLineChars="0"/>
              <w:jc w:val="center"/>
              <w:rPr>
                <w:sz w:val="21"/>
                <w:szCs w:val="21"/>
              </w:rPr>
            </w:pPr>
            <w:r>
              <w:rPr>
                <w:rFonts w:hint="eastAsia"/>
                <w:sz w:val="21"/>
                <w:szCs w:val="21"/>
              </w:rPr>
              <w:t>废机油</w:t>
            </w:r>
          </w:p>
        </w:tc>
        <w:tc>
          <w:tcPr>
            <w:tcW w:w="1049" w:type="pct"/>
            <w:vMerge w:val="continue"/>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p>
        </w:tc>
        <w:tc>
          <w:tcPr>
            <w:tcW w:w="1309" w:type="pct"/>
            <w:vMerge w:val="continue"/>
            <w:vAlign w:val="center"/>
          </w:tcPr>
          <w:p>
            <w:pPr>
              <w:keepNext w:val="0"/>
              <w:keepLines w:val="0"/>
              <w:suppressLineNumbers w:val="0"/>
              <w:spacing w:before="0" w:beforeAutospacing="0" w:after="0" w:afterAutospacing="0" w:line="240" w:lineRule="auto"/>
              <w:ind w:left="0" w:right="0"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jc w:val="center"/>
        </w:trPr>
        <w:tc>
          <w:tcPr>
            <w:tcW w:w="550"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噪</w:t>
            </w:r>
          </w:p>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声</w:t>
            </w:r>
          </w:p>
        </w:tc>
        <w:tc>
          <w:tcPr>
            <w:tcW w:w="4450" w:type="pct"/>
            <w:gridSpan w:val="5"/>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rFonts w:hint="eastAsia"/>
                <w:sz w:val="21"/>
                <w:szCs w:val="21"/>
              </w:rPr>
              <w:t>施工期的噪声主要为施工现场安装设备噪声及施工人员吆喝声，噪声源强62</w:t>
            </w:r>
            <w:r>
              <w:rPr>
                <w:snapToGrid w:val="0"/>
                <w:sz w:val="21"/>
                <w:szCs w:val="21"/>
              </w:rPr>
              <w:t>～</w:t>
            </w:r>
            <w:r>
              <w:rPr>
                <w:rFonts w:hint="eastAsia"/>
                <w:snapToGrid w:val="0"/>
                <w:sz w:val="21"/>
                <w:szCs w:val="21"/>
              </w:rPr>
              <w:t>100</w:t>
            </w:r>
            <w:r>
              <w:rPr>
                <w:snapToGrid w:val="0"/>
                <w:sz w:val="21"/>
                <w:szCs w:val="21"/>
              </w:rPr>
              <w:t>dB（A）</w:t>
            </w:r>
            <w:r>
              <w:rPr>
                <w:rFonts w:hint="eastAsia"/>
                <w:snapToGrid w:val="0"/>
                <w:sz w:val="21"/>
                <w:szCs w:val="21"/>
              </w:rPr>
              <w:t>；运营期间的主要噪声为设备噪声，</w:t>
            </w:r>
            <w:r>
              <w:rPr>
                <w:rFonts w:hint="eastAsia"/>
                <w:sz w:val="21"/>
                <w:szCs w:val="21"/>
              </w:rPr>
              <w:t>噪声源强75</w:t>
            </w:r>
            <w:r>
              <w:rPr>
                <w:snapToGrid w:val="0"/>
                <w:sz w:val="21"/>
                <w:szCs w:val="21"/>
              </w:rPr>
              <w:t>～</w:t>
            </w:r>
            <w:r>
              <w:rPr>
                <w:rFonts w:hint="eastAsia"/>
                <w:snapToGrid w:val="0"/>
                <w:sz w:val="21"/>
                <w:szCs w:val="21"/>
              </w:rPr>
              <w:t>90</w:t>
            </w:r>
            <w:r>
              <w:rPr>
                <w:snapToGrid w:val="0"/>
                <w:sz w:val="21"/>
                <w:szCs w:val="21"/>
              </w:rPr>
              <w:t>dB（A）</w:t>
            </w:r>
            <w:r>
              <w:rPr>
                <w:rFonts w:hint="eastAsia"/>
                <w:snapToGrid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50" w:type="pct"/>
            <w:vAlign w:val="center"/>
          </w:tcPr>
          <w:p>
            <w:pPr>
              <w:keepNext w:val="0"/>
              <w:keepLines w:val="0"/>
              <w:suppressLineNumbers w:val="0"/>
              <w:spacing w:before="0" w:beforeAutospacing="0" w:after="0" w:afterAutospacing="0" w:line="240" w:lineRule="auto"/>
              <w:ind w:left="0" w:right="0" w:firstLine="0" w:firstLineChars="0"/>
              <w:jc w:val="center"/>
              <w:rPr>
                <w:sz w:val="21"/>
                <w:szCs w:val="21"/>
              </w:rPr>
            </w:pPr>
            <w:r>
              <w:rPr>
                <w:sz w:val="21"/>
                <w:szCs w:val="21"/>
              </w:rPr>
              <w:t>其他</w:t>
            </w:r>
          </w:p>
        </w:tc>
        <w:tc>
          <w:tcPr>
            <w:tcW w:w="4450" w:type="pct"/>
            <w:gridSpan w:val="5"/>
            <w:vAlign w:val="center"/>
          </w:tcPr>
          <w:p>
            <w:pPr>
              <w:keepNext w:val="0"/>
              <w:keepLines w:val="0"/>
              <w:suppressLineNumbers w:val="0"/>
              <w:spacing w:before="0" w:beforeAutospacing="0" w:after="0" w:afterAutospacing="0" w:line="240" w:lineRule="auto"/>
              <w:ind w:left="0" w:right="0" w:firstLine="420"/>
              <w:jc w:val="center"/>
              <w:rPr>
                <w:sz w:val="21"/>
                <w:szCs w:val="21"/>
              </w:rPr>
            </w:pPr>
            <w:r>
              <w:rPr>
                <w:sz w:val="21"/>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vAlign w:val="center"/>
          </w:tcPr>
          <w:p>
            <w:pPr>
              <w:keepNext w:val="0"/>
              <w:keepLines w:val="0"/>
              <w:suppressLineNumbers w:val="0"/>
              <w:spacing w:before="0" w:beforeAutospacing="0" w:after="0" w:afterAutospacing="0" w:line="240" w:lineRule="auto"/>
              <w:ind w:left="0" w:right="0" w:firstLine="0" w:firstLineChars="0"/>
              <w:rPr>
                <w:b/>
                <w:sz w:val="21"/>
                <w:szCs w:val="21"/>
              </w:rPr>
            </w:pPr>
            <w:r>
              <w:rPr>
                <w:b/>
                <w:sz w:val="21"/>
                <w:szCs w:val="21"/>
              </w:rPr>
              <w:t>主要生态影响（不够时可附另页）</w:t>
            </w:r>
          </w:p>
          <w:p>
            <w:pPr>
              <w:keepNext w:val="0"/>
              <w:keepLines w:val="0"/>
              <w:suppressLineNumbers w:val="0"/>
              <w:spacing w:before="0" w:beforeAutospacing="0" w:after="0" w:afterAutospacing="0"/>
              <w:ind w:left="0" w:right="0" w:firstLine="480"/>
              <w:rPr>
                <w:snapToGrid w:val="0"/>
              </w:rPr>
            </w:pPr>
            <w:r>
              <w:rPr>
                <w:rFonts w:hint="eastAsia"/>
              </w:rPr>
              <w:t>拟建项目位于富民县工业园区哨菁机械加工园，</w:t>
            </w:r>
            <w:r>
              <w:rPr>
                <w:rFonts w:hint="eastAsia"/>
                <w:snapToGrid w:val="0"/>
              </w:rPr>
              <w:t>项目施工期主要进行设备安装，对周围生态环境影响较小。</w:t>
            </w:r>
          </w:p>
          <w:p>
            <w:pPr>
              <w:keepNext w:val="0"/>
              <w:keepLines w:val="0"/>
              <w:suppressLineNumbers w:val="0"/>
              <w:spacing w:before="0" w:beforeAutospacing="0" w:after="0" w:afterAutospacing="0"/>
              <w:ind w:left="0" w:right="0" w:firstLine="480"/>
            </w:pPr>
            <w:r>
              <w:rPr>
                <w:rFonts w:hint="eastAsia"/>
                <w:snapToGrid w:val="0"/>
              </w:rPr>
              <w:t>项目运营期间项目废气经活性炭吸附后达标排放，废水经化粪池处理后也妥当处理，项目运营期对周围生态环境影响较小。</w:t>
            </w:r>
          </w:p>
          <w:p>
            <w:pPr>
              <w:keepNext w:val="0"/>
              <w:keepLines w:val="0"/>
              <w:suppressLineNumbers w:val="0"/>
              <w:spacing w:before="0" w:beforeAutospacing="0" w:after="0" w:afterAutospacing="0"/>
              <w:ind w:left="0" w:right="0" w:firstLine="480"/>
            </w:pPr>
          </w:p>
          <w:p>
            <w:pPr>
              <w:keepNext w:val="0"/>
              <w:keepLines w:val="0"/>
              <w:suppressLineNumbers w:val="0"/>
              <w:spacing w:before="0" w:beforeAutospacing="0" w:after="0" w:afterAutospacing="0" w:line="240" w:lineRule="auto"/>
              <w:ind w:left="0" w:right="0" w:firstLine="420"/>
              <w:jc w:val="center"/>
              <w:rPr>
                <w:sz w:val="21"/>
                <w:szCs w:val="21"/>
              </w:rPr>
            </w:pPr>
          </w:p>
          <w:p>
            <w:pPr>
              <w:keepNext w:val="0"/>
              <w:keepLines w:val="0"/>
              <w:suppressLineNumbers w:val="0"/>
              <w:spacing w:before="0" w:beforeAutospacing="0" w:after="0" w:afterAutospacing="0" w:line="240" w:lineRule="auto"/>
              <w:ind w:left="0" w:right="0" w:firstLine="420"/>
              <w:jc w:val="center"/>
              <w:rPr>
                <w:sz w:val="21"/>
                <w:szCs w:val="21"/>
              </w:rPr>
            </w:pPr>
          </w:p>
          <w:p>
            <w:pPr>
              <w:keepNext w:val="0"/>
              <w:keepLines w:val="0"/>
              <w:suppressLineNumbers w:val="0"/>
              <w:spacing w:before="0" w:beforeAutospacing="0" w:after="0" w:afterAutospacing="0" w:line="240" w:lineRule="auto"/>
              <w:ind w:left="0" w:right="0" w:firstLine="420"/>
              <w:jc w:val="center"/>
              <w:rPr>
                <w:sz w:val="21"/>
                <w:szCs w:val="21"/>
              </w:rPr>
            </w:pPr>
          </w:p>
          <w:p>
            <w:pPr>
              <w:keepNext w:val="0"/>
              <w:keepLines w:val="0"/>
              <w:suppressLineNumbers w:val="0"/>
              <w:spacing w:before="0" w:beforeAutospacing="0" w:after="0" w:afterAutospacing="0" w:line="240" w:lineRule="auto"/>
              <w:ind w:left="0" w:right="0" w:firstLine="420"/>
              <w:jc w:val="center"/>
              <w:rPr>
                <w:sz w:val="21"/>
                <w:szCs w:val="21"/>
              </w:rPr>
            </w:pPr>
          </w:p>
          <w:p>
            <w:pPr>
              <w:keepNext w:val="0"/>
              <w:keepLines w:val="0"/>
              <w:suppressLineNumbers w:val="0"/>
              <w:spacing w:before="0" w:beforeAutospacing="0" w:after="0" w:afterAutospacing="0" w:line="240" w:lineRule="auto"/>
              <w:ind w:left="0" w:right="0" w:firstLine="420"/>
              <w:jc w:val="center"/>
              <w:rPr>
                <w:sz w:val="21"/>
                <w:szCs w:val="21"/>
              </w:rPr>
            </w:pPr>
          </w:p>
          <w:p>
            <w:pPr>
              <w:keepNext w:val="0"/>
              <w:keepLines w:val="0"/>
              <w:suppressLineNumbers w:val="0"/>
              <w:spacing w:before="0" w:beforeAutospacing="0" w:after="0" w:afterAutospacing="0" w:line="240" w:lineRule="auto"/>
              <w:ind w:left="0" w:right="0" w:firstLine="420"/>
              <w:jc w:val="center"/>
              <w:rPr>
                <w:sz w:val="21"/>
                <w:szCs w:val="21"/>
              </w:rPr>
            </w:pPr>
          </w:p>
          <w:p>
            <w:pPr>
              <w:keepNext w:val="0"/>
              <w:keepLines w:val="0"/>
              <w:suppressLineNumbers w:val="0"/>
              <w:spacing w:before="0" w:beforeAutospacing="0" w:after="0" w:afterAutospacing="0" w:line="240" w:lineRule="auto"/>
              <w:ind w:left="0" w:right="0" w:firstLine="420"/>
              <w:jc w:val="center"/>
              <w:rPr>
                <w:sz w:val="21"/>
                <w:szCs w:val="21"/>
              </w:rPr>
            </w:pPr>
          </w:p>
          <w:p>
            <w:pPr>
              <w:pStyle w:val="11"/>
              <w:keepNext w:val="0"/>
              <w:keepLines w:val="0"/>
              <w:suppressLineNumbers w:val="0"/>
              <w:spacing w:before="0" w:beforeAutospacing="0" w:after="0" w:afterAutospacing="0"/>
              <w:ind w:left="0" w:right="0" w:firstLine="420"/>
              <w:rPr>
                <w:sz w:val="21"/>
              </w:rPr>
            </w:pPr>
          </w:p>
          <w:p>
            <w:pPr>
              <w:pStyle w:val="9"/>
              <w:keepNext w:val="0"/>
              <w:keepLines w:val="0"/>
              <w:suppressLineNumbers w:val="0"/>
              <w:spacing w:before="0" w:beforeAutospacing="0" w:after="0" w:afterAutospacing="0"/>
              <w:ind w:left="0" w:right="0" w:firstLine="420"/>
              <w:rPr>
                <w:sz w:val="21"/>
                <w:szCs w:val="21"/>
              </w:rPr>
            </w:pPr>
          </w:p>
          <w:p>
            <w:pPr>
              <w:keepNext w:val="0"/>
              <w:keepLines w:val="0"/>
              <w:suppressLineNumbers w:val="0"/>
              <w:spacing w:before="0" w:beforeAutospacing="0" w:after="0" w:afterAutospacing="0"/>
              <w:ind w:left="0" w:right="0" w:firstLine="420"/>
              <w:rPr>
                <w:sz w:val="21"/>
                <w:szCs w:val="21"/>
              </w:rPr>
            </w:pPr>
          </w:p>
          <w:p>
            <w:pPr>
              <w:pStyle w:val="11"/>
              <w:keepNext w:val="0"/>
              <w:keepLines w:val="0"/>
              <w:suppressLineNumbers w:val="0"/>
              <w:spacing w:before="0" w:beforeAutospacing="0" w:after="0" w:afterAutospacing="0"/>
              <w:ind w:left="0" w:right="0" w:firstLine="420"/>
              <w:rPr>
                <w:sz w:val="21"/>
              </w:rPr>
            </w:pPr>
          </w:p>
          <w:p>
            <w:pPr>
              <w:pStyle w:val="9"/>
              <w:keepNext w:val="0"/>
              <w:keepLines w:val="0"/>
              <w:suppressLineNumbers w:val="0"/>
              <w:spacing w:before="0" w:beforeAutospacing="0" w:after="0" w:afterAutospacing="0"/>
              <w:ind w:left="0" w:right="0" w:firstLine="420"/>
              <w:rPr>
                <w:sz w:val="21"/>
                <w:szCs w:val="21"/>
              </w:rPr>
            </w:pPr>
          </w:p>
          <w:p>
            <w:pPr>
              <w:keepNext w:val="0"/>
              <w:keepLines w:val="0"/>
              <w:suppressLineNumbers w:val="0"/>
              <w:spacing w:before="0" w:beforeAutospacing="0" w:after="0" w:afterAutospacing="0"/>
              <w:ind w:left="0" w:right="0" w:firstLine="480"/>
            </w:pPr>
          </w:p>
          <w:p>
            <w:pPr>
              <w:keepNext w:val="0"/>
              <w:keepLines w:val="0"/>
              <w:suppressLineNumbers w:val="0"/>
              <w:spacing w:before="0" w:beforeAutospacing="0" w:after="0" w:afterAutospacing="0" w:line="240" w:lineRule="auto"/>
              <w:ind w:left="0" w:right="0" w:firstLine="420"/>
              <w:jc w:val="center"/>
              <w:rPr>
                <w:sz w:val="21"/>
                <w:szCs w:val="21"/>
              </w:rPr>
            </w:pPr>
          </w:p>
          <w:p>
            <w:pPr>
              <w:keepNext w:val="0"/>
              <w:keepLines w:val="0"/>
              <w:suppressLineNumbers w:val="0"/>
              <w:spacing w:before="0" w:beforeAutospacing="0" w:after="0" w:afterAutospacing="0" w:line="240" w:lineRule="auto"/>
              <w:ind w:left="0" w:right="0" w:firstLine="420"/>
              <w:jc w:val="center"/>
              <w:rPr>
                <w:sz w:val="21"/>
                <w:szCs w:val="21"/>
              </w:rPr>
            </w:pPr>
          </w:p>
          <w:p>
            <w:pPr>
              <w:keepNext w:val="0"/>
              <w:keepLines w:val="0"/>
              <w:suppressLineNumbers w:val="0"/>
              <w:spacing w:before="0" w:beforeAutospacing="0" w:after="0" w:afterAutospacing="0" w:line="240" w:lineRule="auto"/>
              <w:ind w:left="0" w:right="0" w:firstLine="420"/>
              <w:jc w:val="center"/>
              <w:rPr>
                <w:sz w:val="21"/>
                <w:szCs w:val="21"/>
              </w:rPr>
            </w:pPr>
          </w:p>
          <w:p>
            <w:pPr>
              <w:keepNext w:val="0"/>
              <w:keepLines w:val="0"/>
              <w:suppressLineNumbers w:val="0"/>
              <w:spacing w:before="0" w:beforeAutospacing="0" w:after="0" w:afterAutospacing="0" w:line="240" w:lineRule="auto"/>
              <w:ind w:left="0" w:right="0" w:firstLine="420"/>
              <w:jc w:val="center"/>
              <w:rPr>
                <w:sz w:val="21"/>
                <w:szCs w:val="21"/>
              </w:rPr>
            </w:pPr>
          </w:p>
          <w:p>
            <w:pPr>
              <w:keepNext w:val="0"/>
              <w:keepLines w:val="0"/>
              <w:suppressLineNumbers w:val="0"/>
              <w:spacing w:before="0" w:beforeAutospacing="0" w:after="0" w:afterAutospacing="0" w:line="240" w:lineRule="auto"/>
              <w:ind w:left="0" w:right="0" w:firstLine="420"/>
              <w:jc w:val="center"/>
              <w:rPr>
                <w:sz w:val="21"/>
                <w:szCs w:val="21"/>
              </w:rPr>
            </w:pPr>
          </w:p>
          <w:p>
            <w:pPr>
              <w:keepNext w:val="0"/>
              <w:keepLines w:val="0"/>
              <w:suppressLineNumbers w:val="0"/>
              <w:spacing w:before="0" w:beforeAutospacing="0" w:after="0" w:afterAutospacing="0" w:line="240" w:lineRule="auto"/>
              <w:ind w:left="0" w:right="0" w:firstLine="420"/>
              <w:jc w:val="center"/>
              <w:rPr>
                <w:sz w:val="21"/>
                <w:szCs w:val="21"/>
              </w:rPr>
            </w:pPr>
          </w:p>
          <w:p>
            <w:pPr>
              <w:keepNext w:val="0"/>
              <w:keepLines w:val="0"/>
              <w:suppressLineNumbers w:val="0"/>
              <w:spacing w:before="0" w:beforeAutospacing="0" w:after="0" w:afterAutospacing="0" w:line="240" w:lineRule="auto"/>
              <w:ind w:left="0" w:right="0" w:firstLine="420"/>
              <w:jc w:val="center"/>
              <w:rPr>
                <w:sz w:val="21"/>
                <w:szCs w:val="21"/>
              </w:rPr>
            </w:pPr>
          </w:p>
          <w:p>
            <w:pPr>
              <w:keepNext w:val="0"/>
              <w:keepLines w:val="0"/>
              <w:suppressLineNumbers w:val="0"/>
              <w:spacing w:before="0" w:beforeAutospacing="0" w:after="0" w:afterAutospacing="0" w:line="240" w:lineRule="auto"/>
              <w:ind w:left="0" w:right="0" w:firstLine="420"/>
              <w:jc w:val="center"/>
              <w:rPr>
                <w:sz w:val="21"/>
                <w:szCs w:val="21"/>
              </w:rPr>
            </w:pPr>
          </w:p>
          <w:p>
            <w:pPr>
              <w:pStyle w:val="2"/>
              <w:keepNext w:val="0"/>
              <w:keepLines w:val="0"/>
              <w:suppressLineNumbers w:val="0"/>
              <w:spacing w:before="0" w:beforeAutospacing="0" w:after="0" w:afterAutospacing="0"/>
              <w:ind w:left="0" w:right="0" w:firstLine="420"/>
              <w:jc w:val="center"/>
              <w:rPr>
                <w:sz w:val="21"/>
                <w:szCs w:val="21"/>
              </w:rPr>
            </w:pPr>
          </w:p>
          <w:p>
            <w:pPr>
              <w:keepNext w:val="0"/>
              <w:keepLines w:val="0"/>
              <w:suppressLineNumbers w:val="0"/>
              <w:spacing w:before="0" w:beforeAutospacing="0" w:after="0" w:afterAutospacing="0"/>
              <w:ind w:left="0" w:right="0" w:firstLine="420"/>
              <w:rPr>
                <w:sz w:val="21"/>
                <w:szCs w:val="21"/>
              </w:rPr>
            </w:pPr>
          </w:p>
          <w:p>
            <w:pPr>
              <w:pStyle w:val="2"/>
              <w:keepNext w:val="0"/>
              <w:keepLines w:val="0"/>
              <w:suppressLineNumbers w:val="0"/>
              <w:spacing w:before="0" w:beforeAutospacing="0" w:after="0" w:afterAutospacing="0"/>
              <w:ind w:left="0" w:right="0" w:firstLine="420"/>
              <w:rPr>
                <w:sz w:val="21"/>
                <w:szCs w:val="21"/>
              </w:rPr>
            </w:pPr>
          </w:p>
          <w:p>
            <w:pPr>
              <w:keepNext w:val="0"/>
              <w:keepLines w:val="0"/>
              <w:suppressLineNumbers w:val="0"/>
              <w:spacing w:before="0" w:beforeAutospacing="0" w:after="0" w:afterAutospacing="0" w:line="240" w:lineRule="auto"/>
              <w:ind w:left="0" w:right="0" w:firstLine="420"/>
              <w:jc w:val="center"/>
              <w:rPr>
                <w:sz w:val="21"/>
                <w:szCs w:val="21"/>
              </w:rPr>
            </w:pPr>
          </w:p>
        </w:tc>
      </w:tr>
    </w:tbl>
    <w:p>
      <w:pPr>
        <w:pStyle w:val="3"/>
        <w:jc w:val="both"/>
      </w:pPr>
      <w:bookmarkStart w:id="116" w:name="_Toc22899"/>
      <w:bookmarkStart w:id="117" w:name="_Toc3184"/>
      <w:bookmarkStart w:id="118" w:name="_Toc2999"/>
      <w:bookmarkStart w:id="119" w:name="_Toc28686"/>
      <w:bookmarkStart w:id="120" w:name="_Toc17835"/>
      <w:bookmarkStart w:id="121" w:name="_Toc16778"/>
    </w:p>
    <w:p>
      <w:pPr>
        <w:pStyle w:val="3"/>
        <w:jc w:val="both"/>
      </w:pPr>
      <w:r>
        <w:t>表九  结论与建议</w:t>
      </w:r>
      <w:bookmarkEnd w:id="116"/>
      <w:bookmarkEnd w:id="117"/>
      <w:bookmarkEnd w:id="118"/>
      <w:bookmarkEnd w:id="119"/>
      <w:bookmarkEnd w:id="120"/>
      <w:bookmarkEnd w:id="121"/>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1" w:hRule="atLeast"/>
          <w:jc w:val="center"/>
        </w:trPr>
        <w:tc>
          <w:tcPr>
            <w:tcW w:w="9117" w:type="dxa"/>
            <w:noWrap/>
          </w:tcPr>
          <w:p>
            <w:pPr>
              <w:keepNext w:val="0"/>
              <w:keepLines w:val="0"/>
              <w:suppressLineNumbers w:val="0"/>
              <w:spacing w:before="0" w:beforeAutospacing="0" w:after="0" w:afterAutospacing="0"/>
              <w:ind w:left="0" w:right="0" w:firstLine="480"/>
              <w:jc w:val="both"/>
              <w:rPr>
                <w:sz w:val="28"/>
                <w:szCs w:val="28"/>
              </w:rPr>
            </w:pPr>
            <w:r>
              <w:t>本项目位于富民工业园区</w:t>
            </w:r>
            <w:r>
              <w:rPr>
                <w:rFonts w:hint="eastAsia"/>
              </w:rPr>
              <w:t>哨菁机械加工园，租赁云南鸿发机械制造有限公司标准厂房</w:t>
            </w:r>
            <w:r>
              <w:t>进行生产，占地</w:t>
            </w:r>
            <w:r>
              <w:rPr>
                <w:rFonts w:hint="eastAsia"/>
              </w:rPr>
              <w:t>16900</w:t>
            </w:r>
            <w:r>
              <w:t>m</w:t>
            </w:r>
            <w:r>
              <w:rPr>
                <w:vertAlign w:val="superscript"/>
              </w:rPr>
              <w:t>2</w:t>
            </w:r>
            <w:r>
              <w:t>，项目总投资</w:t>
            </w:r>
            <w:r>
              <w:rPr>
                <w:rFonts w:hint="eastAsia"/>
              </w:rPr>
              <w:t>5000</w:t>
            </w:r>
            <w:r>
              <w:t>万元，其中环保投资</w:t>
            </w:r>
            <w:r>
              <w:rPr>
                <w:rFonts w:hint="eastAsia"/>
              </w:rPr>
              <w:t>37.4万元</w:t>
            </w:r>
            <w:r>
              <w:t>，建设内容主要为新建2条</w:t>
            </w:r>
            <w:r>
              <w:rPr>
                <w:rFonts w:hint="eastAsia"/>
              </w:rPr>
              <w:t>钢结构加工</w:t>
            </w:r>
            <w:r>
              <w:t>生产线，建成后年产量为</w:t>
            </w:r>
            <w:r>
              <w:rPr>
                <w:rFonts w:hint="eastAsia"/>
              </w:rPr>
              <w:t>30000t</w:t>
            </w:r>
            <w:r>
              <w:t>/</w:t>
            </w:r>
            <w:r>
              <w:rPr>
                <w:rFonts w:hint="eastAsia"/>
              </w:rPr>
              <w:t>a</w:t>
            </w:r>
            <w:r>
              <w:t>，项目施工内容主要为室内外装修和设备安装。通过对项目进行环境影响评价，得出以下结论。</w:t>
            </w:r>
          </w:p>
          <w:p>
            <w:pPr>
              <w:keepNext w:val="0"/>
              <w:keepLines w:val="0"/>
              <w:suppressLineNumbers w:val="0"/>
              <w:spacing w:before="0" w:beforeAutospacing="0" w:after="0" w:afterAutospacing="0"/>
              <w:ind w:left="0" w:right="0" w:firstLine="0" w:firstLineChars="0"/>
              <w:jc w:val="both"/>
              <w:rPr>
                <w:b/>
              </w:rPr>
            </w:pPr>
            <w:r>
              <w:rPr>
                <w:rFonts w:hint="eastAsia"/>
                <w:b/>
              </w:rPr>
              <w:t>一、</w:t>
            </w:r>
            <w:r>
              <w:rPr>
                <w:b/>
              </w:rPr>
              <w:t>结论</w:t>
            </w:r>
          </w:p>
          <w:p>
            <w:pPr>
              <w:keepNext w:val="0"/>
              <w:keepLines w:val="0"/>
              <w:suppressLineNumbers w:val="0"/>
              <w:spacing w:before="0" w:beforeAutospacing="0" w:after="0" w:afterAutospacing="0"/>
              <w:ind w:left="0" w:right="0" w:firstLine="482"/>
              <w:jc w:val="both"/>
              <w:rPr>
                <w:b/>
              </w:rPr>
            </w:pPr>
            <w:r>
              <w:rPr>
                <w:b/>
              </w:rPr>
              <w:t>1、产业政策符合性</w:t>
            </w:r>
          </w:p>
          <w:p>
            <w:pPr>
              <w:keepNext w:val="0"/>
              <w:keepLines w:val="0"/>
              <w:widowControl/>
              <w:suppressLineNumbers w:val="0"/>
              <w:spacing w:before="0" w:beforeAutospacing="0" w:after="0" w:afterAutospacing="0"/>
              <w:ind w:left="0" w:right="0" w:firstLine="480"/>
              <w:jc w:val="both"/>
            </w:pPr>
            <w:r>
              <w:t>项目为金属制品制造行业，根据</w:t>
            </w:r>
            <w:r>
              <w:rPr>
                <w:rFonts w:hint="eastAsia"/>
              </w:rPr>
              <w:t>《产业结构调整指导目录（2019年本）》</w:t>
            </w:r>
            <w:r>
              <w:t>和《云南省工业产业结构调整指导目录（2006 本）》，本项目不属于上述文件规定的鼓励类、限制类及淘汰类，故项目建设符合国家和地方产业政策。</w:t>
            </w:r>
          </w:p>
          <w:p>
            <w:pPr>
              <w:keepNext w:val="0"/>
              <w:keepLines w:val="0"/>
              <w:suppressLineNumbers w:val="0"/>
              <w:spacing w:before="0" w:beforeAutospacing="0" w:after="0" w:afterAutospacing="0"/>
              <w:ind w:left="0" w:right="0" w:firstLine="482"/>
              <w:jc w:val="both"/>
              <w:rPr>
                <w:b/>
              </w:rPr>
            </w:pPr>
            <w:r>
              <w:rPr>
                <w:b/>
              </w:rPr>
              <w:t>2、选址合理性分析</w:t>
            </w:r>
          </w:p>
          <w:p>
            <w:pPr>
              <w:keepNext w:val="0"/>
              <w:keepLines w:val="0"/>
              <w:suppressLineNumbers w:val="0"/>
              <w:spacing w:before="0" w:beforeAutospacing="0" w:after="0" w:afterAutospacing="0"/>
              <w:ind w:left="0" w:right="0" w:firstLine="480"/>
              <w:jc w:val="both"/>
            </w:pPr>
            <w:r>
              <w:t>项目为</w:t>
            </w:r>
            <w:r>
              <w:rPr>
                <w:rFonts w:hint="eastAsia"/>
              </w:rPr>
              <w:t>钢结构加工</w:t>
            </w:r>
            <w:r>
              <w:t>项目，用地符合《富民工业园区总体规划修编（2015～2030）》用地规划，且与本项目的建设与《富民工业园区总体规划修编（2015～2030）》总体规划不冲突。采取了废气处理措施、固体废物收集措施及噪声控制措施后，项目内产生的污染物在采取环评提出的措施后均可以得到合理有效的处置，与周围环境相容，项目选址合理。</w:t>
            </w:r>
          </w:p>
          <w:p>
            <w:pPr>
              <w:keepNext w:val="0"/>
              <w:keepLines w:val="0"/>
              <w:suppressLineNumbers w:val="0"/>
              <w:spacing w:before="0" w:beforeAutospacing="0" w:after="0" w:afterAutospacing="0"/>
              <w:ind w:left="0" w:right="0" w:firstLine="482"/>
              <w:jc w:val="both"/>
              <w:rPr>
                <w:b/>
              </w:rPr>
            </w:pPr>
            <w:r>
              <w:rPr>
                <w:b/>
              </w:rPr>
              <w:t>3、环境质量现状</w:t>
            </w:r>
          </w:p>
          <w:p>
            <w:pPr>
              <w:keepNext w:val="0"/>
              <w:keepLines w:val="0"/>
              <w:suppressLineNumbers w:val="0"/>
              <w:spacing w:before="0" w:beforeAutospacing="0" w:after="0" w:afterAutospacing="0"/>
              <w:ind w:left="0" w:right="0" w:firstLine="480"/>
              <w:jc w:val="both"/>
            </w:pPr>
            <w:r>
              <w:t>项目所在地环境空气质量能够达到《环境空气质量标准》（GB3095-2012）二级标准；项目区主要地表水体为项目</w:t>
            </w:r>
            <w:r>
              <w:rPr>
                <w:rFonts w:hint="eastAsia"/>
              </w:rPr>
              <w:t>东</w:t>
            </w:r>
            <w:r>
              <w:t>面</w:t>
            </w:r>
            <w:r>
              <w:rPr>
                <w:rFonts w:hint="eastAsia"/>
              </w:rPr>
              <w:t>1250</w:t>
            </w:r>
            <w:r>
              <w:t>m处的</w:t>
            </w:r>
            <w:r>
              <w:rPr>
                <w:rFonts w:hint="eastAsia"/>
              </w:rPr>
              <w:t>螳螂川</w:t>
            </w:r>
            <w:r>
              <w:t>，根据《2018年度昆明市环境质量状况公报》及现场踏勘</w:t>
            </w:r>
            <w:r>
              <w:rPr>
                <w:rFonts w:hint="eastAsia"/>
              </w:rPr>
              <w:t>，</w:t>
            </w:r>
            <w:r>
              <w:t>大营河水质一般；项目区</w:t>
            </w:r>
            <w:r>
              <w:rPr>
                <w:rFonts w:hint="eastAsia"/>
              </w:rPr>
              <w:t>厂房</w:t>
            </w:r>
            <w:r>
              <w:t>声环境质量能够达到《声环境质量标准》（GB3096-2008）3类区标准，</w:t>
            </w:r>
            <w:r>
              <w:rPr>
                <w:rFonts w:hint="eastAsia"/>
              </w:rPr>
              <w:t>综合楼</w:t>
            </w:r>
            <w:r>
              <w:t>声环境质量能够达到《声环境质量标准》（GB3096-2008）4</w:t>
            </w:r>
            <w:r>
              <w:rPr>
                <w:rFonts w:hint="eastAsia"/>
              </w:rPr>
              <w:t>a</w:t>
            </w:r>
            <w:r>
              <w:t>类区标准；项目区域无原生植被，未发现需特殊保护的动植物资源。</w:t>
            </w:r>
          </w:p>
          <w:p>
            <w:pPr>
              <w:keepNext w:val="0"/>
              <w:keepLines w:val="0"/>
              <w:suppressLineNumbers w:val="0"/>
              <w:spacing w:before="0" w:beforeAutospacing="0" w:after="0" w:afterAutospacing="0"/>
              <w:ind w:left="0" w:right="0" w:firstLine="482"/>
              <w:jc w:val="both"/>
            </w:pPr>
            <w:r>
              <w:rPr>
                <w:b/>
              </w:rPr>
              <w:t>4、施工期环境影响分析结论</w:t>
            </w:r>
          </w:p>
          <w:p>
            <w:pPr>
              <w:keepNext w:val="0"/>
              <w:keepLines w:val="0"/>
              <w:suppressLineNumbers w:val="0"/>
              <w:spacing w:before="0" w:beforeAutospacing="0" w:after="0" w:afterAutospacing="0"/>
              <w:ind w:left="0" w:right="0" w:firstLine="480"/>
              <w:jc w:val="both"/>
              <w:rPr>
                <w:kern w:val="0"/>
                <w:sz w:val="28"/>
                <w:szCs w:val="28"/>
              </w:rPr>
            </w:pPr>
            <w:r>
              <w:t>施工期间产生的扬尘和有机废气通过洒水降尘、自然稀释、扩散后对周围环境的影响较小；施工过程中产生的装修材料边角料、设备包装废料等统一收集后出售于废品回收站；项目施工期较短，施工期结束后，施工期噪声影响即消失。</w:t>
            </w:r>
          </w:p>
          <w:p>
            <w:pPr>
              <w:keepNext w:val="0"/>
              <w:keepLines w:val="0"/>
              <w:suppressLineNumbers w:val="0"/>
              <w:spacing w:before="0" w:beforeAutospacing="0" w:after="0" w:afterAutospacing="0"/>
              <w:ind w:left="0" w:right="0" w:firstLine="482"/>
              <w:jc w:val="both"/>
              <w:rPr>
                <w:b/>
              </w:rPr>
            </w:pPr>
            <w:r>
              <w:rPr>
                <w:b/>
              </w:rPr>
              <w:t>5、营运期环境影响分析结论</w:t>
            </w:r>
          </w:p>
          <w:p>
            <w:pPr>
              <w:keepNext w:val="0"/>
              <w:keepLines w:val="0"/>
              <w:suppressLineNumbers w:val="0"/>
              <w:spacing w:before="0" w:beforeAutospacing="0" w:after="0" w:afterAutospacing="0"/>
              <w:ind w:left="0" w:right="0" w:firstLine="480"/>
              <w:jc w:val="both"/>
            </w:pPr>
            <w:r>
              <w:t>（1）大气环境影响分析</w:t>
            </w:r>
          </w:p>
          <w:p>
            <w:pPr>
              <w:keepNext w:val="0"/>
              <w:keepLines w:val="0"/>
              <w:suppressLineNumbers w:val="0"/>
              <w:spacing w:before="0" w:beforeAutospacing="0" w:after="0" w:afterAutospacing="0"/>
              <w:ind w:left="0" w:right="0" w:firstLine="480"/>
              <w:jc w:val="both"/>
            </w:pPr>
            <w:r>
              <w:t>运营期废气主要为喷漆工序产生的</w:t>
            </w:r>
            <w:r>
              <w:rPr>
                <w:rFonts w:hint="eastAsia"/>
              </w:rPr>
              <w:t>VOCs</w:t>
            </w:r>
            <w:r>
              <w:t>、焊接工序产生焊接烟尘、机加工过程产生的金属粉尘。</w:t>
            </w:r>
          </w:p>
          <w:p>
            <w:pPr>
              <w:keepNext w:val="0"/>
              <w:keepLines w:val="0"/>
              <w:widowControl/>
              <w:suppressLineNumbers w:val="0"/>
              <w:wordWrap w:val="0"/>
              <w:topLinePunct/>
              <w:adjustRightInd w:val="0"/>
              <w:snapToGrid w:val="0"/>
              <w:spacing w:before="0" w:beforeAutospacing="0" w:after="0" w:afterAutospacing="0"/>
              <w:ind w:left="0" w:right="0" w:firstLine="480"/>
              <w:jc w:val="both"/>
            </w:pPr>
            <w:r>
              <w:t>项目</w:t>
            </w:r>
            <w:r>
              <w:rPr>
                <w:bCs/>
              </w:rPr>
              <w:t>有机废气采用“</w:t>
            </w:r>
            <w:r>
              <w:rPr>
                <w:rFonts w:hint="eastAsia"/>
                <w:bCs/>
              </w:rPr>
              <w:t>过滤棉</w:t>
            </w:r>
            <w:r>
              <w:rPr>
                <w:bCs/>
              </w:rPr>
              <w:t>+活性炭吸附”系统处理后，由</w:t>
            </w:r>
            <w:r>
              <w:rPr>
                <w:rFonts w:hint="eastAsia"/>
                <w:bCs/>
              </w:rPr>
              <w:t>15</w:t>
            </w:r>
            <w:r>
              <w:rPr>
                <w:bCs/>
              </w:rPr>
              <w:t>m高1#排气筒排放，可实现达标排放，</w:t>
            </w:r>
            <w:r>
              <w:t>对周边环境影响较小。项目食堂油烟经高效静电式油烟净化器处理后引至楼顶排放</w:t>
            </w:r>
            <w:r>
              <w:rPr>
                <w:rFonts w:hint="eastAsia"/>
              </w:rPr>
              <w:t>，</w:t>
            </w:r>
            <w:r>
              <w:t>符合排放标准</w:t>
            </w:r>
            <w:r>
              <w:rPr>
                <w:rFonts w:hint="eastAsia"/>
              </w:rPr>
              <w:t>，</w:t>
            </w:r>
            <w:r>
              <w:t>对周边环境影响较小</w:t>
            </w:r>
            <w:r>
              <w:rPr>
                <w:rFonts w:hint="eastAsia"/>
              </w:rPr>
              <w:t>。</w:t>
            </w:r>
          </w:p>
          <w:p>
            <w:pPr>
              <w:keepNext w:val="0"/>
              <w:keepLines w:val="0"/>
              <w:suppressLineNumbers w:val="0"/>
              <w:spacing w:before="0" w:beforeAutospacing="0" w:after="0" w:afterAutospacing="0"/>
              <w:ind w:left="0" w:right="0" w:firstLine="480"/>
              <w:jc w:val="both"/>
            </w:pPr>
            <w:r>
              <w:t>项目</w:t>
            </w:r>
            <w:r>
              <w:rPr>
                <w:rFonts w:hint="eastAsia"/>
              </w:rPr>
              <w:t>产生</w:t>
            </w:r>
            <w:r>
              <w:t>的粉尘</w:t>
            </w:r>
            <w:r>
              <w:rPr>
                <w:rFonts w:hint="eastAsia"/>
              </w:rPr>
              <w:t>、</w:t>
            </w:r>
            <w:r>
              <w:t>焊烟经移动式除尘器处理后排入生产车间</w:t>
            </w:r>
            <w:r>
              <w:rPr>
                <w:rFonts w:hint="eastAsia"/>
              </w:rPr>
              <w:t>，大部分</w:t>
            </w:r>
            <w:r>
              <w:t>经重力沉降，无组织</w:t>
            </w:r>
            <w:r>
              <w:rPr>
                <w:bCs/>
              </w:rPr>
              <w:t>TVOC</w:t>
            </w:r>
            <w:r>
              <w:t>产生很小，经空气自然稀释净化对周围环境影响较小。</w:t>
            </w:r>
          </w:p>
          <w:p>
            <w:pPr>
              <w:keepNext w:val="0"/>
              <w:keepLines w:val="0"/>
              <w:suppressLineNumbers w:val="0"/>
              <w:spacing w:before="0" w:beforeAutospacing="0" w:after="0" w:afterAutospacing="0"/>
              <w:ind w:left="0" w:right="0" w:firstLine="480"/>
              <w:jc w:val="both"/>
            </w:pPr>
            <w:r>
              <w:t>（2）水环境影响分析</w:t>
            </w:r>
          </w:p>
          <w:p>
            <w:pPr>
              <w:keepNext w:val="0"/>
              <w:keepLines w:val="0"/>
              <w:suppressLineNumbers w:val="0"/>
              <w:spacing w:before="0" w:beforeAutospacing="0" w:after="0" w:afterAutospacing="0"/>
              <w:ind w:left="0" w:right="0" w:firstLine="480"/>
              <w:jc w:val="both"/>
            </w:pPr>
            <w:r>
              <w:t>项目雨水</w:t>
            </w:r>
            <w:r>
              <w:rPr>
                <w:rFonts w:hint="eastAsia"/>
              </w:rPr>
              <w:t>使用</w:t>
            </w:r>
            <w:r>
              <w:t>已建厂房的雨水管网收集后排入市政雨水管网</w:t>
            </w:r>
            <w:r>
              <w:rPr>
                <w:kern w:val="0"/>
              </w:rPr>
              <w:t>。</w:t>
            </w:r>
            <w:r>
              <w:rPr>
                <w:kern w:val="0"/>
                <w:lang w:val="zh-CN"/>
              </w:rPr>
              <w:t>本项目</w:t>
            </w:r>
            <w:r>
              <w:rPr>
                <w:rFonts w:hint="eastAsia"/>
                <w:kern w:val="0"/>
                <w:lang w:val="zh-CN"/>
              </w:rPr>
              <w:t>产生</w:t>
            </w:r>
            <w:r>
              <w:rPr>
                <w:kern w:val="0"/>
                <w:lang w:val="zh-CN"/>
              </w:rPr>
              <w:t>的所有生活废水经隔油池及化粪池处理后排入园区污水管网</w:t>
            </w:r>
            <w:r>
              <w:t>。产生的生产废水经涂料回收池及冷却水收集池处理后回用于原环节，均为间接排放</w:t>
            </w:r>
            <w:r>
              <w:rPr>
                <w:rFonts w:hint="eastAsia"/>
              </w:rPr>
              <w:t>，对周围水环境影响不大</w:t>
            </w:r>
            <w:r>
              <w:t>。</w:t>
            </w:r>
          </w:p>
          <w:p>
            <w:pPr>
              <w:keepNext w:val="0"/>
              <w:keepLines w:val="0"/>
              <w:suppressLineNumbers w:val="0"/>
              <w:spacing w:before="0" w:beforeAutospacing="0" w:after="0" w:afterAutospacing="0"/>
              <w:ind w:left="0" w:right="0" w:firstLine="480"/>
              <w:jc w:val="both"/>
            </w:pPr>
            <w:r>
              <w:t>（3）声环境影响分析</w:t>
            </w:r>
          </w:p>
          <w:p>
            <w:pPr>
              <w:keepNext w:val="0"/>
              <w:keepLines w:val="0"/>
              <w:suppressLineNumbers w:val="0"/>
              <w:spacing w:before="0" w:beforeAutospacing="0" w:after="0" w:afterAutospacing="0"/>
              <w:ind w:left="0" w:right="0" w:firstLine="480"/>
              <w:jc w:val="both"/>
            </w:pPr>
            <w:r>
              <w:rPr>
                <w:lang w:val="zh-CN"/>
              </w:rPr>
              <w:t>项目夜间不生产，营运期噪声主要为生产车间的设备噪声，根据预测结果，在经厂房隔音后，项目</w:t>
            </w:r>
            <w:r>
              <w:rPr>
                <w:rFonts w:hint="eastAsia"/>
                <w:lang w:val="zh-CN"/>
              </w:rPr>
              <w:t>西、北、南</w:t>
            </w:r>
            <w:r>
              <w:rPr>
                <w:lang w:val="zh-CN"/>
              </w:rPr>
              <w:t>厂界噪声</w:t>
            </w:r>
            <w:r>
              <w:t>满足《工业企业厂界环境噪声排放标准》（GB12348-2008）3类标准，</w:t>
            </w:r>
            <w:r>
              <w:rPr>
                <w:rFonts w:hint="eastAsia"/>
                <w:lang w:val="zh-CN"/>
              </w:rPr>
              <w:t>东</w:t>
            </w:r>
            <w:r>
              <w:rPr>
                <w:lang w:val="zh-CN"/>
              </w:rPr>
              <w:t>厂界噪声</w:t>
            </w:r>
            <w:r>
              <w:t>满足《工业企业厂界环境噪声排放标准》（GB12348-2008）4</w:t>
            </w:r>
            <w:r>
              <w:rPr>
                <w:rFonts w:hint="eastAsia"/>
              </w:rPr>
              <w:t>a</w:t>
            </w:r>
            <w:r>
              <w:t>类标准</w:t>
            </w:r>
            <w:r>
              <w:rPr>
                <w:lang w:val="zh-CN"/>
              </w:rPr>
              <w:t>对周围环境敏感点</w:t>
            </w:r>
            <w:r>
              <w:t>影响较小。</w:t>
            </w:r>
          </w:p>
          <w:p>
            <w:pPr>
              <w:keepNext w:val="0"/>
              <w:keepLines w:val="0"/>
              <w:suppressLineNumbers w:val="0"/>
              <w:spacing w:before="0" w:beforeAutospacing="0" w:after="0" w:afterAutospacing="0"/>
              <w:ind w:left="0" w:right="0" w:firstLine="482"/>
              <w:jc w:val="both"/>
              <w:rPr>
                <w:b/>
              </w:rPr>
            </w:pPr>
            <w:r>
              <w:rPr>
                <w:b/>
              </w:rPr>
              <w:t>（4）固废环境影响分析</w:t>
            </w:r>
          </w:p>
          <w:p>
            <w:pPr>
              <w:keepNext w:val="0"/>
              <w:keepLines w:val="0"/>
              <w:suppressLineNumbers w:val="0"/>
              <w:spacing w:before="0" w:beforeAutospacing="0" w:after="0" w:afterAutospacing="0"/>
              <w:ind w:left="0" w:right="0" w:firstLine="480"/>
              <w:jc w:val="both"/>
            </w:pPr>
            <w:r>
              <w:t>项目营运期产生的固体废弃物主要为</w:t>
            </w:r>
            <w:r>
              <w:rPr>
                <w:rFonts w:hint="eastAsia"/>
              </w:rPr>
              <w:t>一般工业固废</w:t>
            </w:r>
            <w:r>
              <w:t>、生活垃圾</w:t>
            </w:r>
            <w:r>
              <w:rPr>
                <w:rFonts w:hint="eastAsia"/>
              </w:rPr>
              <w:t>及危险废物</w:t>
            </w:r>
            <w:r>
              <w:t>。</w:t>
            </w:r>
          </w:p>
          <w:p>
            <w:pPr>
              <w:keepNext/>
              <w:keepLines w:val="0"/>
              <w:widowControl/>
              <w:suppressLineNumbers w:val="0"/>
              <w:spacing w:before="0" w:beforeAutospacing="0" w:after="0" w:afterAutospacing="0"/>
              <w:ind w:left="0" w:right="0" w:firstLine="480"/>
              <w:jc w:val="both"/>
            </w:pPr>
            <w:r>
              <w:t>项目生产过程产生的</w:t>
            </w:r>
            <w:r>
              <w:rPr>
                <w:rFonts w:hint="eastAsia"/>
              </w:rPr>
              <w:t>边</w:t>
            </w:r>
            <w:r>
              <w:t>角废料、焊渣、机加工过程回收的粉尘等固废主要成分为金属</w:t>
            </w:r>
            <w:r>
              <w:rPr>
                <w:rFonts w:hint="eastAsia"/>
              </w:rPr>
              <w:t>，收集后外售</w:t>
            </w:r>
            <w:r>
              <w:t>。废包装材料主要成分为纸质，收集</w:t>
            </w:r>
            <w:r>
              <w:rPr>
                <w:rFonts w:hint="eastAsia"/>
              </w:rPr>
              <w:t>后外售</w:t>
            </w:r>
            <w:r>
              <w:t>。运营期产生的生活垃圾集中收集于垃圾桶内，定期由环卫部门清运处置。机修过程产生的废</w:t>
            </w:r>
            <w:r>
              <w:rPr>
                <w:rFonts w:hint="eastAsia"/>
              </w:rPr>
              <w:t>机</w:t>
            </w:r>
            <w:r>
              <w:t>油、废漆料桶、喷漆废气处理设施产生的废</w:t>
            </w:r>
            <w:r>
              <w:rPr>
                <w:rFonts w:hint="eastAsia"/>
              </w:rPr>
              <w:t>过滤棉+活性炭</w:t>
            </w:r>
            <w:r>
              <w:t>等属于危险废物，拟分类、分区收集暂存于危险废物暂存间</w:t>
            </w:r>
            <w:r>
              <w:rPr>
                <w:rFonts w:hint="eastAsia"/>
              </w:rPr>
              <w:t>；废原料桶交由有资质的单位进行处理；废过滤棉+活性炭交由有资质的单位进行处理</w:t>
            </w:r>
            <w:r>
              <w:t>。</w:t>
            </w:r>
          </w:p>
          <w:p>
            <w:pPr>
              <w:keepNext/>
              <w:keepLines w:val="0"/>
              <w:widowControl/>
              <w:suppressLineNumbers w:val="0"/>
              <w:spacing w:before="0" w:beforeAutospacing="0" w:after="0" w:afterAutospacing="0"/>
              <w:ind w:left="0" w:right="0" w:firstLine="480"/>
              <w:jc w:val="both"/>
            </w:pPr>
            <w:r>
              <w:t>项目产生的固体废物可全部处置，对周围环境影响较小。</w:t>
            </w:r>
          </w:p>
          <w:p>
            <w:pPr>
              <w:keepNext w:val="0"/>
              <w:keepLines w:val="0"/>
              <w:suppressLineNumbers w:val="0"/>
              <w:spacing w:before="0" w:beforeAutospacing="0" w:after="0" w:afterAutospacing="0"/>
              <w:ind w:left="0" w:right="0" w:firstLine="0" w:firstLineChars="0"/>
              <w:jc w:val="both"/>
              <w:rPr>
                <w:b/>
              </w:rPr>
            </w:pPr>
            <w:r>
              <w:rPr>
                <w:b/>
              </w:rPr>
              <w:t>二、对策措施</w:t>
            </w:r>
          </w:p>
          <w:p>
            <w:pPr>
              <w:keepNext w:val="0"/>
              <w:keepLines w:val="0"/>
              <w:suppressLineNumbers w:val="0"/>
              <w:spacing w:before="0" w:beforeAutospacing="0" w:after="0" w:afterAutospacing="0"/>
              <w:ind w:left="0" w:right="0" w:firstLine="480"/>
              <w:jc w:val="both"/>
            </w:pPr>
            <w:r>
              <w:t>根据我国环保法律法规的规定，凡对环境有影响的建设项目，其配套的污染防治设施必须实行“三同时”原则，即与主体工程同时设计、同时施工、同时投产使用。要求建设方严格执行“三同时”的有关规定。针对该项目可能产生的环境问题，提出以下防治对策措施：</w:t>
            </w:r>
          </w:p>
          <w:p>
            <w:pPr>
              <w:keepNext w:val="0"/>
              <w:keepLines w:val="0"/>
              <w:suppressLineNumbers w:val="0"/>
              <w:spacing w:before="0" w:beforeAutospacing="0" w:after="0" w:afterAutospacing="0"/>
              <w:ind w:left="0" w:right="0" w:firstLine="482"/>
              <w:jc w:val="both"/>
              <w:rPr>
                <w:b/>
              </w:rPr>
            </w:pPr>
            <w:r>
              <w:rPr>
                <w:b/>
              </w:rPr>
              <w:t>1、施工期</w:t>
            </w:r>
          </w:p>
          <w:p>
            <w:pPr>
              <w:keepNext w:val="0"/>
              <w:keepLines w:val="0"/>
              <w:suppressLineNumbers w:val="0"/>
              <w:spacing w:before="0" w:beforeAutospacing="0" w:after="0" w:afterAutospacing="0"/>
              <w:ind w:left="0" w:right="0" w:firstLine="480"/>
              <w:jc w:val="both"/>
              <w:rPr>
                <w:bCs/>
              </w:rPr>
            </w:pPr>
            <w:r>
              <w:rPr>
                <w:bCs/>
              </w:rPr>
              <w:t>（1）施工装修过程产生的废水用于对设备安装过程产生的扬尘、装修过程产生粉尘进行洒水降尘，减轻扬尘及粉尘对周围大气环境的影响；</w:t>
            </w:r>
          </w:p>
          <w:p>
            <w:pPr>
              <w:keepNext w:val="0"/>
              <w:keepLines w:val="0"/>
              <w:suppressLineNumbers w:val="0"/>
              <w:spacing w:before="0" w:beforeAutospacing="0" w:after="0" w:afterAutospacing="0"/>
              <w:ind w:left="0" w:right="0" w:firstLine="480"/>
              <w:jc w:val="both"/>
              <w:rPr>
                <w:bCs/>
              </w:rPr>
            </w:pPr>
            <w:r>
              <w:rPr>
                <w:bCs/>
              </w:rPr>
              <w:t>（2）装修及设备安装过程产生的装修边角料、设备包装可回收部分出售给废物回收站，不可回收部分同生活垃圾一块处置。</w:t>
            </w:r>
          </w:p>
          <w:p>
            <w:pPr>
              <w:keepNext w:val="0"/>
              <w:keepLines w:val="0"/>
              <w:suppressLineNumbers w:val="0"/>
              <w:spacing w:before="0" w:beforeAutospacing="0" w:after="0" w:afterAutospacing="0"/>
              <w:ind w:left="0" w:right="0" w:firstLine="480"/>
              <w:jc w:val="both"/>
              <w:rPr>
                <w:bCs/>
              </w:rPr>
            </w:pPr>
            <w:r>
              <w:rPr>
                <w:bCs/>
              </w:rPr>
              <w:t>（3）施工期产生的施工产生的施工噪声采取车间围墙的阻隔和距离衰减等措施。</w:t>
            </w:r>
          </w:p>
          <w:p>
            <w:pPr>
              <w:keepNext w:val="0"/>
              <w:keepLines w:val="0"/>
              <w:suppressLineNumbers w:val="0"/>
              <w:spacing w:before="0" w:beforeAutospacing="0" w:after="0" w:afterAutospacing="0"/>
              <w:ind w:left="0" w:right="0" w:firstLine="482"/>
              <w:jc w:val="both"/>
              <w:rPr>
                <w:b/>
              </w:rPr>
            </w:pPr>
            <w:r>
              <w:rPr>
                <w:b/>
              </w:rPr>
              <w:t>2、运营期：</w:t>
            </w:r>
          </w:p>
          <w:p>
            <w:pPr>
              <w:keepNext w:val="0"/>
              <w:keepLines w:val="0"/>
              <w:suppressLineNumbers w:val="0"/>
              <w:spacing w:before="0" w:beforeAutospacing="0" w:after="0" w:afterAutospacing="0"/>
              <w:ind w:left="0" w:right="0" w:firstLine="482"/>
              <w:jc w:val="both"/>
              <w:rPr>
                <w:b/>
              </w:rPr>
            </w:pPr>
            <w:r>
              <w:rPr>
                <w:b/>
              </w:rPr>
              <w:t>（1）</w:t>
            </w:r>
            <w:r>
              <w:rPr>
                <w:rFonts w:hint="eastAsia"/>
                <w:b/>
              </w:rPr>
              <w:t>废气</w:t>
            </w:r>
          </w:p>
          <w:p>
            <w:pPr>
              <w:keepNext w:val="0"/>
              <w:keepLines w:val="0"/>
              <w:suppressLineNumbers w:val="0"/>
              <w:spacing w:before="0" w:beforeAutospacing="0" w:after="0" w:afterAutospacing="0"/>
              <w:ind w:left="0" w:right="0" w:firstLine="480"/>
              <w:jc w:val="both"/>
            </w:pPr>
            <w:r>
              <w:t>①项目喷漆废气经过</w:t>
            </w:r>
            <w:r>
              <w:rPr>
                <w:rFonts w:hint="eastAsia"/>
              </w:rPr>
              <w:t>过滤棉+活性炭</w:t>
            </w:r>
            <w:r>
              <w:t>吸附系统处理后经1根15m排气筒排放。</w:t>
            </w:r>
          </w:p>
          <w:p>
            <w:pPr>
              <w:keepNext w:val="0"/>
              <w:keepLines w:val="0"/>
              <w:suppressLineNumbers w:val="0"/>
              <w:spacing w:before="0" w:beforeAutospacing="0" w:after="0" w:afterAutospacing="0"/>
              <w:ind w:left="0" w:right="0" w:firstLine="480"/>
              <w:jc w:val="both"/>
            </w:pPr>
            <w:r>
              <w:t>②项目生产车间</w:t>
            </w:r>
            <w:r>
              <w:rPr>
                <w:rFonts w:hint="eastAsia"/>
              </w:rPr>
              <w:t>内设置一套移动式除尘器，生产车间内产生的粉尘、烟尘等污染物经过移动式除尘器处理后再经过生产车间自然沉降后</w:t>
            </w:r>
            <w:r>
              <w:t>，</w:t>
            </w:r>
            <w:r>
              <w:rPr>
                <w:rFonts w:hint="eastAsia"/>
              </w:rPr>
              <w:t>少量粉尘、烟尘以无组织形式从生产车间门窗外逸</w:t>
            </w:r>
            <w:r>
              <w:t>。</w:t>
            </w:r>
          </w:p>
          <w:p>
            <w:pPr>
              <w:keepNext w:val="0"/>
              <w:keepLines w:val="0"/>
              <w:suppressLineNumbers w:val="0"/>
              <w:spacing w:before="0" w:beforeAutospacing="0" w:after="0" w:afterAutospacing="0"/>
              <w:ind w:left="0" w:right="0" w:firstLine="482"/>
              <w:jc w:val="both"/>
            </w:pPr>
            <w:r>
              <w:rPr>
                <w:b/>
              </w:rPr>
              <w:t>2、</w:t>
            </w:r>
            <w:r>
              <w:rPr>
                <w:rFonts w:hint="eastAsia"/>
                <w:b/>
              </w:rPr>
              <w:t>废水</w:t>
            </w:r>
          </w:p>
          <w:p>
            <w:pPr>
              <w:keepNext w:val="0"/>
              <w:keepLines w:val="0"/>
              <w:suppressLineNumbers w:val="0"/>
              <w:spacing w:before="0" w:beforeAutospacing="0" w:after="0" w:afterAutospacing="0"/>
              <w:ind w:left="0" w:right="0" w:firstLine="480"/>
              <w:jc w:val="both"/>
            </w:pPr>
            <w:r>
              <w:t>项目雨水</w:t>
            </w:r>
            <w:r>
              <w:rPr>
                <w:rFonts w:hint="eastAsia"/>
              </w:rPr>
              <w:t>使用</w:t>
            </w:r>
            <w:r>
              <w:t>已建厂房的雨水管网收集后排入市政雨水管网；</w:t>
            </w:r>
            <w:r>
              <w:rPr>
                <w:rFonts w:hint="eastAsia"/>
              </w:rPr>
              <w:t>无生产废水产生。本</w:t>
            </w:r>
            <w:r>
              <w:rPr>
                <w:kern w:val="0"/>
                <w:lang w:val="zh-CN"/>
              </w:rPr>
              <w:t>本项目</w:t>
            </w:r>
            <w:r>
              <w:rPr>
                <w:rFonts w:hint="eastAsia"/>
                <w:kern w:val="0"/>
                <w:lang w:val="zh-CN"/>
              </w:rPr>
              <w:t>产生</w:t>
            </w:r>
            <w:r>
              <w:rPr>
                <w:kern w:val="0"/>
                <w:lang w:val="zh-CN"/>
              </w:rPr>
              <w:t>的所有生活废水经隔油池及化粪池处理后排入园区污水管网</w:t>
            </w:r>
            <w:r>
              <w:t>。产生的生产废水经涂料回收池及冷却水收集池处理后回用于原环节，均为间接排放</w:t>
            </w:r>
            <w:r>
              <w:rPr>
                <w:rFonts w:hint="eastAsia"/>
              </w:rPr>
              <w:t>.</w:t>
            </w:r>
          </w:p>
          <w:p>
            <w:pPr>
              <w:keepNext w:val="0"/>
              <w:keepLines w:val="0"/>
              <w:suppressLineNumbers w:val="0"/>
              <w:spacing w:before="0" w:beforeAutospacing="0" w:after="0" w:afterAutospacing="0"/>
              <w:ind w:left="0" w:right="0" w:firstLine="482"/>
              <w:jc w:val="both"/>
              <w:rPr>
                <w:b/>
              </w:rPr>
            </w:pPr>
            <w:r>
              <w:rPr>
                <w:b/>
              </w:rPr>
              <w:t>3、</w:t>
            </w:r>
            <w:r>
              <w:rPr>
                <w:rFonts w:hint="eastAsia"/>
                <w:b/>
              </w:rPr>
              <w:t>噪声</w:t>
            </w:r>
          </w:p>
          <w:p>
            <w:pPr>
              <w:keepNext w:val="0"/>
              <w:keepLines w:val="0"/>
              <w:suppressLineNumbers w:val="0"/>
              <w:spacing w:before="0" w:beforeAutospacing="0" w:after="0" w:afterAutospacing="0"/>
              <w:ind w:left="0" w:right="0" w:firstLine="480"/>
              <w:jc w:val="both"/>
            </w:pPr>
            <w:r>
              <w:t>（1）设备安装时进行减震处理，设备均置于车间内使用。</w:t>
            </w:r>
          </w:p>
          <w:p>
            <w:pPr>
              <w:keepNext w:val="0"/>
              <w:keepLines w:val="0"/>
              <w:suppressLineNumbers w:val="0"/>
              <w:spacing w:before="0" w:beforeAutospacing="0" w:after="0" w:afterAutospacing="0"/>
              <w:ind w:left="0" w:right="0" w:firstLine="480"/>
              <w:jc w:val="both"/>
            </w:pPr>
            <w:r>
              <w:t>（2）对生产设备进行定期检修、维护，确保设备运转良好。</w:t>
            </w:r>
          </w:p>
          <w:p>
            <w:pPr>
              <w:keepNext w:val="0"/>
              <w:keepLines w:val="0"/>
              <w:suppressLineNumbers w:val="0"/>
              <w:spacing w:before="0" w:beforeAutospacing="0" w:after="0" w:afterAutospacing="0"/>
              <w:ind w:left="0" w:right="0" w:firstLine="482"/>
              <w:jc w:val="both"/>
            </w:pPr>
            <w:r>
              <w:rPr>
                <w:b/>
              </w:rPr>
              <w:t>4、固体废物</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1 \* GB2 </w:instrText>
            </w:r>
            <w:r>
              <w:rPr>
                <w:rFonts w:hint="eastAsia"/>
              </w:rPr>
              <w:fldChar w:fldCharType="separate"/>
            </w:r>
            <w:r>
              <w:rPr>
                <w:rFonts w:hint="eastAsia"/>
              </w:rPr>
              <w:t>⑴</w:t>
            </w:r>
            <w:r>
              <w:rPr>
                <w:rFonts w:hint="eastAsia"/>
              </w:rPr>
              <w:fldChar w:fldCharType="end"/>
            </w:r>
            <w:r>
              <w:rPr>
                <w:rFonts w:hint="eastAsia"/>
              </w:rPr>
              <w:t>边</w:t>
            </w:r>
            <w:r>
              <w:t>角废料、焊渣、机加工过程回收的粉尘等固废主要成分为金属</w:t>
            </w:r>
            <w:r>
              <w:rPr>
                <w:rFonts w:hint="eastAsia"/>
              </w:rPr>
              <w:t>，收集后外售</w:t>
            </w:r>
            <w:r>
              <w:t>。</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2 \* GB2 </w:instrText>
            </w:r>
            <w:r>
              <w:rPr>
                <w:rFonts w:hint="eastAsia"/>
              </w:rPr>
              <w:fldChar w:fldCharType="separate"/>
            </w:r>
            <w:r>
              <w:rPr>
                <w:rFonts w:hint="eastAsia"/>
              </w:rPr>
              <w:t>⑵</w:t>
            </w:r>
            <w:r>
              <w:rPr>
                <w:rFonts w:hint="eastAsia"/>
              </w:rPr>
              <w:fldChar w:fldCharType="end"/>
            </w:r>
            <w:r>
              <w:t>废包装材料主要成分为纸质，收集</w:t>
            </w:r>
            <w:r>
              <w:rPr>
                <w:rFonts w:hint="eastAsia"/>
              </w:rPr>
              <w:t>后外售</w:t>
            </w:r>
            <w:r>
              <w:t>。</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3 \* GB2 </w:instrText>
            </w:r>
            <w:r>
              <w:rPr>
                <w:rFonts w:hint="eastAsia"/>
              </w:rPr>
              <w:fldChar w:fldCharType="separate"/>
            </w:r>
            <w:r>
              <w:rPr>
                <w:rFonts w:hint="eastAsia"/>
              </w:rPr>
              <w:t>⑶</w:t>
            </w:r>
            <w:r>
              <w:rPr>
                <w:rFonts w:hint="eastAsia"/>
              </w:rPr>
              <w:fldChar w:fldCharType="end"/>
            </w:r>
            <w:r>
              <w:t>生活垃圾集中收集于垃圾桶内，定期由环卫部门清运处置。</w:t>
            </w:r>
          </w:p>
          <w:p>
            <w:pPr>
              <w:keepNext w:val="0"/>
              <w:keepLines w:val="0"/>
              <w:suppressLineNumbers w:val="0"/>
              <w:spacing w:before="0" w:beforeAutospacing="0" w:after="0" w:afterAutospacing="0"/>
              <w:ind w:left="0" w:right="0" w:firstLine="480"/>
              <w:jc w:val="both"/>
            </w:pPr>
            <w:r>
              <w:rPr>
                <w:rFonts w:hint="eastAsia"/>
              </w:rPr>
              <w:fldChar w:fldCharType="begin"/>
            </w:r>
            <w:r>
              <w:instrText xml:space="preserve"> = 4 \* GB2 </w:instrText>
            </w:r>
            <w:r>
              <w:rPr>
                <w:rFonts w:hint="eastAsia"/>
              </w:rPr>
              <w:fldChar w:fldCharType="separate"/>
            </w:r>
            <w:r>
              <w:rPr>
                <w:rFonts w:hint="eastAsia"/>
              </w:rPr>
              <w:t>⑷</w:t>
            </w:r>
            <w:r>
              <w:rPr>
                <w:rFonts w:hint="eastAsia"/>
              </w:rPr>
              <w:fldChar w:fldCharType="end"/>
            </w:r>
            <w:r>
              <w:t>项目设置1间危废暂存间，危废暂存间的设置需满足《危险废物贮存污染控制标准》（GB18597-2001）要求，项目产生的</w:t>
            </w:r>
            <w:r>
              <w:rPr>
                <w:rFonts w:hint="eastAsia"/>
              </w:rPr>
              <w:t>废机油用作后期设备润滑使用，废原料桶交由有资质的单位进行处理，废过滤棉、废活性炭交由有资质的单位进行处理</w:t>
            </w:r>
            <w:r>
              <w:t>。</w:t>
            </w:r>
          </w:p>
          <w:p>
            <w:pPr>
              <w:keepNext w:val="0"/>
              <w:keepLines w:val="0"/>
              <w:suppressLineNumbers w:val="0"/>
              <w:spacing w:before="0" w:beforeAutospacing="0" w:after="0" w:afterAutospacing="0"/>
              <w:ind w:left="0" w:right="0" w:firstLine="360" w:firstLineChars="150"/>
              <w:jc w:val="both"/>
            </w:pPr>
            <w:r>
              <w:t>（5）建立完善的管理制度，明确责任，定时清扫，定时收集。</w:t>
            </w:r>
          </w:p>
          <w:p>
            <w:pPr>
              <w:keepNext w:val="0"/>
              <w:keepLines w:val="0"/>
              <w:numPr>
                <w:ilvl w:val="0"/>
                <w:numId w:val="3"/>
              </w:numPr>
              <w:suppressLineNumbers w:val="0"/>
              <w:spacing w:before="0" w:beforeAutospacing="0" w:after="0" w:afterAutospacing="0"/>
              <w:ind w:left="0" w:right="0" w:firstLine="482"/>
              <w:jc w:val="both"/>
              <w:rPr>
                <w:b/>
                <w:bCs/>
              </w:rPr>
            </w:pPr>
            <w:r>
              <w:rPr>
                <w:b/>
                <w:bCs/>
              </w:rPr>
              <w:t>其他措施</w:t>
            </w:r>
          </w:p>
          <w:p>
            <w:pPr>
              <w:keepNext w:val="0"/>
              <w:keepLines w:val="0"/>
              <w:suppressLineNumbers w:val="0"/>
              <w:snapToGrid w:val="0"/>
              <w:spacing w:before="0" w:beforeAutospacing="0" w:after="0" w:afterAutospacing="0"/>
              <w:ind w:left="0" w:right="0" w:firstLine="480"/>
              <w:jc w:val="both"/>
            </w:pPr>
            <w:r>
              <w:t>①加强风险措施的设置，如车间内、危废间严禁烟火，电器与设备采用防爆设备等</w:t>
            </w:r>
          </w:p>
          <w:p>
            <w:pPr>
              <w:keepNext w:val="0"/>
              <w:keepLines w:val="0"/>
              <w:suppressLineNumbers w:val="0"/>
              <w:snapToGrid w:val="0"/>
              <w:spacing w:before="0" w:beforeAutospacing="0" w:after="0" w:afterAutospacing="0"/>
              <w:ind w:left="0" w:right="0" w:firstLine="480"/>
              <w:jc w:val="both"/>
            </w:pPr>
            <w:r>
              <w:t>（1）根据环评要求，落实“三废治理”费用，做到专款专用，项目实施后应保证足够的环保资金，确保污染防治措施有效地运行，保证污染物达标排放。</w:t>
            </w:r>
          </w:p>
          <w:p>
            <w:pPr>
              <w:keepNext w:val="0"/>
              <w:keepLines w:val="0"/>
              <w:suppressLineNumbers w:val="0"/>
              <w:spacing w:before="0" w:beforeAutospacing="0" w:after="0" w:afterAutospacing="0"/>
              <w:ind w:left="0" w:right="0" w:firstLine="480"/>
              <w:jc w:val="both"/>
            </w:pPr>
            <w:r>
              <w:t>（2）建设方应严格执行本评价所提出的环境污染处理方法，建立完善的环保管理制度，确保各项环保措施落实到位</w:t>
            </w:r>
          </w:p>
          <w:p>
            <w:pPr>
              <w:keepNext w:val="0"/>
              <w:keepLines w:val="0"/>
              <w:suppressLineNumbers w:val="0"/>
              <w:spacing w:before="0" w:beforeAutospacing="0" w:after="0" w:afterAutospacing="0"/>
              <w:ind w:left="0" w:right="0" w:firstLine="480"/>
              <w:jc w:val="both"/>
            </w:pPr>
            <w:r>
              <w:t>（3）合理安排生产时间，夜间不生产，不生产时关停产噪及其他产污设备，完善生产及管理制度，兼顾生产效率及环保治理。</w:t>
            </w:r>
          </w:p>
          <w:p>
            <w:pPr>
              <w:keepNext w:val="0"/>
              <w:keepLines w:val="0"/>
              <w:suppressLineNumbers w:val="0"/>
              <w:spacing w:before="0" w:beforeAutospacing="0" w:after="0" w:afterAutospacing="0"/>
              <w:ind w:left="0" w:right="0" w:firstLine="0" w:firstLineChars="0"/>
              <w:jc w:val="both"/>
              <w:rPr>
                <w:b/>
              </w:rPr>
            </w:pPr>
            <w:r>
              <w:rPr>
                <w:b/>
              </w:rPr>
              <w:t>三、总结论</w:t>
            </w:r>
          </w:p>
          <w:p>
            <w:pPr>
              <w:keepNext/>
              <w:keepLines w:val="0"/>
              <w:widowControl/>
              <w:suppressLineNumbers w:val="0"/>
              <w:spacing w:before="0" w:beforeAutospacing="0" w:after="0" w:afterAutospacing="0"/>
              <w:ind w:left="0" w:right="0" w:firstLine="480"/>
              <w:jc w:val="both"/>
              <w:rPr>
                <w:sz w:val="28"/>
                <w:szCs w:val="28"/>
              </w:rPr>
            </w:pPr>
            <w:r>
              <w:rPr>
                <w:rFonts w:hint="eastAsia"/>
              </w:rPr>
              <w:t>本项目</w:t>
            </w:r>
            <w:r>
              <w:t>符合国家产业政策，选址可行，布局合理。运营期对产生的废气、废水、噪声等采取措施治理后，能够实现污染物的达标排放，固体废物100%合理处置，不会对环境造成大的影响，不会降低当地的环境功能。在严格执行有关环保法规和“三同时”制度，加强企业的环境管理，确保污染物达标排放的情况下。从环境保护角度分析，该项目建设是可行的。</w:t>
            </w:r>
          </w:p>
          <w:p>
            <w:pPr>
              <w:keepNext w:val="0"/>
              <w:keepLines w:val="0"/>
              <w:suppressLineNumbers w:val="0"/>
              <w:spacing w:before="0" w:beforeAutospacing="0" w:after="0" w:afterAutospacing="0"/>
              <w:ind w:left="0" w:right="0" w:firstLine="0" w:firstLineChars="0"/>
              <w:jc w:val="both"/>
              <w:rPr>
                <w:b/>
              </w:rPr>
            </w:pPr>
            <w:r>
              <w:rPr>
                <w:b/>
              </w:rPr>
              <w:t>四、环境保护建议</w:t>
            </w:r>
          </w:p>
          <w:p>
            <w:pPr>
              <w:keepNext w:val="0"/>
              <w:keepLines w:val="0"/>
              <w:suppressLineNumbers w:val="0"/>
              <w:spacing w:before="0" w:beforeAutospacing="0" w:after="0" w:afterAutospacing="0"/>
              <w:ind w:left="0" w:right="0" w:firstLine="480"/>
              <w:jc w:val="both"/>
            </w:pPr>
            <w:r>
              <w:t>（1）设置专职环保管理人员，负责全厂的环保管理工作，建立健全环境保护管理制度，应确保环保设施的正常运转。</w:t>
            </w:r>
          </w:p>
          <w:p>
            <w:pPr>
              <w:keepNext w:val="0"/>
              <w:keepLines w:val="0"/>
              <w:suppressLineNumbers w:val="0"/>
              <w:spacing w:before="0" w:beforeAutospacing="0" w:after="0" w:afterAutospacing="0"/>
              <w:ind w:left="0" w:right="0" w:firstLine="480"/>
              <w:jc w:val="both"/>
            </w:pPr>
            <w:r>
              <w:t>（2）健全各项规章制度，制定各种操作规程。定期对设备及其附件进行检查、维护和保养。</w:t>
            </w:r>
          </w:p>
          <w:p>
            <w:pPr>
              <w:keepNext w:val="0"/>
              <w:keepLines w:val="0"/>
              <w:suppressLineNumbers w:val="0"/>
              <w:spacing w:before="0" w:beforeAutospacing="0" w:after="0" w:afterAutospacing="0"/>
              <w:ind w:left="0" w:right="0" w:firstLine="480"/>
              <w:jc w:val="both"/>
            </w:pPr>
            <w:r>
              <w:t>（3）企业应认真落实环保“三同时”，加强运营期的环境管理工作。</w:t>
            </w:r>
          </w:p>
          <w:p>
            <w:pPr>
              <w:keepNext w:val="0"/>
              <w:keepLines w:val="0"/>
              <w:suppressLineNumbers w:val="0"/>
              <w:spacing w:before="0" w:beforeAutospacing="0" w:after="0" w:afterAutospacing="0"/>
              <w:ind w:left="0" w:right="0" w:firstLine="480"/>
              <w:jc w:val="both"/>
            </w:pPr>
            <w:r>
              <w:t>（4）按要求设置各环保设施的标识标牌。</w:t>
            </w:r>
          </w:p>
          <w:p>
            <w:pPr>
              <w:pStyle w:val="10"/>
              <w:keepNext w:val="0"/>
              <w:keepLines w:val="0"/>
              <w:suppressLineNumbers w:val="0"/>
              <w:adjustRightInd w:val="0"/>
              <w:snapToGrid w:val="0"/>
              <w:spacing w:before="0" w:beforeAutospacing="0" w:after="0" w:afterAutospacing="0"/>
              <w:ind w:left="0" w:right="0" w:firstLine="0" w:firstLineChars="0"/>
              <w:rPr>
                <w:rFonts w:ascii="Times New Roman" w:hAnsi="Times New Roman"/>
                <w:color w:val="auto"/>
              </w:rPr>
            </w:pPr>
          </w:p>
          <w:p>
            <w:pPr>
              <w:keepNext w:val="0"/>
              <w:keepLines w:val="0"/>
              <w:suppressLineNumbers w:val="0"/>
              <w:spacing w:before="0" w:beforeAutospacing="0" w:after="0" w:afterAutospacing="0"/>
              <w:ind w:left="0" w:right="0" w:firstLine="480"/>
            </w:pPr>
          </w:p>
          <w:p>
            <w:pPr>
              <w:pStyle w:val="2"/>
              <w:keepNext w:val="0"/>
              <w:keepLines w:val="0"/>
              <w:suppressLineNumbers w:val="0"/>
              <w:spacing w:before="0" w:beforeAutospacing="0" w:after="0" w:afterAutospacing="0"/>
              <w:ind w:left="0" w:right="0" w:firstLine="480"/>
            </w:pPr>
          </w:p>
          <w:p>
            <w:pPr>
              <w:keepNext w:val="0"/>
              <w:keepLines w:val="0"/>
              <w:suppressLineNumbers w:val="0"/>
              <w:spacing w:before="0" w:beforeAutospacing="0" w:after="0" w:afterAutospacing="0"/>
              <w:ind w:left="0" w:right="0" w:firstLine="480"/>
            </w:pPr>
          </w:p>
          <w:p>
            <w:pPr>
              <w:pStyle w:val="2"/>
              <w:keepNext w:val="0"/>
              <w:keepLines w:val="0"/>
              <w:suppressLineNumbers w:val="0"/>
              <w:spacing w:before="0" w:beforeAutospacing="0" w:after="0" w:afterAutospacing="0"/>
              <w:ind w:left="0" w:right="0" w:firstLine="480"/>
            </w:pPr>
          </w:p>
          <w:p>
            <w:pPr>
              <w:keepNext w:val="0"/>
              <w:keepLines w:val="0"/>
              <w:suppressLineNumbers w:val="0"/>
              <w:spacing w:before="0" w:beforeAutospacing="0" w:after="0" w:afterAutospacing="0"/>
              <w:ind w:left="0" w:right="0" w:firstLine="480"/>
            </w:pPr>
          </w:p>
          <w:p>
            <w:pPr>
              <w:keepNext w:val="0"/>
              <w:keepLines w:val="0"/>
              <w:suppressLineNumbers w:val="0"/>
              <w:spacing w:before="0" w:beforeAutospacing="0" w:after="0" w:afterAutospacing="0"/>
              <w:ind w:left="0" w:right="0" w:firstLine="0" w:firstLineChars="0"/>
              <w:jc w:val="both"/>
            </w:pPr>
          </w:p>
        </w:tc>
      </w:tr>
    </w:tbl>
    <w:tbl>
      <w:tblPr>
        <w:tblStyle w:val="19"/>
        <w:tblpPr w:leftFromText="180" w:rightFromText="180" w:vertAnchor="text" w:horzAnchor="page" w:tblpXSpec="center" w:tblpY="303"/>
        <w:tblOverlap w:val="never"/>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8" w:hRule="atLeast"/>
          <w:jc w:val="center"/>
        </w:trPr>
        <w:tc>
          <w:tcPr>
            <w:tcW w:w="9071" w:type="dxa"/>
            <w:noWrap/>
          </w:tcPr>
          <w:p>
            <w:pPr>
              <w:pStyle w:val="12"/>
              <w:keepNext w:val="0"/>
              <w:keepLines w:val="0"/>
              <w:suppressLineNumbers w:val="0"/>
              <w:spacing w:before="0" w:beforeAutospacing="0" w:after="0" w:afterAutospacing="0"/>
              <w:ind w:left="0" w:right="0" w:firstLine="0" w:firstLineChars="0"/>
              <w:jc w:val="both"/>
              <w:rPr>
                <w:b/>
                <w:bCs/>
              </w:rPr>
            </w:pPr>
            <w:r>
              <w:rPr>
                <w:b/>
                <w:bCs/>
              </w:rPr>
              <w:t>下一级环境保护行政主管部门审查意见：</w:t>
            </w:r>
          </w:p>
          <w:p>
            <w:pPr>
              <w:pStyle w:val="12"/>
              <w:keepNext w:val="0"/>
              <w:keepLines w:val="0"/>
              <w:suppressLineNumbers w:val="0"/>
              <w:spacing w:before="0" w:beforeAutospacing="0" w:after="0" w:afterAutospacing="0"/>
              <w:ind w:left="0" w:right="0" w:firstLine="0" w:firstLineChars="0"/>
              <w:jc w:val="both"/>
            </w:pPr>
          </w:p>
          <w:p>
            <w:pPr>
              <w:pStyle w:val="12"/>
              <w:keepNext w:val="0"/>
              <w:keepLines w:val="0"/>
              <w:suppressLineNumbers w:val="0"/>
              <w:spacing w:before="0" w:beforeAutospacing="0" w:after="0" w:afterAutospacing="0"/>
              <w:ind w:left="0" w:right="0" w:firstLine="0" w:firstLineChars="0"/>
              <w:jc w:val="both"/>
            </w:pPr>
          </w:p>
          <w:p>
            <w:pPr>
              <w:pStyle w:val="12"/>
              <w:keepNext w:val="0"/>
              <w:keepLines w:val="0"/>
              <w:suppressLineNumbers w:val="0"/>
              <w:spacing w:before="0" w:beforeAutospacing="0" w:after="0" w:afterAutospacing="0"/>
              <w:ind w:left="0" w:right="0" w:firstLine="0" w:firstLineChars="0"/>
              <w:jc w:val="both"/>
            </w:pPr>
          </w:p>
          <w:p>
            <w:pPr>
              <w:pStyle w:val="12"/>
              <w:keepNext w:val="0"/>
              <w:keepLines w:val="0"/>
              <w:suppressLineNumbers w:val="0"/>
              <w:spacing w:before="0" w:beforeAutospacing="0" w:after="0" w:afterAutospacing="0"/>
              <w:ind w:left="0" w:right="0" w:firstLine="0" w:firstLineChars="0"/>
              <w:jc w:val="both"/>
            </w:pPr>
          </w:p>
          <w:p>
            <w:pPr>
              <w:pStyle w:val="12"/>
              <w:keepNext w:val="0"/>
              <w:keepLines w:val="0"/>
              <w:suppressLineNumbers w:val="0"/>
              <w:spacing w:before="0" w:beforeAutospacing="0" w:after="0" w:afterAutospacing="0"/>
              <w:ind w:left="0" w:right="0" w:firstLine="0" w:firstLineChars="0"/>
              <w:jc w:val="both"/>
            </w:pPr>
          </w:p>
          <w:p>
            <w:pPr>
              <w:pStyle w:val="12"/>
              <w:keepNext w:val="0"/>
              <w:keepLines w:val="0"/>
              <w:suppressLineNumbers w:val="0"/>
              <w:spacing w:before="0" w:beforeAutospacing="0" w:after="0" w:afterAutospacing="0"/>
              <w:ind w:left="0" w:right="0" w:firstLine="0" w:firstLineChars="0"/>
              <w:jc w:val="both"/>
            </w:pPr>
          </w:p>
          <w:p>
            <w:pPr>
              <w:pStyle w:val="12"/>
              <w:keepNext w:val="0"/>
              <w:keepLines w:val="0"/>
              <w:suppressLineNumbers w:val="0"/>
              <w:spacing w:before="0" w:beforeAutospacing="0" w:after="0" w:afterAutospacing="0"/>
              <w:ind w:left="0" w:right="0" w:firstLine="0" w:firstLineChars="0"/>
              <w:jc w:val="both"/>
            </w:pPr>
          </w:p>
          <w:p>
            <w:pPr>
              <w:pStyle w:val="12"/>
              <w:keepNext w:val="0"/>
              <w:keepLines w:val="0"/>
              <w:suppressLineNumbers w:val="0"/>
              <w:spacing w:before="0" w:beforeAutospacing="0" w:after="0" w:afterAutospacing="0"/>
              <w:ind w:left="0" w:right="0" w:firstLine="0" w:firstLineChars="0"/>
              <w:jc w:val="both"/>
            </w:pPr>
          </w:p>
          <w:p>
            <w:pPr>
              <w:pStyle w:val="12"/>
              <w:keepNext w:val="0"/>
              <w:keepLines w:val="0"/>
              <w:suppressLineNumbers w:val="0"/>
              <w:spacing w:before="0" w:beforeAutospacing="0" w:after="0" w:afterAutospacing="0"/>
              <w:ind w:left="0" w:right="0" w:firstLine="0" w:firstLineChars="0"/>
              <w:jc w:val="both"/>
            </w:pPr>
          </w:p>
          <w:p>
            <w:pPr>
              <w:pStyle w:val="12"/>
              <w:keepNext w:val="0"/>
              <w:keepLines w:val="0"/>
              <w:suppressLineNumbers w:val="0"/>
              <w:spacing w:before="0" w:beforeAutospacing="0" w:after="0" w:afterAutospacing="0"/>
              <w:ind w:left="0" w:right="0" w:firstLine="0" w:firstLineChars="0"/>
              <w:jc w:val="both"/>
            </w:pPr>
          </w:p>
          <w:p>
            <w:pPr>
              <w:pStyle w:val="12"/>
              <w:keepNext w:val="0"/>
              <w:keepLines w:val="0"/>
              <w:suppressLineNumbers w:val="0"/>
              <w:spacing w:before="0" w:beforeAutospacing="0" w:after="0" w:afterAutospacing="0"/>
              <w:ind w:left="0" w:right="0" w:firstLine="0" w:firstLineChars="0"/>
              <w:jc w:val="both"/>
            </w:pPr>
          </w:p>
          <w:p>
            <w:pPr>
              <w:pStyle w:val="12"/>
              <w:keepNext w:val="0"/>
              <w:keepLines w:val="0"/>
              <w:suppressLineNumbers w:val="0"/>
              <w:spacing w:before="0" w:beforeAutospacing="0" w:after="0" w:afterAutospacing="0"/>
              <w:ind w:left="0" w:right="0" w:firstLine="0" w:firstLineChars="0"/>
              <w:jc w:val="both"/>
            </w:pPr>
          </w:p>
          <w:p>
            <w:pPr>
              <w:pStyle w:val="12"/>
              <w:keepNext w:val="0"/>
              <w:keepLines w:val="0"/>
              <w:suppressLineNumbers w:val="0"/>
              <w:spacing w:before="0" w:beforeAutospacing="0" w:after="0" w:afterAutospacing="0"/>
              <w:ind w:left="0" w:right="0" w:firstLine="0" w:firstLineChars="0"/>
              <w:jc w:val="both"/>
            </w:pPr>
          </w:p>
          <w:p>
            <w:pPr>
              <w:pStyle w:val="12"/>
              <w:keepNext w:val="0"/>
              <w:keepLines w:val="0"/>
              <w:suppressLineNumbers w:val="0"/>
              <w:spacing w:before="0" w:beforeAutospacing="0" w:after="0" w:afterAutospacing="0"/>
              <w:ind w:left="0" w:right="0" w:firstLine="0" w:firstLineChars="0"/>
              <w:jc w:val="both"/>
            </w:pPr>
          </w:p>
          <w:p>
            <w:pPr>
              <w:pStyle w:val="12"/>
              <w:keepNext w:val="0"/>
              <w:keepLines w:val="0"/>
              <w:suppressLineNumbers w:val="0"/>
              <w:spacing w:before="0" w:beforeAutospacing="0" w:after="0" w:afterAutospacing="0"/>
              <w:ind w:left="0" w:right="0" w:firstLine="0" w:firstLineChars="0"/>
              <w:jc w:val="both"/>
            </w:pPr>
          </w:p>
          <w:p>
            <w:pPr>
              <w:pStyle w:val="12"/>
              <w:keepNext w:val="0"/>
              <w:keepLines w:val="0"/>
              <w:suppressLineNumbers w:val="0"/>
              <w:spacing w:before="0" w:beforeAutospacing="0" w:after="0" w:afterAutospacing="0"/>
              <w:ind w:left="0" w:right="0" w:firstLine="0" w:firstLineChars="0"/>
              <w:jc w:val="both"/>
            </w:pPr>
          </w:p>
          <w:p>
            <w:pPr>
              <w:pStyle w:val="12"/>
              <w:keepNext w:val="0"/>
              <w:keepLines w:val="0"/>
              <w:suppressLineNumbers w:val="0"/>
              <w:spacing w:before="0" w:beforeAutospacing="0" w:after="0" w:afterAutospacing="0"/>
              <w:ind w:left="0" w:right="0" w:firstLine="0" w:firstLineChars="0"/>
              <w:jc w:val="both"/>
            </w:pPr>
          </w:p>
          <w:p>
            <w:pPr>
              <w:keepNext w:val="0"/>
              <w:keepLines w:val="0"/>
              <w:suppressLineNumbers w:val="0"/>
              <w:spacing w:before="0" w:beforeAutospacing="0" w:after="0" w:afterAutospacing="0"/>
              <w:ind w:left="0" w:right="0" w:firstLine="480"/>
            </w:pPr>
          </w:p>
          <w:p>
            <w:pPr>
              <w:keepNext w:val="0"/>
              <w:keepLines w:val="0"/>
              <w:suppressLineNumbers w:val="0"/>
              <w:spacing w:before="0" w:beforeAutospacing="0" w:after="0" w:afterAutospacing="0"/>
              <w:ind w:left="0" w:right="0" w:firstLine="6720" w:firstLineChars="2800"/>
            </w:pPr>
            <w:r>
              <w:t>经办人：公章</w:t>
            </w:r>
          </w:p>
          <w:p>
            <w:pPr>
              <w:keepNext w:val="0"/>
              <w:keepLines w:val="0"/>
              <w:suppressLineNumbers w:val="0"/>
              <w:spacing w:before="0" w:beforeAutospacing="0" w:after="0" w:afterAutospacing="0"/>
              <w:ind w:left="0" w:right="0" w:firstLine="480"/>
            </w:pPr>
          </w:p>
          <w:p>
            <w:pPr>
              <w:keepNext w:val="0"/>
              <w:keepLines w:val="0"/>
              <w:suppressLineNumbers w:val="0"/>
              <w:spacing w:before="0" w:beforeAutospacing="0" w:after="0" w:afterAutospacing="0"/>
              <w:ind w:left="0" w:right="0" w:firstLine="6840" w:firstLineChars="2850"/>
            </w:pPr>
            <w:r>
              <w:t>年月日</w:t>
            </w:r>
          </w:p>
          <w:p>
            <w:pPr>
              <w:keepNext w:val="0"/>
              <w:keepLines w:val="0"/>
              <w:suppressLineNumbers w:val="0"/>
              <w:spacing w:before="0" w:beforeAutospacing="0" w:after="0" w:afterAutospacing="0"/>
              <w:ind w:left="0" w:right="0" w:firstLine="0" w:firstLineChars="0"/>
              <w:jc w:val="both"/>
              <w:rPr>
                <w:b/>
                <w:bCs/>
                <w:sz w:val="28"/>
              </w:rPr>
            </w:pPr>
            <w:r>
              <w:rPr>
                <w:b/>
                <w:bCs/>
                <w:sz w:val="28"/>
              </w:rPr>
              <w:t>审批意见：</w:t>
            </w:r>
          </w:p>
          <w:p>
            <w:pPr>
              <w:pStyle w:val="2"/>
              <w:keepNext w:val="0"/>
              <w:keepLines w:val="0"/>
              <w:suppressLineNumbers w:val="0"/>
              <w:spacing w:before="0" w:beforeAutospacing="0" w:after="0" w:afterAutospacing="0"/>
              <w:ind w:left="0" w:right="0" w:firstLine="480"/>
              <w:jc w:val="both"/>
            </w:pPr>
          </w:p>
          <w:p>
            <w:pPr>
              <w:keepNext w:val="0"/>
              <w:keepLines w:val="0"/>
              <w:suppressLineNumbers w:val="0"/>
              <w:spacing w:before="0" w:beforeAutospacing="0" w:after="0" w:afterAutospacing="0"/>
              <w:ind w:left="0" w:right="0" w:firstLine="480"/>
              <w:jc w:val="both"/>
            </w:pPr>
          </w:p>
          <w:p>
            <w:pPr>
              <w:pStyle w:val="2"/>
              <w:keepNext w:val="0"/>
              <w:keepLines w:val="0"/>
              <w:suppressLineNumbers w:val="0"/>
              <w:spacing w:before="0" w:beforeAutospacing="0" w:after="0" w:afterAutospacing="0"/>
              <w:ind w:left="0" w:right="0" w:firstLine="480"/>
              <w:jc w:val="both"/>
            </w:pPr>
          </w:p>
          <w:p>
            <w:pPr>
              <w:keepNext w:val="0"/>
              <w:keepLines w:val="0"/>
              <w:suppressLineNumbers w:val="0"/>
              <w:spacing w:before="0" w:beforeAutospacing="0" w:after="0" w:afterAutospacing="0"/>
              <w:ind w:left="0" w:right="0" w:firstLine="480"/>
              <w:jc w:val="both"/>
            </w:pPr>
          </w:p>
          <w:p>
            <w:pPr>
              <w:pStyle w:val="2"/>
              <w:keepNext w:val="0"/>
              <w:keepLines w:val="0"/>
              <w:suppressLineNumbers w:val="0"/>
              <w:spacing w:before="0" w:beforeAutospacing="0" w:after="0" w:afterAutospacing="0"/>
              <w:ind w:left="0" w:right="0" w:firstLine="480"/>
              <w:jc w:val="both"/>
            </w:pPr>
          </w:p>
          <w:p>
            <w:pPr>
              <w:keepNext w:val="0"/>
              <w:keepLines w:val="0"/>
              <w:suppressLineNumbers w:val="0"/>
              <w:spacing w:before="0" w:beforeAutospacing="0" w:after="0" w:afterAutospacing="0"/>
              <w:ind w:left="0" w:right="0" w:firstLine="480"/>
              <w:jc w:val="both"/>
            </w:pPr>
          </w:p>
          <w:p>
            <w:pPr>
              <w:pStyle w:val="2"/>
              <w:keepNext w:val="0"/>
              <w:keepLines w:val="0"/>
              <w:suppressLineNumbers w:val="0"/>
              <w:spacing w:before="0" w:beforeAutospacing="0" w:after="0" w:afterAutospacing="0"/>
              <w:ind w:left="0" w:right="0" w:firstLine="480"/>
              <w:jc w:val="both"/>
            </w:pPr>
          </w:p>
          <w:p>
            <w:pPr>
              <w:keepNext w:val="0"/>
              <w:keepLines w:val="0"/>
              <w:suppressLineNumbers w:val="0"/>
              <w:spacing w:before="0" w:beforeAutospacing="0" w:after="0" w:afterAutospacing="0"/>
              <w:ind w:left="0" w:right="0" w:firstLine="480"/>
              <w:jc w:val="both"/>
            </w:pPr>
          </w:p>
          <w:p>
            <w:pPr>
              <w:pStyle w:val="2"/>
              <w:keepNext w:val="0"/>
              <w:keepLines w:val="0"/>
              <w:suppressLineNumbers w:val="0"/>
              <w:spacing w:before="0" w:beforeAutospacing="0" w:after="0" w:afterAutospacing="0"/>
              <w:ind w:left="0" w:right="0" w:firstLine="480"/>
              <w:jc w:val="both"/>
            </w:pPr>
          </w:p>
          <w:p>
            <w:pPr>
              <w:keepNext w:val="0"/>
              <w:keepLines w:val="0"/>
              <w:suppressLineNumbers w:val="0"/>
              <w:spacing w:before="0" w:beforeAutospacing="0" w:after="0" w:afterAutospacing="0"/>
              <w:ind w:left="0" w:right="0" w:firstLine="480"/>
              <w:jc w:val="both"/>
            </w:pPr>
          </w:p>
          <w:p>
            <w:pPr>
              <w:pStyle w:val="2"/>
              <w:keepNext w:val="0"/>
              <w:keepLines w:val="0"/>
              <w:suppressLineNumbers w:val="0"/>
              <w:spacing w:before="0" w:beforeAutospacing="0" w:after="0" w:afterAutospacing="0"/>
              <w:ind w:left="0" w:right="0" w:firstLine="480"/>
              <w:jc w:val="both"/>
            </w:pPr>
          </w:p>
          <w:p>
            <w:pPr>
              <w:keepNext w:val="0"/>
              <w:keepLines w:val="0"/>
              <w:suppressLineNumbers w:val="0"/>
              <w:spacing w:before="0" w:beforeAutospacing="0" w:after="0" w:afterAutospacing="0"/>
              <w:ind w:left="0" w:right="0" w:firstLine="480"/>
              <w:jc w:val="both"/>
            </w:pPr>
          </w:p>
          <w:p>
            <w:pPr>
              <w:pStyle w:val="2"/>
              <w:keepNext w:val="0"/>
              <w:keepLines w:val="0"/>
              <w:suppressLineNumbers w:val="0"/>
              <w:spacing w:before="0" w:beforeAutospacing="0" w:after="0" w:afterAutospacing="0"/>
              <w:ind w:left="0" w:right="0" w:firstLine="480"/>
              <w:jc w:val="both"/>
            </w:pPr>
          </w:p>
          <w:p>
            <w:pPr>
              <w:keepNext w:val="0"/>
              <w:keepLines w:val="0"/>
              <w:suppressLineNumbers w:val="0"/>
              <w:spacing w:before="0" w:beforeAutospacing="0" w:after="0" w:afterAutospacing="0"/>
              <w:ind w:left="0" w:right="0" w:firstLine="480"/>
              <w:jc w:val="both"/>
            </w:pPr>
          </w:p>
          <w:p>
            <w:pPr>
              <w:pStyle w:val="2"/>
              <w:keepNext w:val="0"/>
              <w:keepLines w:val="0"/>
              <w:suppressLineNumbers w:val="0"/>
              <w:spacing w:before="0" w:beforeAutospacing="0" w:after="0" w:afterAutospacing="0"/>
              <w:ind w:left="0" w:right="0" w:firstLine="480"/>
              <w:jc w:val="both"/>
            </w:pPr>
          </w:p>
          <w:p>
            <w:pPr>
              <w:keepNext w:val="0"/>
              <w:keepLines w:val="0"/>
              <w:suppressLineNumbers w:val="0"/>
              <w:spacing w:before="0" w:beforeAutospacing="0" w:after="0" w:afterAutospacing="0"/>
              <w:ind w:left="0" w:right="0" w:firstLine="480"/>
              <w:jc w:val="both"/>
            </w:pPr>
          </w:p>
          <w:p>
            <w:pPr>
              <w:pStyle w:val="2"/>
              <w:keepNext w:val="0"/>
              <w:keepLines w:val="0"/>
              <w:suppressLineNumbers w:val="0"/>
              <w:spacing w:before="0" w:beforeAutospacing="0" w:after="0" w:afterAutospacing="0"/>
              <w:ind w:left="0" w:right="0" w:firstLine="480"/>
              <w:jc w:val="both"/>
            </w:pPr>
          </w:p>
          <w:p>
            <w:pPr>
              <w:keepNext w:val="0"/>
              <w:keepLines w:val="0"/>
              <w:suppressLineNumbers w:val="0"/>
              <w:spacing w:before="0" w:beforeAutospacing="0" w:after="0" w:afterAutospacing="0"/>
              <w:ind w:left="0" w:right="0" w:firstLine="480"/>
              <w:jc w:val="both"/>
            </w:pPr>
          </w:p>
          <w:p>
            <w:pPr>
              <w:pStyle w:val="2"/>
              <w:keepNext w:val="0"/>
              <w:keepLines w:val="0"/>
              <w:suppressLineNumbers w:val="0"/>
              <w:spacing w:before="0" w:beforeAutospacing="0" w:after="0" w:afterAutospacing="0"/>
              <w:ind w:left="0" w:right="0" w:firstLine="480"/>
              <w:jc w:val="both"/>
            </w:pPr>
          </w:p>
          <w:p>
            <w:pPr>
              <w:keepNext w:val="0"/>
              <w:keepLines w:val="0"/>
              <w:suppressLineNumbers w:val="0"/>
              <w:spacing w:before="0" w:beforeAutospacing="0" w:after="0" w:afterAutospacing="0"/>
              <w:ind w:left="0" w:right="0" w:firstLine="480"/>
              <w:jc w:val="both"/>
            </w:pPr>
          </w:p>
          <w:p>
            <w:pPr>
              <w:pStyle w:val="2"/>
              <w:keepNext w:val="0"/>
              <w:keepLines w:val="0"/>
              <w:suppressLineNumbers w:val="0"/>
              <w:spacing w:before="0" w:beforeAutospacing="0" w:after="0" w:afterAutospacing="0"/>
              <w:ind w:left="0" w:right="0" w:firstLine="480"/>
              <w:jc w:val="both"/>
            </w:pPr>
          </w:p>
          <w:p>
            <w:pPr>
              <w:keepNext w:val="0"/>
              <w:keepLines w:val="0"/>
              <w:suppressLineNumbers w:val="0"/>
              <w:spacing w:before="0" w:beforeAutospacing="0" w:after="0" w:afterAutospacing="0"/>
              <w:ind w:left="0" w:right="0" w:firstLine="480"/>
              <w:jc w:val="both"/>
            </w:pPr>
          </w:p>
          <w:p>
            <w:pPr>
              <w:pStyle w:val="12"/>
              <w:keepNext w:val="0"/>
              <w:keepLines w:val="0"/>
              <w:suppressLineNumbers w:val="0"/>
              <w:spacing w:before="0" w:beforeAutospacing="0" w:after="0" w:afterAutospacing="0"/>
              <w:ind w:left="0" w:right="0" w:firstLine="0" w:firstLineChars="0"/>
              <w:jc w:val="both"/>
            </w:pPr>
          </w:p>
          <w:p>
            <w:pPr>
              <w:keepNext w:val="0"/>
              <w:keepLines w:val="0"/>
              <w:suppressLineNumbers w:val="0"/>
              <w:spacing w:before="0" w:beforeAutospacing="0" w:after="0" w:afterAutospacing="0"/>
              <w:ind w:left="0" w:right="0" w:firstLine="480"/>
            </w:pPr>
          </w:p>
          <w:p>
            <w:pPr>
              <w:keepNext w:val="0"/>
              <w:keepLines w:val="0"/>
              <w:suppressLineNumbers w:val="0"/>
              <w:spacing w:before="0" w:beforeAutospacing="0" w:after="0" w:afterAutospacing="0"/>
              <w:ind w:left="0" w:right="0" w:firstLine="6720" w:firstLineChars="2800"/>
            </w:pPr>
            <w:r>
              <w:t>经办人：公章</w:t>
            </w:r>
          </w:p>
          <w:p>
            <w:pPr>
              <w:keepNext w:val="0"/>
              <w:keepLines w:val="0"/>
              <w:suppressLineNumbers w:val="0"/>
              <w:spacing w:before="0" w:beforeAutospacing="0" w:after="0" w:afterAutospacing="0"/>
              <w:ind w:left="0" w:right="0" w:firstLine="480"/>
            </w:pPr>
          </w:p>
          <w:p>
            <w:pPr>
              <w:keepNext w:val="0"/>
              <w:keepLines w:val="0"/>
              <w:suppressLineNumbers w:val="0"/>
              <w:spacing w:before="0" w:beforeAutospacing="0" w:after="0" w:afterAutospacing="0"/>
              <w:ind w:left="0" w:right="0" w:firstLine="6840" w:firstLineChars="2850"/>
            </w:pPr>
            <w:r>
              <w:t>年月日</w:t>
            </w:r>
          </w:p>
        </w:tc>
      </w:tr>
    </w:tbl>
    <w:p>
      <w:pPr>
        <w:spacing w:line="20" w:lineRule="atLeast"/>
        <w:ind w:firstLine="0" w:firstLineChars="0"/>
        <w:jc w:val="both"/>
      </w:pPr>
    </w:p>
    <w:sectPr>
      <w:footerReference r:id="rId9" w:type="default"/>
      <w:pgSz w:w="11906" w:h="16838"/>
      <w:pgMar w:top="1440" w:right="1800" w:bottom="1440" w:left="1800" w:header="851" w:footer="1361"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font>
  <w:font w:name="MingLiU">
    <w:altName w:val="PMingLiU-ExtB"/>
    <w:panose1 w:val="02010609000101010101"/>
    <w:charset w:val="88"/>
    <w:family w:val="modern"/>
    <w:pitch w:val="default"/>
    <w:sig w:usb0="00000000" w:usb1="00000000" w:usb2="00000010" w:usb3="00000000" w:csb0="00100000" w:csb1="00000000"/>
  </w:font>
  <w:font w:name="Arial Unicode MS">
    <w:panose1 w:val="020B0604020202020204"/>
    <w:charset w:val="86"/>
    <w:family w:val="swiss"/>
    <w:pitch w:val="default"/>
    <w:sig w:usb0="FFFFFFFF" w:usb1="E9FFFFFF" w:usb2="0000003F" w:usb3="00000000" w:csb0="603F01FF" w:csb1="FFFF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imesNewRomanPSMT">
    <w:altName w:val="等线"/>
    <w:panose1 w:val="00000000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path/>
          <v:fill on="f" focussize="0,0"/>
          <v:stroke on="f" joinstyle="miter"/>
          <v:imagedata o:title=""/>
          <o:lock v:ext="edit"/>
          <v:textbox inset="0mm,0mm,0mm,0mm" style="mso-fit-shape-to-text:t;">
            <w:txbxContent>
              <w:p>
                <w:pPr>
                  <w:pStyle w:val="14"/>
                  <w:ind w:firstLine="360"/>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8BC18E"/>
    <w:multiLevelType w:val="singleLevel"/>
    <w:tmpl w:val="AF8BC18E"/>
    <w:lvl w:ilvl="0" w:tentative="0">
      <w:start w:val="5"/>
      <w:numFmt w:val="decimal"/>
      <w:suff w:val="nothing"/>
      <w:lvlText w:val="%1、"/>
      <w:lvlJc w:val="left"/>
    </w:lvl>
  </w:abstractNum>
  <w:abstractNum w:abstractNumId="1">
    <w:nsid w:val="298E70DB"/>
    <w:multiLevelType w:val="multilevel"/>
    <w:tmpl w:val="298E70DB"/>
    <w:lvl w:ilvl="0" w:tentative="0">
      <w:start w:val="1"/>
      <w:numFmt w:val="upperLetter"/>
      <w:lvlText w:val="%1、"/>
      <w:lvlJc w:val="left"/>
      <w:pPr>
        <w:ind w:left="900"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2EB6429A"/>
    <w:multiLevelType w:val="multilevel"/>
    <w:tmpl w:val="2EB6429A"/>
    <w:lvl w:ilvl="0" w:tentative="0">
      <w:start w:val="1"/>
      <w:numFmt w:val="japaneseCounting"/>
      <w:lvlText w:val="%1、"/>
      <w:lvlJc w:val="left"/>
      <w:pPr>
        <w:ind w:left="1202" w:hanging="72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embedSystemFonts/>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rsids>
    <w:rsidRoot w:val="671321BE"/>
    <w:rsid w:val="00010C72"/>
    <w:rsid w:val="00031C95"/>
    <w:rsid w:val="00033E30"/>
    <w:rsid w:val="00041260"/>
    <w:rsid w:val="00045776"/>
    <w:rsid w:val="000466CF"/>
    <w:rsid w:val="000624CD"/>
    <w:rsid w:val="000641BF"/>
    <w:rsid w:val="000729D6"/>
    <w:rsid w:val="000734AD"/>
    <w:rsid w:val="00075BE0"/>
    <w:rsid w:val="00092B90"/>
    <w:rsid w:val="0009743B"/>
    <w:rsid w:val="000A789E"/>
    <w:rsid w:val="000C6216"/>
    <w:rsid w:val="000D389B"/>
    <w:rsid w:val="000E2A91"/>
    <w:rsid w:val="000E4797"/>
    <w:rsid w:val="000E50D9"/>
    <w:rsid w:val="000E59AB"/>
    <w:rsid w:val="000F549A"/>
    <w:rsid w:val="001069EA"/>
    <w:rsid w:val="001143F5"/>
    <w:rsid w:val="00116650"/>
    <w:rsid w:val="00117E7B"/>
    <w:rsid w:val="00120898"/>
    <w:rsid w:val="00121747"/>
    <w:rsid w:val="00130FD9"/>
    <w:rsid w:val="001409E4"/>
    <w:rsid w:val="00164B4B"/>
    <w:rsid w:val="001655AB"/>
    <w:rsid w:val="00172407"/>
    <w:rsid w:val="001970EB"/>
    <w:rsid w:val="001A2F04"/>
    <w:rsid w:val="001B2CD6"/>
    <w:rsid w:val="001B6030"/>
    <w:rsid w:val="001C5756"/>
    <w:rsid w:val="001C620C"/>
    <w:rsid w:val="001E3584"/>
    <w:rsid w:val="001E56F5"/>
    <w:rsid w:val="001F072F"/>
    <w:rsid w:val="001F1013"/>
    <w:rsid w:val="001F5CA8"/>
    <w:rsid w:val="001F70CF"/>
    <w:rsid w:val="00205771"/>
    <w:rsid w:val="00217377"/>
    <w:rsid w:val="00217F62"/>
    <w:rsid w:val="0022035B"/>
    <w:rsid w:val="00221692"/>
    <w:rsid w:val="0022488D"/>
    <w:rsid w:val="0022662E"/>
    <w:rsid w:val="00233503"/>
    <w:rsid w:val="002337AD"/>
    <w:rsid w:val="002415B5"/>
    <w:rsid w:val="00244478"/>
    <w:rsid w:val="00253DF8"/>
    <w:rsid w:val="002627AE"/>
    <w:rsid w:val="002629C4"/>
    <w:rsid w:val="00286B75"/>
    <w:rsid w:val="002B5856"/>
    <w:rsid w:val="002C05C8"/>
    <w:rsid w:val="002C339E"/>
    <w:rsid w:val="002C412D"/>
    <w:rsid w:val="002C5107"/>
    <w:rsid w:val="002D11B9"/>
    <w:rsid w:val="002D2888"/>
    <w:rsid w:val="002F2A96"/>
    <w:rsid w:val="002F4C42"/>
    <w:rsid w:val="002F75B3"/>
    <w:rsid w:val="00301DD5"/>
    <w:rsid w:val="003114B4"/>
    <w:rsid w:val="003139B1"/>
    <w:rsid w:val="00323783"/>
    <w:rsid w:val="00325F42"/>
    <w:rsid w:val="00332AEA"/>
    <w:rsid w:val="003379D9"/>
    <w:rsid w:val="00343E62"/>
    <w:rsid w:val="00345A88"/>
    <w:rsid w:val="003473CD"/>
    <w:rsid w:val="00363CD8"/>
    <w:rsid w:val="003733D8"/>
    <w:rsid w:val="0037418D"/>
    <w:rsid w:val="00385AA3"/>
    <w:rsid w:val="00387619"/>
    <w:rsid w:val="0039135A"/>
    <w:rsid w:val="00396461"/>
    <w:rsid w:val="00397C3A"/>
    <w:rsid w:val="003A4A1A"/>
    <w:rsid w:val="003B12A7"/>
    <w:rsid w:val="003B3BE3"/>
    <w:rsid w:val="003C3CE6"/>
    <w:rsid w:val="003D1190"/>
    <w:rsid w:val="003D30F9"/>
    <w:rsid w:val="003D45AE"/>
    <w:rsid w:val="003D7299"/>
    <w:rsid w:val="003F0EAB"/>
    <w:rsid w:val="003F7769"/>
    <w:rsid w:val="004117E6"/>
    <w:rsid w:val="00415DB2"/>
    <w:rsid w:val="00422F77"/>
    <w:rsid w:val="00423CBE"/>
    <w:rsid w:val="00437859"/>
    <w:rsid w:val="00455B47"/>
    <w:rsid w:val="00455DAB"/>
    <w:rsid w:val="00471A12"/>
    <w:rsid w:val="00481F8D"/>
    <w:rsid w:val="00493D47"/>
    <w:rsid w:val="00494E9E"/>
    <w:rsid w:val="004B6F3E"/>
    <w:rsid w:val="004C1F8B"/>
    <w:rsid w:val="004D3AD7"/>
    <w:rsid w:val="004F64C8"/>
    <w:rsid w:val="00502421"/>
    <w:rsid w:val="005202BE"/>
    <w:rsid w:val="00533C11"/>
    <w:rsid w:val="005372BF"/>
    <w:rsid w:val="0054383C"/>
    <w:rsid w:val="00550124"/>
    <w:rsid w:val="005602D1"/>
    <w:rsid w:val="005618B9"/>
    <w:rsid w:val="00567456"/>
    <w:rsid w:val="00577D69"/>
    <w:rsid w:val="00584D73"/>
    <w:rsid w:val="00587D6A"/>
    <w:rsid w:val="00596FA6"/>
    <w:rsid w:val="005A7CED"/>
    <w:rsid w:val="005B376E"/>
    <w:rsid w:val="005C1078"/>
    <w:rsid w:val="005C138A"/>
    <w:rsid w:val="005C32C0"/>
    <w:rsid w:val="005C358C"/>
    <w:rsid w:val="005C5376"/>
    <w:rsid w:val="005C53C9"/>
    <w:rsid w:val="005D22E9"/>
    <w:rsid w:val="005E0BF1"/>
    <w:rsid w:val="006104FE"/>
    <w:rsid w:val="00621CD4"/>
    <w:rsid w:val="006260B2"/>
    <w:rsid w:val="00636610"/>
    <w:rsid w:val="00645376"/>
    <w:rsid w:val="0065114F"/>
    <w:rsid w:val="00661C92"/>
    <w:rsid w:val="00662407"/>
    <w:rsid w:val="00663D2B"/>
    <w:rsid w:val="006764C4"/>
    <w:rsid w:val="006957CD"/>
    <w:rsid w:val="006C5537"/>
    <w:rsid w:val="006F0AAE"/>
    <w:rsid w:val="006F2A73"/>
    <w:rsid w:val="006F3D20"/>
    <w:rsid w:val="006F73AA"/>
    <w:rsid w:val="007053EC"/>
    <w:rsid w:val="00711714"/>
    <w:rsid w:val="007210CB"/>
    <w:rsid w:val="007462C5"/>
    <w:rsid w:val="00753866"/>
    <w:rsid w:val="00762610"/>
    <w:rsid w:val="007631D6"/>
    <w:rsid w:val="00775B02"/>
    <w:rsid w:val="00781A70"/>
    <w:rsid w:val="0079251A"/>
    <w:rsid w:val="0079337F"/>
    <w:rsid w:val="00795D91"/>
    <w:rsid w:val="007A3721"/>
    <w:rsid w:val="007A5D43"/>
    <w:rsid w:val="007A6068"/>
    <w:rsid w:val="007B0CC2"/>
    <w:rsid w:val="007B23BF"/>
    <w:rsid w:val="007B2C11"/>
    <w:rsid w:val="007B2D50"/>
    <w:rsid w:val="007B301B"/>
    <w:rsid w:val="007C508E"/>
    <w:rsid w:val="007D3A28"/>
    <w:rsid w:val="007E5C76"/>
    <w:rsid w:val="007E5D92"/>
    <w:rsid w:val="007E6230"/>
    <w:rsid w:val="007F08DF"/>
    <w:rsid w:val="007F1903"/>
    <w:rsid w:val="007F2177"/>
    <w:rsid w:val="007F7A84"/>
    <w:rsid w:val="00801F28"/>
    <w:rsid w:val="00802872"/>
    <w:rsid w:val="00803867"/>
    <w:rsid w:val="00807F3C"/>
    <w:rsid w:val="0082528F"/>
    <w:rsid w:val="00831786"/>
    <w:rsid w:val="008339D8"/>
    <w:rsid w:val="008430AE"/>
    <w:rsid w:val="00885DBF"/>
    <w:rsid w:val="008A2237"/>
    <w:rsid w:val="008C76D9"/>
    <w:rsid w:val="008D17C2"/>
    <w:rsid w:val="008D2A82"/>
    <w:rsid w:val="008D4117"/>
    <w:rsid w:val="008E58A9"/>
    <w:rsid w:val="008E5BA6"/>
    <w:rsid w:val="008F70CD"/>
    <w:rsid w:val="009143F9"/>
    <w:rsid w:val="00915EC7"/>
    <w:rsid w:val="00915F5C"/>
    <w:rsid w:val="00926BDC"/>
    <w:rsid w:val="00932D37"/>
    <w:rsid w:val="00934DF1"/>
    <w:rsid w:val="00940CF6"/>
    <w:rsid w:val="00947B02"/>
    <w:rsid w:val="009534B7"/>
    <w:rsid w:val="00956137"/>
    <w:rsid w:val="00960C73"/>
    <w:rsid w:val="00963525"/>
    <w:rsid w:val="00963E84"/>
    <w:rsid w:val="00966C06"/>
    <w:rsid w:val="00975FC9"/>
    <w:rsid w:val="00991F53"/>
    <w:rsid w:val="009A3D35"/>
    <w:rsid w:val="009A5606"/>
    <w:rsid w:val="009B1615"/>
    <w:rsid w:val="009B2C72"/>
    <w:rsid w:val="009B63DB"/>
    <w:rsid w:val="009C1AD6"/>
    <w:rsid w:val="009C5D09"/>
    <w:rsid w:val="009D4052"/>
    <w:rsid w:val="009F1D36"/>
    <w:rsid w:val="00A03027"/>
    <w:rsid w:val="00A24A3F"/>
    <w:rsid w:val="00A2725D"/>
    <w:rsid w:val="00A401FA"/>
    <w:rsid w:val="00A40E5C"/>
    <w:rsid w:val="00A41B23"/>
    <w:rsid w:val="00A50810"/>
    <w:rsid w:val="00A61A1D"/>
    <w:rsid w:val="00A748D8"/>
    <w:rsid w:val="00A82568"/>
    <w:rsid w:val="00A84982"/>
    <w:rsid w:val="00A85C33"/>
    <w:rsid w:val="00A9053F"/>
    <w:rsid w:val="00A97413"/>
    <w:rsid w:val="00AA3FAF"/>
    <w:rsid w:val="00AC319E"/>
    <w:rsid w:val="00AD31DF"/>
    <w:rsid w:val="00AD4470"/>
    <w:rsid w:val="00AE2C16"/>
    <w:rsid w:val="00AE3F62"/>
    <w:rsid w:val="00AE7B3A"/>
    <w:rsid w:val="00AF0CE0"/>
    <w:rsid w:val="00AF6D0E"/>
    <w:rsid w:val="00B025BF"/>
    <w:rsid w:val="00B10047"/>
    <w:rsid w:val="00B1332B"/>
    <w:rsid w:val="00B13A56"/>
    <w:rsid w:val="00B1484B"/>
    <w:rsid w:val="00B24E40"/>
    <w:rsid w:val="00B25B6E"/>
    <w:rsid w:val="00B27C6E"/>
    <w:rsid w:val="00B44696"/>
    <w:rsid w:val="00B477EF"/>
    <w:rsid w:val="00B51FE7"/>
    <w:rsid w:val="00B55C78"/>
    <w:rsid w:val="00B57390"/>
    <w:rsid w:val="00B65085"/>
    <w:rsid w:val="00B756F7"/>
    <w:rsid w:val="00B87EA3"/>
    <w:rsid w:val="00B970D4"/>
    <w:rsid w:val="00B9767D"/>
    <w:rsid w:val="00BA1A6C"/>
    <w:rsid w:val="00BC42A5"/>
    <w:rsid w:val="00BD5AA6"/>
    <w:rsid w:val="00BE0C6D"/>
    <w:rsid w:val="00BE532B"/>
    <w:rsid w:val="00C04762"/>
    <w:rsid w:val="00C1074B"/>
    <w:rsid w:val="00C13751"/>
    <w:rsid w:val="00C161D0"/>
    <w:rsid w:val="00C2044A"/>
    <w:rsid w:val="00C24D13"/>
    <w:rsid w:val="00C44B0F"/>
    <w:rsid w:val="00C52C45"/>
    <w:rsid w:val="00C5390D"/>
    <w:rsid w:val="00C61187"/>
    <w:rsid w:val="00C731E6"/>
    <w:rsid w:val="00C853ED"/>
    <w:rsid w:val="00C87602"/>
    <w:rsid w:val="00C93053"/>
    <w:rsid w:val="00CD0C09"/>
    <w:rsid w:val="00CD0E3B"/>
    <w:rsid w:val="00CD27DF"/>
    <w:rsid w:val="00CE04B9"/>
    <w:rsid w:val="00CF3417"/>
    <w:rsid w:val="00D05726"/>
    <w:rsid w:val="00D07304"/>
    <w:rsid w:val="00D174BA"/>
    <w:rsid w:val="00D23B13"/>
    <w:rsid w:val="00D274C6"/>
    <w:rsid w:val="00D27EA5"/>
    <w:rsid w:val="00D3127A"/>
    <w:rsid w:val="00D31DA4"/>
    <w:rsid w:val="00D37CBB"/>
    <w:rsid w:val="00D41950"/>
    <w:rsid w:val="00D444F0"/>
    <w:rsid w:val="00D47054"/>
    <w:rsid w:val="00D57251"/>
    <w:rsid w:val="00D62299"/>
    <w:rsid w:val="00D65A90"/>
    <w:rsid w:val="00D66B89"/>
    <w:rsid w:val="00D71D84"/>
    <w:rsid w:val="00D749F6"/>
    <w:rsid w:val="00D81D26"/>
    <w:rsid w:val="00D826BD"/>
    <w:rsid w:val="00D92C04"/>
    <w:rsid w:val="00DA0FFE"/>
    <w:rsid w:val="00DB2985"/>
    <w:rsid w:val="00DD218A"/>
    <w:rsid w:val="00DD7A1E"/>
    <w:rsid w:val="00DF4153"/>
    <w:rsid w:val="00E05C68"/>
    <w:rsid w:val="00E05EEE"/>
    <w:rsid w:val="00E1597D"/>
    <w:rsid w:val="00E27354"/>
    <w:rsid w:val="00E408EE"/>
    <w:rsid w:val="00E4108D"/>
    <w:rsid w:val="00E435CB"/>
    <w:rsid w:val="00E52541"/>
    <w:rsid w:val="00E55FC9"/>
    <w:rsid w:val="00E605B0"/>
    <w:rsid w:val="00E62435"/>
    <w:rsid w:val="00E703D8"/>
    <w:rsid w:val="00E77BE9"/>
    <w:rsid w:val="00E81BDD"/>
    <w:rsid w:val="00E86680"/>
    <w:rsid w:val="00E94C97"/>
    <w:rsid w:val="00EA2B24"/>
    <w:rsid w:val="00EA68A3"/>
    <w:rsid w:val="00EB56A3"/>
    <w:rsid w:val="00ED3801"/>
    <w:rsid w:val="00EE638B"/>
    <w:rsid w:val="00EF7D47"/>
    <w:rsid w:val="00F01E66"/>
    <w:rsid w:val="00F124FA"/>
    <w:rsid w:val="00F21FE9"/>
    <w:rsid w:val="00F26B70"/>
    <w:rsid w:val="00F26EF3"/>
    <w:rsid w:val="00F27191"/>
    <w:rsid w:val="00F30763"/>
    <w:rsid w:val="00F552E0"/>
    <w:rsid w:val="00F660DB"/>
    <w:rsid w:val="00F7196C"/>
    <w:rsid w:val="00F731C2"/>
    <w:rsid w:val="00F75528"/>
    <w:rsid w:val="00F90921"/>
    <w:rsid w:val="00FB2E0D"/>
    <w:rsid w:val="00FB3B78"/>
    <w:rsid w:val="00FB7229"/>
    <w:rsid w:val="00FC0B54"/>
    <w:rsid w:val="00FC5B1C"/>
    <w:rsid w:val="00FD3005"/>
    <w:rsid w:val="00FD3CC4"/>
    <w:rsid w:val="00FD787F"/>
    <w:rsid w:val="00FE38C7"/>
    <w:rsid w:val="01447A94"/>
    <w:rsid w:val="05062761"/>
    <w:rsid w:val="06154912"/>
    <w:rsid w:val="063F3252"/>
    <w:rsid w:val="0696282D"/>
    <w:rsid w:val="076A427C"/>
    <w:rsid w:val="0C5662D8"/>
    <w:rsid w:val="0D885496"/>
    <w:rsid w:val="0DDE3326"/>
    <w:rsid w:val="0EA535DE"/>
    <w:rsid w:val="0ECF06C9"/>
    <w:rsid w:val="0FF908BF"/>
    <w:rsid w:val="103D1B59"/>
    <w:rsid w:val="10AF4D11"/>
    <w:rsid w:val="14144605"/>
    <w:rsid w:val="17242CD3"/>
    <w:rsid w:val="17785778"/>
    <w:rsid w:val="17F1621E"/>
    <w:rsid w:val="1849357D"/>
    <w:rsid w:val="19323048"/>
    <w:rsid w:val="19914646"/>
    <w:rsid w:val="1A916714"/>
    <w:rsid w:val="1B603D15"/>
    <w:rsid w:val="1BE840FF"/>
    <w:rsid w:val="1C5F4E86"/>
    <w:rsid w:val="1CA05BC2"/>
    <w:rsid w:val="1EA82AE4"/>
    <w:rsid w:val="1EFF1450"/>
    <w:rsid w:val="1F0F453D"/>
    <w:rsid w:val="1F4368E2"/>
    <w:rsid w:val="1FCF30D8"/>
    <w:rsid w:val="21AE291A"/>
    <w:rsid w:val="22A34050"/>
    <w:rsid w:val="23865DE5"/>
    <w:rsid w:val="248C5D57"/>
    <w:rsid w:val="267C5FC3"/>
    <w:rsid w:val="26D809F5"/>
    <w:rsid w:val="27927894"/>
    <w:rsid w:val="27A35AFF"/>
    <w:rsid w:val="28D97CA0"/>
    <w:rsid w:val="2964558B"/>
    <w:rsid w:val="2A3330CA"/>
    <w:rsid w:val="2A9B1BAC"/>
    <w:rsid w:val="2B45115C"/>
    <w:rsid w:val="2E7A63A4"/>
    <w:rsid w:val="2EF06D40"/>
    <w:rsid w:val="2F06292C"/>
    <w:rsid w:val="2F693BA2"/>
    <w:rsid w:val="30832B95"/>
    <w:rsid w:val="30BE4FFB"/>
    <w:rsid w:val="3146697B"/>
    <w:rsid w:val="31D76729"/>
    <w:rsid w:val="32B40156"/>
    <w:rsid w:val="32E51745"/>
    <w:rsid w:val="34422A8A"/>
    <w:rsid w:val="35DE50F8"/>
    <w:rsid w:val="360A40E8"/>
    <w:rsid w:val="36565F2C"/>
    <w:rsid w:val="3697400B"/>
    <w:rsid w:val="37060B35"/>
    <w:rsid w:val="39752EB9"/>
    <w:rsid w:val="3BD072EF"/>
    <w:rsid w:val="3CED2277"/>
    <w:rsid w:val="3F8B31BE"/>
    <w:rsid w:val="3FE25A9B"/>
    <w:rsid w:val="414D43E9"/>
    <w:rsid w:val="44284366"/>
    <w:rsid w:val="4454755A"/>
    <w:rsid w:val="45430870"/>
    <w:rsid w:val="4603279D"/>
    <w:rsid w:val="48A91B99"/>
    <w:rsid w:val="48AB7128"/>
    <w:rsid w:val="4A3E1281"/>
    <w:rsid w:val="4BEE51E8"/>
    <w:rsid w:val="4DCD139D"/>
    <w:rsid w:val="505305CF"/>
    <w:rsid w:val="51891FFD"/>
    <w:rsid w:val="51BF5FD9"/>
    <w:rsid w:val="521C27E3"/>
    <w:rsid w:val="551D2832"/>
    <w:rsid w:val="55520B91"/>
    <w:rsid w:val="55B1139F"/>
    <w:rsid w:val="57376AD4"/>
    <w:rsid w:val="587D5EE3"/>
    <w:rsid w:val="58D70DA5"/>
    <w:rsid w:val="5AE853A9"/>
    <w:rsid w:val="5C404521"/>
    <w:rsid w:val="5E851EC8"/>
    <w:rsid w:val="5FE2494E"/>
    <w:rsid w:val="610536FE"/>
    <w:rsid w:val="61780AA1"/>
    <w:rsid w:val="63711D7D"/>
    <w:rsid w:val="6453123B"/>
    <w:rsid w:val="64AE68CB"/>
    <w:rsid w:val="65AA1537"/>
    <w:rsid w:val="66171FAA"/>
    <w:rsid w:val="671321BE"/>
    <w:rsid w:val="68BB72C5"/>
    <w:rsid w:val="6C3D2FBB"/>
    <w:rsid w:val="6C531FE6"/>
    <w:rsid w:val="6EDA05B0"/>
    <w:rsid w:val="717C0071"/>
    <w:rsid w:val="73180B2A"/>
    <w:rsid w:val="750C7654"/>
    <w:rsid w:val="751844B3"/>
    <w:rsid w:val="758869B7"/>
    <w:rsid w:val="75F02889"/>
    <w:rsid w:val="77AF2780"/>
    <w:rsid w:val="78A55FCF"/>
    <w:rsid w:val="78EF5470"/>
    <w:rsid w:val="78F625A8"/>
    <w:rsid w:val="7A40126A"/>
    <w:rsid w:val="7DF223B7"/>
    <w:rsid w:val="7E1A0A03"/>
    <w:rsid w:val="7E6E4388"/>
    <w:rsid w:val="7E6F24B4"/>
    <w:rsid w:val="7F1C74CB"/>
    <w:rsid w:val="7FA47357"/>
    <w:rsid w:val="7FD4219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_x0000_s1033"/>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602" w:firstLineChars="200"/>
    </w:pPr>
    <w:rPr>
      <w:rFonts w:ascii="Times New Roman" w:hAnsi="Times New Roman" w:eastAsia="宋体" w:cs="Times New Roman"/>
      <w:kern w:val="2"/>
      <w:sz w:val="24"/>
      <w:szCs w:val="24"/>
      <w:lang w:val="en-US" w:eastAsia="zh-CN" w:bidi="ar-SA"/>
    </w:rPr>
  </w:style>
  <w:style w:type="paragraph" w:styleId="3">
    <w:name w:val="heading 1"/>
    <w:basedOn w:val="1"/>
    <w:next w:val="1"/>
    <w:qFormat/>
    <w:uiPriority w:val="0"/>
    <w:pPr>
      <w:ind w:firstLine="0" w:firstLineChars="0"/>
      <w:outlineLvl w:val="0"/>
    </w:pPr>
    <w:rPr>
      <w:b/>
      <w:bCs/>
      <w:sz w:val="28"/>
      <w:szCs w:val="28"/>
    </w:rPr>
  </w:style>
  <w:style w:type="paragraph" w:styleId="4">
    <w:name w:val="heading 2"/>
    <w:basedOn w:val="1"/>
    <w:next w:val="1"/>
    <w:link w:val="27"/>
    <w:semiHidden/>
    <w:unhideWhenUsed/>
    <w:qFormat/>
    <w:uiPriority w:val="0"/>
    <w:pPr>
      <w:ind w:firstLine="0" w:firstLineChars="0"/>
      <w:outlineLvl w:val="1"/>
    </w:pPr>
    <w:rPr>
      <w:b/>
      <w:bCs/>
      <w:lang w:eastAsia="en-US"/>
    </w:rPr>
  </w:style>
  <w:style w:type="paragraph" w:styleId="5">
    <w:name w:val="heading 3"/>
    <w:basedOn w:val="1"/>
    <w:next w:val="1"/>
    <w:semiHidden/>
    <w:unhideWhenUsed/>
    <w:qFormat/>
    <w:uiPriority w:val="0"/>
    <w:pPr>
      <w:keepNext/>
      <w:keepLines/>
      <w:ind w:firstLine="562"/>
      <w:outlineLvl w:val="2"/>
    </w:pPr>
    <w:rPr>
      <w:rFonts w:ascii="宋体" w:hAnsi="宋体" w:cs="宋体"/>
      <w:b/>
      <w:sz w:val="22"/>
      <w:szCs w:val="22"/>
      <w:lang w:eastAsia="en-US"/>
    </w:rPr>
  </w:style>
  <w:style w:type="paragraph" w:styleId="6">
    <w:name w:val="heading 4"/>
    <w:basedOn w:val="1"/>
    <w:next w:val="1"/>
    <w:semiHidden/>
    <w:unhideWhenUsed/>
    <w:qFormat/>
    <w:uiPriority w:val="0"/>
    <w:pPr>
      <w:keepNext/>
      <w:keepLines/>
      <w:outlineLvl w:val="3"/>
    </w:pPr>
    <w:rPr>
      <w:b/>
    </w:rPr>
  </w:style>
  <w:style w:type="character" w:default="1" w:styleId="20">
    <w:name w:val="Default Paragraph Font"/>
    <w:semiHidden/>
    <w:unhideWhenUsed/>
    <w:uiPriority w:val="1"/>
  </w:style>
  <w:style w:type="table" w:default="1" w:styleId="18">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2">
    <w:name w:val="Body Text"/>
    <w:basedOn w:val="1"/>
    <w:next w:val="1"/>
    <w:qFormat/>
    <w:uiPriority w:val="0"/>
  </w:style>
  <w:style w:type="paragraph" w:styleId="7">
    <w:name w:val="toc 7"/>
    <w:basedOn w:val="1"/>
    <w:next w:val="1"/>
    <w:qFormat/>
    <w:uiPriority w:val="0"/>
    <w:pPr>
      <w:spacing w:line="240" w:lineRule="auto"/>
      <w:ind w:left="2520" w:leftChars="1200" w:firstLine="0" w:firstLineChars="0"/>
      <w:jc w:val="both"/>
    </w:pPr>
    <w:rPr>
      <w:sz w:val="21"/>
    </w:rPr>
  </w:style>
  <w:style w:type="paragraph" w:styleId="8">
    <w:name w:val="Normal Indent"/>
    <w:basedOn w:val="1"/>
    <w:next w:val="1"/>
    <w:link w:val="28"/>
    <w:qFormat/>
    <w:uiPriority w:val="0"/>
    <w:pPr>
      <w:ind w:firstLine="643"/>
    </w:pPr>
  </w:style>
  <w:style w:type="paragraph" w:styleId="9">
    <w:name w:val="Salutation"/>
    <w:basedOn w:val="1"/>
    <w:next w:val="1"/>
    <w:qFormat/>
    <w:uiPriority w:val="0"/>
    <w:pPr>
      <w:widowControl/>
    </w:pPr>
    <w:rPr>
      <w:kern w:val="0"/>
    </w:rPr>
  </w:style>
  <w:style w:type="paragraph" w:styleId="10">
    <w:name w:val="Body Text Indent"/>
    <w:basedOn w:val="1"/>
    <w:next w:val="1"/>
    <w:qFormat/>
    <w:uiPriority w:val="0"/>
    <w:pPr>
      <w:ind w:firstLine="480"/>
      <w:jc w:val="both"/>
    </w:pPr>
    <w:rPr>
      <w:rFonts w:ascii="宋体" w:hAnsi="宋体"/>
      <w:color w:val="000000"/>
      <w:kern w:val="24"/>
    </w:rPr>
  </w:style>
  <w:style w:type="paragraph" w:styleId="11">
    <w:name w:val="Plain Text"/>
    <w:basedOn w:val="1"/>
    <w:next w:val="9"/>
    <w:qFormat/>
    <w:uiPriority w:val="0"/>
    <w:rPr>
      <w:rFonts w:ascii="宋体" w:hAnsi="Courier New" w:cs="Courier New"/>
      <w:szCs w:val="21"/>
    </w:rPr>
  </w:style>
  <w:style w:type="paragraph" w:styleId="12">
    <w:name w:val="Body Text Indent 2"/>
    <w:basedOn w:val="1"/>
    <w:qFormat/>
    <w:uiPriority w:val="0"/>
    <w:pPr>
      <w:ind w:firstLine="560"/>
    </w:pPr>
    <w:rPr>
      <w:sz w:val="28"/>
    </w:rPr>
  </w:style>
  <w:style w:type="paragraph" w:styleId="13">
    <w:name w:val="Balloon Text"/>
    <w:basedOn w:val="1"/>
    <w:link w:val="32"/>
    <w:qFormat/>
    <w:uiPriority w:val="0"/>
    <w:pPr>
      <w:spacing w:line="240" w:lineRule="auto"/>
    </w:pPr>
    <w:rPr>
      <w:sz w:val="18"/>
      <w:szCs w:val="18"/>
    </w:rPr>
  </w:style>
  <w:style w:type="paragraph" w:styleId="14">
    <w:name w:val="footer"/>
    <w:basedOn w:val="1"/>
    <w:qFormat/>
    <w:uiPriority w:val="0"/>
    <w:pPr>
      <w:tabs>
        <w:tab w:val="center" w:pos="4153"/>
        <w:tab w:val="right" w:pos="8306"/>
      </w:tabs>
      <w:snapToGrid w:val="0"/>
    </w:pPr>
    <w:rPr>
      <w:sz w:val="18"/>
      <w:szCs w:val="18"/>
    </w:rPr>
  </w:style>
  <w:style w:type="paragraph" w:styleId="15">
    <w:name w:val="header"/>
    <w:basedOn w:val="1"/>
    <w:next w:val="1"/>
    <w:link w:val="47"/>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style>
  <w:style w:type="paragraph" w:styleId="17">
    <w:name w:val="Normal (Web)"/>
    <w:basedOn w:val="1"/>
    <w:qFormat/>
    <w:uiPriority w:val="99"/>
    <w:pPr>
      <w:spacing w:before="100" w:beforeAutospacing="1" w:after="100" w:afterAutospacing="1"/>
    </w:pPr>
    <w:rPr>
      <w:kern w:val="0"/>
    </w:rPr>
  </w:style>
  <w:style w:type="table" w:styleId="19">
    <w:name w:val="Table Grid"/>
    <w:basedOn w:val="1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1">
    <w:name w:val="Hyperlink"/>
    <w:basedOn w:val="20"/>
    <w:unhideWhenUsed/>
    <w:qFormat/>
    <w:uiPriority w:val="99"/>
    <w:rPr>
      <w:color w:val="0000FF"/>
      <w:u w:val="single"/>
    </w:rPr>
  </w:style>
  <w:style w:type="character" w:styleId="22">
    <w:name w:val="annotation reference"/>
    <w:qFormat/>
    <w:uiPriority w:val="0"/>
    <w:rPr>
      <w:sz w:val="21"/>
      <w:szCs w:val="21"/>
    </w:rPr>
  </w:style>
  <w:style w:type="paragraph" w:customStyle="1" w:styleId="23">
    <w:name w:val="表标题"/>
    <w:basedOn w:val="1"/>
    <w:next w:val="1"/>
    <w:qFormat/>
    <w:uiPriority w:val="0"/>
    <w:pPr>
      <w:framePr w:wrap="around" w:vAnchor="text" w:hAnchor="text" w:y="1"/>
      <w:adjustRightInd w:val="0"/>
      <w:snapToGrid w:val="0"/>
      <w:ind w:firstLine="0" w:firstLineChars="0"/>
      <w:jc w:val="center"/>
    </w:pPr>
    <w:rPr>
      <w:b/>
      <w:spacing w:val="11"/>
      <w:sz w:val="21"/>
      <w:szCs w:val="21"/>
    </w:rPr>
  </w:style>
  <w:style w:type="paragraph" w:customStyle="1" w:styleId="24">
    <w:name w:val="表格文字"/>
    <w:basedOn w:val="1"/>
    <w:next w:val="1"/>
    <w:link w:val="45"/>
    <w:qFormat/>
    <w:uiPriority w:val="0"/>
    <w:pPr>
      <w:adjustRightInd w:val="0"/>
      <w:snapToGrid w:val="0"/>
      <w:spacing w:line="240" w:lineRule="auto"/>
      <w:ind w:firstLine="0" w:firstLineChars="0"/>
      <w:jc w:val="center"/>
    </w:pPr>
    <w:rPr>
      <w:rFonts w:ascii="仿宋_GB2312" w:hAnsi="Arial Black" w:eastAsia="仿宋_GB2312"/>
      <w:kern w:val="44"/>
      <w:szCs w:val="20"/>
    </w:rPr>
  </w:style>
  <w:style w:type="paragraph" w:customStyle="1" w:styleId="25">
    <w:name w:val="表头"/>
    <w:basedOn w:val="1"/>
    <w:next w:val="26"/>
    <w:qFormat/>
    <w:uiPriority w:val="0"/>
    <w:pPr>
      <w:ind w:firstLine="0" w:firstLineChars="0"/>
      <w:jc w:val="center"/>
    </w:pPr>
    <w:rPr>
      <w:b/>
      <w:bCs/>
      <w:sz w:val="21"/>
      <w:szCs w:val="21"/>
    </w:rPr>
  </w:style>
  <w:style w:type="paragraph" w:customStyle="1" w:styleId="26">
    <w:name w:val="表格"/>
    <w:basedOn w:val="25"/>
    <w:next w:val="1"/>
    <w:link w:val="29"/>
    <w:qFormat/>
    <w:uiPriority w:val="0"/>
    <w:pPr>
      <w:spacing w:line="240" w:lineRule="auto"/>
    </w:pPr>
    <w:rPr>
      <w:color w:val="000000"/>
    </w:rPr>
  </w:style>
  <w:style w:type="character" w:customStyle="1" w:styleId="27">
    <w:name w:val="标题 2 Char"/>
    <w:link w:val="4"/>
    <w:qFormat/>
    <w:uiPriority w:val="0"/>
    <w:rPr>
      <w:rFonts w:ascii="Times New Roman" w:hAnsi="Times New Roman" w:eastAsia="宋体" w:cs="Times New Roman"/>
      <w:b/>
      <w:bCs/>
      <w:kern w:val="2"/>
      <w:sz w:val="24"/>
      <w:szCs w:val="24"/>
      <w:lang w:val="en-US" w:eastAsia="en-US" w:bidi="ar-SA"/>
    </w:rPr>
  </w:style>
  <w:style w:type="character" w:customStyle="1" w:styleId="28">
    <w:name w:val="正文缩进 Char"/>
    <w:basedOn w:val="20"/>
    <w:link w:val="8"/>
    <w:qFormat/>
    <w:uiPriority w:val="0"/>
    <w:rPr>
      <w:rFonts w:ascii="Times New Roman" w:hAnsi="Times New Roman" w:eastAsia="宋体" w:cs="Times New Roman"/>
      <w:sz w:val="24"/>
      <w:szCs w:val="24"/>
    </w:rPr>
  </w:style>
  <w:style w:type="character" w:customStyle="1" w:styleId="29">
    <w:name w:val="表格 Char Char"/>
    <w:link w:val="26"/>
    <w:qFormat/>
    <w:uiPriority w:val="0"/>
    <w:rPr>
      <w:rFonts w:ascii="Times New Roman" w:hAnsi="Times New Roman" w:eastAsia="宋体" w:cs="Times New Roman"/>
      <w:color w:val="000000"/>
      <w:sz w:val="21"/>
      <w:szCs w:val="21"/>
      <w:u w:val="none" w:color="000000"/>
    </w:rPr>
  </w:style>
  <w:style w:type="paragraph" w:styleId="30">
    <w:name w:val="List Paragraph"/>
    <w:basedOn w:val="1"/>
    <w:next w:val="1"/>
    <w:qFormat/>
    <w:uiPriority w:val="99"/>
    <w:pPr>
      <w:spacing w:before="120"/>
      <w:ind w:hanging="583"/>
    </w:pPr>
  </w:style>
  <w:style w:type="table" w:customStyle="1" w:styleId="31">
    <w:name w:val="标准表格1"/>
    <w:basedOn w:val="18"/>
    <w:qFormat/>
    <w:uiPriority w:val="0"/>
    <w:pPr>
      <w:spacing w:before="74"/>
      <w:jc w:val="center"/>
    </w:pPr>
    <w:rPr>
      <w:rFonts w:eastAsia="Times New Roman"/>
      <w:sz w:val="18"/>
      <w:szCs w:val="18"/>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FFFFFF"/>
      <w:vAlign w:val="center"/>
    </w:tcPr>
    <w:tblStylePr w:type="firstRow">
      <w:pPr>
        <w:ind w:firstLine="0" w:firstLineChars="0"/>
        <w:jc w:val="center"/>
      </w:pPr>
      <w:rPr>
        <w:rFonts w:hint="default" w:ascii="Times New Roman" w:hAnsi="Times New Roman" w:eastAsia="宋体" w:cs="Times New Roman"/>
        <w:sz w:val="18"/>
        <w:szCs w:val="18"/>
      </w:rPr>
    </w:tblStylePr>
    <w:tblStylePr w:type="firstCol">
      <w:pPr>
        <w:jc w:val="center"/>
      </w:pPr>
    </w:tblStylePr>
  </w:style>
  <w:style w:type="character" w:customStyle="1" w:styleId="32">
    <w:name w:val="批注框文本 Char"/>
    <w:basedOn w:val="20"/>
    <w:link w:val="13"/>
    <w:qFormat/>
    <w:uiPriority w:val="0"/>
    <w:rPr>
      <w:rFonts w:ascii="Times New Roman" w:hAnsi="Times New Roman" w:eastAsia="宋体" w:cs="Times New Roman"/>
      <w:kern w:val="2"/>
      <w:sz w:val="18"/>
      <w:szCs w:val="18"/>
    </w:rPr>
  </w:style>
  <w:style w:type="paragraph" w:customStyle="1" w:styleId="33">
    <w:name w:val="报告正文-连续目录"/>
    <w:basedOn w:val="1"/>
    <w:qFormat/>
    <w:uiPriority w:val="0"/>
    <w:pPr>
      <w:spacing w:before="120" w:after="120"/>
      <w:ind w:firstLine="200"/>
      <w:jc w:val="both"/>
    </w:pPr>
    <w:rPr>
      <w:rFonts w:ascii="Arial" w:hAnsi="Arial"/>
      <w:snapToGrid w:val="0"/>
    </w:rPr>
  </w:style>
  <w:style w:type="paragraph" w:customStyle="1" w:styleId="34">
    <w:name w:val="纯文本1"/>
    <w:basedOn w:val="1"/>
    <w:qFormat/>
    <w:uiPriority w:val="0"/>
    <w:pPr>
      <w:spacing w:line="240" w:lineRule="auto"/>
      <w:ind w:firstLine="0" w:firstLineChars="0"/>
      <w:jc w:val="both"/>
    </w:pPr>
    <w:rPr>
      <w:rFonts w:ascii="宋体" w:hAnsi="Courier New" w:cs="Courier New"/>
      <w:sz w:val="21"/>
      <w:szCs w:val="21"/>
    </w:rPr>
  </w:style>
  <w:style w:type="paragraph" w:customStyle="1" w:styleId="35">
    <w:name w:val="样式 标题 1 + 四号 段前: 0 磅 段后: 0 磅 行距: 1.5 倍行距"/>
    <w:basedOn w:val="1"/>
    <w:next w:val="1"/>
    <w:qFormat/>
    <w:uiPriority w:val="0"/>
    <w:pPr>
      <w:adjustRightInd w:val="0"/>
      <w:snapToGrid w:val="0"/>
      <w:ind w:left="113" w:right="113" w:firstLine="200"/>
      <w:jc w:val="center"/>
      <w:textAlignment w:val="baseline"/>
    </w:pPr>
    <w:rPr>
      <w:rFonts w:ascii="Calibri" w:hAnsi="Calibri"/>
      <w:kern w:val="0"/>
      <w:sz w:val="28"/>
      <w:szCs w:val="20"/>
    </w:rPr>
  </w:style>
  <w:style w:type="paragraph" w:customStyle="1" w:styleId="36">
    <w:name w:val="Body text|1"/>
    <w:basedOn w:val="1"/>
    <w:qFormat/>
    <w:uiPriority w:val="0"/>
    <w:pPr>
      <w:spacing w:line="322" w:lineRule="auto"/>
      <w:ind w:firstLine="200" w:firstLineChars="0"/>
      <w:jc w:val="both"/>
    </w:pPr>
    <w:rPr>
      <w:rFonts w:ascii="MingLiU" w:hAnsi="MingLiU" w:eastAsia="MingLiU" w:cs="MingLiU"/>
      <w:sz w:val="20"/>
      <w:szCs w:val="20"/>
      <w:lang w:val="zh-TW" w:eastAsia="zh-TW" w:bidi="zh-TW"/>
    </w:rPr>
  </w:style>
  <w:style w:type="paragraph" w:customStyle="1" w:styleId="37">
    <w:name w:val="Char Char Char Char"/>
    <w:basedOn w:val="1"/>
    <w:qFormat/>
    <w:uiPriority w:val="0"/>
    <w:pPr>
      <w:snapToGrid w:val="0"/>
      <w:ind w:firstLine="200"/>
      <w:jc w:val="both"/>
    </w:pPr>
    <w:rPr>
      <w:sz w:val="21"/>
      <w:szCs w:val="20"/>
    </w:rPr>
  </w:style>
  <w:style w:type="paragraph" w:customStyle="1" w:styleId="38">
    <w:name w:val="reader-word-layer reader-word-s6-8"/>
    <w:basedOn w:val="1"/>
    <w:qFormat/>
    <w:uiPriority w:val="0"/>
    <w:pPr>
      <w:widowControl/>
      <w:spacing w:before="100" w:beforeAutospacing="1" w:after="100" w:afterAutospacing="1" w:line="240" w:lineRule="auto"/>
      <w:ind w:firstLine="0" w:firstLineChars="0"/>
    </w:pPr>
    <w:rPr>
      <w:rFonts w:cs="宋体"/>
      <w:kern w:val="0"/>
      <w:szCs w:val="21"/>
    </w:rPr>
  </w:style>
  <w:style w:type="paragraph" w:customStyle="1" w:styleId="39">
    <w:name w:val="Table Paragraph"/>
    <w:basedOn w:val="1"/>
    <w:qFormat/>
    <w:uiPriority w:val="1"/>
    <w:pPr>
      <w:spacing w:line="240" w:lineRule="auto"/>
      <w:ind w:firstLine="0" w:firstLineChars="0"/>
    </w:pPr>
    <w:rPr>
      <w:rFonts w:ascii="Calibri" w:hAnsi="Calibri"/>
      <w:kern w:val="0"/>
      <w:sz w:val="22"/>
      <w:szCs w:val="22"/>
      <w:lang w:eastAsia="en-US"/>
    </w:rPr>
  </w:style>
  <w:style w:type="character" w:customStyle="1" w:styleId="40">
    <w:name w:val="myq-表 Char1"/>
    <w:link w:val="41"/>
    <w:qFormat/>
    <w:uiPriority w:val="0"/>
    <w:rPr>
      <w:sz w:val="21"/>
    </w:rPr>
  </w:style>
  <w:style w:type="paragraph" w:customStyle="1" w:styleId="41">
    <w:name w:val="myq-表"/>
    <w:basedOn w:val="1"/>
    <w:link w:val="40"/>
    <w:qFormat/>
    <w:uiPriority w:val="0"/>
    <w:pPr>
      <w:overflowPunct w:val="0"/>
      <w:spacing w:line="360" w:lineRule="exact"/>
      <w:ind w:firstLine="0" w:firstLineChars="0"/>
      <w:jc w:val="center"/>
    </w:pPr>
    <w:rPr>
      <w:rFonts w:asciiTheme="minorHAnsi" w:hAnsiTheme="minorHAnsi" w:eastAsiaTheme="minorEastAsia" w:cstheme="minorBidi"/>
      <w:kern w:val="0"/>
      <w:sz w:val="21"/>
      <w:szCs w:val="20"/>
    </w:rPr>
  </w:style>
  <w:style w:type="character" w:customStyle="1" w:styleId="42">
    <w:name w:val="sidecatalog-index1"/>
    <w:qFormat/>
    <w:uiPriority w:val="0"/>
    <w:rPr>
      <w:rFonts w:ascii="Arial" w:hAnsi="Arial" w:cs="Arial"/>
      <w:b/>
      <w:color w:val="999999"/>
      <w:kern w:val="2"/>
      <w:sz w:val="21"/>
      <w:szCs w:val="21"/>
    </w:rPr>
  </w:style>
  <w:style w:type="paragraph" w:customStyle="1" w:styleId="43">
    <w:name w:val="xl28"/>
    <w:basedOn w:val="1"/>
    <w:qFormat/>
    <w:uiPriority w:val="0"/>
    <w:pPr>
      <w:widowControl/>
      <w:spacing w:before="100" w:beforeAutospacing="1" w:after="100" w:afterAutospacing="1" w:line="240" w:lineRule="auto"/>
      <w:ind w:firstLine="0" w:firstLineChars="0"/>
      <w:jc w:val="center"/>
      <w:textAlignment w:val="center"/>
    </w:pPr>
    <w:rPr>
      <w:rFonts w:ascii="Arial Unicode MS" w:hAnsi="Arial Unicode MS" w:eastAsia="Arial Unicode MS"/>
      <w:kern w:val="0"/>
      <w:szCs w:val="20"/>
    </w:rPr>
  </w:style>
  <w:style w:type="character" w:styleId="44">
    <w:name w:val="Placeholder Text"/>
    <w:basedOn w:val="20"/>
    <w:unhideWhenUsed/>
    <w:qFormat/>
    <w:uiPriority w:val="99"/>
    <w:rPr>
      <w:color w:val="808080"/>
    </w:rPr>
  </w:style>
  <w:style w:type="character" w:customStyle="1" w:styleId="45">
    <w:name w:val="表格文字 Char"/>
    <w:link w:val="24"/>
    <w:qFormat/>
    <w:uiPriority w:val="0"/>
    <w:rPr>
      <w:rFonts w:ascii="仿宋_GB2312" w:hAnsi="Arial Black" w:eastAsia="仿宋_GB2312"/>
      <w:kern w:val="44"/>
      <w:sz w:val="24"/>
    </w:rPr>
  </w:style>
  <w:style w:type="character" w:customStyle="1" w:styleId="46">
    <w:name w:val="表格 Char"/>
    <w:basedOn w:val="20"/>
    <w:uiPriority w:val="0"/>
    <w:rPr>
      <w:kern w:val="2"/>
      <w:sz w:val="21"/>
      <w:szCs w:val="24"/>
    </w:rPr>
  </w:style>
  <w:style w:type="character" w:customStyle="1" w:styleId="47">
    <w:name w:val="页眉 Char"/>
    <w:basedOn w:val="20"/>
    <w:link w:val="15"/>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png"/><Relationship Id="rId15" Type="http://schemas.openxmlformats.org/officeDocument/2006/relationships/image" Target="media/image5.wmf"/><Relationship Id="rId14" Type="http://schemas.openxmlformats.org/officeDocument/2006/relationships/image" Target="media/image4.emf"/><Relationship Id="rId13" Type="http://schemas.openxmlformats.org/officeDocument/2006/relationships/image" Target="media/image3.emf"/><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3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1D9FA3-0195-4ECF-9CC3-132D57AF141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85</Pages>
  <Words>9778</Words>
  <Characters>55740</Characters>
  <Lines>464</Lines>
  <Paragraphs>130</Paragraphs>
  <TotalTime>30</TotalTime>
  <ScaleCrop>false</ScaleCrop>
  <LinksUpToDate>false</LinksUpToDate>
  <CharactersWithSpaces>65388</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2020-10-29T13:04:00Z</dcterms:created>
  <dc:creator>mzc</dc:creator>
  <cp:lastModifiedBy>邓DPL</cp:lastModifiedBy>
  <dcterms:modified xsi:type="dcterms:W3CDTF">2020-11-20T02:10:33Z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