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eastAsia="方正小标宋简体"/>
          <w:sz w:val="44"/>
          <w:szCs w:val="44"/>
        </w:rPr>
      </w:pPr>
      <w:r>
        <w:rPr>
          <w:rFonts w:eastAsia="方正小标宋简体"/>
          <w:sz w:val="44"/>
          <w:szCs w:val="44"/>
        </w:rPr>
        <w:t>整改落实情况公示表</w:t>
      </w:r>
    </w:p>
    <w:tbl>
      <w:tblPr>
        <w:tblStyle w:val="6"/>
        <w:tblpPr w:leftFromText="180" w:rightFromText="180" w:vertAnchor="text" w:horzAnchor="page" w:tblpX="1157" w:tblpY="1087"/>
        <w:tblOverlap w:val="never"/>
        <w:tblW w:w="9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8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反馈问题</w:t>
            </w:r>
          </w:p>
        </w:tc>
        <w:tc>
          <w:tcPr>
            <w:tcW w:w="8482"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Cs w:val="32"/>
              </w:rPr>
            </w:pPr>
            <w:r>
              <w:rPr>
                <w:rFonts w:hint="eastAsia" w:ascii="Times New Roman" w:hAnsi="Times New Roman" w:cs="Times New Roman"/>
                <w:szCs w:val="32"/>
                <w:lang w:val="en-US" w:eastAsia="zh-CN"/>
              </w:rPr>
              <w:t>土壤环境污染工作还需加强</w:t>
            </w:r>
            <w:r>
              <w:rPr>
                <w:rFonts w:hint="eastAsia" w:ascii="Times New Roman" w:hAnsi="Times New Roman" w:cs="Times New Roman"/>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235"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rFonts w:hint="default" w:ascii="Times New Roman" w:hAnsi="Times New Roman" w:cs="Times New Roman"/>
                <w:sz w:val="22"/>
                <w:szCs w:val="22"/>
              </w:rPr>
            </w:pPr>
            <w:r>
              <w:rPr>
                <w:rFonts w:hint="default" w:ascii="Times New Roman" w:hAnsi="Times New Roman" w:cs="Times New Roman"/>
                <w:sz w:val="24"/>
                <w:szCs w:val="24"/>
              </w:rPr>
              <w:t>整改目标</w:t>
            </w:r>
          </w:p>
        </w:tc>
        <w:tc>
          <w:tcPr>
            <w:tcW w:w="8482" w:type="dxa"/>
            <w:noWrap w:val="0"/>
            <w:vAlign w:val="center"/>
          </w:tcPr>
          <w:p>
            <w:pPr>
              <w:keepNext w:val="0"/>
              <w:keepLines w:val="0"/>
              <w:pageBreakBefore w:val="0"/>
              <w:widowControl/>
              <w:kinsoku/>
              <w:wordWrap/>
              <w:topLinePunct w:val="0"/>
              <w:autoSpaceDE/>
              <w:autoSpaceDN/>
              <w:bidi w:val="0"/>
              <w:spacing w:line="240" w:lineRule="auto"/>
              <w:ind w:firstLine="456" w:firstLineChars="200"/>
              <w:jc w:val="left"/>
              <w:textAlignment w:val="auto"/>
              <w:rPr>
                <w:rFonts w:hint="default" w:ascii="Times New Roman" w:hAnsi="Times New Roman" w:cs="Times New Roman"/>
                <w:sz w:val="28"/>
                <w:szCs w:val="28"/>
              </w:rPr>
            </w:pPr>
            <w:r>
              <w:rPr>
                <w:rFonts w:hint="default" w:ascii="Times New Roman" w:hAnsi="Times New Roman" w:eastAsia="仿宋_GB2312" w:cs="Times New Roman"/>
                <w:color w:val="000000"/>
                <w:sz w:val="24"/>
                <w:szCs w:val="24"/>
              </w:rPr>
              <w:t>加强土壤环境保护，建立健全地方性制度体系，协调各部门，全面推进土壤污染防治。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235"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整改措施</w:t>
            </w:r>
          </w:p>
        </w:tc>
        <w:tc>
          <w:tcPr>
            <w:tcW w:w="8482" w:type="dxa"/>
            <w:noWrap w:val="0"/>
            <w:vAlign w:val="center"/>
          </w:tcPr>
          <w:p>
            <w:pPr>
              <w:keepNext w:val="0"/>
              <w:keepLines w:val="0"/>
              <w:pageBreakBefore w:val="0"/>
              <w:widowControl/>
              <w:kinsoku/>
              <w:wordWrap/>
              <w:topLinePunct w:val="0"/>
              <w:autoSpaceDE/>
              <w:autoSpaceDN/>
              <w:bidi w:val="0"/>
              <w:spacing w:line="240" w:lineRule="auto"/>
              <w:ind w:firstLine="456" w:firstLineChars="200"/>
              <w:jc w:val="left"/>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1.成立富民县污染防治工作领导小组，建立土壤污染防治部门协作机制，强化部门协作配合，实现各部门土壤监测和保护工作的动态共享，全面统筹协调全县土壤污染防治工作。</w:t>
            </w:r>
          </w:p>
          <w:p>
            <w:pPr>
              <w:keepNext w:val="0"/>
              <w:keepLines w:val="0"/>
              <w:pageBreakBefore w:val="0"/>
              <w:widowControl/>
              <w:kinsoku/>
              <w:wordWrap/>
              <w:topLinePunct w:val="0"/>
              <w:autoSpaceDE/>
              <w:autoSpaceDN/>
              <w:bidi w:val="0"/>
              <w:spacing w:line="240" w:lineRule="auto"/>
              <w:ind w:firstLine="456" w:firstLineChars="200"/>
              <w:jc w:val="left"/>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2.扎实推进土壤污染状况详查，实施农用地分类管理、建设用地准入管理，强化土壤污染源头预防，有序开展污染治理与修复。2020年底，建成危险废物和废弃电子产品等固体废物的规范化收集体系。</w:t>
            </w:r>
          </w:p>
          <w:p>
            <w:pPr>
              <w:keepNext w:val="0"/>
              <w:keepLines w:val="0"/>
              <w:pageBreakBefore w:val="0"/>
              <w:widowControl/>
              <w:kinsoku/>
              <w:wordWrap/>
              <w:topLinePunct w:val="0"/>
              <w:autoSpaceDE/>
              <w:autoSpaceDN/>
              <w:bidi w:val="0"/>
              <w:spacing w:line="240" w:lineRule="auto"/>
              <w:ind w:firstLine="456" w:firstLineChars="200"/>
              <w:jc w:val="left"/>
              <w:textAlignment w:val="auto"/>
              <w:rPr>
                <w:rFonts w:hint="default" w:ascii="Times New Roman" w:hAnsi="Times New Roman" w:cs="Times New Roman"/>
                <w:szCs w:val="32"/>
              </w:rPr>
            </w:pPr>
            <w:r>
              <w:rPr>
                <w:rFonts w:hint="default" w:ascii="Times New Roman" w:hAnsi="Times New Roman" w:eastAsia="仿宋_GB2312" w:cs="Times New Roman"/>
                <w:color w:val="000000"/>
                <w:sz w:val="24"/>
                <w:szCs w:val="24"/>
              </w:rPr>
              <w:t>3.充分整合各级、各部门资源，切实落实企事业单位责任，调动社会各方面积极性，采用综合防治措施，全面推进土壤污染防治。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trPr>
        <w:tc>
          <w:tcPr>
            <w:tcW w:w="1235"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整改主要工作成效</w:t>
            </w:r>
          </w:p>
        </w:tc>
        <w:tc>
          <w:tcPr>
            <w:tcW w:w="8482" w:type="dxa"/>
            <w:noWrap w:val="0"/>
            <w:vAlign w:val="center"/>
          </w:tcPr>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一、加强组织领导</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成立了以县委书记和县长为组长的富民县污染防治攻坚工作领导小组，制定了《富民县打赢净土保卫战三年行动实施方案》，按照省、市政府关于土壤污染防治工作要求，切实加强土壤污染防治工作，逐步改善土壤环境质量。</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二、扎实推进土壤污染状况详查</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根据《昆明市重点行业企业用地土壤污染状况调查工作方案》，配合市环科院完成了富民县重点行业企业用地土壤污染状况调查工作，富民县共调查在产企业28家、关闭搬迁企业2家、尾矿库14家。编制了《昆明市重点行业企业用地调查风险筛查结果初步纠偏报告》。通过调查，进一步掌握了富民县重点行业企业用地中污染地块的分布及其环境风险情况。</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三、重点企业土壤环境监管</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加强对重点企业土壤环境监管，与云南大地丰源环保有限公司、云南正晓环保投资有限公司2家危险废物处理处置企业签订《企业土壤污染防治责任书》。2家企业按要求对企业用地土壤污染隐患进行了排查，开展了土壤环境监测，编制企业有毒有害物质排放报告，按季度报送土壤环境重点监管企业监管责任落实情况调度表，严格危险废物管理。2020年我县没有发生涉重金属突发环境事件。</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四、建设用地准入管理</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开展重点行业疑似污染地块排查，昆明市农药厂完成了其原厂址地块土壤环境初步调查，编制调查报告并通过了专家论证，经调查昆明市农药厂原厂址不属于污染地块。</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五、土壤污染治理与修复技术应用试点</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投资637.645万元实施《富民县螳螂川沿岸复合污染农用地土壤污染治理与修复技术应用试点项目》，对360亩氟-重金属复合污染农用地进行修复治理。目前正在开展项目效果评估。</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六、</w:t>
            </w:r>
            <w:r>
              <w:rPr>
                <w:rFonts w:hint="default" w:ascii="Times New Roman" w:hAnsi="Times New Roman" w:eastAsia="黑体" w:cs="Times New Roman"/>
                <w:sz w:val="24"/>
                <w:szCs w:val="24"/>
              </w:rPr>
              <w:t>危险废物规范化管理</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根据国家环境保护部制定的“危险废物规范化管理指标体系”，结合昆明市危险废物规范化管理指标，制定</w:t>
            </w:r>
            <w:r>
              <w:rPr>
                <w:rFonts w:hint="eastAsia" w:ascii="Times New Roman" w:hAnsi="Times New Roman" w:cs="Times New Roman"/>
                <w:sz w:val="24"/>
                <w:szCs w:val="24"/>
                <w:lang w:eastAsia="zh-CN"/>
              </w:rPr>
              <w:t>下发</w:t>
            </w:r>
            <w:r>
              <w:rPr>
                <w:rFonts w:hint="default" w:ascii="Times New Roman" w:hAnsi="Times New Roman" w:cs="Times New Roman"/>
                <w:sz w:val="24"/>
                <w:szCs w:val="24"/>
              </w:rPr>
              <w:t>《富民县2020年度危险废物规范化管理指标考核工作方案</w:t>
            </w:r>
            <w:r>
              <w:rPr>
                <w:rFonts w:hint="default" w:ascii="Times New Roman" w:hAnsi="Times New Roman" w:cs="Times New Roman"/>
                <w:sz w:val="24"/>
                <w:szCs w:val="24"/>
                <w:lang w:eastAsia="zh-CN"/>
              </w:rPr>
              <w:t>》</w:t>
            </w:r>
            <w:r>
              <w:rPr>
                <w:rFonts w:hint="default" w:ascii="Times New Roman" w:hAnsi="Times New Roman" w:cs="Times New Roman"/>
                <w:sz w:val="24"/>
                <w:szCs w:val="24"/>
              </w:rPr>
              <w:t>（富生环〔2020〕18号 ），成立富民县危险废物规范化管理考核领导小组</w:t>
            </w:r>
            <w:bookmarkStart w:id="0" w:name="_GoBack"/>
            <w:bookmarkEnd w:id="0"/>
            <w:r>
              <w:rPr>
                <w:rFonts w:hint="default" w:ascii="Times New Roman" w:hAnsi="Times New Roman" w:cs="Times New Roman"/>
                <w:sz w:val="24"/>
                <w:szCs w:val="24"/>
              </w:rPr>
              <w:t>，负责对辖区内危险废物产生及经营单位进行规范化管理指标考核工作。加强全县危险废物监督管理工作。</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zh-CN"/>
              </w:rPr>
              <w:t>积极开展涉危险废物各项专项行动，</w:t>
            </w:r>
            <w:r>
              <w:rPr>
                <w:rFonts w:hint="default" w:ascii="Times New Roman" w:hAnsi="Times New Roman" w:cs="Times New Roman"/>
                <w:sz w:val="24"/>
                <w:szCs w:val="24"/>
              </w:rPr>
              <w:t>印发《昆明市生态环境局开展危险废物环境安全专项整治行动工作方案》</w:t>
            </w:r>
            <w:r>
              <w:rPr>
                <w:rFonts w:hint="default" w:ascii="Times New Roman" w:hAnsi="Times New Roman" w:cs="Times New Roman"/>
                <w:sz w:val="24"/>
                <w:szCs w:val="24"/>
                <w:lang w:eastAsia="zh-CN"/>
              </w:rPr>
              <w:t>、</w:t>
            </w:r>
            <w:r>
              <w:rPr>
                <w:rFonts w:hint="default" w:ascii="Times New Roman" w:hAnsi="Times New Roman" w:cs="Times New Roman"/>
                <w:sz w:val="24"/>
                <w:szCs w:val="24"/>
              </w:rPr>
              <w:t>《关于加快推进2020年城镇人口密集区危险化学品生产企业搬迁改造工作涉及重点任务的分工方案》</w:t>
            </w:r>
            <w:r>
              <w:rPr>
                <w:rFonts w:hint="default" w:ascii="Times New Roman" w:hAnsi="Times New Roman" w:cs="Times New Roman"/>
                <w:sz w:val="24"/>
                <w:szCs w:val="24"/>
                <w:lang w:eastAsia="zh-CN"/>
              </w:rPr>
              <w:t>、《</w:t>
            </w:r>
            <w:r>
              <w:rPr>
                <w:rFonts w:hint="default" w:ascii="Times New Roman" w:hAnsi="Times New Roman" w:cs="Times New Roman"/>
                <w:sz w:val="24"/>
                <w:szCs w:val="24"/>
              </w:rPr>
              <w:t>对学校（院、园）废弃危险化学药品环境安全风险隐患摸排和专项检查方案</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等工作方案，并按文件进行检查及上报工作进展情况。</w:t>
            </w:r>
            <w:r>
              <w:rPr>
                <w:rFonts w:hint="default" w:ascii="Times New Roman" w:hAnsi="Times New Roman" w:cs="Times New Roman"/>
                <w:sz w:val="24"/>
                <w:szCs w:val="24"/>
              </w:rPr>
              <w:t>辖区内12家危险废物产生单位、经营单位和医疗废物经营单位就执行危险废物转移联单情况开展自检自查。</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zh-CN" w:eastAsia="zh-CN"/>
              </w:rPr>
              <w:t>20</w:t>
            </w:r>
            <w:r>
              <w:rPr>
                <w:rFonts w:hint="default" w:ascii="Times New Roman" w:hAnsi="Times New Roman" w:cs="Times New Roman"/>
                <w:sz w:val="24"/>
                <w:szCs w:val="24"/>
                <w:lang w:val="en-US" w:eastAsia="zh-CN"/>
              </w:rPr>
              <w:t>20</w:t>
            </w:r>
            <w:r>
              <w:rPr>
                <w:rFonts w:hint="default" w:ascii="Times New Roman" w:hAnsi="Times New Roman" w:cs="Times New Roman"/>
                <w:sz w:val="24"/>
                <w:szCs w:val="24"/>
                <w:lang w:val="zh-CN" w:eastAsia="zh-CN"/>
              </w:rPr>
              <w:t>年以来，我局共出动执法人员</w:t>
            </w:r>
            <w:r>
              <w:rPr>
                <w:rFonts w:hint="default" w:ascii="Times New Roman" w:hAnsi="Times New Roman" w:cs="Times New Roman"/>
                <w:sz w:val="24"/>
                <w:szCs w:val="24"/>
                <w:lang w:val="en-US" w:eastAsia="zh-CN"/>
              </w:rPr>
              <w:t>62</w:t>
            </w:r>
            <w:r>
              <w:rPr>
                <w:rFonts w:hint="default" w:ascii="Times New Roman" w:hAnsi="Times New Roman" w:cs="Times New Roman"/>
                <w:sz w:val="24"/>
                <w:szCs w:val="24"/>
                <w:lang w:val="zh-CN" w:eastAsia="zh-CN"/>
              </w:rPr>
              <w:t>余人次，对</w:t>
            </w:r>
            <w:r>
              <w:rPr>
                <w:rFonts w:hint="default" w:ascii="Times New Roman" w:hAnsi="Times New Roman" w:cs="Times New Roman"/>
                <w:sz w:val="24"/>
                <w:szCs w:val="24"/>
                <w:lang w:val="en-US" w:eastAsia="zh-CN"/>
              </w:rPr>
              <w:t>涉危企业</w:t>
            </w:r>
            <w:r>
              <w:rPr>
                <w:rFonts w:hint="default" w:ascii="Times New Roman" w:hAnsi="Times New Roman" w:cs="Times New Roman"/>
                <w:sz w:val="24"/>
                <w:szCs w:val="24"/>
                <w:lang w:val="zh-CN" w:eastAsia="zh-CN"/>
              </w:rPr>
              <w:t>进行现场检查。</w:t>
            </w:r>
            <w:r>
              <w:rPr>
                <w:rFonts w:hint="default" w:ascii="Times New Roman" w:hAnsi="Times New Roman" w:cs="Times New Roman"/>
                <w:sz w:val="24"/>
                <w:szCs w:val="24"/>
                <w:lang w:val="en-US" w:eastAsia="zh-CN"/>
              </w:rPr>
              <w:t>按照《危险废物规范化管理指标体系》，</w:t>
            </w:r>
            <w:r>
              <w:rPr>
                <w:rFonts w:hint="default" w:ascii="Times New Roman" w:hAnsi="Times New Roman" w:cs="Times New Roman"/>
                <w:sz w:val="24"/>
                <w:szCs w:val="24"/>
              </w:rPr>
              <w:t>对</w:t>
            </w:r>
            <w:r>
              <w:rPr>
                <w:rFonts w:hint="default" w:ascii="Times New Roman" w:hAnsi="Times New Roman" w:cs="Times New Roman"/>
                <w:sz w:val="24"/>
                <w:szCs w:val="24"/>
                <w:lang w:val="zh-CN" w:eastAsia="zh-CN"/>
              </w:rPr>
              <w:t>辖区内</w:t>
            </w: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lang w:val="zh-CN" w:eastAsia="zh-CN"/>
              </w:rPr>
              <w:t>家涉</w:t>
            </w:r>
            <w:r>
              <w:rPr>
                <w:rFonts w:hint="default" w:ascii="Times New Roman" w:hAnsi="Times New Roman" w:cs="Times New Roman"/>
                <w:sz w:val="24"/>
                <w:szCs w:val="24"/>
              </w:rPr>
              <w:t>危废企业进行了规范化管理指标考核，达标率为100%。</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七、化肥农药使用量零增长</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 w:val="24"/>
                <w:szCs w:val="24"/>
                <w:lang w:val="zh-CN"/>
              </w:rPr>
            </w:pPr>
            <w:r>
              <w:rPr>
                <w:rFonts w:hint="default" w:ascii="Times New Roman" w:hAnsi="Times New Roman" w:cs="Times New Roman"/>
                <w:sz w:val="24"/>
                <w:szCs w:val="24"/>
                <w:lang w:val="zh-CN"/>
              </w:rPr>
              <w:t>开展化肥、农药使用量零增长工作。落实富民大桥断面以上生态治理项目，推广生物有机肥500亩。配方施肥500亩。实施永定、大营、罗免、赤鹫化肥减量增效示范区建设1000亩。</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en-US" w:eastAsia="zh-CN"/>
              </w:rPr>
              <w:t>八、</w:t>
            </w:r>
            <w:r>
              <w:rPr>
                <w:rFonts w:hint="default" w:ascii="Times New Roman" w:hAnsi="Times New Roman" w:eastAsia="黑体" w:cs="Times New Roman"/>
                <w:sz w:val="24"/>
                <w:szCs w:val="24"/>
                <w:lang w:val="zh-CN"/>
              </w:rPr>
              <w:t>受污染耕地安全利用和治理修复</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 w:val="24"/>
                <w:szCs w:val="24"/>
                <w:lang w:val="zh-CN"/>
              </w:rPr>
            </w:pPr>
            <w:r>
              <w:rPr>
                <w:rFonts w:hint="default" w:ascii="Times New Roman" w:hAnsi="Times New Roman" w:cs="Times New Roman"/>
                <w:sz w:val="24"/>
                <w:szCs w:val="24"/>
                <w:lang w:val="zh-CN"/>
              </w:rPr>
              <w:t>富民县安全利用类(II区)通过种植结构调整、品种调整、推广测土配方施肥、增施有机肥、水肥一体化、种植绿肥、季节性休耕、退耕还林、建设开发征用等途径，落实受污染耕地安全利用，其中:安全利用区措施落地面积32262亩,占受污染耕地面积的100%。严格管控区措施落地面积833亩,占受污染耕地面积的100%。</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九、废弃农膜回收利用</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 w:val="24"/>
                <w:szCs w:val="24"/>
                <w:lang w:val="zh-CN"/>
              </w:rPr>
            </w:pPr>
            <w:r>
              <w:rPr>
                <w:rFonts w:hint="default" w:ascii="Times New Roman" w:hAnsi="Times New Roman" w:cs="Times New Roman"/>
                <w:sz w:val="24"/>
                <w:szCs w:val="24"/>
                <w:lang w:val="zh-CN"/>
              </w:rPr>
              <w:t>大力开展清洁田园工作，大力宣传残膜留存在土壤中对农业生产和生态环境的危害性，提高农民对残膜污染危害的长远性、严重性的认识，提高回收残膜的自觉性，全县累计使用农膜116512公斤，其中使用地膜113320公斤、棚膜3192公斤。完成农膜回收利用17354公斤，其中回收地膜13882公斤、棚膜3472公斤，回收率达14.8%。</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十、非正规垃圾堆放点排查整治</w:t>
            </w:r>
          </w:p>
          <w:p>
            <w:pPr>
              <w:keepNext w:val="0"/>
              <w:keepLines w:val="0"/>
              <w:pageBreakBefore w:val="0"/>
              <w:widowControl/>
              <w:kinsoku/>
              <w:wordWrap/>
              <w:topLinePunct w:val="0"/>
              <w:autoSpaceDE/>
              <w:autoSpaceDN/>
              <w:bidi w:val="0"/>
              <w:spacing w:line="0" w:lineRule="atLeast"/>
              <w:ind w:firstLine="456" w:firstLineChars="200"/>
              <w:jc w:val="both"/>
              <w:textAlignment w:val="auto"/>
              <w:rPr>
                <w:rFonts w:hint="default" w:ascii="Times New Roman" w:hAnsi="Times New Roman" w:cs="Times New Roman"/>
                <w:szCs w:val="32"/>
              </w:rPr>
            </w:pPr>
            <w:r>
              <w:rPr>
                <w:rFonts w:hint="default" w:ascii="Times New Roman" w:hAnsi="Times New Roman" w:cs="Times New Roman"/>
                <w:sz w:val="24"/>
                <w:szCs w:val="24"/>
                <w:lang w:val="zh-CN"/>
              </w:rPr>
              <w:t>富民县辖区内共有非正规垃圾堆放点9个，现已完成整治销号的非正规垃圾堆放点9个，100%完成整治任务。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1235"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rFonts w:hint="default" w:ascii="Times New Roman" w:hAnsi="Times New Roman" w:cs="Times New Roman"/>
                <w:szCs w:val="32"/>
              </w:rPr>
            </w:pPr>
            <w:r>
              <w:rPr>
                <w:rFonts w:hint="default" w:ascii="Times New Roman" w:hAnsi="Times New Roman" w:cs="Times New Roman"/>
                <w:sz w:val="24"/>
                <w:szCs w:val="24"/>
              </w:rPr>
              <w:t>责任单位、责任人及联系人</w:t>
            </w:r>
          </w:p>
        </w:tc>
        <w:tc>
          <w:tcPr>
            <w:tcW w:w="8482" w:type="dxa"/>
            <w:noWrap w:val="0"/>
            <w:vAlign w:val="center"/>
          </w:tcPr>
          <w:p>
            <w:pPr>
              <w:pStyle w:val="4"/>
              <w:keepNext w:val="0"/>
              <w:keepLines w:val="0"/>
              <w:pageBreakBefore w:val="0"/>
              <w:kinsoku/>
              <w:wordWrap/>
              <w:topLinePunct w:val="0"/>
              <w:autoSpaceDE/>
              <w:autoSpaceDN/>
              <w:bidi w:val="0"/>
              <w:spacing w:line="240" w:lineRule="auto"/>
              <w:jc w:val="both"/>
              <w:textAlignment w:val="auto"/>
              <w:rPr>
                <w:rFonts w:hint="default" w:ascii="Times New Roman" w:hAnsi="Times New Roman" w:eastAsia="仿宋_GB2312" w:cs="Times New Roman"/>
                <w:spacing w:val="-6"/>
                <w:kern w:val="2"/>
                <w:sz w:val="24"/>
                <w:szCs w:val="24"/>
                <w:lang w:val="en-US" w:eastAsia="zh-CN" w:bidi="ar-SA"/>
              </w:rPr>
            </w:pPr>
            <w:r>
              <w:rPr>
                <w:rFonts w:hint="default" w:ascii="Times New Roman" w:hAnsi="Times New Roman" w:eastAsia="仿宋_GB2312" w:cs="Times New Roman"/>
                <w:spacing w:val="-6"/>
                <w:kern w:val="2"/>
                <w:sz w:val="24"/>
                <w:szCs w:val="24"/>
                <w:lang w:val="en-US" w:eastAsia="zh-CN" w:bidi="ar-SA"/>
              </w:rPr>
              <w:t>责任单位：</w:t>
            </w:r>
            <w:r>
              <w:rPr>
                <w:rFonts w:hint="default" w:ascii="Times New Roman" w:hAnsi="Times New Roman" w:cs="Times New Roman"/>
                <w:spacing w:val="-6"/>
                <w:kern w:val="2"/>
                <w:sz w:val="24"/>
                <w:szCs w:val="24"/>
                <w:lang w:val="en-US" w:eastAsia="zh-CN" w:bidi="ar-SA"/>
              </w:rPr>
              <w:t>富民县人民政府</w:t>
            </w:r>
          </w:p>
          <w:p>
            <w:pPr>
              <w:pStyle w:val="4"/>
              <w:keepNext w:val="0"/>
              <w:keepLines w:val="0"/>
              <w:pageBreakBefore w:val="0"/>
              <w:kinsoku/>
              <w:wordWrap/>
              <w:topLinePunct w:val="0"/>
              <w:autoSpaceDE/>
              <w:autoSpaceDN/>
              <w:bidi w:val="0"/>
              <w:spacing w:line="240" w:lineRule="auto"/>
              <w:jc w:val="both"/>
              <w:textAlignment w:val="auto"/>
              <w:rPr>
                <w:rFonts w:hint="default" w:ascii="Times New Roman" w:hAnsi="Times New Roman" w:eastAsia="仿宋_GB2312" w:cs="Times New Roman"/>
                <w:spacing w:val="-6"/>
                <w:kern w:val="2"/>
                <w:sz w:val="24"/>
                <w:szCs w:val="24"/>
                <w:lang w:val="en-US" w:eastAsia="zh-CN" w:bidi="ar-SA"/>
              </w:rPr>
            </w:pPr>
            <w:r>
              <w:rPr>
                <w:rFonts w:hint="default" w:ascii="Times New Roman" w:hAnsi="Times New Roman" w:eastAsia="仿宋_GB2312" w:cs="Times New Roman"/>
                <w:spacing w:val="-6"/>
                <w:kern w:val="2"/>
                <w:sz w:val="24"/>
                <w:szCs w:val="24"/>
                <w:lang w:val="en-US" w:eastAsia="zh-CN" w:bidi="ar-SA"/>
              </w:rPr>
              <w:t>责任人：</w:t>
            </w:r>
            <w:r>
              <w:rPr>
                <w:rFonts w:hint="default" w:ascii="Times New Roman" w:hAnsi="Times New Roman" w:cs="Times New Roman"/>
                <w:spacing w:val="-6"/>
                <w:kern w:val="2"/>
                <w:sz w:val="24"/>
                <w:szCs w:val="24"/>
                <w:lang w:val="en-US" w:eastAsia="zh-CN" w:bidi="ar-SA"/>
              </w:rPr>
              <w:t>王九飚</w:t>
            </w:r>
          </w:p>
          <w:p>
            <w:pPr>
              <w:pStyle w:val="4"/>
              <w:keepNext w:val="0"/>
              <w:keepLines w:val="0"/>
              <w:pageBreakBefore w:val="0"/>
              <w:kinsoku/>
              <w:wordWrap/>
              <w:topLinePunct w:val="0"/>
              <w:autoSpaceDE/>
              <w:autoSpaceDN/>
              <w:bidi w:val="0"/>
              <w:spacing w:line="240" w:lineRule="auto"/>
              <w:jc w:val="both"/>
              <w:textAlignment w:val="auto"/>
              <w:rPr>
                <w:rFonts w:hint="default" w:ascii="Times New Roman" w:hAnsi="Times New Roman" w:cs="Times New Roman"/>
                <w:szCs w:val="32"/>
                <w:lang w:eastAsia="zh-CN"/>
              </w:rPr>
            </w:pPr>
            <w:r>
              <w:rPr>
                <w:rFonts w:hint="default" w:ascii="Times New Roman" w:hAnsi="Times New Roman" w:eastAsia="仿宋_GB2312" w:cs="Times New Roman"/>
                <w:spacing w:val="-6"/>
                <w:kern w:val="2"/>
                <w:sz w:val="24"/>
                <w:szCs w:val="24"/>
                <w:lang w:val="en-US" w:eastAsia="zh-CN" w:bidi="ar-SA"/>
              </w:rPr>
              <w:t>联系人：王丽蓉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1235"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rFonts w:hint="default" w:ascii="Times New Roman" w:hAnsi="Times New Roman" w:cs="Times New Roman"/>
                <w:szCs w:val="32"/>
              </w:rPr>
            </w:pPr>
            <w:r>
              <w:rPr>
                <w:rFonts w:hint="default" w:ascii="Times New Roman" w:hAnsi="Times New Roman" w:cs="Times New Roman"/>
                <w:sz w:val="24"/>
                <w:szCs w:val="24"/>
              </w:rPr>
              <w:t>公示说明</w:t>
            </w:r>
          </w:p>
        </w:tc>
        <w:tc>
          <w:tcPr>
            <w:tcW w:w="8482" w:type="dxa"/>
            <w:noWrap w:val="0"/>
            <w:vAlign w:val="center"/>
          </w:tcPr>
          <w:p>
            <w:pPr>
              <w:keepNext w:val="0"/>
              <w:keepLines w:val="0"/>
              <w:pageBreakBefore w:val="0"/>
              <w:widowControl/>
              <w:kinsoku/>
              <w:wordWrap/>
              <w:topLinePunct w:val="0"/>
              <w:autoSpaceDE/>
              <w:autoSpaceDN/>
              <w:bidi w:val="0"/>
              <w:spacing w:line="0" w:lineRule="atLeast"/>
              <w:jc w:val="left"/>
              <w:textAlignment w:val="auto"/>
              <w:rPr>
                <w:rFonts w:hint="default" w:ascii="Times New Roman" w:hAnsi="Times New Roman" w:cs="Times New Roman"/>
                <w:szCs w:val="32"/>
              </w:rPr>
            </w:pPr>
            <w:r>
              <w:rPr>
                <w:rFonts w:hint="default" w:ascii="Times New Roman" w:hAnsi="Times New Roman" w:cs="Times New Roman"/>
                <w:sz w:val="24"/>
                <w:szCs w:val="24"/>
              </w:rPr>
              <w:t>现将该问题整改落实情况进行公示，如有意见建议，</w:t>
            </w:r>
            <w:r>
              <w:rPr>
                <w:rFonts w:hint="default" w:ascii="Times New Roman" w:hAnsi="Times New Roman" w:eastAsia="仿宋_GB2312" w:cs="Times New Roman"/>
                <w:sz w:val="24"/>
                <w:szCs w:val="24"/>
              </w:rPr>
              <w:t>请反馈</w:t>
            </w:r>
            <w:r>
              <w:rPr>
                <w:rFonts w:hint="default" w:ascii="Times New Roman" w:hAnsi="Times New Roman" w:cs="Times New Roman"/>
                <w:sz w:val="24"/>
                <w:szCs w:val="24"/>
                <w:lang w:eastAsia="zh-CN"/>
              </w:rPr>
              <w:t>至</w:t>
            </w:r>
            <w:r>
              <w:rPr>
                <w:rFonts w:hint="default" w:ascii="Times New Roman" w:hAnsi="Times New Roman" w:eastAsia="仿宋_GB2312" w:cs="Times New Roman"/>
                <w:sz w:val="24"/>
                <w:szCs w:val="24"/>
                <w:lang w:val="en-US" w:eastAsia="zh-CN"/>
              </w:rPr>
              <w:t>fmxhjbhj@163.com</w:t>
            </w:r>
            <w:r>
              <w:rPr>
                <w:rFonts w:hint="default" w:ascii="Times New Roman" w:hAnsi="Times New Roman" w:eastAsia="仿宋_GB2312" w:cs="Times New Roman"/>
                <w:sz w:val="24"/>
                <w:szCs w:val="24"/>
              </w:rPr>
              <w:t>。联系人员及电话：</w:t>
            </w:r>
            <w:r>
              <w:rPr>
                <w:rFonts w:hint="eastAsia" w:cs="Times New Roman"/>
                <w:sz w:val="24"/>
                <w:szCs w:val="24"/>
                <w:lang w:eastAsia="zh-CN"/>
              </w:rPr>
              <w:t>李保华</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0871-68810843</w:t>
            </w:r>
          </w:p>
        </w:tc>
      </w:tr>
    </w:tbl>
    <w:p>
      <w:pPr>
        <w:pStyle w:val="4"/>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7243FD7"/>
    <w:rsid w:val="09350FF3"/>
    <w:rsid w:val="10FE6FEB"/>
    <w:rsid w:val="17DC0AC2"/>
    <w:rsid w:val="1F8F58F7"/>
    <w:rsid w:val="22FA41B6"/>
    <w:rsid w:val="3CFA5FDB"/>
    <w:rsid w:val="514C3B3D"/>
    <w:rsid w:val="6C2F6B82"/>
    <w:rsid w:val="6C9A42F8"/>
    <w:rsid w:val="6D2B333C"/>
    <w:rsid w:val="7E8A5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paragraph" w:styleId="3">
    <w:name w:val="heading 3"/>
    <w:basedOn w:val="1"/>
    <w:next w:val="1"/>
    <w:uiPriority w:val="0"/>
    <w:pPr>
      <w:spacing w:line="360" w:lineRule="auto"/>
      <w:ind w:left="602"/>
      <w:outlineLvl w:val="2"/>
    </w:pPr>
    <w:rPr>
      <w:rFonts w:ascii="楷体_GB2312" w:hAnsi="Times New Roman" w:eastAsia="楷体_GB2312"/>
      <w:b/>
      <w:sz w:val="30"/>
      <w:szCs w:val="30"/>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实施方案正文"/>
    <w:basedOn w:val="1"/>
    <w:uiPriority w:val="0"/>
    <w:pPr>
      <w:ind w:firstLine="566" w:firstLineChars="202"/>
    </w:pPr>
    <w:rPr>
      <w:rFonts w:ascii="等线" w:hAnsi="等线" w:eastAsia="等线" w:cs="Times New Roman"/>
      <w:kern w:val="2"/>
      <w:sz w:val="21"/>
      <w:szCs w:val="28"/>
    </w:rPr>
  </w:style>
  <w:style w:type="paragraph" w:styleId="4">
    <w:name w:val="Body Text"/>
    <w:basedOn w:val="1"/>
    <w:qFormat/>
    <w:uiPriority w:val="0"/>
    <w:pPr>
      <w:spacing w:after="120" w:afterLines="0"/>
    </w:pPr>
    <w:rPr>
      <w:rFonts w:hint="default" w:ascii="Calibri"/>
      <w:kern w:val="2"/>
      <w:sz w:val="22"/>
    </w:rPr>
  </w:style>
  <w:style w:type="paragraph" w:styleId="5">
    <w:name w:val="footer"/>
    <w:basedOn w:val="1"/>
    <w:unhideWhenUsed/>
    <w:qFormat/>
    <w:uiPriority w:val="0"/>
    <w:pPr>
      <w:tabs>
        <w:tab w:val="center" w:pos="4153"/>
        <w:tab w:val="right" w:pos="8306"/>
      </w:tabs>
      <w:snapToGrid w:val="0"/>
      <w:spacing w:beforeLines="0" w:afterLines="0"/>
      <w:jc w:val="left"/>
    </w:pPr>
    <w:rPr>
      <w:rFonts w:hint="default"/>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昆明市富民县党政机关单位</Company>
  <Pages>1</Pages>
  <Words>0</Words>
  <Characters>0</Characters>
  <Lines>0</Lines>
  <Paragraphs>0</Paragraphs>
  <TotalTime>19</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2020-07-20T00:46:00Z</dcterms:created>
  <dc:creator>Administrator</dc:creator>
  <cp:lastModifiedBy>Administrator</cp:lastModifiedBy>
  <cp:lastPrinted>2020-12-30T01:01:42Z</cp:lastPrinted>
  <dcterms:modified xsi:type="dcterms:W3CDTF">2020-12-30T01:01:47Z</dcterms:modified>
  <dc:title>整改落实情况公示表</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