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cs="Times New Roman"/>
          <w:color w:val="0070C0"/>
          <w:spacing w:val="-20"/>
          <w:sz w:val="15"/>
          <w:szCs w:val="15"/>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lang w:eastAsia="zh-CN"/>
        </w:rPr>
        <w:t>富民县文化和旅游局</w:t>
      </w:r>
      <w:r>
        <w:rPr>
          <w:rFonts w:hint="default" w:ascii="Times New Roman" w:hAnsi="Times New Roman" w:eastAsia="方正小标宋简体" w:cs="Times New Roman"/>
          <w:sz w:val="44"/>
          <w:szCs w:val="44"/>
        </w:rPr>
        <w:t>2019年度部门整体支出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44"/>
          <w:szCs w:val="44"/>
        </w:rPr>
        <w:t>绩效评价报告</w:t>
      </w: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Cs w:val="32"/>
          <w:lang w:val="en-US" w:eastAsia="zh-CN"/>
        </w:rPr>
        <w:t xml:space="preserve"> </w:t>
      </w:r>
    </w:p>
    <w:p>
      <w:pPr>
        <w:pStyle w:val="6"/>
        <w:spacing w:line="500" w:lineRule="exact"/>
        <w:ind w:firstLine="640"/>
        <w:jc w:val="left"/>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（一）部门机构设置、编制。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机构情况，2019年富民县文化和旅游局系统机构数4个，其中行政机构1个（富民县文化</w:t>
      </w:r>
      <w:r>
        <w:rPr>
          <w:rFonts w:hint="default" w:ascii="Times New Roman" w:hAnsi="Times New Roman" w:cs="Times New Roman"/>
          <w:sz w:val="32"/>
          <w:szCs w:val="32"/>
          <w:lang w:val="en-US" w:eastAsia="zh-CN"/>
        </w:rPr>
        <w:t>和</w:t>
      </w:r>
      <w:r>
        <w:rPr>
          <w:rFonts w:hint="default" w:ascii="Times New Roman" w:hAnsi="Times New Roman" w:cs="Times New Roman"/>
          <w:sz w:val="32"/>
          <w:szCs w:val="32"/>
        </w:rPr>
        <w:t>旅游），事业机构3个（富民县文化馆、富民县图书馆、富民县文物管理所），2019年编制数34人。其中行政编制5人、机关工勤编制2人、事业编制27人。包括当年变动情况及原因。</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rPr>
        <w:t>人员情况，富民县文体局2019年末人员编制数34人，年末实有在职人员38人，本年度调入1人，调出4人，死亡0人，超编制数4人，超编原因。结构合并，并人不并编制。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年末实有退休人员9人，本年增加退休人员0人，退休人员死亡0人。年末实有遗属人员2人。</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部门职能。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1．主要职能。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贯彻执行国家、省、市有关文化、体育、广播电视宣传，旅游工作的法律、法规和方针、政策。</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根据国家、省、市文化、体育、广播电视宣传、旅游的有政策，编制全县文化、体育、广播电视、旅游发展中长期规划和年度计划。</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）组织开展全县文化、体育、旅游资源的普查，并做好规划、开放、利用和保护工作，负责全县文化、体育、广播电影、电视、旅游、新闻出版行业的统计和经济运行分析工作。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4</w:t>
      </w:r>
      <w:r>
        <w:rPr>
          <w:rFonts w:hint="default" w:ascii="Times New Roman" w:hAnsi="Times New Roman" w:cs="Times New Roman"/>
          <w:sz w:val="32"/>
          <w:szCs w:val="32"/>
        </w:rPr>
        <w:t>）继承和发扬民族文化遗产，弘扬地方文化，促进全县文化艺术创作、演出及民族民间体育的繁荣和发展；组织开展文化艺术和体育交流活动。</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eastAsia" w:cs="Times New Roman"/>
          <w:sz w:val="32"/>
          <w:szCs w:val="32"/>
          <w:lang w:eastAsia="zh-CN"/>
        </w:rPr>
        <w:t>（</w:t>
      </w:r>
      <w:r>
        <w:rPr>
          <w:rFonts w:hint="eastAsia" w:cs="Times New Roman"/>
          <w:sz w:val="32"/>
          <w:szCs w:val="32"/>
          <w:lang w:val="en-US" w:eastAsia="zh-CN"/>
        </w:rPr>
        <w:t>5</w:t>
      </w:r>
      <w:r>
        <w:rPr>
          <w:rFonts w:hint="eastAsia" w:cs="Times New Roman"/>
          <w:sz w:val="32"/>
          <w:szCs w:val="32"/>
          <w:lang w:eastAsia="zh-CN"/>
        </w:rPr>
        <w:t>）</w:t>
      </w:r>
      <w:r>
        <w:rPr>
          <w:rFonts w:hint="default" w:ascii="Times New Roman" w:hAnsi="Times New Roman" w:cs="Times New Roman"/>
          <w:sz w:val="32"/>
          <w:szCs w:val="32"/>
        </w:rPr>
        <w:t>综合管理和指导社会文化体育事业，指导各乡镇文化、体育、广播电视和旅游工作。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6</w:t>
      </w:r>
      <w:r>
        <w:rPr>
          <w:rFonts w:hint="default" w:ascii="Times New Roman" w:hAnsi="Times New Roman" w:cs="Times New Roman"/>
          <w:sz w:val="32"/>
          <w:szCs w:val="32"/>
        </w:rPr>
        <w:t>）承担文化、体育、广播电影电视、旅游、新闻出版市场的管理、登记、备案、审批工作；组织文化、体育、广播电视电影旅游、新闻出版行业管理人员及工作人员的法律法规和业务技能培训。</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7</w:t>
      </w:r>
      <w:r>
        <w:rPr>
          <w:rFonts w:hint="default" w:ascii="Times New Roman" w:hAnsi="Times New Roman" w:cs="Times New Roman"/>
          <w:sz w:val="32"/>
          <w:szCs w:val="32"/>
        </w:rPr>
        <w:t>）监管广播电影电视和节目、信息网络视听节目和公共视听载体播放的视听节目，指导该部电影电视和信息网络节目服务的科技工作，监管广播电影电视节目传输、监测和安全播出，依法对违反有关广播电视法律、法规的行为进行查处。</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部门工作完成情况。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县文化和旅游局在县委、县政府的正确领导下，在上级业务主管部门的指导帮助下，在各镇（街）、各部门的大力支持下，紧紧围绕县委、县政府的中心工作，坚持先进文化的前进方向，积极引导和培育文化自觉、文化自信，增强县域文化软实力，强力推进文化和旅游各项工作顺利实施，成效显著，现将2019年的工作总结如下：</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抓实对外宣传、意识形态和廉政工作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围绕中心工作，做好对外宣传。今年以来，我们紧紧围绕县委、县政府的中心工作，坚持正面宣传、宣传正面的方针，结合我们的节日系列活动、“健康中国·活力富民”富民县2019年迎新春职工健身运动会、杨梅节、丰收节等系列活动，在活动中弘扬主旋律，不断提高富民文化旅游舆论引导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rPr>
        <w:t>）强化组织领导，抓实意识形态。按照党管意识形态的总体要求，严格按照县委出台的《意识形态工作责任制实施细则》要求，分解意识形态目标任务，相关工作纳入重要议事日程、纳入党的建设工作，纳入班子、科室目标管理，与党的建设、市场整治、文化旅游活动开展同部署同落实同检查同考核。坚持每月一次听取分管领导意识形态工作开展情况汇报，每季度召开一次意识形态研判会，加强对文化、旅游行业意识形态阵地的管理，加大市场整治力度，壮大积极健康的主流思想文化，弘扬社会主义核心价值观，开展“健康中国·活力富民”2019年迎新春职工健身运动会、2019年中国·富民杨梅健康文化节、“我们的节日”文体活动、“风雅颂”国学经典诵读等各类积极健康的文化旅游活动，为全县经济社会发展提供了有力的思想保证、精神动力、道德滋养和文化滋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加强廉政建设，促进服务群众能力的提升。一是结合机制改革工作，深入推进“放管服”。按照“放管服”政策要求，及时对本单位权责清单进行梳理，对单位事项的材料清单和审批时限按文件要求进行精简，实现全部事项100%省平台录入工作。二是继续抓好廉政教育。强化学习“明纪律”，组织全局33名党员通采取集中学习、专题辅导、个人自学等方式，加强对习近平新时代中国特色社会主义思想、党的十九大精神和法律法规等理论知识的学习。三是加强文化旅游市场监管工作。2019年，全年文化旅游市场综合执法大队共出动630人次，对全县印刷企业、出版物市场、音像出租店、网吧、娱乐场所、旅游市场进行检查，下达《停止违法行为通知书》并停止违法行为12家，立案查处1家，给予停业1个月的行政处罚，有效促进了我县文化旅游市场持续健康发展。</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rPr>
        <w:t>抓牢主责，全力推进文化和旅游工作发展</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）公共文化服务日趋完善</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按照年人均不低于18元标准安排基层公共文化服务项目经费和县级承担50%的补助标准，以14.5554万人计算，2019年配套资金为261.99万元，县级应承担配套补助经费130.99万元。目前，2019年基层公共文化服务县级配套资金年初虽已纳入2019年财政预算，但该项资金还未到位。</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认真做好基层公共文化服务专项资金的管理、使用工作，建立规范的拨款制度，明确指导基层管理使用好资金，确保专款专用，切实发挥资金的使用效益。</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县级公共文化服务机构、各镇（街道）文化站（室）根据省、市基本公共文化服务工作标准认真开展公共文化服务工作，按照市对县80%以上的考核任务，完成率达100%。</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扎实开展阵地服务工作。县图书馆和文化馆认真按照“以人为本”和公共文化服务均等化的要求，适时延长了开放时间，开展好阵地服务。县图书馆共订购报208种，收集地方文献11种28册，整理装订过期报刊518余册，馆藏纸质文献达4.6万册，电子文献达6万余册，接待到馆读者53213人次，报刊阅览人数11392人次，电子阅览室人数9821人次，外借书刊19887册次，办理借书证61本，解答咨询1213条。年内，全县各镇（街道）文化站的功能设施和服务均实现免费开放，功能设置包括图书室、电子阅览室、多功能厅、展览室、排练室、娱乐室、室外场地、文化宣传栏等，开放时间每周不低于59小时。</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w:t>
      </w:r>
      <w:r>
        <w:rPr>
          <w:rFonts w:hint="default" w:ascii="Times New Roman" w:hAnsi="Times New Roman" w:cs="Times New Roman"/>
          <w:sz w:val="32"/>
          <w:szCs w:val="32"/>
        </w:rPr>
        <w:t>繁荣丰富群众文艺活动。举办了元旦、春节、三下乡、元宵节、苗族农民歌手音乐会、“三八节”文艺演出、“阳光下成长”富民县第三十届学生艺术节 2019“我们的节日·花儿朵朵向太阳”少儿艺术比赛活动、2019中国·富民杨梅文化节系列文艺演出、“我们的节日”端午节文艺演出、云南省杂技团文化大篷车下乡惠民演出、以“传承文化根脉 共筑民族未来”富民县2019年”文化遗产日”展演活动、“庆祝中华人民共和国成立70周年群众合唱比赛”、举办富民县2019年舞韵欢悦新时代-暨丰收节舞动富民广场舞比赛初赛及决赛、传承弘扬中华优秀统文化“我们的节日  庆丰收·迎中秋”专场文艺演出活动；组织参加市总工会“中国梦 劳动美”文艺汇演、扫黑除恶法治宣传文艺巡演活动及传统文化（戏曲）进校园分别在我县各镇街道、学校、企业举办；组织参加富民县首届农民“丰收节”民俗表演活动、云南省歌舞剧院下乡惠民演出活动等大型综合性群众文艺演出活动47场次。组织举办“富民县2019年迎新春美术书法摄影作品展”、联合县书法家协会举办富民文昌书院师生书画展览活动；举办“花儿朵朵向太阳”富民县第六届少儿美术作品展览；联合举办的“家和万事兴—家教家风主题展”、举办“庆祝新中国成立70周年原创歌曲散文诗歌征集活动及美术书法摄影作品展”等11场次作品展览。举办2019年公共数字文化工作及县级文化馆总分馆制建设及基层音响技术人员工作培训班、组织 ”中国梦”广场舞蹈培训班、暑假期间举办少儿书法、美术、素描、葫芦丝、舞蹈培训班、空中大讲堂坛、文化管理人员培训班等12场次免费培训。开展了内容丰富的“世界读书日”、“全民读书月”和图书馆服务宣传周活动，参观人数达3431人次，参与活动人数1249人次。完成900场农村电影放映任务和节假日慰问放映180场，受益群众19000人次。全年全县各公共文化服务机构组织各类文化活动共计600余场次，完成文化惠民演出47场，保障了广大群众的基本文化权益需求，积极为富民建设营造了良好的文化氛围。</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w:t>
      </w:r>
      <w:r>
        <w:rPr>
          <w:rFonts w:hint="default" w:ascii="Times New Roman" w:hAnsi="Times New Roman" w:cs="Times New Roman"/>
          <w:sz w:val="32"/>
          <w:szCs w:val="32"/>
        </w:rPr>
        <w:t>文艺精品扶持工程硕果累累。积极参加省、市安排的“春城文化节”活动、昆明市“我们的节日·花儿朵朵向太阳”少儿艺术比赛，节目《秀》荣获“十佳节目”奖及优秀组织奖；组织12件美术作品参加“昆明市庆祝改革开放40周年暨迎接2019年元旦美术、书法、摄影优秀作品展”、组织20件美术作品、1件书法作品参加县纪委选送昆明市纪委书法美术作品展览、组织水彩画作品7件参加广西北海市文化馆和昆明市文化馆联合举办的“丝路北海·魅力春城”水彩画展览活动、组织美术作品5件参加云南省“劳动美”云南省职工美术书法摄影作品展览；参加昆明市“我和我的祖国”红色经典诵读比赛，节目《中国报告》荣获二等奖和优秀组织奖、参加昆明市总工会“中国梦 劳动美”文艺汇演荣获三等奖。</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5</w:t>
      </w:r>
      <w:r>
        <w:rPr>
          <w:rFonts w:hint="default" w:ascii="Times New Roman" w:hAnsi="Times New Roman" w:cs="Times New Roman"/>
          <w:sz w:val="32"/>
          <w:szCs w:val="32"/>
          <w:lang w:eastAsia="zh-CN"/>
        </w:rPr>
        <w:t>）</w:t>
      </w:r>
      <w:r>
        <w:rPr>
          <w:rFonts w:hint="default" w:ascii="Times New Roman" w:hAnsi="Times New Roman" w:cs="Times New Roman"/>
          <w:sz w:val="32"/>
          <w:szCs w:val="32"/>
        </w:rPr>
        <w:t>文化资源保护与开发工作卓有成效。</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一是非物质文化遗产保护亮点频现。2019年为加强非物质文化遗产保护工作，年内完成两次非遗进校园展览活动、全国非物质文化遗产日非遗演出及宣传展示活动、完成苗族叙事长诗《红昭和饶觉席那》书籍3次改稿及档案建设工作、完善申报市级非遗保护名录相关资料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二是根据国家《文物保护法》的有关规定，于2019年2月份公布为第八批省级文物保护单位，筹集资金100万对富民文庙大殿、左右厢房进行布展，作为富民县博物馆基本陈列展览室，宣传儒家文化；为切实做好2019年我县文物保护单位的保护利用工作，按照我县文物事业利用计划和“保护为主、抢救第一、合理利用、加强管理”的文物工作方针，昆明市财政局、昆明市文化和旅游局下拨了“2019年市级文物保护单位消防补助经费52630元，2019年文物巡查补助经费22440元”共计75070元用于文物工作；上报了滇川驿道三村段、束刻上村万寿庵、三村清真寺为昆明市第七批市级文物保护单位，待昆明市人民政府公布；在各大节日前后、每个月都安排专人对我县辖区内的44项文物保护单位进行了安防抽查和整治，每季度还联合消防队人员进行联合检查。通过巡查，对各级文物保护单位的生产生活用电、易燃易爆物品堆放储存、电器线路安装铺设、用电设备使用、吸烟燃香烧纸、燃放烟花炮竹、乱刻乱画等安全隐患进行细致排查。对发现问题的文物保护单位，都现场进行了整改，分别在富民文庙后殿、李资树魁阁、款庄白龙寺内建设消防水池，无条件建设消防水池并按要求放置储水缸；文物知识走进行知中学进行“5▪18国际博物馆日”宣传活动，发放资料5000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旅游工作有序推进</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主要经济指标完成情况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1-9月实现接待游客241.13万人次，同比增长15.3%，乡村旅游营业收入54937万元，同比增长23.9%。</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住宿业营业额平稳增长，全年可达18%的增速。</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县级招商引资任务1.8亿元，年底预计可达3.36亿,完成率可达187%。</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重点项目推进情况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富民县民族文化广场（五馆）项目目前已完成主体建设，完成90%主体砖砌建设，正在开展外立面钢网架及玻璃幕墙建设前期准备工作，同期开展内部装修方案设计和建设估算，外环境设计及估算相关工作，预计2020年底竣工投入使用。滇北驿文创旅游小镇项目B区于3月开工建设，预计今年可完成4000万投资，C期正在开展建设前期准备工作，预计2020年初可开工建设。散旦户外（潜水）探险运动文旅小镇完成洞穴、地址勘探和策划包装方案，今年预计可投入前期工作资金300万元，预计明年可开工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w:t>
      </w:r>
      <w:r>
        <w:rPr>
          <w:rFonts w:hint="default" w:ascii="Times New Roman" w:hAnsi="Times New Roman" w:cs="Times New Roman"/>
          <w:sz w:val="32"/>
          <w:szCs w:val="32"/>
        </w:rPr>
        <w:t>项目服务推进情况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指导、服务国家高原云果产业园、滇北驿文创旅游小镇进行申报AAA级旅游景区前期准备工作；引导、服务、协调好龙纳河片区农业文化旅游项目、赤鹫东核片区优牧品源农旅融合项目、永定老青山项目等的前期服务工作；继续引导和指导服务旅游农家乐提升改造转型升级，提升富民乡村旅游品牌的品质，预计2019年能完成提升改造星级旅游农家乐6户以上，完成投资300万元以上。</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w:t>
      </w:r>
      <w:r>
        <w:rPr>
          <w:rFonts w:hint="default" w:ascii="Times New Roman" w:hAnsi="Times New Roman" w:cs="Times New Roman"/>
          <w:sz w:val="32"/>
          <w:szCs w:val="32"/>
        </w:rPr>
        <w:t>旅游基础设施建设情况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根据省、市旅游专项资金管理使用办法，积极向上级争取支持，现明确扶持7个AAA级旅游厕所建设项目，第二批、第三批旅游厕所对接协调落实当中。争取到旅游专项补助资金210万元用于建设AAA级旅游厕所7座，预计11月20日全面竣工投入使用。第二批、第三批旅游厕所待市级明确后力争2019年底完工投入使用。争取到乡村旅游发展奖补资金27万，正在申请2020年乡村旅游发展奖补资金。</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富民县旅游标示标牌建设项目完成初步规划设计，并按照提出意见进行修改，待政府审定后启动建设。《富民县旅游产业发展规划（2018-2035）》已征求相关部门意见，正在进行修改。</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5</w:t>
      </w:r>
      <w:r>
        <w:rPr>
          <w:rFonts w:hint="default" w:ascii="Times New Roman" w:hAnsi="Times New Roman" w:cs="Times New Roman"/>
          <w:sz w:val="32"/>
          <w:szCs w:val="32"/>
          <w:lang w:eastAsia="zh-CN"/>
        </w:rPr>
        <w:t>）</w:t>
      </w:r>
      <w:r>
        <w:rPr>
          <w:rFonts w:hint="default" w:ascii="Times New Roman" w:hAnsi="Times New Roman" w:cs="Times New Roman"/>
          <w:sz w:val="32"/>
          <w:szCs w:val="32"/>
        </w:rPr>
        <w:t>旅游营销宣传工作情况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2019年我局积极开展旅游营销宣传和推介工作。一是继续推进“富民旅游”智慧旅游平台建设。平台共有208个商户，公共资源200个，旅游资讯65个，整合各类旅游资源，打包升级旅游产品，组织活动20次,3540人参加。二是在中国富民网、富民政务公众网、富民县文化旅游官博、畅行昆明富民游平台，“富民旅游”智慧旅游平台、果蔬富民app手机平台等发布富民旅游企业和餐饮企业旅游信息500余条;三是结合樱桃节、杨梅文化节等节庆活动做好营销宣传，在新华网、人民网和环球游报等市级以上媒体发布“体验赤就之美—樱桃品进鉴季”“中国·富民杨梅文化节”等系宣传信息和文章70余篇。四是成功举办云南省第七届“云旅四季论坛”，并与7家公司签订了战略合作框架协议，为富民旅游营销宣传工作打下坚实的基础。</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规范管理文化旅游市场</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大力开展文化旅游安全生产专项整治。为确保文化旅游市场安全生产，我局制定了《文化旅游市场突发事件应急处置预案》及《文化旅游市场突发事件应急管理办法》，结合“两节”“两会”期间专项整治、“创卫”工作要求、重大节日期间安全生产要求及“岁末年初”安全生产要求等，积极组织开展对全县娱乐场所的各项安全生产专项检查，年初与全县景区（点）、旅行社网点、娱乐场所签订了2019年安全生产、消防安全工作责任书及综治维稳平安文化旅游市场责任书，同时印发了各项专项整治的行动的通知及方案，在集中整治文化旅游市场的同时，突出抓好平安创建工作。在市场管理中，加强对文化旅游市场的安全检查工作，定期联合公安、消防、安监等有关部门开展安全生产集中执法行动，及时排除消防安全隐患，组织歌舞厅、游艺厅、网吧等公众聚集场所开展应对各种突发事件的应急处置和逃生自救疏散演练，有效地提高文化旅游市场经营单位处置突发事件能力和应急管理水平。由于思想重视，措施到位，我县从未发生一起安全生产责任事故，确保了市场平安稳定。共开展文化旅游企业安全生产专项检查121家次，出动检查人员408人次，发现并整改一般安全隐患14条，组织联合执法检查3次，出动相关执法单位人员54人次，整改不规范行业企业5家次，完善企业证照7家，企业共补充完善应急救援预案和管理制度22个，未发生行业安全事故。</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扎实开展“扫黄打非”工作。组织人员开展专项行动和集中行动，打击游摊散贩违法经营行为，对全县印刷厂、书店、复印店、音像制品店等文化经营场所进行严格监督，清缴整治，遏制流通咽喉，从源头控制非法出版物的流通。为包括青少年在内的网民提供健康的网络生态，不让他们为淫秽色情信息所诱惑，为暴力恐怖消息所毒害，为迷信消息所误导。制定并印发了《富民县春节期间出版物市场及网络文化环境监管方案》《秋风2019、净网2019工作方案》《富民县文体广电旅游局关于在全县开展“剑网2019”专项行动方案》《关于开展打击利用云盘传播淫秽色情信息专项整治行动的通知》等文件。积极开展互联网有害信息检查，全面清除有害信息，排查信息安全隐患，规范和整顿互联网管理秩序，落实防范、管理、打击和查处措施，并在行动中认真总结经验，有效净化了我县文化环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w:t>
      </w:r>
      <w:r>
        <w:rPr>
          <w:rFonts w:hint="default" w:ascii="Times New Roman" w:hAnsi="Times New Roman" w:cs="Times New Roman"/>
          <w:sz w:val="32"/>
          <w:szCs w:val="32"/>
        </w:rPr>
        <w:t>深入开展校园周边环境整治工作。针对我县学校园周边校园周边环境的情况，适时开展以查缴非法出版物、非法书报刊、淫秽色情读物以及净化校园周边环境为重点的集中整治活动，重点检查政治性非法出版物、淫秽色情出版物、特别是淫秽光盘和以青少年为读者对象的有害卡通画册及淫秽“口袋本”图书一经发现坚决予以查处。</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w:t>
      </w:r>
      <w:r>
        <w:rPr>
          <w:rFonts w:hint="default" w:ascii="Times New Roman" w:hAnsi="Times New Roman" w:cs="Times New Roman"/>
          <w:sz w:val="32"/>
          <w:szCs w:val="32"/>
        </w:rPr>
        <w:t>开展禁毒、防艾专项检查。年初与全县娱乐场所签订了2019年禁毒防艾工作责任书，并按照省、市及县禁毒委员会和县防艾办的相关要求，组织开展了各类宣传教育培训活动2次。同时配合公安局和卫生局对娱乐场所进行了多次突击检查，并与县禁毒大队联合开展对全县娱乐场所从业人员的吸毒人员排查工作。认真开展禁毒工作进社区活动，与社区禁毒工作人员及县禁毒大队民警共同参与对社区吸毒人员的帮教活动2次。</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5</w:t>
      </w:r>
      <w:r>
        <w:rPr>
          <w:rFonts w:hint="default" w:ascii="Times New Roman" w:hAnsi="Times New Roman" w:cs="Times New Roman"/>
          <w:sz w:val="32"/>
          <w:szCs w:val="32"/>
          <w:lang w:eastAsia="zh-CN"/>
        </w:rPr>
        <w:t>）</w:t>
      </w:r>
      <w:r>
        <w:rPr>
          <w:rFonts w:hint="default" w:ascii="Times New Roman" w:hAnsi="Times New Roman" w:cs="Times New Roman"/>
          <w:sz w:val="32"/>
          <w:szCs w:val="32"/>
        </w:rPr>
        <w:t>持续开展旅游市场秩序工作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持续对全县重点区域、重点时段、重点人群、重点问题进行督查检查，2019年共组织联合检查4次，出动检查人员79人次，专项检查抽查17次，检查全县旅行社网点7家、旅游景点3家、都市农庄1家、温泉企业3家、旅游酒店2家、旅游农家乐74家和农特产品销售市场4个，检查旅游企业和旅游市场270余家次，实现检查监管整改常态化。全力做好“一部手机游云南”管理处置工作，全年按时处理旅游投诉9件，有效处理投诉率达100%，确保富民旅游市场规范、健康、有序发展，实现全年各季度考评我县排名全市前5名的成绩。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6</w:t>
      </w:r>
      <w:r>
        <w:rPr>
          <w:rFonts w:hint="default" w:ascii="Times New Roman" w:hAnsi="Times New Roman" w:cs="Times New Roman"/>
          <w:sz w:val="32"/>
          <w:szCs w:val="32"/>
          <w:lang w:eastAsia="zh-CN"/>
        </w:rPr>
        <w:t>）</w:t>
      </w:r>
      <w:r>
        <w:rPr>
          <w:rFonts w:hint="default" w:ascii="Times New Roman" w:hAnsi="Times New Roman" w:cs="Times New Roman"/>
          <w:sz w:val="32"/>
          <w:szCs w:val="32"/>
        </w:rPr>
        <w:t>深入推进扫黑除恶专项行动整治</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制定了《富民县文化和旅游局扫黑除恶专项斗争工作方案》，明晰专项斗争职责，明确工作步骤，层层压实责任，确保全系统扫黑除恶专项斗争有序开展。利用例会职工学习组织学习并安排工作26次。局党组专题会议安排部署工作10次，例会组织干部职工学习并安排工作12次。截止目前，执法大队联合或单独检查文化旅游市场共630人次，发放调查表和线索登记表116份，未发现涉黑涉恶情况，线索排查过程中也未发现涉黑涉恶线索。2019年年内共收集到9条乱象线索，其中8条已办理完毕，1条正在办理中。</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存在问题及下步措施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rPr>
        <w:t>）文旅产业链难以形成。作为小县，文旅产业发展路子窄，难以形成规模；文旅产业发展的总体规划和政策意见尚未具体形成，文旅企业的数量、质量、层次、规模有待扩大和提升。</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rPr>
        <w:t>）旅游服务设施有待完善。缺少游客集散中心和游客咨询服务中心，不能满足日益增长的自主游和散客游的需求。旅游环境氛围还不够浓，交通主干道旅游标志标识不全面，旅游宣传牌不健全。下一步将充分利用现有资源，加快游客集散中心、咨询服务中心的建设，加快旅游标识标牌的规划和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rPr>
        <w:t>）旅游资源开发利用不足。已有自然资源和历史文化资源尚停留在浅层静态开发阶段，缺乏具有较高知名度和影响力的品牌。下一步将进一步做好项目包装，争取上级政策、资金支持，努力建成上档次上规模的旅游景区景点及星级以上宾馆酒店。</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四</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部门管理制度。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内控制度：</w:t>
      </w:r>
      <w:r>
        <w:rPr>
          <w:rFonts w:hint="default" w:ascii="Times New Roman" w:hAnsi="Times New Roman" w:cs="Times New Roman"/>
          <w:sz w:val="32"/>
          <w:szCs w:val="32"/>
          <w:lang w:eastAsia="zh-CN"/>
        </w:rPr>
        <w:t>通过开展行政事业单位内部控制基础性评价工作，使内部控制理念深入人心，形成人人注重风险防范、处处强化责任意识的良好氛围；各类经济活动的规章制度及其业务流程得到细致梳理，经济活动的决策、执行、监督实现有效分离，议事决策机制、岗位责任制、内部监督等内控机制更加完善；内部控制牵头科（室）及其工作职责得到进一步明确，各科（室、馆所）在内部控制中的沟通、联动机制更加顺畅、高效，形成管控合力；内部控制关键岗位工作人员的培训、评价、轮岗等机制得到建立健全；账务处理及财务信息编报水平明显提高；内控信息化手段建设取得进步，风险评估和内部控制方法更加科学规范；以预算管理、收支管理、政府采购管理、资产管理、建设项目管理、合同管理等业务层面内部控制制度为主要内容，汇编形成我局内部控制工作手册；单位内部控制规范落实工作进入常态化、规范化轨道，内部控制工作成效不断显现。</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系统设置不相容岗位账户并体现其职权。业务流程内部控制的不相容岗位与职责在系统中分别设立独立的账户名称和密码、明确的操作权限等级。</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对预算进行内部分解并审批下达；计算预算执行差异率；收入实行归口管理和票据控制，做到应收尽收；支出事项实行归口管理和分类控制，明确各类支出业务事项的归口管理部门及职责，不同类别事项实行不同的审批程序和审批权限，明确各类支出业务事项需要提交的外部原始票据要求，明确内部审批表单要求及单据审核重点，通过对各类支出业务事项的分析控制，发现支出异常情况及其原因，并采取有效措施予以解决；举债事项实行集体决策，定期对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政府采购业务管理控制。单位采购货物、服务和工程应当严格按照年度政府集中采购目录及标准的规定执行；政府采购货物、服务和工程应当严格落实节能环保。</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资产管理控制。定期对本单位的货币资金、存货、固定资产、无形资产、债权和对外投资等资产进行定期核查盘点，做到账实相符，对债权和对外投资项目实行跟踪管理；单位配置、使用和处置国有资产，应严格按照审批权限履行审批程序，未经批准不得自行配置资产、利用资产对外投资、出租出借，也不得自行处置资产。</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五）建设项目管理控制。单位应按照批复的初步设计方案组织实施建设项目，确需进行工程洽商和设计变更的，建设项目归口管理部门、项目监理机构应当进行严格审核，并且按照有关规定及制度要求履行相应的审批程序。单位应在建设项目竣工后及时编制项目竣工财务决算，并在项目竣工验收合格后及时办理资产交付使用手续。</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财务管理制度：</w:t>
      </w:r>
      <w:r>
        <w:rPr>
          <w:rFonts w:hint="default" w:ascii="Times New Roman" w:hAnsi="Times New Roman" w:cs="Times New Roman"/>
          <w:sz w:val="32"/>
          <w:szCs w:val="32"/>
          <w:lang w:eastAsia="zh-CN"/>
        </w:rPr>
        <w:t>为加强单位内部财务管理，规范财务审批，严肃财经纪律，厉行勤俭节约，反对铺张浪费，加强党风廉政建设，节约经费开支，防止国有资产流失，提高资金使用效益，确保各项工作正常运转。根据《党政机关历行节约反对浪费条例》、《党政机关国内公务接待管理规定》、《富民县党政机关国内公务接待管理实施细则》、中共富民县委办公室  富民县人民政府办公室关于印发《富民县县级会议费管理办法》和《富民县县级机关差旅费管理办法》的通知（富办通[2014]103号）及有关法律法规，结合本单位具体情况，制定本制度。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本单位收入应全部纳入财务核算，在各项业务活动中与上级部门、其他单位或个人发生的一切款项，应根据富财通[2014]20号文件，严格按《昆明市行政事业单位资金往来票据使用项目表》中所列通用项目及时开具财务票据、收取款项、登记入账，不得截留、隐瞒、挪用、做支。严格执行“收支两条线管理”。</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各项经费开支由分管副局长审批。所有支出单据应有经办人、证明人、产生费用理由；报经主要领导审核同意后再审批；每月正常缴付的医疗保险费、工伤生育保险、失业保险、养老保险、代发工资及单笔支出500元以下的由分管副局长直接审批；单笔2000元以上的支出应在班子会上通报，严格按富财通[2014]16号文件，对办公费、培训费、公务接待费、公务用车运行维护费等16个项目以银行转账或公务卡方式结算，严格控制以现金方式结算。</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3" w:firstLineChars="200"/>
        <w:textAlignment w:val="auto"/>
        <w:rPr>
          <w:rFonts w:hint="default" w:ascii="Times New Roman" w:hAnsi="Times New Roman" w:cs="Times New Roman"/>
          <w:b/>
          <w:bCs/>
          <w:sz w:val="32"/>
          <w:szCs w:val="32"/>
          <w:lang w:eastAsia="zh-CN"/>
        </w:rPr>
      </w:pPr>
      <w:r>
        <w:rPr>
          <w:rFonts w:hint="default" w:ascii="Times New Roman" w:hAnsi="Times New Roman" w:cs="Times New Roman"/>
          <w:b/>
          <w:bCs/>
          <w:sz w:val="32"/>
          <w:szCs w:val="32"/>
          <w:lang w:eastAsia="zh-CN"/>
        </w:rPr>
        <w:t>资产管理制度：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建立健全固定资产帐卡，正确及时办理新增、转移、调拨、报废等手续。</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定期检查组织清查盘点，处理盈亏报废。</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建立健全固定资产的核算凭证和帐卡，正确填报有关会计报表。</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接受财政部门的监督、指导，按照规定报告本单位国有资产管理工作。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b/>
          <w:bCs/>
          <w:sz w:val="32"/>
          <w:szCs w:val="32"/>
          <w:lang w:eastAsia="zh-CN"/>
        </w:rPr>
        <w:t>合同管理制度：</w:t>
      </w:r>
      <w:r>
        <w:rPr>
          <w:rFonts w:hint="default" w:ascii="Times New Roman" w:hAnsi="Times New Roman" w:cs="Times New Roman"/>
          <w:sz w:val="32"/>
          <w:szCs w:val="32"/>
          <w:lang w:eastAsia="zh-CN"/>
        </w:rPr>
        <w:t>为加强富民县文化体育广播电视旅游局项目合同管理，提高管理水平，确保项目合同各个阶段合法合规，工程质量、工程安全得到有效保障，根据有关规定、结合具体情况，特制定本制度，具体制度如下：</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第一条 为加强合同管理，减少失误，提高经济效益，根据《合同法》及其他有关法规的规定，结合我局的实际情况，制订本制度。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第二条 单位各部门及下属馆所对外签订的各类合同一律适用本制度。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第三条</w:t>
      </w:r>
      <w:r>
        <w:rPr>
          <w:rFonts w:hint="default" w:ascii="Times New Roman" w:hAnsi="Times New Roman" w:cs="Times New Roman"/>
          <w:sz w:val="32"/>
          <w:szCs w:val="32"/>
          <w:lang w:val="en-US" w:eastAsia="zh-CN"/>
        </w:rPr>
        <w:t xml:space="preserve"> </w:t>
      </w:r>
      <w:r>
        <w:rPr>
          <w:rFonts w:hint="default" w:ascii="Times New Roman" w:hAnsi="Times New Roman" w:cs="Times New Roman"/>
          <w:sz w:val="32"/>
          <w:szCs w:val="32"/>
          <w:lang w:eastAsia="zh-CN"/>
        </w:rPr>
        <w:t xml:space="preserve">合同管理是我局管理的一项重要内容，搞好合同管理，对于我局项目开展和项目利益的取得，都有积极的意义。各级领导干部、法人委托人以及其他有关人员，都必须严格遵守、切实执行本制度。各有关部门必须互相配合，共同努力，搞好项目以“重合同、守信誉”为核心的合同管理工作。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第四条 签订合同，必须遵守国家的法律、政策及有关规定。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第五条 对外签订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第六条 签约人在签订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合同，确保所签合同有效、有利。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第七条 签订合同，必须贯彻“平等互利、协商一致、等价有偿”的原则和“价廉物美、择优签约”的原则。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第八条 签订合同，如涉及公司内部其他单位的，应事先在内部进行协商，统一平衡，然后签约。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第九条</w:t>
      </w:r>
      <w:r>
        <w:rPr>
          <w:rFonts w:hint="default" w:ascii="Times New Roman" w:hAnsi="Times New Roman" w:cs="Times New Roman"/>
          <w:sz w:val="32"/>
          <w:szCs w:val="32"/>
          <w:lang w:val="en-US" w:eastAsia="zh-CN"/>
        </w:rPr>
        <w:t xml:space="preserve"> </w:t>
      </w:r>
      <w:r>
        <w:rPr>
          <w:rFonts w:hint="default" w:ascii="Times New Roman" w:hAnsi="Times New Roman" w:cs="Times New Roman"/>
          <w:sz w:val="32"/>
          <w:szCs w:val="32"/>
          <w:lang w:eastAsia="zh-CN"/>
        </w:rPr>
        <w:t xml:space="preserve">合同除即时清洁者，一律采用书面格式，并必须采用统一的合同文本。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 xml:space="preserve">第十条 合同对方当事人权利、义务的规定必须明确、具体、文字表达要清楚、准确。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部门资金来源及使用情况。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2019年富民县文化和旅游局纳入预算管理的资金主要来源于财政拨款。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2019年度富民县文化和旅游局财政拨款总收入14,776,486.03元，其中一般公共预算财政拨款收入决算数为14,716,486.03元，占总收入99.6%，政府性基金决算收入60,000.00元，占总收入0.4%。</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2019年财政拨款总支出11,721,602.15元，其中一般公共预算财政拨款支出决算数为10,999,977.35元，占总支出93.8%，政府性基金决算支出721,624.80元，占总支出6.2%。</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基本支出7,323,102.15元，占总支出62.5%，项目支出4,398,500.00元，占总支出37.5%。</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基本支出中，人员经费支出6,557,094.87元，占基本支出89.5%，日常公用经费支出766,007.28元，占基本支出10.5%。</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六</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政府采购情况。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2019年富民县文化和旅游局财政采购支出1047517元，主要用于采购货物支出73010元，采购服务支出974507元。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七</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固定资产情况。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2019年固定资产账面原值为4,822,448.82元，累计折旧为1,135,780.76元，账面净值为3,686,668.06元。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土地、房屋及构筑物 221.76 万元，占固定资产的 60.15 %（其中，房屋 221.76 万元，占固定资产的 60.15 %）；通用设备 12.27 万元，占 3.33 %（其中，车辆 0 万元，占 0.00 %，单价50万（含）以上（不含车辆）设备 0 万元，占 0.00 %）；专用设备 6.41 万元，占 1.74 %（单价100万（含）以上设备 0 万元，占 0.00 %）；文物和陈列品 36.53 万元，占 9.91 %；图书档案 75.55 万元，占 20.49 %；家具、用具、装具及动植物 16.16 万元，占 4.38 %。</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（一）部门总目标。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201</w:t>
      </w: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rPr>
        <w:t>年，我局将紧紧抓住国家扎实推进文化强国战略带来的机遇，进一步解放思想，乘势而上，努力发展文</w:t>
      </w:r>
      <w:r>
        <w:rPr>
          <w:rFonts w:hint="eastAsia" w:ascii="仿宋_GB2312" w:hAnsi="仿宋_GB2312" w:eastAsia="仿宋_GB2312" w:cs="仿宋_GB2312"/>
          <w:b w:val="0"/>
          <w:bCs w:val="0"/>
          <w:sz w:val="32"/>
          <w:szCs w:val="32"/>
          <w:lang w:val="en-US" w:eastAsia="zh-CN"/>
        </w:rPr>
        <w:t>化</w:t>
      </w:r>
      <w:r>
        <w:rPr>
          <w:rFonts w:hint="eastAsia" w:ascii="仿宋_GB2312" w:hAnsi="仿宋_GB2312" w:eastAsia="仿宋_GB2312" w:cs="仿宋_GB2312"/>
          <w:b w:val="0"/>
          <w:bCs w:val="0"/>
          <w:sz w:val="32"/>
          <w:szCs w:val="32"/>
        </w:rPr>
        <w:t>旅游事业</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部门项目具体计划目标。</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不断提升公共文化服务标准化均等化水平。</w:t>
      </w:r>
      <w:r>
        <w:rPr>
          <w:rFonts w:hint="eastAsia" w:ascii="仿宋_GB2312" w:hAnsi="仿宋_GB2312" w:eastAsia="仿宋_GB2312" w:cs="仿宋_GB2312"/>
          <w:sz w:val="32"/>
          <w:szCs w:val="32"/>
          <w:lang w:eastAsia="zh-CN"/>
        </w:rPr>
        <w:t>按照市、县级财政各承担</w:t>
      </w:r>
      <w:r>
        <w:rPr>
          <w:rFonts w:hint="eastAsia" w:ascii="仿宋_GB2312" w:hAnsi="仿宋_GB2312" w:eastAsia="仿宋_GB2312" w:cs="仿宋_GB2312"/>
          <w:sz w:val="32"/>
          <w:szCs w:val="32"/>
          <w:lang w:val="en-US" w:eastAsia="zh-CN"/>
        </w:rPr>
        <w:t>50%的比例，安排</w:t>
      </w:r>
      <w:r>
        <w:rPr>
          <w:rFonts w:hint="eastAsia" w:ascii="仿宋_GB2312" w:hAnsi="仿宋_GB2312" w:eastAsia="仿宋_GB2312" w:cs="仿宋_GB2312"/>
          <w:sz w:val="32"/>
          <w:szCs w:val="32"/>
          <w:lang w:eastAsia="zh-CN"/>
        </w:rPr>
        <w:t>年人均不低于1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元标准用于基层公共文化服务项目的补助资金。并在年内实现基层公共文化服务运行机制配套资金到位率达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进一步推进我县基层公共文化服务运行机制建设，保障广大基层群众的基本文化权益，丰富广大农民群众文化生活。</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全面</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"http://www.yuwenmi.com/zi/3983.html"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繁</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荣</w:t>
      </w:r>
      <w:r>
        <w:rPr>
          <w:rFonts w:hint="eastAsia" w:ascii="仿宋_GB2312" w:hAnsi="仿宋_GB2312" w:eastAsia="仿宋_GB2312" w:cs="仿宋_GB2312"/>
          <w:sz w:val="32"/>
          <w:szCs w:val="32"/>
          <w:lang w:eastAsia="zh-CN"/>
        </w:rPr>
        <w:t>公共文化</w:t>
      </w:r>
      <w:r>
        <w:rPr>
          <w:rFonts w:hint="eastAsia" w:ascii="仿宋_GB2312" w:hAnsi="仿宋_GB2312" w:eastAsia="仿宋_GB2312" w:cs="仿宋_GB2312"/>
          <w:sz w:val="32"/>
          <w:szCs w:val="32"/>
        </w:rPr>
        <w:t>事业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抓好</w:t>
      </w:r>
      <w:r>
        <w:rPr>
          <w:rFonts w:hint="eastAsia" w:ascii="仿宋_GB2312" w:hAnsi="仿宋_GB2312" w:eastAsia="仿宋_GB2312" w:cs="仿宋_GB2312"/>
          <w:sz w:val="32"/>
          <w:szCs w:val="32"/>
        </w:rPr>
        <w:t>文化</w:t>
      </w:r>
      <w:r>
        <w:rPr>
          <w:rFonts w:hint="eastAsia" w:ascii="仿宋_GB2312" w:hAnsi="仿宋_GB2312" w:eastAsia="仿宋_GB2312" w:cs="仿宋_GB2312"/>
          <w:sz w:val="32"/>
          <w:szCs w:val="32"/>
          <w:lang w:eastAsia="zh-CN"/>
        </w:rPr>
        <w:t>事业</w:t>
      </w:r>
      <w:r>
        <w:rPr>
          <w:rFonts w:hint="eastAsia" w:ascii="仿宋_GB2312" w:hAnsi="仿宋_GB2312" w:eastAsia="仿宋_GB2312" w:cs="仿宋_GB2312"/>
          <w:sz w:val="32"/>
          <w:szCs w:val="32"/>
        </w:rPr>
        <w:t>打造工程。整合现有文化</w:t>
      </w:r>
      <w:r>
        <w:rPr>
          <w:rFonts w:hint="eastAsia" w:ascii="仿宋_GB2312" w:hAnsi="仿宋_GB2312" w:eastAsia="仿宋_GB2312" w:cs="仿宋_GB2312"/>
          <w:sz w:val="32"/>
          <w:szCs w:val="32"/>
          <w:lang w:eastAsia="zh-CN"/>
        </w:rPr>
        <w:t>事业</w:t>
      </w:r>
      <w:r>
        <w:rPr>
          <w:rFonts w:hint="eastAsia" w:ascii="仿宋_GB2312" w:hAnsi="仿宋_GB2312" w:eastAsia="仿宋_GB2312" w:cs="仿宋_GB2312"/>
          <w:sz w:val="32"/>
          <w:szCs w:val="32"/>
        </w:rPr>
        <w:t>，深度挖掘民间工艺文化、红色文化、宗教文化、民俗文化等潜力文化资源，打造富民县文化</w:t>
      </w:r>
      <w:r>
        <w:rPr>
          <w:rFonts w:hint="eastAsia" w:ascii="仿宋_GB2312" w:hAnsi="仿宋_GB2312" w:eastAsia="仿宋_GB2312" w:cs="仿宋_GB2312"/>
          <w:sz w:val="32"/>
          <w:szCs w:val="32"/>
          <w:lang w:eastAsia="zh-CN"/>
        </w:rPr>
        <w:t>事业</w:t>
      </w:r>
      <w:r>
        <w:rPr>
          <w:rFonts w:hint="eastAsia" w:ascii="仿宋_GB2312" w:hAnsi="仿宋_GB2312" w:eastAsia="仿宋_GB2312" w:cs="仿宋_GB2312"/>
          <w:sz w:val="32"/>
          <w:szCs w:val="32"/>
        </w:rPr>
        <w:t>链。</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抓好</w:t>
      </w:r>
      <w:r>
        <w:rPr>
          <w:rFonts w:hint="eastAsia" w:ascii="仿宋_GB2312" w:hAnsi="仿宋_GB2312" w:eastAsia="仿宋_GB2312" w:cs="仿宋_GB2312"/>
          <w:sz w:val="32"/>
          <w:szCs w:val="32"/>
        </w:rPr>
        <w:t>文化品牌打造工程。以“百姓大舞台”系列活动为载体，利用传统节日、民俗节庆节点，提升民俗表演水平，打造富民特色群众文化品牌。</w:t>
      </w:r>
      <w:r>
        <w:rPr>
          <w:rFonts w:hint="eastAsia" w:ascii="仿宋_GB2312" w:hAnsi="仿宋_GB2312" w:eastAsia="仿宋_GB2312" w:cs="仿宋_GB2312"/>
          <w:sz w:val="32"/>
          <w:szCs w:val="32"/>
          <w:lang w:val="en-US" w:eastAsia="zh-CN"/>
        </w:rPr>
        <w:t>(3)抓好</w:t>
      </w:r>
      <w:r>
        <w:rPr>
          <w:rFonts w:hint="eastAsia" w:ascii="仿宋_GB2312" w:hAnsi="仿宋_GB2312" w:eastAsia="仿宋_GB2312" w:cs="仿宋_GB2312"/>
          <w:sz w:val="32"/>
          <w:szCs w:val="32"/>
        </w:rPr>
        <w:t>民族民间文化人才队伍培育工程。继续遴选打造黎阳文化名家，发挥民族民间文化协会作用，深度挖掘富民县民族民间文化，不断推出丰富的特色文化活动，形成富民特色文化圈。继续开展书法、美术协会和音乐、舞蹈协会和各类文化艺术培训班或培训学校，为培养文化人才搭建平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抓好</w:t>
      </w:r>
      <w:r>
        <w:rPr>
          <w:rFonts w:hint="eastAsia" w:ascii="仿宋_GB2312" w:hAnsi="仿宋_GB2312" w:eastAsia="仿宋_GB2312" w:cs="仿宋_GB2312"/>
          <w:sz w:val="32"/>
          <w:szCs w:val="32"/>
        </w:rPr>
        <w:t>文化基础教育工程。继续与教育部门联合，举办</w:t>
      </w:r>
      <w:r>
        <w:rPr>
          <w:rFonts w:hint="eastAsia" w:ascii="仿宋_GB2312" w:hAnsi="仿宋_GB2312" w:eastAsia="仿宋_GB2312" w:cs="仿宋_GB2312"/>
          <w:sz w:val="32"/>
          <w:szCs w:val="32"/>
          <w:lang w:eastAsia="zh-CN"/>
        </w:rPr>
        <w:t>“风雅颂”经典诵读</w:t>
      </w:r>
      <w:r>
        <w:rPr>
          <w:rFonts w:hint="eastAsia" w:ascii="仿宋_GB2312" w:hAnsi="仿宋_GB2312" w:eastAsia="仿宋_GB2312" w:cs="仿宋_GB2312"/>
          <w:sz w:val="32"/>
          <w:szCs w:val="32"/>
        </w:rPr>
        <w:t>等活动，倡导经典诵读，引导健康阅读，大力营造知书达理、好学求进的书香氛围，构建温馨和谐的文化育人环境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抓好</w:t>
      </w:r>
      <w:r>
        <w:rPr>
          <w:rFonts w:hint="eastAsia" w:ascii="仿宋_GB2312" w:hAnsi="仿宋_GB2312" w:eastAsia="仿宋_GB2312" w:cs="仿宋_GB2312"/>
          <w:sz w:val="32"/>
          <w:szCs w:val="32"/>
        </w:rPr>
        <w:t>农村电影放映工程。继续在全县</w:t>
      </w:r>
      <w:r>
        <w:rPr>
          <w:rFonts w:hint="eastAsia" w:ascii="仿宋_GB2312" w:hAnsi="仿宋_GB2312" w:eastAsia="仿宋_GB2312" w:cs="仿宋_GB2312"/>
          <w:sz w:val="32"/>
          <w:szCs w:val="32"/>
          <w:lang w:val="en-US" w:eastAsia="zh-CN"/>
        </w:rPr>
        <w:t>69</w:t>
      </w:r>
      <w:r>
        <w:rPr>
          <w:rFonts w:hint="eastAsia" w:ascii="仿宋_GB2312" w:hAnsi="仿宋_GB2312" w:eastAsia="仿宋_GB2312" w:cs="仿宋_GB2312"/>
          <w:sz w:val="32"/>
          <w:szCs w:val="32"/>
        </w:rPr>
        <w:t>个村委会，</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个社区放映故事片及科教影片</w:t>
      </w:r>
      <w:r>
        <w:rPr>
          <w:rFonts w:hint="eastAsia" w:ascii="仿宋_GB2312" w:hAnsi="仿宋_GB2312" w:eastAsia="仿宋_GB2312" w:cs="仿宋_GB2312"/>
          <w:sz w:val="32"/>
          <w:szCs w:val="32"/>
          <w:lang w:val="en-US" w:eastAsia="zh-CN"/>
        </w:rPr>
        <w:t>450</w:t>
      </w:r>
      <w:r>
        <w:rPr>
          <w:rFonts w:hint="eastAsia" w:ascii="仿宋_GB2312" w:hAnsi="仿宋_GB2312" w:eastAsia="仿宋_GB2312" w:cs="仿宋_GB2312"/>
          <w:sz w:val="32"/>
          <w:szCs w:val="32"/>
        </w:rPr>
        <w:t>场，慰问电影</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场，</w:t>
      </w:r>
      <w:r>
        <w:rPr>
          <w:rFonts w:hint="eastAsia" w:ascii="仿宋_GB2312" w:hAnsi="仿宋_GB2312" w:eastAsia="仿宋_GB2312" w:cs="仿宋_GB2312"/>
          <w:sz w:val="32"/>
          <w:szCs w:val="32"/>
          <w:lang w:eastAsia="zh-CN"/>
        </w:rPr>
        <w:t>全年完成</w:t>
      </w:r>
      <w:r>
        <w:rPr>
          <w:rFonts w:hint="eastAsia" w:ascii="仿宋_GB2312" w:hAnsi="仿宋_GB2312" w:eastAsia="仿宋_GB2312" w:cs="仿宋_GB2312"/>
          <w:sz w:val="32"/>
          <w:szCs w:val="32"/>
          <w:lang w:val="en-US" w:eastAsia="zh-CN"/>
        </w:rPr>
        <w:t>975</w:t>
      </w:r>
      <w:r>
        <w:rPr>
          <w:rFonts w:hint="eastAsia" w:ascii="仿宋_GB2312" w:hAnsi="仿宋_GB2312" w:eastAsia="仿宋_GB2312" w:cs="仿宋_GB2312"/>
          <w:sz w:val="32"/>
          <w:szCs w:val="32"/>
        </w:rPr>
        <w:t>场</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电影放映</w:t>
      </w:r>
      <w:r>
        <w:rPr>
          <w:rFonts w:hint="eastAsia" w:ascii="仿宋_GB2312" w:hAnsi="仿宋_GB2312" w:eastAsia="仿宋_GB2312" w:cs="仿宋_GB2312"/>
          <w:sz w:val="32"/>
          <w:szCs w:val="32"/>
          <w:lang w:eastAsia="zh-CN"/>
        </w:rPr>
        <w:t>任务</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合理利用文化遗产资源，促进传承发展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探索文旅融合模式，逐步建立科学有效的文化遗产传承机制，高度重视文物保护工作，加强重大文物抢险工作力度，确保重点不可移动文物脱离濒危状况，使县级以上文物保护单位的有效保护率达到90%以上，使非物质文化遗产传承有序。</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巩固基层文化工作队伍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文化系统业务人员的培训教育工作，努力提高馆、站业务人员的整体素质。加强农村乡土文化人才队伍的建设，扶持民族民间文艺队伍的发展壮大。改善基层文化工作者的工作和生活环境，稳定基层文化队伍。</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全面繁荣体育事业。组织和指导群众围绕</w:t>
      </w:r>
      <w:r>
        <w:rPr>
          <w:rFonts w:hint="eastAsia" w:ascii="仿宋_GB2312" w:hAnsi="仿宋_GB2312" w:eastAsia="仿宋_GB2312" w:cs="仿宋_GB2312"/>
          <w:sz w:val="32"/>
          <w:szCs w:val="32"/>
          <w:lang w:val="en-US" w:eastAsia="zh-CN"/>
        </w:rPr>
        <w:t>全民健身开展好形式多样的群众体育活动；</w:t>
      </w:r>
      <w:r>
        <w:rPr>
          <w:rFonts w:hint="eastAsia" w:ascii="仿宋_GB2312" w:hAnsi="仿宋_GB2312" w:eastAsia="仿宋_GB2312" w:cs="仿宋_GB2312"/>
          <w:sz w:val="32"/>
          <w:szCs w:val="32"/>
        </w:rPr>
        <w:t>加大体育基础设施建设步伐，</w:t>
      </w:r>
      <w:r>
        <w:rPr>
          <w:rFonts w:hint="eastAsia" w:ascii="仿宋_GB2312" w:hAnsi="仿宋_GB2312" w:eastAsia="仿宋_GB2312" w:cs="仿宋_GB2312"/>
          <w:sz w:val="32"/>
          <w:szCs w:val="32"/>
          <w:lang w:val="en-US" w:eastAsia="zh-CN"/>
        </w:rPr>
        <w:t>积极向上争取健身基础设施工程；</w:t>
      </w:r>
      <w:r>
        <w:rPr>
          <w:rFonts w:hint="eastAsia" w:ascii="仿宋_GB2312" w:hAnsi="仿宋_GB2312" w:eastAsia="仿宋_GB2312" w:cs="仿宋_GB2312"/>
          <w:sz w:val="32"/>
          <w:szCs w:val="32"/>
          <w:lang w:eastAsia="zh-CN"/>
        </w:rPr>
        <w:t>继续建设未完成的</w:t>
      </w:r>
      <w:r>
        <w:rPr>
          <w:rFonts w:hint="eastAsia" w:ascii="仿宋_GB2312" w:hAnsi="仿宋_GB2312" w:eastAsia="仿宋_GB2312" w:cs="仿宋_GB2312"/>
          <w:sz w:val="32"/>
          <w:szCs w:val="32"/>
          <w:lang w:val="en-US" w:eastAsia="zh-CN"/>
        </w:rPr>
        <w:t>农民体育健身工程；</w:t>
      </w:r>
      <w:r>
        <w:rPr>
          <w:rFonts w:hint="eastAsia" w:ascii="仿宋_GB2312" w:hAnsi="仿宋_GB2312" w:eastAsia="仿宋_GB2312" w:cs="仿宋_GB2312"/>
          <w:sz w:val="32"/>
          <w:szCs w:val="32"/>
        </w:rPr>
        <w:t>进一步健全基层群众体育组织网络</w:t>
      </w:r>
      <w:r>
        <w:rPr>
          <w:rFonts w:hint="eastAsia" w:ascii="仿宋_GB2312" w:hAnsi="仿宋_GB2312" w:eastAsia="仿宋_GB2312" w:cs="仿宋_GB2312"/>
          <w:sz w:val="32"/>
          <w:szCs w:val="32"/>
          <w:lang w:eastAsia="zh-CN"/>
        </w:rPr>
        <w:t>；组织实施</w:t>
      </w:r>
      <w:r>
        <w:rPr>
          <w:rFonts w:hint="eastAsia" w:ascii="仿宋_GB2312" w:hAnsi="仿宋_GB2312" w:eastAsia="仿宋_GB2312" w:cs="仿宋_GB2312"/>
          <w:sz w:val="32"/>
          <w:szCs w:val="32"/>
          <w:lang w:val="en-US" w:eastAsia="zh-CN"/>
        </w:rPr>
        <w:t>2019年社会体育指导员培训；</w:t>
      </w:r>
      <w:r>
        <w:rPr>
          <w:rFonts w:hint="eastAsia" w:ascii="仿宋_GB2312" w:hAnsi="仿宋_GB2312" w:eastAsia="仿宋_GB2312" w:cs="仿宋_GB2312"/>
          <w:sz w:val="32"/>
          <w:szCs w:val="32"/>
        </w:rPr>
        <w:t>加强各类体育社会团体、健身气功站点、全民健身晨晚练点的建设和管理工作。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切实抓好在建旅游项目的服务推进工作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加大项目协调、推进工作力度，力争2019年底富民县民族文化广场（五馆）项目完成工程建设，宝石洞景区完成规划，年底前投资建设。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加大旅游项目的对外招商推介力度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积极发挥我县旅游资源和旅游优势，旅游招商推介取得好成绩。</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积极抓好向上争取政策和资金支持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大力推进我县旅游基础设施建设，提高我县旅游供给能力。</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继续做好全县旅游营销宣传。进一步拓宽宣传渠道，利用各类旅游活动方式，进行宣传营销，打造富民旅游新亮点，完成各项旅游经济指标任务。</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文化旅游市场</w:t>
      </w:r>
      <w:r>
        <w:rPr>
          <w:rFonts w:hint="eastAsia" w:ascii="仿宋_GB2312" w:hAnsi="仿宋_GB2312" w:eastAsia="仿宋_GB2312" w:cs="仿宋_GB2312"/>
          <w:sz w:val="32"/>
          <w:szCs w:val="32"/>
        </w:rPr>
        <w:t>的监管。进一步加强</w:t>
      </w:r>
      <w:r>
        <w:rPr>
          <w:rFonts w:hint="eastAsia" w:ascii="仿宋_GB2312" w:hAnsi="仿宋_GB2312" w:eastAsia="仿宋_GB2312" w:cs="仿宋_GB2312"/>
          <w:sz w:val="32"/>
          <w:szCs w:val="32"/>
          <w:lang w:eastAsia="zh-CN"/>
        </w:rPr>
        <w:t>文化旅游市场</w:t>
      </w:r>
      <w:r>
        <w:rPr>
          <w:rFonts w:hint="eastAsia" w:ascii="仿宋_GB2312" w:hAnsi="仿宋_GB2312" w:eastAsia="仿宋_GB2312" w:cs="仿宋_GB2312"/>
          <w:sz w:val="32"/>
          <w:szCs w:val="32"/>
        </w:rPr>
        <w:t>的动态管理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强化日常巡查机制，量化巡查监管频次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加强对新执法领域的业务培训和工作研究，协调推进文化、广电、新闻出版各职能领域的执法工作</w:t>
      </w:r>
      <w:r>
        <w:rPr>
          <w:rFonts w:hint="eastAsia" w:ascii="仿宋_GB2312" w:hAnsi="仿宋_GB2312" w:eastAsia="仿宋_GB2312" w:cs="仿宋_GB2312"/>
          <w:sz w:val="32"/>
          <w:szCs w:val="32"/>
          <w:lang w:eastAsia="zh-CN"/>
        </w:rPr>
        <w:t>；积极沟通协调消防、公安、卫生及市场监管局进行联合执法，</w:t>
      </w:r>
      <w:r>
        <w:rPr>
          <w:rFonts w:hint="eastAsia" w:ascii="仿宋_GB2312" w:hAnsi="仿宋_GB2312" w:eastAsia="仿宋_GB2312" w:cs="仿宋_GB2312"/>
          <w:sz w:val="32"/>
          <w:szCs w:val="32"/>
        </w:rPr>
        <w:t>整体提升综合执法队伍在各职能领域依法行政的能力和水平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积极开展旅游市场整治工作。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做好“扫黄打非”日常工作及出版物市场管理工作。充分发挥“扫黄打非”领导小组办公室的作用，积极组织专项行动，进一步发挥“扫黄打非”基层站点的作用，坚持“扫黄打非”进基层工作只能加强，不能削弱。</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（一）主要绩效。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1.一级项目和二级项目绩效目标完成情况。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基层公共文化</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举办了元旦、春节、三下乡、元宵节、苗族农民歌手音乐会、“三八节”文艺演出、“阳光下成长”富民县第三十届学生艺术节 2019“我们的节日·花儿朵朵向太阳”少儿艺术比赛活动、2019中国·富民杨梅文化节系列文艺演出、“我们的节日”端午节文艺演出、云南省杂技团文化大篷车下乡惠民演出、以“传承文化根脉 共筑民族未来”富民县2019年”文化遗产日”展演活动、“庆祝中华人民共和国成立70周年群众合唱比赛”、举办富民县2019年舞韵欢悦新时代-暨丰收节舞动富民广场舞比赛初赛及决赛、传承弘扬中华优秀统文化“我们的节日  庆丰收·迎中秋”专场文艺演出活动；组织参加市总工会“中国梦 劳动美”文艺汇演、扫黑除恶法治宣传文艺巡演活动及传统文化（戏曲）进校园分别在我县各镇街道、学校、企业举办；组织参加富民县首届农民“丰收节”民俗表演活动、云南省歌舞剧院下乡惠民演出活动等大型综合性群众文艺演出活动47场次。组织举办“富民县2019年迎新春美术书法摄影作品展”、联合县书法家协会举办富民文昌书院师生书画展览活动；举办“花儿朵朵向太阳”富民县第六届少儿美术作品展览；联合举办的“家和万事兴—家教家风主题展”、举办“庆祝新中国成立70周年原创歌曲散文诗歌征集活动及美术书法摄影作品展”等11场次作品展览。举办2019年公共数字文化工作及县级文化馆总分馆制建设及基层音响技术人员工作培训班、组织 ”中国梦”广场舞蹈培训班、暑假期间举办少儿书法、美术、素描、葫芦丝、舞蹈培训班、空中大讲堂坛、文化管理人员培训班等12场次免费培训。开展了内容丰富的“世界读书日”、“全民读书月”和图书馆服务宣传周活动，参观人数达3431人次，参与活动人数1249人次。完成900场农村电影放映任务和节假日慰问放映180场，受益群众19000人次。全年全县各公共文化服务机构组织各类文化活动共计600余场次，完成文化惠民演出47场，保障了广大群众的基本文化权益需求，积极为富民建设营造了良好的文化氛围。</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旅游基础设施建设情况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根据省、市旅游专项资金管理使用办法，积极向上级争取支持，现明确扶持7个AAA级旅游厕所建设项目，第二批、第三批旅游厕所对接协调落实当中。争取到旅游专项补助资金210万元用于建设AAA级旅游厕所7座，预计11月20日全面竣工投入使用。第二批、第三批旅游厕所待市级明确后力争2019年底完工投入使用。争取到乡村旅游发展奖补资金27万，正在申请2020年乡村旅游发展奖补资金。</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富民县旅游标示标牌建设项目完成初步规划设计，并按照提出意见进行修改，待政府审定后启动建设。《富民县旅游产业发展规划（2018-2035）》已征求相关部门意见，正在进行修改。</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2.下属单位整体支出绩效目标实现情况  </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1</w:t>
      </w:r>
      <w:r>
        <w:rPr>
          <w:rFonts w:hint="default" w:ascii="Times New Roman" w:hAnsi="Times New Roman" w:cs="Times New Roman"/>
          <w:sz w:val="32"/>
          <w:szCs w:val="32"/>
          <w:lang w:eastAsia="zh-CN"/>
        </w:rPr>
        <w:t>）</w:t>
      </w:r>
      <w:r>
        <w:rPr>
          <w:rFonts w:hint="default" w:ascii="Times New Roman" w:hAnsi="Times New Roman" w:cs="Times New Roman"/>
          <w:sz w:val="32"/>
          <w:szCs w:val="32"/>
        </w:rPr>
        <w:t>稳步推进市对县考核目标任务</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按照年人均不低于18元标准安排基层公共文化服务项目经费和县级承担50%的补助标准，以14.5554万人计算，2019年配套资金为261.99万元，县级应承担配套补助经费130.99万元。目前，2019年基层公共文化服务县级配套资金年初虽已纳入2019年财政预算，但该项资金还未到位。</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认真做好基层公共文化服务专项资金的管理、使用工作，建立规范的拨款制度，明确指导基层管理使用好资金，确保专款专用，切实发挥资金的使用效益。</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县级公共文化服务机构、各镇（街道）文化站（室）根据省、市基本公共文化服务工作标准认真开展公共文化服务工作，按照市对县80%以上的考核任务，完成率达100%。</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2</w:t>
      </w:r>
      <w:r>
        <w:rPr>
          <w:rFonts w:hint="default" w:ascii="Times New Roman" w:hAnsi="Times New Roman" w:cs="Times New Roman"/>
          <w:sz w:val="32"/>
          <w:szCs w:val="32"/>
          <w:lang w:eastAsia="zh-CN"/>
        </w:rPr>
        <w:t>）</w:t>
      </w:r>
      <w:r>
        <w:rPr>
          <w:rFonts w:hint="default" w:ascii="Times New Roman" w:hAnsi="Times New Roman" w:cs="Times New Roman"/>
          <w:sz w:val="32"/>
          <w:szCs w:val="32"/>
        </w:rPr>
        <w:t>扎实开展阵地服务工作。县图书馆和文化馆认真按照“以人为本”和公共文化服务均等化的要求，适时延长了开放时间，开展好阵地服务。县图书馆共订购报208种，收集地方文献11种28册，整理装订过期报刊518余册，馆藏纸质文献达4.6万册，电子文献达6万余册，接待到馆读者53213人次，报刊阅览人数11392人次，电子阅览室人数9821人次，外借书刊19887册次，办理借书证61本，解答咨询1213条。年内，全县各镇（街道）文化站的功能设施和服务均实现免费开放，功能设置包括图书室、电子阅览室、多功能厅、展览室、排练室、娱乐室、室外场地、文化宣传栏等，开放时间每周不低于59小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3</w:t>
      </w:r>
      <w:r>
        <w:rPr>
          <w:rFonts w:hint="default" w:ascii="Times New Roman" w:hAnsi="Times New Roman" w:cs="Times New Roman"/>
          <w:sz w:val="32"/>
          <w:szCs w:val="32"/>
          <w:lang w:eastAsia="zh-CN"/>
        </w:rPr>
        <w:t>）</w:t>
      </w:r>
      <w:r>
        <w:rPr>
          <w:rFonts w:hint="default" w:ascii="Times New Roman" w:hAnsi="Times New Roman" w:cs="Times New Roman"/>
          <w:sz w:val="32"/>
          <w:szCs w:val="32"/>
        </w:rPr>
        <w:t>繁荣丰富群众文艺活动。举办了元旦、春节、三下乡、元宵节、苗族农民歌手音乐会、“三八节”文艺演出、“阳光下成长”富民县第三十届学生艺术节 2019“我们的节日·花儿朵朵向太阳”少儿艺术比赛活动、2019中国·富民杨梅文化节系列文艺演出、“我们的节日”端午节文艺演出、云南省杂技团文化大篷车下乡惠民演出、以“传承文化根脉 共筑民族未来”富民县2019年”文化遗产日”展演活动、“庆祝中华人民共和国成立70周年群众合唱比赛”、举办富民县2019年舞韵欢悦新时代-暨丰收节舞动富民广场舞比赛初赛及决赛、传承弘扬中华优秀统文化“我们的节日  庆丰收·迎中秋”专场文艺演出活动；组织参加市总工会“中国梦 劳动美”文艺汇演、扫黑除恶法治宣传文艺巡演活动及传统文化（戏曲）进校园分别在我县各镇街道、学校、企业举办；组织参加富民县首届农民“丰收节”民俗表演活动、云南省歌舞剧院下乡惠民演出活动等大型综合性群众文艺演出活动47场次。组织举办“富民县2019年迎新春美术书法摄影作品展”、联合县书法家协会举办富民文昌书院师生书画展览活动；举办“花儿朵朵向太阳”富民县第六届少儿美术作品展览；联合举办的“家和万事兴—家教家风主题展”、举办“庆祝新中国成立70周年原创歌曲散文诗歌征集活动及美术书法摄影作品展”等11场次作品展览。举办2019年公共数字文化工作及县级文化馆总分馆制建设及基层音响技术人员工作培训班、组织 ”中国梦”广场舞蹈培训班、暑假期间举办少儿书法、美术、素描、葫芦丝、舞蹈培训班、空中大讲堂坛、文化管理人员培训班等12场次免费培训。开展了内容丰富的“世界读书日”、“全民读书月”和图书馆服务宣传周活动，参观人数达3431人次，参与活动人数1249人次。完成900场农村电影放映任务和节假日慰问放映180场，受益群众19000人次。全年全县各公共文化服务机构组织各类文化活动共计600余场次，完成文化惠民演出47场，保障了广大群众的基本文化权益需求，积极为富民建设营造了良好的文化氛围。</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4</w:t>
      </w:r>
      <w:r>
        <w:rPr>
          <w:rFonts w:hint="default" w:ascii="Times New Roman" w:hAnsi="Times New Roman" w:cs="Times New Roman"/>
          <w:sz w:val="32"/>
          <w:szCs w:val="32"/>
          <w:lang w:eastAsia="zh-CN"/>
        </w:rPr>
        <w:t>）</w:t>
      </w:r>
      <w:r>
        <w:rPr>
          <w:rFonts w:hint="default" w:ascii="Times New Roman" w:hAnsi="Times New Roman" w:cs="Times New Roman"/>
          <w:sz w:val="32"/>
          <w:szCs w:val="32"/>
        </w:rPr>
        <w:t>文艺精品扶持工程硕果累累。积极参加省、市安排的“春城文化节”活动、昆明市“我们的节日·花儿朵朵向太阳”少儿艺术比赛，节目《秀》荣获“十佳节目”奖及优秀组织奖；组织12件美术作品参加“昆明市庆祝改革开放40周年暨迎接2019年元旦美术、书法、摄影优秀作品展”、组织20件美术作品、1件书法作品参加县纪委选送昆明市纪委书法美术作品展览、组织水彩画作品7件参加广西北海市文化馆和昆明市文化馆联合举办的“丝路北海·魅力春城”水彩画展览活动、组织美术作品5件参加云南省“劳动美”云南省职工美术书法摄影作品展览；参加昆明市“我和我的祖国”红色经典诵读比赛，节目《中国报告》荣获二等奖和优秀组织奖、参加昆明市总工会“中国梦 劳动美”文艺汇演荣获三等奖。</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5</w:t>
      </w:r>
      <w:r>
        <w:rPr>
          <w:rFonts w:hint="default" w:ascii="Times New Roman" w:hAnsi="Times New Roman" w:cs="Times New Roman"/>
          <w:sz w:val="32"/>
          <w:szCs w:val="32"/>
          <w:lang w:eastAsia="zh-CN"/>
        </w:rPr>
        <w:t>）</w:t>
      </w:r>
      <w:r>
        <w:rPr>
          <w:rFonts w:hint="default" w:ascii="Times New Roman" w:hAnsi="Times New Roman" w:cs="Times New Roman"/>
          <w:sz w:val="32"/>
          <w:szCs w:val="32"/>
        </w:rPr>
        <w:t>文化资源保护与开发工作卓有成效。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一是非物质文化遗产保护亮点频现。2019年为加强非物质文化遗产保护工作，年内完成两次非遗进校园展览活动、全国非物质文化遗产日非遗演出及宣传展示活动、完成苗族叙事长诗《红昭和饶觉席那》书籍3次改稿及档案建设工作、完善申报市级非遗保护名录相关资料工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二是根据国家《文物保护法》的有关规定，于2019年2月份公布为第八批省级文物保护单位，筹集资金100万对富民文庙大殿、左右厢房进行布展，作为富民县博物馆基本陈列展览室，宣传儒家文化；为切实做好2019年我县文物保护单位的保护利用工作，按照我县文物事业利用计划和“保护为主、抢救第一、合理利用、加强管理”的文物工作方针，昆明市财政局、昆明市文化和旅游局下拨了“2019年市级文物保护单位消防补助经费52630元，2019年文物巡查补助经费22440元”共计75070元用于文物工作；上报了滇川驿道三村段、束刻上村万寿庵、三村清真寺为昆明市第七批市级文物保护单位，待昆明市人民政府公布；在各大节日前后、每个月都安排专人对我县辖区内的44项文物保护单位进行了安防抽查和整治，每季度还联合消防队人员进行联合检查。通过巡查，对各级文物保护单位的生产生活用电、易燃易爆物品堆放储存、电器线路安装铺设、用电设备使用、吸烟燃香烧纸、燃放烟花炮竹、乱刻乱画等安全隐患进行细致排查。对发现问题的文物保护单位，都现场进行了整改，分别在富民文庙后殿、李资树魁阁、款庄白龙寺内建设消防水池，无条件建设消防水池并按要求放置储水缸；文物知识走进行知中学进行“5▪18国际博物馆日”宣传活动，发放资料5000份。</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3.以部门为主体开展的重点项目绩效评价情况。富民县民族文化广场（五馆）项目目前已完成主体建设，完成90%主体砖砌建设，正在开展外立面钢网架及玻璃幕墙建设前期准备工作，同期开展内部装修方案设计和建设估算，外环境设计及估算相关工作，预计2020年底竣工投入使用。滇北驿文创旅游小镇项目B区于3月开工建设，预计今年可完成4000万投资，C期正在开展建设前期准备工作，预计2020年初可开工建设。散旦户外（潜水）探险运动文旅小镇完成洞穴、地址勘探和策划包装方案，今年预计可投入前期工作资金300万元，预计明年可开工建设。</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（二）评价结果。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2019年富民县文化和旅游局整体支出绩效自评分为92分，评价等级为优秀。</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1.部门决策</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（1）部门目标设定</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年度工作目标的设定明确、合理，年度工作目标与部门中长期规划目标一致；绩效目标设定合理，符合部门部门制定的中长期实施规划计，符合部门“三定”方案确定的职责，与部门年度工作目标、任务相一致；绩效指标设定明确，将部门整体的绩效目标细化分解为具体的工作任务，通过清晰、可衡量的指标值予以体现，与部门年度的任务数或计划数相对应，与本年度部门预算资金相匹配。</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（2）部门职能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部门职能明确、设定依据充分，部门年度具体工作与部门职能对应匹配，有职责文件制度规定部门各科室及下属单位具体职责。</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2.部门管理</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（1）预算管理：预算执行率为108%，预算执行完成度高，项目支出预算执行率低，三公经费控制率22.46%，控制行政成本程度良好。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财务管理：财务管理制度健全，有明确的预算资金管理办法、内部财务管理制度、会计核算制度等管理制度，相关管理制度是否合法、合规、完整，并且得到有效执行；资金使用合规合法，符合国家财经法规和财务管理制度规定以及有关专项资金管理办法的规定，资金的拨付有完整的审批程序和手续，符合部门预算批复的用途，不存在截留、挤占、挪用、虚列支出等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（3）资产管理：为加强资产管理、规范资产，具有固定资产管理办法、资产使用办法等管理制度，管理制度是否合法、合规、完整，并严格按照制度执行；固定资产在用率较高。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（4）业务管理：为加强业务管理、规范业务执行而制定的管理制度,健全完整,相关管理制度合法、合规、完整;政府采购方式、程序规范。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3.部门绩效</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（1）部门产出：工作实际完成率高，部门履职工作任务和目标实现良好，完成及时，质量达标，重点工作办结率高，对重点工作落实程度高。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（2）部门效果：在履职期间，取得较好的经济效益和社会效益，旅游厕所建设带来良好的生态效益，并取得较高的社会公众或服务对象满意度。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主要经验做法</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（一）加强领导，项目绩效显著。</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（二）厉行节约，严控行政成本。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（三）细化任务，推进各项改革。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（四）开门评议，加强行风建设。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年度部门预算和预算执行有一定差距。除了人员增资的情况外，另外文体局每年还会有年中年末拨付的专项资金和中央转移支付资金，这些资金在申报预算时无法预估，因此造成我局年中及年末决算有大量的预算调整数，预决算数字差异大。</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预算管理制度更不能适应预算管理改革实践需要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文</w:t>
      </w:r>
      <w:r>
        <w:rPr>
          <w:rFonts w:hint="eastAsia" w:ascii="仿宋_GB2312" w:hAnsi="仿宋_GB2312" w:eastAsia="仿宋_GB2312" w:cs="仿宋_GB2312"/>
          <w:color w:val="auto"/>
          <w:sz w:val="32"/>
          <w:szCs w:val="32"/>
          <w:lang w:val="en-US" w:eastAsia="zh-CN"/>
        </w:rPr>
        <w:t>旅</w:t>
      </w:r>
      <w:r>
        <w:rPr>
          <w:rFonts w:hint="eastAsia" w:ascii="仿宋_GB2312" w:hAnsi="仿宋_GB2312" w:eastAsia="仿宋_GB2312" w:cs="仿宋_GB2312"/>
          <w:color w:val="auto"/>
          <w:sz w:val="32"/>
          <w:szCs w:val="32"/>
        </w:rPr>
        <w:t>局严格按照县财政局要求，大胆创新、勇于探索，开展了预算管理、绩效管理等一系列改革，并取得了显著的实践成果，但制度更新滞后于实践发展，需进一步修改完善，内控管理体系需进一步完善。</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改进措施及建议</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进一步加强预算管理,更加细化项目的实施方案，明确资金使用标准和依据，尽快完善项目资金管理及绩效评价规章制度。同时，进一步健全完善内控管理制度，让理论为实践保驾护航。</w:t>
      </w: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ind w:firstLine="4480" w:firstLineChars="1400"/>
        <w:jc w:val="both"/>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t>富民县文化和旅游局</w:t>
      </w:r>
    </w:p>
    <w:p>
      <w:pPr>
        <w:widowControl w:val="0"/>
        <w:numPr>
          <w:ilvl w:val="0"/>
          <w:numId w:val="0"/>
        </w:numPr>
        <w:topLinePunct/>
        <w:ind w:firstLine="4800" w:firstLineChars="1500"/>
        <w:jc w:val="both"/>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2020年4月28日</w:t>
      </w: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widowControl w:val="0"/>
        <w:numPr>
          <w:ilvl w:val="0"/>
          <w:numId w:val="0"/>
        </w:numPr>
        <w:topLinePunct/>
        <w:jc w:val="both"/>
        <w:rPr>
          <w:rFonts w:hint="default" w:ascii="Times New Roman" w:hAnsi="Times New Roman" w:eastAsia="黑体" w:cs="Times New Roman"/>
          <w:szCs w:val="32"/>
        </w:rPr>
      </w:pPr>
    </w:p>
    <w:p>
      <w:pPr>
        <w:spacing w:line="600" w:lineRule="exact"/>
        <w:rPr>
          <w:rFonts w:hint="default" w:ascii="Times New Roman" w:hAnsi="Times New Roman" w:cs="Times New Roman"/>
          <w:sz w:val="21"/>
          <w:szCs w:val="21"/>
        </w:rPr>
      </w:pPr>
      <w:bookmarkStart w:id="0" w:name="_GoBack"/>
      <w:bookmarkEnd w:id="0"/>
      <w:r>
        <w:rPr>
          <w:rFonts w:hint="default" w:ascii="Times New Roman" w:hAnsi="Times New Roman" w:cs="Times New Roman"/>
          <w:sz w:val="21"/>
          <w:szCs w:val="21"/>
        </w:rPr>
        <w:t>附表：</w:t>
      </w:r>
    </w:p>
    <w:tbl>
      <w:tblPr>
        <w:tblStyle w:val="4"/>
        <w:tblW w:w="9174" w:type="dxa"/>
        <w:jc w:val="center"/>
        <w:tblInd w:w="0" w:type="dxa"/>
        <w:tblLayout w:type="fixed"/>
        <w:tblCellMar>
          <w:top w:w="0" w:type="dxa"/>
          <w:left w:w="28" w:type="dxa"/>
          <w:bottom w:w="0" w:type="dxa"/>
          <w:right w:w="28" w:type="dxa"/>
        </w:tblCellMar>
      </w:tblPr>
      <w:tblGrid>
        <w:gridCol w:w="479"/>
        <w:gridCol w:w="638"/>
        <w:gridCol w:w="1173"/>
        <w:gridCol w:w="569"/>
        <w:gridCol w:w="1842"/>
        <w:gridCol w:w="2977"/>
        <w:gridCol w:w="1496"/>
      </w:tblGrid>
      <w:tr>
        <w:tblPrEx>
          <w:tblLayout w:type="fixed"/>
          <w:tblCellMar>
            <w:top w:w="0" w:type="dxa"/>
            <w:left w:w="28" w:type="dxa"/>
            <w:bottom w:w="0" w:type="dxa"/>
            <w:right w:w="28" w:type="dxa"/>
          </w:tblCellMar>
        </w:tblPrEx>
        <w:trPr>
          <w:tblHeader/>
          <w:jc w:val="center"/>
        </w:trPr>
        <w:tc>
          <w:tcPr>
            <w:tcW w:w="9174" w:type="dxa"/>
            <w:gridSpan w:val="7"/>
            <w:tcBorders>
              <w:bottom w:val="single" w:color="auto" w:sz="4" w:space="0"/>
            </w:tcBorders>
            <w:tcMar>
              <w:top w:w="10" w:type="dxa"/>
              <w:left w:w="10" w:type="dxa"/>
              <w:bottom w:w="0" w:type="dxa"/>
              <w:right w:w="10" w:type="dxa"/>
            </w:tcMar>
            <w:vAlign w:val="center"/>
          </w:tcPr>
          <w:p>
            <w:pPr>
              <w:spacing w:afterLines="50"/>
              <w:jc w:val="cente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2019年部门整体支出绩效自评指标评分表</w:t>
            </w:r>
          </w:p>
          <w:p>
            <w:pPr>
              <w:spacing w:afterLines="50"/>
              <w:jc w:val="center"/>
              <w:rPr>
                <w:rFonts w:hint="default" w:ascii="Times New Roman" w:hAnsi="Times New Roman" w:eastAsia="黑体" w:cs="Times New Roman"/>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一级</w:t>
            </w:r>
            <w:r>
              <w:rPr>
                <w:rFonts w:hint="default" w:ascii="Times New Roman" w:hAnsi="Times New Roman" w:cs="Times New Roman"/>
                <w:bCs/>
                <w:sz w:val="21"/>
                <w:szCs w:val="21"/>
              </w:rPr>
              <w:br w:type="textWrapping"/>
            </w:r>
            <w:r>
              <w:rPr>
                <w:rFonts w:hint="default" w:ascii="Times New Roman" w:hAnsi="Times New Roman" w:cs="Times New Roman"/>
                <w:bCs/>
                <w:sz w:val="21"/>
                <w:szCs w:val="21"/>
              </w:rPr>
              <w:t>指标</w:t>
            </w:r>
          </w:p>
        </w:tc>
        <w:tc>
          <w:tcPr>
            <w:tcW w:w="63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二级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三级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得分</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指标解释</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指标评分细则</w:t>
            </w:r>
          </w:p>
        </w:tc>
        <w:tc>
          <w:tcPr>
            <w:tcW w:w="1496"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数据来源</w:t>
            </w:r>
          </w:p>
        </w:tc>
      </w:tr>
      <w:tr>
        <w:tblPrEx>
          <w:tblLayout w:type="fixed"/>
          <w:tblCellMar>
            <w:top w:w="0" w:type="dxa"/>
            <w:left w:w="28" w:type="dxa"/>
            <w:bottom w:w="0" w:type="dxa"/>
            <w:right w:w="28" w:type="dxa"/>
          </w:tblCellMar>
        </w:tblPrEx>
        <w:trPr>
          <w:trHeight w:val="557" w:hRule="atLeast"/>
          <w:jc w:val="center"/>
        </w:trPr>
        <w:tc>
          <w:tcPr>
            <w:tcW w:w="479" w:type="dxa"/>
            <w:vMerge w:val="restart"/>
            <w:tcBorders>
              <w:top w:val="nil"/>
              <w:left w:val="single" w:color="auto" w:sz="4" w:space="0"/>
              <w:right w:val="single" w:color="auto" w:sz="4" w:space="0"/>
            </w:tcBorders>
            <w:tcMar>
              <w:top w:w="10" w:type="dxa"/>
              <w:left w:w="10" w:type="dxa"/>
              <w:bottom w:w="0" w:type="dxa"/>
              <w:right w:w="10" w:type="dxa"/>
            </w:tcMar>
            <w:textDirection w:val="tbRlV"/>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一、部门决策（35分）</w:t>
            </w:r>
          </w:p>
        </w:tc>
        <w:tc>
          <w:tcPr>
            <w:tcW w:w="638" w:type="dxa"/>
            <w:vMerge w:val="restart"/>
            <w:tcBorders>
              <w:top w:val="nil"/>
              <w:left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1.部门目标（20分）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1.年度工作目标的明确性与合理性（6分）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部门年度工作目标的设定是否明确合理</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snapToGrid w:val="0"/>
              <w:rPr>
                <w:rFonts w:hint="default" w:ascii="Times New Roman" w:hAnsi="Times New Roman" w:cs="Times New Roman"/>
                <w:sz w:val="15"/>
                <w:szCs w:val="15"/>
              </w:rPr>
            </w:pPr>
            <w:r>
              <w:rPr>
                <w:rFonts w:hint="default" w:ascii="Times New Roman" w:hAnsi="Times New Roman" w:cs="Times New Roman"/>
                <w:sz w:val="15"/>
                <w:szCs w:val="15"/>
              </w:rPr>
              <w:t>①部门年度工作目标是否明确设定，得3分；②年度工作目标与部门中长期规划目标一致，得3分。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年度工作目标与部门中长期规划文件</w:t>
            </w:r>
          </w:p>
        </w:tc>
      </w:tr>
      <w:tr>
        <w:tblPrEx>
          <w:tblLayout w:type="fixed"/>
          <w:tblCellMar>
            <w:top w:w="0" w:type="dxa"/>
            <w:left w:w="28" w:type="dxa"/>
            <w:bottom w:w="0" w:type="dxa"/>
            <w:right w:w="28" w:type="dxa"/>
          </w:tblCellMar>
        </w:tblPrEx>
        <w:trPr>
          <w:trHeight w:val="792"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rPr>
                <w:rFonts w:hint="default" w:ascii="Times New Roman" w:hAnsi="Times New Roman" w:cs="Times New Roman"/>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2.绩效目标合理性（6分）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用以反映和考核部门整体绩效目标与部门职能、年度工作目标的一致性。</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①符合部门制定的中长期实施规划计2分；②符合部门“三定”方案确定的职责计2分；③与部门年度工作目标、任务相一致计2分。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部门中长期规划、部门“三定”方案、年度重点工作任务与工作计划</w:t>
            </w:r>
          </w:p>
        </w:tc>
      </w:tr>
      <w:tr>
        <w:tblPrEx>
          <w:tblLayout w:type="fixed"/>
          <w:tblCellMar>
            <w:top w:w="0" w:type="dxa"/>
            <w:left w:w="28" w:type="dxa"/>
            <w:bottom w:w="0" w:type="dxa"/>
            <w:right w:w="28" w:type="dxa"/>
          </w:tblCellMar>
        </w:tblPrEx>
        <w:trPr>
          <w:trHeight w:val="1706"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3.绩效指标明确性（8分）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8</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整体绩效目标所设定的绩效指标是否依据部门工作目标和工作任务进行细化、量化，绩效指标是否可衡量。</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①将部门整体的绩效目标细化分解为具体的工作任务计2分；②通过清晰、可衡量的指标值予以体现计2分。③与部门年度的任务数或计划数相对应计2分；④与本年度部门预算资金相匹配计2分。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部门年度重点工作任务与工作计划。</w:t>
            </w:r>
          </w:p>
        </w:tc>
      </w:tr>
      <w:tr>
        <w:tblPrEx>
          <w:tblLayout w:type="fixed"/>
          <w:tblCellMar>
            <w:top w:w="0" w:type="dxa"/>
            <w:left w:w="28" w:type="dxa"/>
            <w:bottom w:w="0" w:type="dxa"/>
            <w:right w:w="28" w:type="dxa"/>
          </w:tblCellMar>
        </w:tblPrEx>
        <w:trPr>
          <w:trHeight w:val="690"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2.部门职能（15分）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1.部门职能的明确性与科学性（5分）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考察部门职能界定是否明确、科学，是否有相关文件。</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①职能明确、设定依据充分，得5分；②有“三定”文件，但职能描述不明确，得1分;③没有职能设定的文件依据且职能不清，得1分</w:t>
            </w:r>
          </w:p>
        </w:tc>
        <w:tc>
          <w:tcPr>
            <w:tcW w:w="1496" w:type="dxa"/>
            <w:tcBorders>
              <w:top w:val="nil"/>
              <w:left w:val="nil"/>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部门职能描述、“三定”文件</w:t>
            </w:r>
          </w:p>
        </w:tc>
      </w:tr>
      <w:tr>
        <w:tblPrEx>
          <w:tblLayout w:type="fixed"/>
          <w:tblCellMar>
            <w:top w:w="0" w:type="dxa"/>
            <w:left w:w="28" w:type="dxa"/>
            <w:bottom w:w="0" w:type="dxa"/>
            <w:right w:w="28" w:type="dxa"/>
          </w:tblCellMar>
        </w:tblPrEx>
        <w:trPr>
          <w:trHeight w:val="686" w:hRule="atLeast"/>
          <w:jc w:val="center"/>
        </w:trPr>
        <w:tc>
          <w:tcPr>
            <w:tcW w:w="479"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rPr>
                <w:rFonts w:hint="default" w:ascii="Times New Roman" w:hAnsi="Times New Roman" w:cs="Times New Roman"/>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2.年度具体工作与部门职能的匹配性（5分）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部门年度各类具体工作是否与部门职能相匹配。</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将部门年度具体工作与部门职能对应匹配，视匹配情况酌情得0-5分。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部门年度各项具体工作，部门职能</w:t>
            </w:r>
          </w:p>
        </w:tc>
      </w:tr>
      <w:tr>
        <w:tblPrEx>
          <w:tblLayout w:type="fixed"/>
          <w:tblCellMar>
            <w:top w:w="0" w:type="dxa"/>
            <w:left w:w="28" w:type="dxa"/>
            <w:bottom w:w="0" w:type="dxa"/>
            <w:right w:w="28" w:type="dxa"/>
          </w:tblCellMar>
        </w:tblPrEx>
        <w:trPr>
          <w:trHeight w:val="554" w:hRule="atLeast"/>
          <w:jc w:val="center"/>
        </w:trPr>
        <w:tc>
          <w:tcPr>
            <w:tcW w:w="479" w:type="dxa"/>
            <w:vMerge w:val="continue"/>
            <w:tcBorders>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pPr>
              <w:ind w:left="113"/>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3.部门内设科室及下属单位职责的明确性（5分）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部门内设科室及下属单位具体职责是否明确</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①有职责文件制度规定部门各科室及下属单位具体职责，得3分；②具体职责明确，得2分</w:t>
            </w:r>
          </w:p>
        </w:tc>
        <w:tc>
          <w:tcPr>
            <w:tcW w:w="1496" w:type="dxa"/>
            <w:tcBorders>
              <w:top w:val="nil"/>
              <w:left w:val="nil"/>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内设科室及下属单位职责文件</w:t>
            </w:r>
          </w:p>
        </w:tc>
      </w:tr>
      <w:tr>
        <w:tblPrEx>
          <w:tblLayout w:type="fixed"/>
          <w:tblCellMar>
            <w:top w:w="0" w:type="dxa"/>
            <w:left w:w="28" w:type="dxa"/>
            <w:bottom w:w="0" w:type="dxa"/>
            <w:right w:w="28" w:type="dxa"/>
          </w:tblCellMar>
        </w:tblPrEx>
        <w:trPr>
          <w:trHeight w:val="804"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二、部门管理（20分）</w:t>
            </w: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1.预算管理（5分）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1.基本支出预算执行率（2分）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部门基本支出本年度决算数与预算数的比率，用以反映和考核部门（单位）基本支出预算执行程度。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预算执行率=部门基本支出决算/部门基本支出预算×100%。预算执行率≥95%得满分，未达到的按权重进行扣分。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基本支出预算批复，预算调整批复、预算编制等其他资料</w:t>
            </w:r>
          </w:p>
        </w:tc>
      </w:tr>
      <w:tr>
        <w:tblPrEx>
          <w:tblLayout w:type="fixed"/>
          <w:tblCellMar>
            <w:top w:w="0" w:type="dxa"/>
            <w:left w:w="28" w:type="dxa"/>
            <w:bottom w:w="0" w:type="dxa"/>
            <w:right w:w="28" w:type="dxa"/>
          </w:tblCellMar>
        </w:tblPrEx>
        <w:trPr>
          <w:trHeight w:val="816"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color w:val="0070C0"/>
                <w:sz w:val="18"/>
                <w:szCs w:val="18"/>
              </w:rPr>
            </w:pPr>
          </w:p>
        </w:tc>
        <w:tc>
          <w:tcPr>
            <w:tcW w:w="1173" w:type="dxa"/>
            <w:tcBorders>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2.项目支出预算执行率（2分）分）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0</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部门项目支出本年度决算数与预算数的比率，用以反映和考核部门项目支出预算执行程度。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预算执行率=部门项目支出决算/部门项目支出预算×100%。预算完成率≥95%得满分，未到按权重进行扣分。</w:t>
            </w:r>
          </w:p>
        </w:tc>
        <w:tc>
          <w:tcPr>
            <w:tcW w:w="1496" w:type="dxa"/>
            <w:tcBorders>
              <w:top w:val="nil"/>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项目支出预算批复，预算调整批复、预算编制等其他资料</w:t>
            </w:r>
          </w:p>
        </w:tc>
      </w:tr>
      <w:tr>
        <w:tblPrEx>
          <w:tblLayout w:type="fixed"/>
          <w:tblCellMar>
            <w:top w:w="0" w:type="dxa"/>
            <w:left w:w="28" w:type="dxa"/>
            <w:bottom w:w="0" w:type="dxa"/>
            <w:right w:w="28" w:type="dxa"/>
          </w:tblCellMar>
        </w:tblPrEx>
        <w:trPr>
          <w:trHeight w:val="1075" w:hRule="atLeast"/>
          <w:jc w:val="center"/>
        </w:trPr>
        <w:tc>
          <w:tcPr>
            <w:tcW w:w="479"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pPr>
              <w:jc w:val="center"/>
              <w:rPr>
                <w:rFonts w:hint="default" w:ascii="Times New Roman" w:hAnsi="Times New Roman" w:cs="Times New Roman"/>
                <w:sz w:val="18"/>
                <w:szCs w:val="18"/>
              </w:rPr>
            </w:pPr>
          </w:p>
        </w:tc>
        <w:tc>
          <w:tcPr>
            <w:tcW w:w="638"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color w:val="0070C0"/>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3.“三公经费”控制率（1分）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1</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部门本年度“三公”经费预算数与上年度“三公”经费预算数的变动比率，用以反映和考核部门（单位）对控制行政成本的努力程度。</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三公经费使用情况</w:t>
            </w:r>
          </w:p>
        </w:tc>
      </w:tr>
      <w:tr>
        <w:tblPrEx>
          <w:tblLayout w:type="fixed"/>
          <w:tblCellMar>
            <w:top w:w="0" w:type="dxa"/>
            <w:left w:w="28" w:type="dxa"/>
            <w:bottom w:w="0" w:type="dxa"/>
            <w:right w:w="28" w:type="dxa"/>
          </w:tblCellMar>
        </w:tblPrEx>
        <w:trPr>
          <w:trHeight w:val="2105"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二、部门管理（20分）</w:t>
            </w: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2.财务管理（5分）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1.财务管理制度健全性及执行情况（2分）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部门为加强预算管理、规范财务行为而制定的财务管理制度是否健全完整。用以反映和考核部门预算管理制度对完成主要职责或促进事业发展的保障情况。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①是否已制定预算资金管理办法、内部财务管理制度、会计核算制度等管理制度；②相关管理制度是否合法、合规、完整；③相关管理制度是否得到有效执行。</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财务管理相关制度及执行情况调研。</w:t>
            </w:r>
          </w:p>
        </w:tc>
      </w:tr>
      <w:tr>
        <w:tblPrEx>
          <w:tblLayout w:type="fixed"/>
          <w:tblCellMar>
            <w:top w:w="0" w:type="dxa"/>
            <w:left w:w="28" w:type="dxa"/>
            <w:bottom w:w="0" w:type="dxa"/>
            <w:right w:w="28" w:type="dxa"/>
          </w:tblCellMar>
        </w:tblPrEx>
        <w:trPr>
          <w:trHeight w:val="2545" w:hRule="atLeast"/>
          <w:jc w:val="center"/>
        </w:trPr>
        <w:tc>
          <w:tcPr>
            <w:tcW w:w="479" w:type="dxa"/>
            <w:vMerge w:val="continue"/>
            <w:tcBorders>
              <w:left w:val="single" w:color="auto" w:sz="4" w:space="0"/>
              <w:right w:val="single" w:color="auto" w:sz="4" w:space="0"/>
            </w:tcBorders>
            <w:vAlign w:val="center"/>
          </w:tcPr>
          <w:p>
            <w:pPr>
              <w:ind w:left="113" w:right="113"/>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2.资金使用合规性（3分）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部门使用预算资金是否符合相关财务管理制度的规定，用以反映和考核部门预算资金的规范运行情况。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①符合国家财经法规和财务管理制度规定以及有关专项资金管理办法的规定,0.5分；②资金的拨付有完整的审批程序和手续，0.5分；③项目的重大开支经过专题论证，1分；④符合部门预算批复的用途，1分；⑤是否存在截留、挤占、挪用、虚列支出等情况，一旦存在该指标不得分。</w:t>
            </w:r>
          </w:p>
        </w:tc>
        <w:tc>
          <w:tcPr>
            <w:tcW w:w="1496" w:type="dxa"/>
            <w:tcBorders>
              <w:top w:val="single" w:color="auto" w:sz="4" w:space="0"/>
              <w:left w:val="nil"/>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资金支出相关凭证、流程梳理等</w:t>
            </w:r>
          </w:p>
        </w:tc>
      </w:tr>
      <w:tr>
        <w:tblPrEx>
          <w:tblLayout w:type="fixed"/>
          <w:tblCellMar>
            <w:top w:w="0" w:type="dxa"/>
            <w:left w:w="28" w:type="dxa"/>
            <w:bottom w:w="0" w:type="dxa"/>
            <w:right w:w="28" w:type="dxa"/>
          </w:tblCellMar>
        </w:tblPrEx>
        <w:trPr>
          <w:trHeight w:val="2244" w:hRule="atLeast"/>
          <w:jc w:val="center"/>
        </w:trPr>
        <w:tc>
          <w:tcPr>
            <w:tcW w:w="479" w:type="dxa"/>
            <w:vMerge w:val="continue"/>
            <w:tcBorders>
              <w:left w:val="single" w:color="auto" w:sz="4" w:space="0"/>
              <w:right w:val="single" w:color="auto" w:sz="4" w:space="0"/>
            </w:tcBorders>
            <w:textDirection w:val="tbRlV"/>
            <w:vAlign w:val="center"/>
          </w:tcPr>
          <w:p>
            <w:pPr>
              <w:ind w:left="113" w:right="113"/>
              <w:jc w:val="cente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3.资产管理（5分）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1.资产管理制度健全性及执行情况（3分）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3</w:t>
            </w:r>
          </w:p>
        </w:tc>
        <w:tc>
          <w:tcPr>
            <w:tcW w:w="1842"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部门为加强资产管理、规范资产使用而制定的资产管理制度是否健全完整，用以反映和考核部门资产管理制度对完成主要职责或促进事业发展的保障情况。</w:t>
            </w:r>
          </w:p>
        </w:tc>
        <w:tc>
          <w:tcPr>
            <w:tcW w:w="2977"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①是否已制定或具有固定资产管理办法、资产使用办法等管理制度，得1分；②相关管理制度是否合法、合规、完整，得1分；③相关管理制度是否得到有效执行，得1分。</w:t>
            </w:r>
          </w:p>
        </w:tc>
        <w:tc>
          <w:tcPr>
            <w:tcW w:w="1496" w:type="dxa"/>
            <w:tcBorders>
              <w:top w:val="single" w:color="auto" w:sz="4" w:space="0"/>
              <w:left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资产管理相关办法</w:t>
            </w:r>
          </w:p>
        </w:tc>
      </w:tr>
      <w:tr>
        <w:tblPrEx>
          <w:tblLayout w:type="fixed"/>
          <w:tblCellMar>
            <w:top w:w="0" w:type="dxa"/>
            <w:left w:w="28" w:type="dxa"/>
            <w:bottom w:w="0" w:type="dxa"/>
            <w:right w:w="28" w:type="dxa"/>
          </w:tblCellMar>
        </w:tblPrEx>
        <w:trPr>
          <w:trHeight w:val="1536"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2.固定资产在用率（2分）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1</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部门实际在用固定资产总额与所有固定资产总额的比率，用以反映和考核部门固定资产使用效率及程度。</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固定资产在用率=（实际在用固定资产总额/所有固定资产总额）×100%。固定资产在用率达到95%以上得满分.每降低1%扣0.5分，扣完为止。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固定资产卡片、固定资产使用信息等</w:t>
            </w:r>
          </w:p>
        </w:tc>
      </w:tr>
      <w:tr>
        <w:tblPrEx>
          <w:tblLayout w:type="fixed"/>
          <w:tblCellMar>
            <w:top w:w="0" w:type="dxa"/>
            <w:left w:w="28" w:type="dxa"/>
            <w:bottom w:w="0" w:type="dxa"/>
            <w:right w:w="28" w:type="dxa"/>
          </w:tblCellMar>
        </w:tblPrEx>
        <w:trPr>
          <w:trHeight w:val="2081"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restart"/>
            <w:tcBorders>
              <w:left w:val="single" w:color="auto" w:sz="4" w:space="0"/>
              <w:right w:val="single" w:color="auto" w:sz="4" w:space="0"/>
            </w:tcBorders>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4.业务管理（5分）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1.业务管理制度健全性及执行情况（3分）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部门为加强业务管理、规范业务执行而制定的管理制度是否健全完整，用以反映和考核部门业务管理制度对完成主要职责或促进事业发展的保障情况。</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①已制定或具有业务管理、项目管理等管理制度，得1分；②相关管理制度合法、合规、完整，得1分；③相关管理制度得到有效执行，得1分。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业务管理相关办法及执行情况资料</w:t>
            </w:r>
          </w:p>
        </w:tc>
      </w:tr>
      <w:tr>
        <w:tblPrEx>
          <w:tblLayout w:type="fixed"/>
          <w:tblCellMar>
            <w:top w:w="0" w:type="dxa"/>
            <w:left w:w="28" w:type="dxa"/>
            <w:bottom w:w="0" w:type="dxa"/>
            <w:right w:w="28" w:type="dxa"/>
          </w:tblCellMar>
        </w:tblPrEx>
        <w:trPr>
          <w:trHeight w:val="1188" w:hRule="atLeast"/>
          <w:jc w:val="center"/>
        </w:trPr>
        <w:tc>
          <w:tcPr>
            <w:tcW w:w="47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2.政府采购规范性（2分）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tabs>
                <w:tab w:val="left" w:pos="2604"/>
              </w:tabs>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考察政府采购项目的采购程序、采购方式的规范性</w:t>
            </w:r>
          </w:p>
        </w:tc>
        <w:tc>
          <w:tcPr>
            <w:tcW w:w="2977"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①政府采购方式、程序都规范，得满分；②采购方式、程序中每有一点不规范，扣0.5分，扣完为止。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政府采购相关资料</w:t>
            </w:r>
          </w:p>
        </w:tc>
      </w:tr>
      <w:tr>
        <w:tblPrEx>
          <w:tblLayout w:type="fixed"/>
          <w:tblCellMar>
            <w:top w:w="0" w:type="dxa"/>
            <w:left w:w="28" w:type="dxa"/>
            <w:bottom w:w="0" w:type="dxa"/>
            <w:right w:w="28" w:type="dxa"/>
          </w:tblCellMar>
        </w:tblPrEx>
        <w:trPr>
          <w:trHeight w:val="1822"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pPr>
              <w:ind w:left="113"/>
              <w:jc w:val="center"/>
              <w:rPr>
                <w:rFonts w:hint="default" w:ascii="Times New Roman" w:hAnsi="Times New Roman" w:cs="Times New Roman"/>
                <w:sz w:val="18"/>
                <w:szCs w:val="18"/>
              </w:rPr>
            </w:pPr>
            <w:r>
              <w:rPr>
                <w:rFonts w:hint="default" w:ascii="Times New Roman" w:hAnsi="Times New Roman" w:cs="Times New Roman"/>
                <w:sz w:val="15"/>
                <w:szCs w:val="15"/>
              </w:rPr>
              <w:t>三、部门绩效（45</w:t>
            </w:r>
            <w:r>
              <w:rPr>
                <w:rFonts w:hint="default" w:ascii="Times New Roman" w:hAnsi="Times New Roman" w:cs="Times New Roman"/>
                <w:sz w:val="18"/>
                <w:szCs w:val="18"/>
              </w:rPr>
              <w:t>分）</w:t>
            </w:r>
          </w:p>
        </w:tc>
        <w:tc>
          <w:tcPr>
            <w:tcW w:w="638"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1.部门产出（25）</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1.际完成率（6分）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6</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部门履行职责而实际完成工作数与计划工作数的比率，用以反映和考核部门履职工作任务目标的实现程度。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实际完成率得分=实际完成工作数/计划工作数*6分。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Layout w:type="fixed"/>
          <w:tblCellMar>
            <w:top w:w="0" w:type="dxa"/>
            <w:left w:w="28" w:type="dxa"/>
            <w:bottom w:w="0" w:type="dxa"/>
            <w:right w:w="28" w:type="dxa"/>
          </w:tblCellMar>
        </w:tblPrEx>
        <w:trPr>
          <w:trHeight w:val="1835" w:hRule="atLeast"/>
          <w:jc w:val="center"/>
        </w:trPr>
        <w:tc>
          <w:tcPr>
            <w:tcW w:w="479" w:type="dxa"/>
            <w:vMerge w:val="continue"/>
            <w:tcBorders>
              <w:left w:val="single" w:color="auto" w:sz="4" w:space="0"/>
              <w:right w:val="single" w:color="auto" w:sz="4" w:space="0"/>
            </w:tcBorders>
            <w:vAlign w:val="center"/>
          </w:tcPr>
          <w:p>
            <w:pPr>
              <w:ind w:left="113"/>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2.完成及时率（4分）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4</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部门在规定时限内及时完成的实际工作数与计划工作数的比率,用以反映和考核部门履职时效目标的实现程度。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完成及时率=（及时完成实际工作数/计划工作数）×100%。1-4季度各得1分。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Layout w:type="fixed"/>
          <w:tblCellMar>
            <w:top w:w="0" w:type="dxa"/>
            <w:left w:w="28" w:type="dxa"/>
            <w:bottom w:w="0" w:type="dxa"/>
            <w:right w:w="28" w:type="dxa"/>
          </w:tblCellMar>
        </w:tblPrEx>
        <w:trPr>
          <w:trHeight w:val="1670"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4.质量达标率（5分）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color w:val="0070C0"/>
                <w:sz w:val="15"/>
                <w:szCs w:val="15"/>
                <w:lang w:val="en-US" w:eastAsia="zh-CN"/>
              </w:rPr>
            </w:pPr>
            <w:r>
              <w:rPr>
                <w:rFonts w:hint="default" w:ascii="Times New Roman" w:hAnsi="Times New Roman" w:cs="Times New Roman"/>
                <w:color w:val="0070C0"/>
                <w:sz w:val="15"/>
                <w:szCs w:val="15"/>
                <w:lang w:val="en-US" w:eastAsia="zh-CN"/>
              </w:rPr>
              <w:t>5</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达到质量标准（绩效标准值）的实际工作数与计划工作数的比率,用以反映和考核部门履职质量目标的实现程度。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质量达标率=（质量达标实际工作数/计划工作数）×100%。实际得分=达标率*5分。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Layout w:type="fixed"/>
          <w:tblCellMar>
            <w:top w:w="0" w:type="dxa"/>
            <w:left w:w="28" w:type="dxa"/>
            <w:bottom w:w="0" w:type="dxa"/>
            <w:right w:w="28" w:type="dxa"/>
          </w:tblCellMar>
        </w:tblPrEx>
        <w:trPr>
          <w:trHeight w:val="1397"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5.重点工作办结率（5分）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color w:val="0070C0"/>
                <w:sz w:val="15"/>
                <w:szCs w:val="15"/>
                <w:lang w:val="en-US" w:eastAsia="zh-CN"/>
              </w:rPr>
            </w:pPr>
            <w:r>
              <w:rPr>
                <w:rFonts w:hint="default" w:ascii="Times New Roman" w:hAnsi="Times New Roman" w:cs="Times New Roman"/>
                <w:color w:val="0070C0"/>
                <w:sz w:val="15"/>
                <w:szCs w:val="15"/>
                <w:lang w:val="en-US" w:eastAsia="zh-CN"/>
              </w:rPr>
              <w:t>5</w:t>
            </w:r>
          </w:p>
        </w:tc>
        <w:tc>
          <w:tcPr>
            <w:tcW w:w="1842" w:type="dxa"/>
            <w:tcBorders>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部门年度重点工作实际完成数与交办或下达数的比率，用以反映部门对重点工作的办理落实程度。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sz w:val="15"/>
                <w:szCs w:val="15"/>
              </w:rPr>
              <w:t>重点工作办结率=（重点工作实际完成数/交办或下达数）×100%。实际得分=办结率*5分。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工作计划和工作总结等相关资料</w:t>
            </w:r>
          </w:p>
        </w:tc>
      </w:tr>
      <w:tr>
        <w:tblPrEx>
          <w:tblLayout w:type="fixed"/>
          <w:tblCellMar>
            <w:top w:w="0" w:type="dxa"/>
            <w:left w:w="28" w:type="dxa"/>
            <w:bottom w:w="0" w:type="dxa"/>
            <w:right w:w="28" w:type="dxa"/>
          </w:tblCellMar>
        </w:tblPrEx>
        <w:trPr>
          <w:trHeight w:val="822"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2.部门效果（20分）</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经济效益（3分）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3</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部门履行职责对经济发展所带来的直接或间接影响。</w:t>
            </w:r>
          </w:p>
        </w:tc>
        <w:tc>
          <w:tcPr>
            <w:tcW w:w="2977" w:type="dxa"/>
            <w:vMerge w:val="restart"/>
            <w:tcBorders>
              <w:top w:val="single" w:color="auto" w:sz="4" w:space="0"/>
              <w:left w:val="single" w:color="auto" w:sz="4" w:space="0"/>
              <w:right w:val="single" w:color="auto" w:sz="4" w:space="0"/>
            </w:tcBorders>
            <w:vAlign w:val="center"/>
          </w:tcPr>
          <w:p>
            <w:pPr>
              <w:spacing w:line="240" w:lineRule="exact"/>
              <w:jc w:val="left"/>
              <w:rPr>
                <w:rFonts w:hint="default" w:ascii="Times New Roman" w:hAnsi="Times New Roman" w:cs="Times New Roman"/>
                <w:sz w:val="15"/>
                <w:szCs w:val="15"/>
              </w:rPr>
            </w:pPr>
            <w:r>
              <w:rPr>
                <w:rFonts w:hint="default" w:ascii="Times New Roman" w:hAnsi="Times New Roman" w:cs="Times New Roman"/>
                <w:kern w:val="0"/>
                <w:sz w:val="15"/>
                <w:szCs w:val="15"/>
              </w:rPr>
              <w:t>（1）工作完成实际，对照绩效目标进行分析计算。                               （2）按经济效益实现程度计算得分（3分）；按社会效益实现程度计算得分（10分）；按生态效益实现程度计算得分（2分）。</w:t>
            </w: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Layout w:type="fixed"/>
          <w:tblCellMar>
            <w:top w:w="0" w:type="dxa"/>
            <w:left w:w="28" w:type="dxa"/>
            <w:bottom w:w="0" w:type="dxa"/>
            <w:right w:w="28" w:type="dxa"/>
          </w:tblCellMar>
        </w:tblPrEx>
        <w:trPr>
          <w:trHeight w:val="840"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社会效益（10分）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10</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部门履行职责对社会发展所带来的直接或间接影响。</w:t>
            </w:r>
          </w:p>
        </w:tc>
        <w:tc>
          <w:tcPr>
            <w:tcW w:w="2977"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Layout w:type="fixed"/>
          <w:tblCellMar>
            <w:top w:w="0" w:type="dxa"/>
            <w:left w:w="28" w:type="dxa"/>
            <w:bottom w:w="0" w:type="dxa"/>
            <w:right w:w="28" w:type="dxa"/>
          </w:tblCellMar>
        </w:tblPrEx>
        <w:trPr>
          <w:trHeight w:val="824" w:hRule="atLeast"/>
          <w:jc w:val="center"/>
        </w:trPr>
        <w:tc>
          <w:tcPr>
            <w:tcW w:w="479"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生态效益（2分）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5"/>
                <w:szCs w:val="15"/>
              </w:rPr>
            </w:pPr>
            <w:r>
              <w:rPr>
                <w:rFonts w:hint="default" w:ascii="Times New Roman" w:hAnsi="Times New Roman" w:cs="Times New Roman"/>
                <w:sz w:val="15"/>
                <w:szCs w:val="15"/>
              </w:rPr>
              <w:t>部门履行职责对生态环境所带来的直接或间接影响。</w:t>
            </w:r>
          </w:p>
        </w:tc>
        <w:tc>
          <w:tcPr>
            <w:tcW w:w="2977" w:type="dxa"/>
            <w:vMerge w:val="continue"/>
            <w:tcBorders>
              <w:left w:val="single" w:color="auto" w:sz="4" w:space="0"/>
              <w:bottom w:val="single" w:color="auto" w:sz="4" w:space="0"/>
              <w:right w:val="single" w:color="auto" w:sz="4" w:space="0"/>
            </w:tcBorders>
            <w:vAlign w:val="center"/>
          </w:tcPr>
          <w:p>
            <w:pPr>
              <w:tabs>
                <w:tab w:val="left" w:pos="2604"/>
              </w:tabs>
              <w:jc w:val="center"/>
              <w:rPr>
                <w:rFonts w:hint="default" w:ascii="Times New Roman" w:hAnsi="Times New Roman" w:cs="Times New Roman"/>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pPr>
              <w:tabs>
                <w:tab w:val="left" w:pos="2604"/>
              </w:tabs>
              <w:jc w:val="left"/>
              <w:rPr>
                <w:rFonts w:hint="default" w:ascii="Times New Roman" w:hAnsi="Times New Roman" w:cs="Times New Roman"/>
                <w:sz w:val="15"/>
                <w:szCs w:val="15"/>
              </w:rPr>
            </w:pPr>
            <w:r>
              <w:rPr>
                <w:rFonts w:hint="default" w:ascii="Times New Roman" w:hAnsi="Times New Roman" w:cs="Times New Roman"/>
                <w:sz w:val="15"/>
                <w:szCs w:val="15"/>
              </w:rPr>
              <w:t>绩效目标、工作计划和工作总结等相关资料。</w:t>
            </w:r>
          </w:p>
        </w:tc>
      </w:tr>
      <w:tr>
        <w:tblPrEx>
          <w:tblLayout w:type="fixed"/>
          <w:tblCellMar>
            <w:top w:w="0" w:type="dxa"/>
            <w:left w:w="28" w:type="dxa"/>
            <w:bottom w:w="0" w:type="dxa"/>
            <w:right w:w="28" w:type="dxa"/>
          </w:tblCellMar>
        </w:tblPrEx>
        <w:trPr>
          <w:trHeight w:val="1261" w:hRule="atLeast"/>
          <w:jc w:val="center"/>
        </w:trPr>
        <w:tc>
          <w:tcPr>
            <w:tcW w:w="47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p>
        </w:tc>
        <w:tc>
          <w:tcPr>
            <w:tcW w:w="638"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社会公众或服务对象满意度（5分）</w:t>
            </w:r>
          </w:p>
        </w:tc>
        <w:tc>
          <w:tcPr>
            <w:tcW w:w="569" w:type="dxa"/>
            <w:tcBorders>
              <w:top w:val="single" w:color="auto" w:sz="4" w:space="0"/>
              <w:left w:val="single" w:color="auto" w:sz="4" w:space="0"/>
              <w:bottom w:val="single" w:color="auto" w:sz="4" w:space="0"/>
            </w:tcBorders>
            <w:vAlign w:val="center"/>
          </w:tcPr>
          <w:p>
            <w:pPr>
              <w:tabs>
                <w:tab w:val="left" w:pos="2604"/>
              </w:tabs>
              <w:jc w:val="center"/>
              <w:rPr>
                <w:rFonts w:hint="default" w:ascii="Times New Roman" w:hAnsi="Times New Roman" w:eastAsia="仿宋_GB2312" w:cs="Times New Roman"/>
                <w:sz w:val="15"/>
                <w:szCs w:val="15"/>
                <w:lang w:val="en-US" w:eastAsia="zh-CN"/>
              </w:rPr>
            </w:pPr>
            <w:r>
              <w:rPr>
                <w:rFonts w:hint="default" w:ascii="Times New Roman" w:hAnsi="Times New Roman" w:cs="Times New Roman"/>
                <w:sz w:val="15"/>
                <w:szCs w:val="15"/>
                <w:lang w:val="en-US" w:eastAsia="zh-CN"/>
              </w:rPr>
              <w:t>5</w:t>
            </w:r>
          </w:p>
        </w:tc>
        <w:tc>
          <w:tcPr>
            <w:tcW w:w="1842" w:type="dxa"/>
            <w:tcBorders>
              <w:top w:val="single" w:color="auto" w:sz="4" w:space="0"/>
              <w:left w:val="single" w:color="auto" w:sz="4" w:space="0"/>
              <w:bottom w:val="single" w:color="auto" w:sz="4" w:space="0"/>
              <w:right w:val="single" w:color="auto" w:sz="4" w:space="0"/>
            </w:tcBorders>
            <w:vAlign w:val="center"/>
          </w:tcPr>
          <w:p>
            <w:pPr>
              <w:tabs>
                <w:tab w:val="left" w:pos="2604"/>
              </w:tabs>
              <w:rPr>
                <w:rFonts w:hint="default" w:ascii="Times New Roman" w:hAnsi="Times New Roman" w:cs="Times New Roman"/>
                <w:sz w:val="15"/>
                <w:szCs w:val="15"/>
              </w:rPr>
            </w:pPr>
            <w:r>
              <w:rPr>
                <w:rFonts w:hint="default" w:ascii="Times New Roman" w:hAnsi="Times New Roman" w:cs="Times New Roman"/>
                <w:sz w:val="15"/>
                <w:szCs w:val="15"/>
              </w:rPr>
              <w:t>社会公众或部门的服务对象对部门履职效果的满意程度。</w:t>
            </w:r>
          </w:p>
        </w:tc>
        <w:tc>
          <w:tcPr>
            <w:tcW w:w="297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sz w:val="15"/>
                <w:szCs w:val="15"/>
              </w:rPr>
            </w:pPr>
            <w:r>
              <w:rPr>
                <w:rFonts w:hint="default" w:ascii="Times New Roman" w:hAnsi="Times New Roman" w:cs="Times New Roman"/>
                <w:kern w:val="0"/>
                <w:sz w:val="15"/>
                <w:szCs w:val="15"/>
              </w:rPr>
              <w:t>按收集到的服务对象的满意率计算得分（5分）。</w:t>
            </w:r>
          </w:p>
        </w:tc>
        <w:tc>
          <w:tcPr>
            <w:tcW w:w="149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5"/>
                <w:szCs w:val="15"/>
              </w:rPr>
            </w:pPr>
            <w:r>
              <w:rPr>
                <w:rFonts w:hint="default" w:ascii="Times New Roman" w:hAnsi="Times New Roman" w:cs="Times New Roman"/>
                <w:sz w:val="15"/>
                <w:szCs w:val="15"/>
              </w:rPr>
              <w:t>问卷调查、访谈</w:t>
            </w:r>
          </w:p>
        </w:tc>
      </w:tr>
      <w:tr>
        <w:tblPrEx>
          <w:tblLayout w:type="fixed"/>
          <w:tblCellMar>
            <w:top w:w="0" w:type="dxa"/>
            <w:left w:w="28" w:type="dxa"/>
            <w:bottom w:w="0" w:type="dxa"/>
            <w:right w:w="28" w:type="dxa"/>
          </w:tblCellMar>
        </w:tblPrEx>
        <w:trPr>
          <w:trHeight w:val="698" w:hRule="atLeast"/>
          <w:jc w:val="center"/>
        </w:trPr>
        <w:tc>
          <w:tcPr>
            <w:tcW w:w="11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合计</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100分</w:t>
            </w:r>
          </w:p>
        </w:tc>
        <w:tc>
          <w:tcPr>
            <w:tcW w:w="569" w:type="dxa"/>
            <w:tcBorders>
              <w:top w:val="single" w:color="auto" w:sz="4" w:space="0"/>
              <w:left w:val="single" w:color="auto" w:sz="4" w:space="0"/>
              <w:bottom w:val="single" w:color="auto" w:sz="4" w:space="0"/>
            </w:tcBorders>
            <w:vAlign w:val="center"/>
          </w:tcPr>
          <w:p>
            <w:pPr>
              <w:jc w:val="center"/>
              <w:rPr>
                <w:rFonts w:hint="default" w:ascii="Times New Roman" w:hAnsi="Times New Roman" w:eastAsia="仿宋_GB2312" w:cs="Times New Roman"/>
                <w:sz w:val="18"/>
                <w:szCs w:val="18"/>
                <w:lang w:val="en-US" w:eastAsia="zh-CN"/>
              </w:rPr>
            </w:pPr>
            <w:r>
              <w:rPr>
                <w:rFonts w:hint="default" w:ascii="Times New Roman" w:hAnsi="Times New Roman" w:cs="Times New Roman"/>
                <w:sz w:val="18"/>
                <w:szCs w:val="18"/>
                <w:lang w:val="en-US" w:eastAsia="zh-CN"/>
              </w:rPr>
              <w:t>92</w:t>
            </w:r>
          </w:p>
        </w:tc>
        <w:tc>
          <w:tcPr>
            <w:tcW w:w="6315" w:type="dxa"/>
            <w:gridSpan w:val="3"/>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cs="Times New Roman"/>
                <w:sz w:val="18"/>
                <w:szCs w:val="18"/>
              </w:rPr>
            </w:pPr>
            <w:r>
              <w:rPr>
                <w:rFonts w:hint="default" w:ascii="Times New Roman" w:hAnsi="Times New Roman" w:cs="Times New Roman"/>
                <w:sz w:val="18"/>
                <w:szCs w:val="18"/>
              </w:rPr>
              <w:t>评价等次：实际得分（S）≥90,优秀；90＞S≥80,良好；80＞S≥60,合格；S＜60，不合格。</w:t>
            </w:r>
          </w:p>
        </w:tc>
      </w:tr>
    </w:tbl>
    <w:p>
      <w:pPr>
        <w:rPr>
          <w:rFonts w:hint="default" w:ascii="Times New Roman" w:hAnsi="Times New Roman" w:cs="Times New Roma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B60F8E"/>
    <w:rsid w:val="000E01B9"/>
    <w:rsid w:val="00112B1C"/>
    <w:rsid w:val="001411B7"/>
    <w:rsid w:val="00165CDE"/>
    <w:rsid w:val="002827B9"/>
    <w:rsid w:val="002919C4"/>
    <w:rsid w:val="0032728D"/>
    <w:rsid w:val="0033313D"/>
    <w:rsid w:val="004336BC"/>
    <w:rsid w:val="004852DB"/>
    <w:rsid w:val="004D77ED"/>
    <w:rsid w:val="004F2643"/>
    <w:rsid w:val="005610A2"/>
    <w:rsid w:val="005B6DCE"/>
    <w:rsid w:val="005D1E83"/>
    <w:rsid w:val="00601021"/>
    <w:rsid w:val="0068776A"/>
    <w:rsid w:val="0077779E"/>
    <w:rsid w:val="008200F2"/>
    <w:rsid w:val="00820F8E"/>
    <w:rsid w:val="0083370E"/>
    <w:rsid w:val="00864CBE"/>
    <w:rsid w:val="008B78CE"/>
    <w:rsid w:val="008C6210"/>
    <w:rsid w:val="008F25B0"/>
    <w:rsid w:val="0090046A"/>
    <w:rsid w:val="00910DC6"/>
    <w:rsid w:val="00974162"/>
    <w:rsid w:val="0097453A"/>
    <w:rsid w:val="0098111D"/>
    <w:rsid w:val="00994DB7"/>
    <w:rsid w:val="009B21DE"/>
    <w:rsid w:val="00A530A7"/>
    <w:rsid w:val="00A730D7"/>
    <w:rsid w:val="00AB5795"/>
    <w:rsid w:val="00B5184D"/>
    <w:rsid w:val="00B60F8E"/>
    <w:rsid w:val="00B830BE"/>
    <w:rsid w:val="00B85AAB"/>
    <w:rsid w:val="00C46C7B"/>
    <w:rsid w:val="00C51F0B"/>
    <w:rsid w:val="00CC57AD"/>
    <w:rsid w:val="00D1430D"/>
    <w:rsid w:val="00D5493D"/>
    <w:rsid w:val="00D61E73"/>
    <w:rsid w:val="00D76693"/>
    <w:rsid w:val="00D877AD"/>
    <w:rsid w:val="00E270B3"/>
    <w:rsid w:val="00FB219A"/>
    <w:rsid w:val="00FD59B9"/>
    <w:rsid w:val="013D76F1"/>
    <w:rsid w:val="016663C1"/>
    <w:rsid w:val="018139FC"/>
    <w:rsid w:val="019C14C6"/>
    <w:rsid w:val="01BF6835"/>
    <w:rsid w:val="01D36B61"/>
    <w:rsid w:val="01EE3792"/>
    <w:rsid w:val="01F705D5"/>
    <w:rsid w:val="02384736"/>
    <w:rsid w:val="02DB6C4B"/>
    <w:rsid w:val="03B13F87"/>
    <w:rsid w:val="03EC1DC4"/>
    <w:rsid w:val="041C25CC"/>
    <w:rsid w:val="042A04E8"/>
    <w:rsid w:val="042F2B07"/>
    <w:rsid w:val="043F60E0"/>
    <w:rsid w:val="04DA4F19"/>
    <w:rsid w:val="0517107F"/>
    <w:rsid w:val="064819C1"/>
    <w:rsid w:val="064B0459"/>
    <w:rsid w:val="076B4FDB"/>
    <w:rsid w:val="080A5A18"/>
    <w:rsid w:val="09174E1E"/>
    <w:rsid w:val="09461139"/>
    <w:rsid w:val="0A0F5432"/>
    <w:rsid w:val="0A3C21DF"/>
    <w:rsid w:val="0A724617"/>
    <w:rsid w:val="0A9B4D2C"/>
    <w:rsid w:val="0B5F3173"/>
    <w:rsid w:val="0B796EE5"/>
    <w:rsid w:val="0CC540D8"/>
    <w:rsid w:val="0D4B6EA0"/>
    <w:rsid w:val="0D8020AE"/>
    <w:rsid w:val="0DB30A70"/>
    <w:rsid w:val="0DDA3FD1"/>
    <w:rsid w:val="0E2E19B9"/>
    <w:rsid w:val="0E4467D7"/>
    <w:rsid w:val="0E8A209E"/>
    <w:rsid w:val="0F8901B4"/>
    <w:rsid w:val="0FEC2AD6"/>
    <w:rsid w:val="1000072F"/>
    <w:rsid w:val="10242092"/>
    <w:rsid w:val="10621F3C"/>
    <w:rsid w:val="10BF5ABF"/>
    <w:rsid w:val="11E97AB5"/>
    <w:rsid w:val="124D6711"/>
    <w:rsid w:val="12872F26"/>
    <w:rsid w:val="13B05911"/>
    <w:rsid w:val="13CD7099"/>
    <w:rsid w:val="143B3E26"/>
    <w:rsid w:val="14550BCC"/>
    <w:rsid w:val="14B7604C"/>
    <w:rsid w:val="150901AA"/>
    <w:rsid w:val="15F868A7"/>
    <w:rsid w:val="16012FAD"/>
    <w:rsid w:val="161E3798"/>
    <w:rsid w:val="16287E60"/>
    <w:rsid w:val="16991A2F"/>
    <w:rsid w:val="17516CC8"/>
    <w:rsid w:val="17CD32BD"/>
    <w:rsid w:val="17F46093"/>
    <w:rsid w:val="188F66EE"/>
    <w:rsid w:val="19203C8B"/>
    <w:rsid w:val="1956749A"/>
    <w:rsid w:val="1A594F0E"/>
    <w:rsid w:val="1AAD225D"/>
    <w:rsid w:val="1B252F78"/>
    <w:rsid w:val="1B5F28A4"/>
    <w:rsid w:val="1CE73A59"/>
    <w:rsid w:val="1D270682"/>
    <w:rsid w:val="1DD86318"/>
    <w:rsid w:val="1E6363D9"/>
    <w:rsid w:val="1EAF7EE0"/>
    <w:rsid w:val="1EF31670"/>
    <w:rsid w:val="1F210D7F"/>
    <w:rsid w:val="1F596ED6"/>
    <w:rsid w:val="20495414"/>
    <w:rsid w:val="2137477D"/>
    <w:rsid w:val="21821CBA"/>
    <w:rsid w:val="22CD4CAD"/>
    <w:rsid w:val="232C2ED9"/>
    <w:rsid w:val="23375964"/>
    <w:rsid w:val="23686161"/>
    <w:rsid w:val="236C2501"/>
    <w:rsid w:val="239D5E30"/>
    <w:rsid w:val="248760E9"/>
    <w:rsid w:val="248E618F"/>
    <w:rsid w:val="24C05797"/>
    <w:rsid w:val="24DD3171"/>
    <w:rsid w:val="253D31B0"/>
    <w:rsid w:val="25427029"/>
    <w:rsid w:val="25C63D84"/>
    <w:rsid w:val="26D437CD"/>
    <w:rsid w:val="27657DEA"/>
    <w:rsid w:val="2B771EBC"/>
    <w:rsid w:val="2CD761AE"/>
    <w:rsid w:val="2E551AAC"/>
    <w:rsid w:val="2E7D7966"/>
    <w:rsid w:val="2EB07B22"/>
    <w:rsid w:val="2FC7415F"/>
    <w:rsid w:val="2FE84F86"/>
    <w:rsid w:val="302C2A06"/>
    <w:rsid w:val="305C02EF"/>
    <w:rsid w:val="30BE15FF"/>
    <w:rsid w:val="31126A54"/>
    <w:rsid w:val="35B54900"/>
    <w:rsid w:val="35BE2FAD"/>
    <w:rsid w:val="36635159"/>
    <w:rsid w:val="36AA74A2"/>
    <w:rsid w:val="36B1404D"/>
    <w:rsid w:val="374579D6"/>
    <w:rsid w:val="37E17FBC"/>
    <w:rsid w:val="37F92346"/>
    <w:rsid w:val="380D204B"/>
    <w:rsid w:val="387B06CB"/>
    <w:rsid w:val="39043DF6"/>
    <w:rsid w:val="396D4657"/>
    <w:rsid w:val="39C77E35"/>
    <w:rsid w:val="3B6B14CE"/>
    <w:rsid w:val="3B6C49F6"/>
    <w:rsid w:val="3BB812D4"/>
    <w:rsid w:val="3C8637AE"/>
    <w:rsid w:val="3CFC0B0D"/>
    <w:rsid w:val="3CFD17B0"/>
    <w:rsid w:val="3D692ACF"/>
    <w:rsid w:val="3D6A4580"/>
    <w:rsid w:val="3D71648C"/>
    <w:rsid w:val="3DFD5121"/>
    <w:rsid w:val="3E6F6A62"/>
    <w:rsid w:val="3E832527"/>
    <w:rsid w:val="3F5678F7"/>
    <w:rsid w:val="41224D63"/>
    <w:rsid w:val="41C96584"/>
    <w:rsid w:val="42182985"/>
    <w:rsid w:val="42310658"/>
    <w:rsid w:val="42944E19"/>
    <w:rsid w:val="43B02C6B"/>
    <w:rsid w:val="43F01D22"/>
    <w:rsid w:val="449B5B04"/>
    <w:rsid w:val="47AF0890"/>
    <w:rsid w:val="48747866"/>
    <w:rsid w:val="4937695B"/>
    <w:rsid w:val="49F27F1E"/>
    <w:rsid w:val="4C586B7A"/>
    <w:rsid w:val="4C7C3E0A"/>
    <w:rsid w:val="4C7D1D9D"/>
    <w:rsid w:val="4C824733"/>
    <w:rsid w:val="4CC32134"/>
    <w:rsid w:val="4CD910F9"/>
    <w:rsid w:val="4F0A3518"/>
    <w:rsid w:val="4F233856"/>
    <w:rsid w:val="4FC23A76"/>
    <w:rsid w:val="52DC2AD6"/>
    <w:rsid w:val="53B306D9"/>
    <w:rsid w:val="544B5640"/>
    <w:rsid w:val="545C43B9"/>
    <w:rsid w:val="54E056E8"/>
    <w:rsid w:val="5535737B"/>
    <w:rsid w:val="555321A3"/>
    <w:rsid w:val="55F06A59"/>
    <w:rsid w:val="56244A9C"/>
    <w:rsid w:val="5665490D"/>
    <w:rsid w:val="566D1856"/>
    <w:rsid w:val="59711D3E"/>
    <w:rsid w:val="59AC32F4"/>
    <w:rsid w:val="59C8293F"/>
    <w:rsid w:val="5A074B53"/>
    <w:rsid w:val="5AA13B68"/>
    <w:rsid w:val="5AF00E2B"/>
    <w:rsid w:val="5B0145F3"/>
    <w:rsid w:val="5BD3400F"/>
    <w:rsid w:val="5BF90CAF"/>
    <w:rsid w:val="5C161477"/>
    <w:rsid w:val="5C511578"/>
    <w:rsid w:val="5CA233B4"/>
    <w:rsid w:val="5D316123"/>
    <w:rsid w:val="5E0B6E4F"/>
    <w:rsid w:val="5E10588D"/>
    <w:rsid w:val="60396D72"/>
    <w:rsid w:val="61872F0E"/>
    <w:rsid w:val="61942CB1"/>
    <w:rsid w:val="621D7E99"/>
    <w:rsid w:val="62B86298"/>
    <w:rsid w:val="63850738"/>
    <w:rsid w:val="640F7EE2"/>
    <w:rsid w:val="64B56CB7"/>
    <w:rsid w:val="652B430E"/>
    <w:rsid w:val="65863E00"/>
    <w:rsid w:val="67020DAA"/>
    <w:rsid w:val="6735302D"/>
    <w:rsid w:val="684232A6"/>
    <w:rsid w:val="6ADE19F3"/>
    <w:rsid w:val="6AF75A7D"/>
    <w:rsid w:val="6B3A535E"/>
    <w:rsid w:val="6B8B5DBF"/>
    <w:rsid w:val="6B961D18"/>
    <w:rsid w:val="6BB5255C"/>
    <w:rsid w:val="6DA5406D"/>
    <w:rsid w:val="6DA571C5"/>
    <w:rsid w:val="6DA77551"/>
    <w:rsid w:val="6E19002E"/>
    <w:rsid w:val="6F83026C"/>
    <w:rsid w:val="6F884FEE"/>
    <w:rsid w:val="6FED323A"/>
    <w:rsid w:val="70402620"/>
    <w:rsid w:val="704B4AAA"/>
    <w:rsid w:val="704F6C20"/>
    <w:rsid w:val="710F7974"/>
    <w:rsid w:val="714434C2"/>
    <w:rsid w:val="71F0242C"/>
    <w:rsid w:val="72012166"/>
    <w:rsid w:val="7288473E"/>
    <w:rsid w:val="72DA7C13"/>
    <w:rsid w:val="72E145C0"/>
    <w:rsid w:val="72F414C8"/>
    <w:rsid w:val="7302669B"/>
    <w:rsid w:val="737F570A"/>
    <w:rsid w:val="73943720"/>
    <w:rsid w:val="73F0418D"/>
    <w:rsid w:val="74055BAB"/>
    <w:rsid w:val="74F15A94"/>
    <w:rsid w:val="75242CB6"/>
    <w:rsid w:val="7555538D"/>
    <w:rsid w:val="75593676"/>
    <w:rsid w:val="756E6060"/>
    <w:rsid w:val="75853E3F"/>
    <w:rsid w:val="75F7255B"/>
    <w:rsid w:val="76450CE9"/>
    <w:rsid w:val="775568D5"/>
    <w:rsid w:val="784468C4"/>
    <w:rsid w:val="78EE21B6"/>
    <w:rsid w:val="7915367D"/>
    <w:rsid w:val="7A0D2C9E"/>
    <w:rsid w:val="7A636C62"/>
    <w:rsid w:val="7A9C7033"/>
    <w:rsid w:val="7AEA7C71"/>
    <w:rsid w:val="7B602080"/>
    <w:rsid w:val="7BD73B83"/>
    <w:rsid w:val="7C4359DE"/>
    <w:rsid w:val="7CC45AD6"/>
    <w:rsid w:val="7CD459C8"/>
    <w:rsid w:val="7DEB3F27"/>
    <w:rsid w:val="7E950DE9"/>
    <w:rsid w:val="7F5D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0"/>
    <w:pPr>
      <w:ind w:firstLine="420" w:firstLineChars="200"/>
    </w:pPr>
    <w:rPr>
      <w:rFonts w:ascii="Calibri" w:hAnsi="Calibri" w:eastAsia="宋体" w:cs="Calibri"/>
      <w:sz w:val="21"/>
      <w:szCs w:val="21"/>
    </w:rPr>
  </w:style>
  <w:style w:type="character" w:customStyle="1" w:styleId="7">
    <w:name w:val="页眉 Char"/>
    <w:basedOn w:val="5"/>
    <w:link w:val="3"/>
    <w:semiHidden/>
    <w:qFormat/>
    <w:uiPriority w:val="99"/>
    <w:rPr>
      <w:rFonts w:eastAsia="仿宋_GB2312"/>
      <w:kern w:val="2"/>
      <w:sz w:val="18"/>
      <w:szCs w:val="18"/>
    </w:rPr>
  </w:style>
  <w:style w:type="character" w:customStyle="1" w:styleId="8">
    <w:name w:val="页脚 Char"/>
    <w:basedOn w:val="5"/>
    <w:link w:val="2"/>
    <w:semiHidden/>
    <w:qFormat/>
    <w:uiPriority w:val="99"/>
    <w:rPr>
      <w:rFonts w:eastAsia="仿宋_GB2312"/>
      <w:kern w:val="2"/>
      <w:sz w:val="18"/>
      <w:szCs w:val="18"/>
    </w:rPr>
  </w:style>
  <w:style w:type="character" w:customStyle="1" w:styleId="9">
    <w:name w:val="17"/>
    <w:basedOn w:val="5"/>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528</Words>
  <Characters>3010</Characters>
  <Lines>25</Lines>
  <Paragraphs>7</Paragraphs>
  <TotalTime>31</TotalTime>
  <ScaleCrop>false</ScaleCrop>
  <LinksUpToDate>false</LinksUpToDate>
  <CharactersWithSpaces>3531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2019-04-24T07:39:00Z</dcterms:created>
  <dc:creator>张子明</dc:creator>
  <cp:lastModifiedBy>未定义</cp:lastModifiedBy>
  <dcterms:modified xsi:type="dcterms:W3CDTF">2020-04-28T12:26:25Z</dcterms:modified>
  <dc:title>富民县文化和旅游局2019年度部门整体支出</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