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640" w:lineRule="exact"/>
        <w:jc w:val="center"/>
        <w:textAlignment w:val="auto"/>
        <w:rPr>
          <w:rFonts w:hint="eastAsia" w:ascii="方正小标宋简体" w:hAnsi="黑体" w:eastAsia="方正小标宋简体"/>
          <w:spacing w:val="-20"/>
          <w:sz w:val="44"/>
          <w:szCs w:val="44"/>
          <w:lang w:val="en-US" w:eastAsia="zh-CN"/>
        </w:rPr>
      </w:pPr>
      <w:r>
        <w:rPr>
          <w:rFonts w:hint="eastAsia" w:ascii="方正小标宋简体" w:hAnsi="黑体" w:eastAsia="方正小标宋简体"/>
          <w:spacing w:val="-20"/>
          <w:sz w:val="44"/>
          <w:szCs w:val="44"/>
        </w:rPr>
        <w:t>富民县文化和旅游局</w:t>
      </w:r>
      <w:r>
        <w:rPr>
          <w:rFonts w:hint="eastAsia" w:ascii="方正小标宋简体" w:hAnsi="黑体" w:eastAsia="方正小标宋简体"/>
          <w:spacing w:val="-20"/>
          <w:sz w:val="44"/>
          <w:szCs w:val="44"/>
          <w:lang w:val="en-US" w:eastAsia="zh-CN"/>
        </w:rPr>
        <w:t>昆明市基层公共文化服务</w:t>
      </w:r>
    </w:p>
    <w:p>
      <w:pPr>
        <w:keepNext w:val="0"/>
        <w:keepLines w:val="0"/>
        <w:pageBreakBefore w:val="0"/>
        <w:widowControl w:val="0"/>
        <w:kinsoku/>
        <w:wordWrap/>
        <w:overflowPunct/>
        <w:topLinePunct/>
        <w:autoSpaceDE/>
        <w:autoSpaceDN/>
        <w:bidi w:val="0"/>
        <w:adjustRightInd/>
        <w:snapToGrid/>
        <w:spacing w:line="640" w:lineRule="exact"/>
        <w:jc w:val="center"/>
        <w:textAlignment w:val="auto"/>
        <w:rPr>
          <w:rFonts w:ascii="方正小标宋简体" w:eastAsia="方正小标宋简体"/>
          <w:sz w:val="44"/>
          <w:szCs w:val="44"/>
        </w:rPr>
      </w:pPr>
      <w:r>
        <w:rPr>
          <w:rFonts w:hint="eastAsia" w:ascii="方正小标宋简体" w:hAnsi="黑体" w:eastAsia="方正小标宋简体"/>
          <w:spacing w:val="-20"/>
          <w:sz w:val="44"/>
          <w:szCs w:val="44"/>
        </w:rPr>
        <w:t>考核资金</w:t>
      </w:r>
      <w:r>
        <w:rPr>
          <w:rFonts w:hint="eastAsia" w:ascii="方正小标宋简体" w:eastAsia="方正小标宋简体"/>
          <w:sz w:val="44"/>
          <w:szCs w:val="44"/>
        </w:rPr>
        <w:t>项目支出绩效评价报告</w:t>
      </w:r>
    </w:p>
    <w:p>
      <w:pPr>
        <w:keepNext w:val="0"/>
        <w:keepLines w:val="0"/>
        <w:pageBreakBefore w:val="0"/>
        <w:kinsoku/>
        <w:wordWrap/>
        <w:overflowPunct/>
        <w:topLinePunct/>
        <w:autoSpaceDE/>
        <w:autoSpaceDN/>
        <w:bidi w:val="0"/>
        <w:adjustRightInd/>
        <w:snapToGrid/>
        <w:spacing w:line="560" w:lineRule="exact"/>
        <w:ind w:firstLine="800" w:firstLineChars="250"/>
        <w:textAlignment w:val="auto"/>
        <w:rPr>
          <w:rFonts w:ascii="黑体" w:eastAsia="黑体"/>
          <w:szCs w:val="32"/>
        </w:rPr>
      </w:pP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黑体" w:eastAsia="黑体"/>
          <w:szCs w:val="32"/>
        </w:rPr>
      </w:pPr>
      <w:r>
        <w:rPr>
          <w:rFonts w:hint="eastAsia" w:ascii="黑体" w:eastAsia="黑体"/>
          <w:szCs w:val="32"/>
        </w:rPr>
        <w:t>一、项目基本情况</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楷体"/>
          <w:szCs w:val="32"/>
        </w:rPr>
      </w:pPr>
      <w:r>
        <w:rPr>
          <w:rFonts w:hint="eastAsia" w:ascii="仿宋_GB2312" w:hAnsi="楷体"/>
          <w:szCs w:val="32"/>
        </w:rPr>
        <w:t>（一）项目概况。</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楷体"/>
          <w:szCs w:val="32"/>
        </w:rPr>
      </w:pPr>
      <w:r>
        <w:rPr>
          <w:rFonts w:hint="eastAsia" w:ascii="仿宋_GB2312" w:hAnsi="楷体"/>
          <w:szCs w:val="32"/>
        </w:rPr>
        <w:t>1.立项背景及目的。</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楷体"/>
          <w:szCs w:val="32"/>
        </w:rPr>
      </w:pPr>
      <w:r>
        <w:rPr>
          <w:rFonts w:hint="eastAsia" w:ascii="仿宋_GB2312" w:hAnsi="楷体"/>
          <w:szCs w:val="32"/>
        </w:rPr>
        <w:t>为进一步推进我县基层公共文化服务运行机制建设，保障广大基层群众的基本文化权益，丰富广大农民群众文化生活，建立公共文化服务统筹协调机制，实现基本公共文化服务均等化，切实保障人民群众基本文化权益，准确把握人民群众的精神文化需求，提升公共文化服务品质，优化公共文化资源配置，全面提升公共文化服务水平。</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楷体"/>
          <w:szCs w:val="32"/>
        </w:rPr>
      </w:pPr>
      <w:r>
        <w:rPr>
          <w:rFonts w:hint="eastAsia" w:ascii="仿宋_GB2312" w:hAnsi="楷体"/>
          <w:szCs w:val="32"/>
        </w:rPr>
        <w:t>2.项目实施情况。</w:t>
      </w:r>
    </w:p>
    <w:p>
      <w:pPr>
        <w:pStyle w:val="8"/>
        <w:keepNext w:val="0"/>
        <w:keepLines w:val="0"/>
        <w:pageBreakBefore w:val="0"/>
        <w:widowControl/>
        <w:kinsoku/>
        <w:wordWrap/>
        <w:overflowPunct/>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根据《云南省财政厅关于提前下达2018年中央补助地方公共文化服务体系建设专项资金的通知》（云财教[2017]441号）文件及《云南省财政厅关于下达2018年中央补助地方公共文化服务体系专项资金及绩效目标的通知》（云财教﹝</w:t>
      </w:r>
      <w:r>
        <w:rPr>
          <w:rFonts w:ascii="仿宋_GB2312" w:hAnsi="仿宋_GB2312" w:eastAsia="仿宋_GB2312" w:cs="仿宋_GB2312"/>
          <w:sz w:val="32"/>
          <w:szCs w:val="32"/>
          <w:shd w:val="clear" w:color="auto" w:fill="FFFFFF"/>
        </w:rPr>
        <w:t>2018</w:t>
      </w:r>
      <w:r>
        <w:rPr>
          <w:rFonts w:hint="eastAsia" w:ascii="仿宋_GB2312" w:hAnsi="仿宋_GB2312" w:eastAsia="仿宋_GB2312" w:cs="仿宋_GB2312"/>
          <w:sz w:val="32"/>
          <w:szCs w:val="32"/>
          <w:shd w:val="clear" w:color="auto" w:fill="FFFFFF"/>
        </w:rPr>
        <w:t>﹞221号）文件，认真查找涉及资金文件、相关台账材料及凭据，对绩效自评工作进行了布置和安排。</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楷体"/>
          <w:szCs w:val="32"/>
        </w:rPr>
      </w:pPr>
      <w:r>
        <w:rPr>
          <w:rFonts w:hint="eastAsia" w:ascii="仿宋_GB2312" w:hAnsi="楷体"/>
          <w:szCs w:val="32"/>
        </w:rPr>
        <w:t>3.资金来源及使用情况。</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楷体"/>
          <w:szCs w:val="32"/>
        </w:rPr>
      </w:pPr>
      <w:r>
        <w:rPr>
          <w:rFonts w:hint="eastAsia" w:ascii="仿宋_GB2312" w:hAnsi="仿宋_GB2312" w:cs="仿宋_GB2312"/>
          <w:szCs w:val="32"/>
          <w:shd w:val="clear" w:color="auto" w:fill="FFFFFF"/>
        </w:rPr>
        <w:t>201</w:t>
      </w:r>
      <w:r>
        <w:rPr>
          <w:rFonts w:hint="eastAsia" w:ascii="仿宋_GB2312" w:hAnsi="仿宋_GB2312" w:cs="仿宋_GB2312"/>
          <w:szCs w:val="32"/>
          <w:shd w:val="clear" w:color="auto" w:fill="FFFFFF"/>
          <w:lang w:val="en-US" w:eastAsia="zh-CN"/>
        </w:rPr>
        <w:t>8</w:t>
      </w:r>
      <w:r>
        <w:rPr>
          <w:rFonts w:hint="eastAsia" w:ascii="仿宋_GB2312" w:hAnsi="仿宋_GB2312" w:cs="仿宋_GB2312"/>
          <w:szCs w:val="32"/>
          <w:shd w:val="clear" w:color="auto" w:fill="FFFFFF"/>
        </w:rPr>
        <w:t>年</w:t>
      </w:r>
      <w:r>
        <w:rPr>
          <w:rFonts w:hint="eastAsia" w:ascii="仿宋_GB2312" w:hAnsi="仿宋_GB2312" w:cs="仿宋_GB2312"/>
          <w:szCs w:val="32"/>
          <w:shd w:val="clear" w:color="auto" w:fill="FFFFFF"/>
          <w:lang w:val="en-US" w:eastAsia="zh-CN"/>
        </w:rPr>
        <w:t>昆明市基层</w:t>
      </w:r>
      <w:r>
        <w:rPr>
          <w:rFonts w:hint="eastAsia" w:ascii="仿宋_GB2312" w:hAnsi="仿宋_GB2312" w:cs="仿宋_GB2312"/>
          <w:szCs w:val="32"/>
          <w:shd w:val="clear" w:color="auto" w:fill="FFFFFF"/>
        </w:rPr>
        <w:t>公共文化服务考核资金</w:t>
      </w:r>
      <w:r>
        <w:rPr>
          <w:rFonts w:hint="eastAsia" w:ascii="仿宋_GB2312" w:hAnsi="仿宋_GB2312" w:cs="仿宋_GB2312"/>
          <w:szCs w:val="32"/>
          <w:shd w:val="clear" w:color="auto" w:fill="FFFFFF"/>
          <w:lang w:eastAsia="zh-CN"/>
        </w:rPr>
        <w:t>（</w:t>
      </w:r>
      <w:r>
        <w:rPr>
          <w:rFonts w:hint="eastAsia" w:ascii="仿宋_GB2312" w:hAnsi="仿宋_GB2312" w:cs="仿宋_GB2312"/>
          <w:szCs w:val="32"/>
          <w:shd w:val="clear" w:color="auto" w:fill="FFFFFF"/>
          <w:lang w:val="en-US" w:eastAsia="zh-CN"/>
        </w:rPr>
        <w:t>昆财教[2019]35号）21</w:t>
      </w:r>
      <w:r>
        <w:rPr>
          <w:rFonts w:hint="eastAsia" w:ascii="仿宋_GB2312" w:hAnsi="仿宋_GB2312" w:cs="仿宋_GB2312"/>
          <w:szCs w:val="32"/>
          <w:shd w:val="clear" w:color="auto" w:fill="FFFFFF"/>
        </w:rPr>
        <w:t>.</w:t>
      </w:r>
      <w:r>
        <w:rPr>
          <w:rFonts w:hint="eastAsia" w:ascii="仿宋_GB2312" w:hAnsi="仿宋_GB2312" w:cs="仿宋_GB2312"/>
          <w:szCs w:val="32"/>
          <w:shd w:val="clear" w:color="auto" w:fill="FFFFFF"/>
          <w:lang w:val="en-US" w:eastAsia="zh-CN"/>
        </w:rPr>
        <w:t>57</w:t>
      </w:r>
      <w:r>
        <w:rPr>
          <w:rFonts w:hint="eastAsia" w:ascii="仿宋_GB2312" w:hAnsi="仿宋_GB2312" w:cs="仿宋_GB2312"/>
          <w:szCs w:val="32"/>
          <w:shd w:val="clear" w:color="auto" w:fill="FFFFFF"/>
        </w:rPr>
        <w:t>万元。</w:t>
      </w:r>
      <w:r>
        <w:rPr>
          <w:rFonts w:hint="eastAsia" w:ascii="仿宋_GB2312" w:hAnsi="楷体"/>
          <w:szCs w:val="32"/>
          <w:lang w:val="en-US" w:eastAsia="zh-CN"/>
        </w:rPr>
        <w:t>该项资金</w:t>
      </w:r>
      <w:r>
        <w:rPr>
          <w:rFonts w:hint="eastAsia" w:ascii="仿宋_GB2312" w:hAnsi="楷体"/>
          <w:szCs w:val="32"/>
        </w:rPr>
        <w:t>由富民县财政局拨付到富民县文旅局后再拨付到5镇</w:t>
      </w:r>
      <w:r>
        <w:rPr>
          <w:rFonts w:hint="eastAsia" w:ascii="仿宋_GB2312" w:hAnsi="楷体"/>
          <w:szCs w:val="32"/>
          <w:lang w:val="en-US" w:eastAsia="zh-CN"/>
        </w:rPr>
        <w:t>2</w:t>
      </w:r>
      <w:r>
        <w:rPr>
          <w:rFonts w:hint="eastAsia" w:ascii="仿宋_GB2312" w:hAnsi="楷体"/>
          <w:szCs w:val="32"/>
        </w:rPr>
        <w:t>街道文化站。</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楷体"/>
          <w:szCs w:val="32"/>
        </w:rPr>
      </w:pPr>
      <w:r>
        <w:rPr>
          <w:rFonts w:hint="eastAsia" w:ascii="仿宋_GB2312" w:hAnsi="楷体"/>
          <w:szCs w:val="32"/>
        </w:rPr>
        <w:t>富民县201</w:t>
      </w:r>
      <w:r>
        <w:rPr>
          <w:rFonts w:hint="eastAsia" w:ascii="仿宋_GB2312" w:hAnsi="楷体"/>
          <w:szCs w:val="32"/>
          <w:lang w:val="en-US" w:eastAsia="zh-CN"/>
        </w:rPr>
        <w:t>9</w:t>
      </w:r>
      <w:r>
        <w:rPr>
          <w:rFonts w:hint="eastAsia" w:ascii="仿宋_GB2312" w:hAnsi="楷体"/>
          <w:szCs w:val="32"/>
        </w:rPr>
        <w:t>年基层公共文化服务专项资金无截留、挪用、挤占的情况，并按照工作开展情况及时拨付到各镇（街道）文化站</w:t>
      </w:r>
      <w:r>
        <w:rPr>
          <w:rFonts w:hint="eastAsia" w:ascii="仿宋_GB2312" w:hAnsi="楷体"/>
          <w:szCs w:val="32"/>
          <w:lang w:eastAsia="zh-CN"/>
        </w:rPr>
        <w:t>，</w:t>
      </w:r>
      <w:r>
        <w:rPr>
          <w:rFonts w:hint="eastAsia" w:ascii="仿宋_GB2312" w:hAnsi="楷体"/>
          <w:szCs w:val="32"/>
        </w:rPr>
        <w:t>主要用于文化站日常运转、书报更新、文化活动开展等。</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楷体"/>
          <w:szCs w:val="32"/>
        </w:rPr>
      </w:pPr>
      <w:r>
        <w:rPr>
          <w:rFonts w:hint="eastAsia" w:ascii="仿宋_GB2312" w:hAnsi="楷体"/>
          <w:szCs w:val="32"/>
        </w:rPr>
        <w:t>4.组织及管理情况。</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楷体"/>
          <w:szCs w:val="32"/>
        </w:rPr>
      </w:pPr>
      <w:r>
        <w:rPr>
          <w:rFonts w:hint="eastAsia" w:ascii="仿宋_GB2312" w:hAnsi="楷体"/>
          <w:szCs w:val="32"/>
        </w:rPr>
        <w:t>按照年初资金预算分解落实项目责任，各项日常性工作正常有效开展，对各项支出基本做到了有计划、有督促、有检查、有落实，从而保证了各项工作的完成，在费用支出中，依据“八项规定”及《党政机关厉行节约反对浪费条例》等制度，在保障日常工作的正常有序开展的情况下，做到了资金的节约。</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楷体"/>
          <w:szCs w:val="32"/>
        </w:rPr>
      </w:pPr>
      <w:r>
        <w:rPr>
          <w:rFonts w:hint="eastAsia" w:ascii="仿宋_GB2312" w:hAnsi="楷体"/>
          <w:szCs w:val="32"/>
        </w:rPr>
        <w:t>富民县图书馆、文化馆及各镇（街道）文化站在资金到位后按照年前工作计划，以春节系列文化活动为主题，开展各类展览，培训，演出活动，资金使用率及使用进度达100%。项目资金实行专款专用，专项核算。富民县文旅局在各项资金到位后，均按照各项标准足额拨付到图书馆、文化馆及各镇（街道）文化站，开展公共文化服务相关工作。</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楷体"/>
          <w:szCs w:val="32"/>
        </w:rPr>
      </w:pPr>
      <w:r>
        <w:rPr>
          <w:rFonts w:hint="eastAsia" w:ascii="仿宋_GB2312" w:hAnsi="楷体"/>
          <w:szCs w:val="32"/>
        </w:rPr>
        <w:t>（二）绩效目标。</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楷体"/>
          <w:szCs w:val="32"/>
        </w:rPr>
      </w:pPr>
      <w:r>
        <w:rPr>
          <w:rFonts w:hint="eastAsia" w:ascii="仿宋_GB2312" w:hAnsi="楷体"/>
          <w:szCs w:val="32"/>
        </w:rPr>
        <w:t>1.总目标。</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楷体"/>
          <w:szCs w:val="32"/>
        </w:rPr>
      </w:pPr>
      <w:r>
        <w:rPr>
          <w:rFonts w:hint="eastAsia" w:ascii="仿宋_GB2312" w:hAnsi="楷体"/>
          <w:szCs w:val="32"/>
        </w:rPr>
        <w:t>引导和支持地方提供基本公共文化服务项目，改善基层公共文化体育设施条件，加强基层公共文化服务人才队伍建设等，支持加快构建现代公共文化服务体系，促进基本公共文化服务标准化、均等化，保障广大群众读书看报、观看电视、观赏电影、进行文化鉴赏、开展文化体育活动等基本文化权益。</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楷体"/>
          <w:szCs w:val="32"/>
        </w:rPr>
      </w:pPr>
      <w:r>
        <w:rPr>
          <w:rFonts w:hint="eastAsia" w:ascii="仿宋_GB2312" w:hAnsi="楷体"/>
          <w:szCs w:val="32"/>
        </w:rPr>
        <w:t>引导和支持地方提供基本公共文化服务项目，改善基层公共文化体育设施条件，加强基层公共文化服务人才队伍建设等，支持加快构建现代公共文化服务体系，促进基本公共文化服务标准化、均等化，保障广大群众读书看报、观看电视、观赏电影、进行文化鉴赏、开展文化体育活动等基本文化权益。</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楷体"/>
          <w:szCs w:val="32"/>
        </w:rPr>
      </w:pPr>
      <w:r>
        <w:rPr>
          <w:rFonts w:hint="eastAsia" w:ascii="仿宋_GB2312" w:hAnsi="楷体"/>
          <w:szCs w:val="32"/>
        </w:rPr>
        <w:t>2.年度目标。</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楷体"/>
          <w:szCs w:val="32"/>
        </w:rPr>
      </w:pPr>
      <w:r>
        <w:rPr>
          <w:rFonts w:hint="eastAsia" w:ascii="仿宋_GB2312" w:hAnsi="楷体"/>
          <w:szCs w:val="32"/>
        </w:rPr>
        <w:t>（1）产出目标。</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楷体"/>
          <w:szCs w:val="32"/>
        </w:rPr>
      </w:pPr>
      <w:r>
        <w:rPr>
          <w:rFonts w:hint="eastAsia" w:ascii="仿宋_GB2312" w:hAnsi="仿宋_GB2312" w:cs="仿宋_GB2312"/>
          <w:szCs w:val="32"/>
          <w:shd w:val="clear" w:color="auto" w:fill="FFFFFF"/>
        </w:rPr>
        <w:t>201</w:t>
      </w:r>
      <w:r>
        <w:rPr>
          <w:rFonts w:hint="eastAsia" w:ascii="仿宋_GB2312" w:hAnsi="仿宋_GB2312" w:cs="仿宋_GB2312"/>
          <w:szCs w:val="32"/>
          <w:shd w:val="clear" w:color="auto" w:fill="FFFFFF"/>
          <w:lang w:val="en-US" w:eastAsia="zh-CN"/>
        </w:rPr>
        <w:t>9</w:t>
      </w:r>
      <w:r>
        <w:rPr>
          <w:rFonts w:hint="eastAsia" w:ascii="仿宋_GB2312" w:hAnsi="仿宋_GB2312" w:cs="仿宋_GB2312"/>
          <w:szCs w:val="32"/>
          <w:shd w:val="clear" w:color="auto" w:fill="FFFFFF"/>
        </w:rPr>
        <w:t>年富民县馆、站、室全部免费向公众开放。开展主题文艺演出</w:t>
      </w:r>
      <w:r>
        <w:rPr>
          <w:rFonts w:hint="eastAsia" w:ascii="仿宋_GB2312" w:hAnsi="仿宋_GB2312" w:cs="仿宋_GB2312"/>
          <w:szCs w:val="32"/>
          <w:shd w:val="clear" w:color="auto" w:fill="FFFFFF"/>
          <w:lang w:val="en-US" w:eastAsia="zh-CN"/>
        </w:rPr>
        <w:t>105</w:t>
      </w:r>
      <w:r>
        <w:rPr>
          <w:rFonts w:hint="eastAsia" w:ascii="仿宋_GB2312" w:hAnsi="仿宋_GB2312" w:cs="仿宋_GB2312"/>
          <w:szCs w:val="32"/>
          <w:shd w:val="clear" w:color="auto" w:fill="FFFFFF"/>
        </w:rPr>
        <w:t>场次，送戏下乡演出共</w:t>
      </w:r>
      <w:r>
        <w:rPr>
          <w:rFonts w:hint="eastAsia" w:ascii="仿宋_GB2312" w:hAnsi="仿宋_GB2312" w:cs="仿宋_GB2312"/>
          <w:szCs w:val="32"/>
          <w:shd w:val="clear" w:color="auto" w:fill="FFFFFF"/>
          <w:lang w:val="en-US" w:eastAsia="zh-CN"/>
        </w:rPr>
        <w:t>80</w:t>
      </w:r>
      <w:r>
        <w:rPr>
          <w:rFonts w:hint="eastAsia" w:ascii="仿宋_GB2312" w:hAnsi="仿宋_GB2312" w:cs="仿宋_GB2312"/>
          <w:szCs w:val="32"/>
          <w:shd w:val="clear" w:color="auto" w:fill="FFFFFF"/>
        </w:rPr>
        <w:t>场次，举办各类培训班36期，举办图片展、非遗展等展览活动12次，美术、书法、舞蹈、器乐公益培训班4期，“空中大讲堂”</w:t>
      </w:r>
      <w:r>
        <w:rPr>
          <w:rFonts w:hint="eastAsia" w:ascii="仿宋_GB2312" w:hAnsi="仿宋_GB2312" w:cs="仿宋_GB2312"/>
          <w:szCs w:val="32"/>
          <w:shd w:val="clear" w:color="auto" w:fill="FFFFFF"/>
          <w:lang w:val="en-US" w:eastAsia="zh-CN"/>
        </w:rPr>
        <w:t>6</w:t>
      </w:r>
      <w:r>
        <w:rPr>
          <w:rFonts w:hint="eastAsia" w:ascii="仿宋_GB2312" w:hAnsi="仿宋_GB2312" w:cs="仿宋_GB2312"/>
          <w:szCs w:val="32"/>
          <w:shd w:val="clear" w:color="auto" w:fill="FFFFFF"/>
        </w:rPr>
        <w:t>期</w:t>
      </w:r>
      <w:r>
        <w:rPr>
          <w:rFonts w:hint="eastAsia" w:ascii="仿宋_GB2312" w:hAnsi="仿宋_GB2312" w:cs="仿宋_GB2312"/>
          <w:szCs w:val="32"/>
          <w:shd w:val="clear" w:color="auto" w:fill="FFFFFF"/>
          <w:lang w:val="en-US" w:eastAsia="zh-CN"/>
        </w:rPr>
        <w:t>12</w:t>
      </w:r>
      <w:r>
        <w:rPr>
          <w:rFonts w:hint="eastAsia" w:ascii="仿宋_GB2312" w:hAnsi="仿宋_GB2312" w:cs="仿宋_GB2312"/>
          <w:szCs w:val="32"/>
          <w:shd w:val="clear" w:color="auto" w:fill="FFFFFF"/>
        </w:rPr>
        <w:t>讲。各镇（街道）、村（社区）举办综合性公益群众文化活动500余次，组织公益性展览</w:t>
      </w:r>
      <w:r>
        <w:rPr>
          <w:rFonts w:hint="eastAsia" w:ascii="仿宋_GB2312" w:hAnsi="仿宋_GB2312" w:cs="仿宋_GB2312"/>
          <w:szCs w:val="32"/>
          <w:shd w:val="clear" w:color="auto" w:fill="FFFFFF"/>
          <w:lang w:val="en-US" w:eastAsia="zh-CN"/>
        </w:rPr>
        <w:t>25</w:t>
      </w:r>
      <w:r>
        <w:rPr>
          <w:rFonts w:hint="eastAsia" w:ascii="仿宋_GB2312" w:hAnsi="仿宋_GB2312" w:cs="仿宋_GB2312"/>
          <w:szCs w:val="32"/>
          <w:shd w:val="clear" w:color="auto" w:fill="FFFFFF"/>
        </w:rPr>
        <w:t>次，宣传文化、科普、法制、农技等橱窗专栏32期，业余文艺骨干培训班15次，开展公益性讲座12次，完成农村电影放映900场，受惠观众达3万多人，慰问电影放映90场，观众达3千余人次</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楷体"/>
          <w:szCs w:val="32"/>
        </w:rPr>
      </w:pPr>
      <w:r>
        <w:rPr>
          <w:rFonts w:hint="eastAsia" w:ascii="仿宋_GB2312" w:hAnsi="楷体"/>
          <w:szCs w:val="32"/>
        </w:rPr>
        <w:t>（2）效果目标。</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szCs w:val="32"/>
        </w:rPr>
      </w:pPr>
      <w:r>
        <w:rPr>
          <w:rFonts w:hint="eastAsia" w:ascii="仿宋_GB2312" w:hAnsi="仿宋_GB2312"/>
          <w:szCs w:val="32"/>
        </w:rPr>
        <w:t>项目实施的社会效益分析。基层公共文化服务经费保障政策的落实，保障了农村基层群众基本公共文化权益，图书馆、文化馆、文化站（室）全部实现了免费开放，农村文化活动进一步活跃。极大地解决了农村群众看电视难、看电影难、读书读报难、开展活动无、资金、无场地等困难，全县农村业余文艺队300余支，传播着先进文化和交流，促进了民族团结和社会和谐稳定，基层公共文化服务经费不断解决农村文体基础设施薄弱的问题。解决了文化传承人的生活补助、树立了传承民族文化的自信心和自豪感。广播电视综合人口覆盖率达到99%，国民体质有效改善。</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szCs w:val="32"/>
        </w:rPr>
      </w:pPr>
      <w:r>
        <w:rPr>
          <w:rFonts w:hint="eastAsia" w:ascii="仿宋_GB2312" w:hAnsi="仿宋_GB2312"/>
          <w:szCs w:val="32"/>
        </w:rPr>
        <w:t>项目实施的可持续影响分析。通过实施基层公共文化服务建设，坚持以政府为主导、以公共财政为支撑、以全民为服务对象、以基层为重点，通过完善我县基层公共文化服务体系，实施基本公共文化服务项目，建立健全基层公共文化服务运行机制，形成设施基本完善、布局基本合理、内容丰富、质量优质、保障充分的基层公共文化服务新格局。我县城乡公共文化服务水平差距明显缩小，文化建设协调发展，初步实现基本公共文化服务均等化。今后要与经济社会发展水平相适宜，进一步健全基层公共文化服务体系和运行机制，丰富服务内容，提高服务水平，更多更好地保障人民群众的基本文化权益。</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黑体" w:hAnsi="黑体" w:eastAsia="黑体"/>
          <w:szCs w:val="32"/>
        </w:rPr>
      </w:pPr>
      <w:r>
        <w:rPr>
          <w:rFonts w:hint="eastAsia" w:ascii="黑体" w:hAnsi="黑体" w:eastAsia="黑体"/>
          <w:szCs w:val="32"/>
        </w:rPr>
        <w:t>二、绩效评价工作情况</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楷体"/>
          <w:szCs w:val="32"/>
        </w:rPr>
      </w:pPr>
      <w:r>
        <w:rPr>
          <w:rFonts w:hint="eastAsia" w:ascii="仿宋_GB2312" w:hAnsi="楷体"/>
          <w:szCs w:val="32"/>
        </w:rPr>
        <w:t>（一）阐述的主要内容：</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szCs w:val="32"/>
        </w:rPr>
      </w:pPr>
      <w:r>
        <w:rPr>
          <w:rFonts w:hint="eastAsia" w:ascii="仿宋_GB2312" w:hAnsi="仿宋_GB2312"/>
          <w:szCs w:val="32"/>
        </w:rPr>
        <w:t>项目实施的社会效益分析。基层公共文化服务经费保障政策的落实，保障了农村基层群众基本公共文化权益，图书馆、文化馆、文化站（室）全部实现了免费开放，农村文化活动进一步活跃。极大地解决了农村群众看电视难、看电影难、读书读报难、开展活动无、资金、无场地等困难，全县农村业余文艺队300余支，传播着先进文化和交流，促进了民族团结和社会和谐稳定，基层公共文化服务经费不断解决农村文体基础设施薄弱的问题。解决了文化传承人的生活补助、树立了传承民族文化的自信心和自豪感。广播电视综合人口覆盖率达到99%，国民体质有效改善。</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szCs w:val="32"/>
        </w:rPr>
      </w:pPr>
      <w:r>
        <w:rPr>
          <w:rFonts w:hint="eastAsia" w:ascii="仿宋_GB2312" w:hAnsi="仿宋_GB2312"/>
          <w:szCs w:val="32"/>
        </w:rPr>
        <w:t>项目实施的可持续影响分析。通过实施基层公共文化服务建设，坚持以政府为主导、以公共财政为支撑、以全民为服务对象、以基层为重点，通过完善我县基层公共文化服务体系，实施基本公共文化服务项目，建立健全基层公共文化服务运行机制，形成设施基本完善、布局基本合理、内容丰富、质量优质、保障充分的基层公共文化服务新格局。我县城乡公共文化服务水平差距明显缩小，文化建设协调发展，初步实现基本公共文化服务均等化。今后要与经济社会发展水平相适宜，进一步健全基层公共文化服务体系和运行机制，丰富服务内容，提高服务水平，更多更好地保障人民群众的基本文化权益。</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楷体"/>
          <w:szCs w:val="32"/>
        </w:rPr>
      </w:pPr>
      <w:r>
        <w:rPr>
          <w:rFonts w:hint="eastAsia" w:ascii="仿宋_GB2312" w:hAnsi="楷体"/>
          <w:szCs w:val="32"/>
        </w:rPr>
        <w:t>（二）绩效评价原则、评价方法</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楷体"/>
          <w:szCs w:val="32"/>
        </w:rPr>
      </w:pPr>
      <w:r>
        <w:rPr>
          <w:rFonts w:hint="eastAsia" w:ascii="仿宋_GB2312" w:hAnsi="楷体"/>
          <w:szCs w:val="32"/>
        </w:rPr>
        <w:t>1.绩效评价原则。</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楷体"/>
          <w:szCs w:val="32"/>
        </w:rPr>
      </w:pPr>
      <w:r>
        <w:rPr>
          <w:rFonts w:hint="eastAsia" w:ascii="仿宋_GB2312" w:hAnsi="楷体"/>
          <w:szCs w:val="32"/>
        </w:rPr>
        <w:t>科学规范原则。绩效评价工作严格执行规定的程序，按照科学可行的要求，采用定量分析与定性分析相结合的方法对项目资金进行评价。</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楷体"/>
          <w:szCs w:val="32"/>
        </w:rPr>
      </w:pPr>
      <w:r>
        <w:rPr>
          <w:rFonts w:hint="eastAsia" w:ascii="仿宋_GB2312" w:hAnsi="楷体"/>
          <w:szCs w:val="32"/>
        </w:rPr>
        <w:t>公正公开原则。绩效评价符合真实、客观、公正的要求，依法公开并接受监督。</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楷体"/>
          <w:szCs w:val="32"/>
        </w:rPr>
      </w:pPr>
      <w:r>
        <w:rPr>
          <w:rFonts w:hint="eastAsia" w:ascii="仿宋_GB2312" w:hAnsi="楷体"/>
          <w:szCs w:val="32"/>
        </w:rPr>
        <w:t>分级分类原则。绩效评价由富民县财政局、富民县文旅局根据评价对象的特点分类组织实施相关工作。</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楷体"/>
          <w:szCs w:val="32"/>
        </w:rPr>
      </w:pPr>
      <w:r>
        <w:rPr>
          <w:rFonts w:hint="eastAsia" w:ascii="仿宋_GB2312" w:hAnsi="楷体"/>
          <w:szCs w:val="32"/>
        </w:rPr>
        <w:t>绩效相关原则。绩效评价针对201</w:t>
      </w:r>
      <w:r>
        <w:rPr>
          <w:rFonts w:hint="eastAsia" w:ascii="仿宋_GB2312" w:hAnsi="楷体"/>
          <w:szCs w:val="32"/>
          <w:lang w:val="en-US" w:eastAsia="zh-CN"/>
        </w:rPr>
        <w:t>9</w:t>
      </w:r>
      <w:r>
        <w:rPr>
          <w:rFonts w:hint="eastAsia" w:ascii="仿宋_GB2312" w:hAnsi="楷体"/>
          <w:szCs w:val="32"/>
        </w:rPr>
        <w:t>年图书馆、文化馆（站）的具体支出及其产出绩效进行，评价结果清晰反映支出和产出绩效之间的紧密对应关系。</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楷体"/>
          <w:szCs w:val="32"/>
        </w:rPr>
      </w:pPr>
      <w:r>
        <w:rPr>
          <w:rFonts w:hint="eastAsia" w:ascii="仿宋_GB2312" w:hAnsi="楷体"/>
          <w:szCs w:val="32"/>
        </w:rPr>
        <w:t>2.绩效评价方法。</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szCs w:val="32"/>
        </w:rPr>
      </w:pPr>
      <w:r>
        <w:rPr>
          <w:rFonts w:hint="eastAsia" w:ascii="仿宋_GB2312" w:hAnsi="仿宋_GB2312"/>
          <w:szCs w:val="32"/>
        </w:rPr>
        <w:t>绩效评价工作严格执行规定的程序，按照科学可行的要求，采用定量分析与定性分析相结合的方法对免费开放资金进行评价。</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szCs w:val="32"/>
        </w:rPr>
      </w:pPr>
      <w:r>
        <w:rPr>
          <w:rFonts w:hint="eastAsia" w:ascii="仿宋_GB2312" w:hAnsi="仿宋_GB2312"/>
          <w:szCs w:val="32"/>
        </w:rPr>
        <w:t>建立经费保障机制。县财政局将支持免费开放工作与建立公益性文化事业单位经费保障机制紧密结合，确保两馆一站免费开放正常运行并提供基本公共文化服务。</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szCs w:val="32"/>
        </w:rPr>
      </w:pPr>
      <w:r>
        <w:rPr>
          <w:rFonts w:hint="eastAsia" w:ascii="仿宋_GB2312" w:hAnsi="仿宋_GB2312"/>
          <w:szCs w:val="32"/>
        </w:rPr>
        <w:t>加强督促考核、宣传引导。我局联合县财政局对照免费开放基本内容、目标和服务标准，对两馆一站进行了督促检查和考评，并结合考评结果，划拨免费开放专项资金。同时我局还利用各类媒体进行免费开放的宣传工作，利用两馆一站的橱窗、宣传栏进行宣传，切实提高了免费开放工作社会知晓率，为免费开放工作营造了良好的社会氛围。</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黑体" w:hAnsi="黑体" w:eastAsia="黑体"/>
          <w:szCs w:val="32"/>
        </w:rPr>
      </w:pPr>
      <w:r>
        <w:rPr>
          <w:rFonts w:hint="eastAsia" w:ascii="黑体" w:hAnsi="黑体" w:eastAsia="黑体"/>
          <w:szCs w:val="32"/>
        </w:rPr>
        <w:t>三、评价结论</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仿宋"/>
          <w:szCs w:val="32"/>
        </w:rPr>
      </w:pPr>
      <w:r>
        <w:rPr>
          <w:rFonts w:hint="eastAsia" w:ascii="仿宋_GB2312" w:hAnsi="仿宋"/>
          <w:szCs w:val="32"/>
        </w:rPr>
        <w:t>（一）评价结果。</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szCs w:val="32"/>
        </w:rPr>
      </w:pPr>
      <w:r>
        <w:rPr>
          <w:rFonts w:hint="eastAsia" w:ascii="仿宋_GB2312" w:hAnsi="仿宋_GB2312"/>
          <w:szCs w:val="32"/>
        </w:rPr>
        <w:t>绩效评价工作严格执行规定的程序，按照科学可行的要求，采用定量分析与定性分析相结合的方法对免费开放资金进行评价。</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szCs w:val="32"/>
        </w:rPr>
      </w:pPr>
      <w:r>
        <w:rPr>
          <w:rFonts w:hint="eastAsia" w:ascii="仿宋_GB2312" w:hAnsi="仿宋_GB2312"/>
          <w:szCs w:val="32"/>
        </w:rPr>
        <w:t>建立经费保障机制。县财政局将支持免费开放工作与建立公益性文化事业单位经费保障机制紧密结合，确保两馆一站免费开放正常运行并提供基本公共文化服务。</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szCs w:val="32"/>
        </w:rPr>
      </w:pPr>
      <w:r>
        <w:rPr>
          <w:rFonts w:hint="eastAsia" w:ascii="仿宋_GB2312" w:hAnsi="仿宋_GB2312"/>
          <w:szCs w:val="32"/>
        </w:rPr>
        <w:t>加强督促考核、宣传引导。我局联合县财政局对照免费开放基本内容、目标和服务标准，对两馆一站进行了督促检查和考评，并结合考评结果，划拨免费开放专项资金。同时我局还利用各类媒体进行免费开放的宣传工作，利用两馆一站的橱窗、宣传栏进行宣传，切实提高了免费开放工作社会知晓率，为免费开放工作营造了良好的社会氛围。</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仿宋"/>
          <w:szCs w:val="32"/>
        </w:rPr>
      </w:pPr>
      <w:r>
        <w:rPr>
          <w:rFonts w:hint="eastAsia" w:ascii="仿宋_GB2312" w:hAnsi="仿宋"/>
          <w:szCs w:val="32"/>
        </w:rPr>
        <w:t>（二）主要绩效。</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楷体" w:eastAsia="仿宋_GB2312"/>
          <w:szCs w:val="32"/>
          <w:lang w:eastAsia="zh-CN"/>
        </w:rPr>
      </w:pPr>
      <w:r>
        <w:rPr>
          <w:rFonts w:hint="eastAsia" w:ascii="仿宋_GB2312" w:hAnsi="仿宋_GB2312" w:cs="仿宋_GB2312"/>
          <w:szCs w:val="32"/>
          <w:shd w:val="clear" w:color="auto" w:fill="FFFFFF"/>
        </w:rPr>
        <w:t>201</w:t>
      </w:r>
      <w:r>
        <w:rPr>
          <w:rFonts w:hint="eastAsia" w:ascii="仿宋_GB2312" w:hAnsi="仿宋_GB2312" w:cs="仿宋_GB2312"/>
          <w:szCs w:val="32"/>
          <w:shd w:val="clear" w:color="auto" w:fill="FFFFFF"/>
          <w:lang w:val="en-US" w:eastAsia="zh-CN"/>
        </w:rPr>
        <w:t>9</w:t>
      </w:r>
      <w:r>
        <w:rPr>
          <w:rFonts w:hint="eastAsia" w:ascii="仿宋_GB2312" w:hAnsi="仿宋_GB2312" w:cs="仿宋_GB2312"/>
          <w:szCs w:val="32"/>
          <w:shd w:val="clear" w:color="auto" w:fill="FFFFFF"/>
        </w:rPr>
        <w:t>年富民县馆、站、室全部免费向公众开放。开展主题文艺演出</w:t>
      </w:r>
      <w:r>
        <w:rPr>
          <w:rFonts w:hint="eastAsia" w:ascii="仿宋_GB2312" w:hAnsi="仿宋_GB2312" w:cs="仿宋_GB2312"/>
          <w:szCs w:val="32"/>
          <w:shd w:val="clear" w:color="auto" w:fill="FFFFFF"/>
          <w:lang w:val="en-US" w:eastAsia="zh-CN"/>
        </w:rPr>
        <w:t>105</w:t>
      </w:r>
      <w:r>
        <w:rPr>
          <w:rFonts w:hint="eastAsia" w:ascii="仿宋_GB2312" w:hAnsi="仿宋_GB2312" w:cs="仿宋_GB2312"/>
          <w:szCs w:val="32"/>
          <w:shd w:val="clear" w:color="auto" w:fill="FFFFFF"/>
        </w:rPr>
        <w:t>场次，送戏下乡演出共</w:t>
      </w:r>
      <w:r>
        <w:rPr>
          <w:rFonts w:hint="eastAsia" w:ascii="仿宋_GB2312" w:hAnsi="仿宋_GB2312" w:cs="仿宋_GB2312"/>
          <w:szCs w:val="32"/>
          <w:shd w:val="clear" w:color="auto" w:fill="FFFFFF"/>
          <w:lang w:val="en-US" w:eastAsia="zh-CN"/>
        </w:rPr>
        <w:t>80</w:t>
      </w:r>
      <w:r>
        <w:rPr>
          <w:rFonts w:hint="eastAsia" w:ascii="仿宋_GB2312" w:hAnsi="仿宋_GB2312" w:cs="仿宋_GB2312"/>
          <w:szCs w:val="32"/>
          <w:shd w:val="clear" w:color="auto" w:fill="FFFFFF"/>
        </w:rPr>
        <w:t>场次，举办各类培训班36期，举办图片展、非遗展等展览活动12次，美术、书法、舞蹈、器乐公益培训班4期，“空中大讲堂”</w:t>
      </w:r>
      <w:r>
        <w:rPr>
          <w:rFonts w:hint="eastAsia" w:ascii="仿宋_GB2312" w:hAnsi="仿宋_GB2312" w:cs="仿宋_GB2312"/>
          <w:szCs w:val="32"/>
          <w:shd w:val="clear" w:color="auto" w:fill="FFFFFF"/>
          <w:lang w:val="en-US" w:eastAsia="zh-CN"/>
        </w:rPr>
        <w:t>6</w:t>
      </w:r>
      <w:r>
        <w:rPr>
          <w:rFonts w:hint="eastAsia" w:ascii="仿宋_GB2312" w:hAnsi="仿宋_GB2312" w:cs="仿宋_GB2312"/>
          <w:szCs w:val="32"/>
          <w:shd w:val="clear" w:color="auto" w:fill="FFFFFF"/>
        </w:rPr>
        <w:t>期</w:t>
      </w:r>
      <w:r>
        <w:rPr>
          <w:rFonts w:hint="eastAsia" w:ascii="仿宋_GB2312" w:hAnsi="仿宋_GB2312" w:cs="仿宋_GB2312"/>
          <w:szCs w:val="32"/>
          <w:shd w:val="clear" w:color="auto" w:fill="FFFFFF"/>
          <w:lang w:val="en-US" w:eastAsia="zh-CN"/>
        </w:rPr>
        <w:t>12</w:t>
      </w:r>
      <w:r>
        <w:rPr>
          <w:rFonts w:hint="eastAsia" w:ascii="仿宋_GB2312" w:hAnsi="仿宋_GB2312" w:cs="仿宋_GB2312"/>
          <w:szCs w:val="32"/>
          <w:shd w:val="clear" w:color="auto" w:fill="FFFFFF"/>
        </w:rPr>
        <w:t>讲。各镇（街道）、村（社区）举办综合性公益群众文化活动500余次，组织公益性展览</w:t>
      </w:r>
      <w:r>
        <w:rPr>
          <w:rFonts w:hint="eastAsia" w:ascii="仿宋_GB2312" w:hAnsi="仿宋_GB2312" w:cs="仿宋_GB2312"/>
          <w:szCs w:val="32"/>
          <w:shd w:val="clear" w:color="auto" w:fill="FFFFFF"/>
          <w:lang w:val="en-US" w:eastAsia="zh-CN"/>
        </w:rPr>
        <w:t>25</w:t>
      </w:r>
      <w:r>
        <w:rPr>
          <w:rFonts w:hint="eastAsia" w:ascii="仿宋_GB2312" w:hAnsi="仿宋_GB2312" w:cs="仿宋_GB2312"/>
          <w:szCs w:val="32"/>
          <w:shd w:val="clear" w:color="auto" w:fill="FFFFFF"/>
        </w:rPr>
        <w:t>次，宣传文化、科普、法制、农技等橱窗专栏32期，业余文艺骨干培训班15次，开展公益性讲座12次，完成农村电影放映900场，受惠观众达3万多人，慰问电影放映90场，观众达3千余人次</w:t>
      </w:r>
      <w:r>
        <w:rPr>
          <w:rFonts w:hint="eastAsia" w:ascii="仿宋_GB2312" w:hAnsi="仿宋_GB2312" w:cs="仿宋_GB2312"/>
          <w:szCs w:val="32"/>
          <w:shd w:val="clear" w:color="auto" w:fill="FFFFFF"/>
          <w:lang w:eastAsia="zh-CN"/>
        </w:rPr>
        <w:t>。</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黑体" w:hAnsi="黑体" w:eastAsia="黑体"/>
          <w:szCs w:val="32"/>
        </w:rPr>
      </w:pPr>
      <w:r>
        <w:rPr>
          <w:rFonts w:hint="eastAsia" w:ascii="黑体" w:hAnsi="黑体" w:eastAsia="黑体"/>
          <w:szCs w:val="32"/>
        </w:rPr>
        <w:t>四、成本效益分析。</w:t>
      </w:r>
    </w:p>
    <w:p>
      <w:pPr>
        <w:keepNext w:val="0"/>
        <w:keepLines w:val="0"/>
        <w:pageBreakBefore w:val="0"/>
        <w:kinsoku/>
        <w:wordWrap/>
        <w:overflowPunct/>
        <w:autoSpaceDE/>
        <w:autoSpaceDN/>
        <w:bidi w:val="0"/>
        <w:adjustRightInd/>
        <w:snapToGrid/>
        <w:spacing w:line="560" w:lineRule="exact"/>
        <w:ind w:firstLine="640" w:firstLineChars="200"/>
        <w:textAlignment w:val="auto"/>
        <w:rPr>
          <w:rFonts w:ascii="仿宋_GB2312" w:hAnsi="宋体" w:cs="宋体"/>
          <w:szCs w:val="32"/>
        </w:rPr>
      </w:pPr>
      <w:r>
        <w:rPr>
          <w:rFonts w:ascii="仿宋_GB2312" w:hAnsi="仿宋_GB2312" w:cs="仿宋_GB2312"/>
          <w:szCs w:val="32"/>
        </w:rPr>
        <w:t>201</w:t>
      </w:r>
      <w:r>
        <w:rPr>
          <w:rFonts w:hint="eastAsia" w:ascii="仿宋_GB2312" w:hAnsi="仿宋_GB2312" w:cs="仿宋_GB2312"/>
          <w:szCs w:val="32"/>
          <w:lang w:val="en-US" w:eastAsia="zh-CN"/>
        </w:rPr>
        <w:t>9</w:t>
      </w:r>
      <w:r>
        <w:rPr>
          <w:rFonts w:hint="eastAsia" w:ascii="仿宋_GB2312" w:hAnsi="仿宋_GB2312" w:cs="仿宋_GB2312"/>
          <w:szCs w:val="32"/>
        </w:rPr>
        <w:t>年富民县文化和旅游局</w:t>
      </w:r>
      <w:r>
        <w:rPr>
          <w:rFonts w:hint="eastAsia" w:ascii="仿宋_GB2312" w:hAnsi="仿宋_GB2312"/>
          <w:bCs/>
          <w:szCs w:val="32"/>
        </w:rPr>
        <w:t>按照年初资金预算分解落实项目责任，</w:t>
      </w:r>
      <w:r>
        <w:rPr>
          <w:rFonts w:hint="eastAsia" w:ascii="仿宋_GB2312" w:hAnsi="仿宋" w:cs="仿宋"/>
          <w:szCs w:val="32"/>
        </w:rPr>
        <w:t>各项日常性工作正常有效开展，</w:t>
      </w:r>
      <w:r>
        <w:rPr>
          <w:rFonts w:hint="eastAsia" w:ascii="仿宋_GB2312" w:hAnsi="仿宋_GB2312"/>
          <w:bCs/>
          <w:szCs w:val="32"/>
        </w:rPr>
        <w:t>对各项支出基本做到了有计划、有督促、有检查、有落实，从而保证了各项工作的完成，</w:t>
      </w:r>
      <w:r>
        <w:rPr>
          <w:rFonts w:hint="eastAsia" w:ascii="仿宋_GB2312" w:hAnsi="宋体" w:cs="宋体"/>
          <w:szCs w:val="32"/>
        </w:rPr>
        <w:t>但部分项目还应进一步加强绩效跟踪的分析和总结。</w:t>
      </w:r>
      <w:r>
        <w:rPr>
          <w:rFonts w:hint="eastAsia" w:ascii="仿宋_GB2312" w:hAnsi="仿宋_GB2312" w:cs="仿宋_GB2312"/>
          <w:szCs w:val="32"/>
        </w:rPr>
        <w:t>在费用性支出中，依据</w:t>
      </w:r>
      <w:r>
        <w:rPr>
          <w:rFonts w:hint="eastAsia" w:ascii="仿宋_GB2312" w:hAnsi="宋体" w:cs="宋体"/>
          <w:szCs w:val="32"/>
        </w:rPr>
        <w:t>“八项规定”及《党政机关厉行节约反对浪费条例》等制度，在保障日常工作的正常有序开展的情况下，做到了资金的节约。</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黑体" w:hAnsi="黑体" w:eastAsia="黑体"/>
          <w:szCs w:val="32"/>
        </w:rPr>
      </w:pPr>
      <w:r>
        <w:rPr>
          <w:rFonts w:hint="eastAsia" w:ascii="黑体" w:hAnsi="黑体" w:eastAsia="黑体"/>
          <w:szCs w:val="32"/>
        </w:rPr>
        <w:t>五、主要经验及做法、存在的问题和建议</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楷体"/>
          <w:szCs w:val="32"/>
        </w:rPr>
      </w:pPr>
      <w:r>
        <w:rPr>
          <w:rFonts w:hint="eastAsia" w:ascii="仿宋_GB2312" w:hAnsi="楷体"/>
          <w:szCs w:val="32"/>
        </w:rPr>
        <w:t>（一）主要经验及做法；</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楷体"/>
          <w:szCs w:val="32"/>
        </w:rPr>
      </w:pPr>
      <w:r>
        <w:rPr>
          <w:rFonts w:hint="eastAsia" w:ascii="仿宋_GB2312" w:hAnsi="楷体"/>
          <w:szCs w:val="32"/>
        </w:rPr>
        <w:t>绩效评价结果应用是加强财政支出管理，合理配置公共资源，优化财政支出结构，强化资金管理水平，提高资金使用效益的重要手段，也是绩效评价工作的生命线及落脚点。绩效评价结果采取“四个相结合”加以应用，即：与预算资金安排相结合，与完善制度规范管理相结合，与通报、报告和公开相结合，与责任追究相结合。</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楷体"/>
          <w:szCs w:val="32"/>
        </w:rPr>
      </w:pPr>
      <w:r>
        <w:rPr>
          <w:rFonts w:hint="eastAsia" w:ascii="仿宋_GB2312" w:hAnsi="楷体"/>
          <w:szCs w:val="32"/>
        </w:rPr>
        <w:t>（二）存在的问题；</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楷体"/>
          <w:szCs w:val="32"/>
        </w:rPr>
      </w:pPr>
      <w:r>
        <w:rPr>
          <w:rFonts w:hint="eastAsia" w:ascii="仿宋_GB2312" w:hAnsi="楷体"/>
          <w:szCs w:val="32"/>
        </w:rPr>
        <w:t>1.资金下达方面。各年免费开放资金有时存在资金到位时间较晚，从而导致资金的使用效率偏低，资金到位后，我局均按照资金额度全额拨付到县文化馆、图书馆及各镇（街道）文化站。</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楷体"/>
          <w:szCs w:val="32"/>
        </w:rPr>
      </w:pPr>
      <w:r>
        <w:rPr>
          <w:rFonts w:hint="eastAsia" w:ascii="仿宋_GB2312" w:hAnsi="楷体"/>
          <w:szCs w:val="32"/>
        </w:rPr>
        <w:t>2.影响资金使用进度的原因。各项资金到位时间前后不一，有时存在等待全部资金到位后统一拨付的情况，从而影响资金的使用进度。</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楷体"/>
          <w:szCs w:val="32"/>
        </w:rPr>
      </w:pPr>
      <w:r>
        <w:rPr>
          <w:rFonts w:hint="eastAsia" w:ascii="仿宋_GB2312" w:hAnsi="楷体"/>
          <w:szCs w:val="32"/>
        </w:rPr>
        <w:t>3.其他方面。我县多为农村人口，县级财力比较困难，县级配套资金实现难度极大，使文化活动开展在很大程度上受到约束，各镇（街道）人才、财政投入情况差异与广大群众迫切需求的文化生活还存在着很大差距。</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楷体"/>
          <w:szCs w:val="32"/>
        </w:rPr>
      </w:pPr>
      <w:r>
        <w:rPr>
          <w:rFonts w:hint="eastAsia" w:ascii="仿宋_GB2312" w:hAnsi="楷体"/>
          <w:szCs w:val="32"/>
        </w:rPr>
        <w:t>（三）建议和改进措施。</w:t>
      </w:r>
    </w:p>
    <w:p>
      <w:pPr>
        <w:keepNext w:val="0"/>
        <w:keepLines w:val="0"/>
        <w:pageBreakBefore w:val="0"/>
        <w:kinsoku/>
        <w:wordWrap/>
        <w:overflowPunct/>
        <w:autoSpaceDE/>
        <w:autoSpaceDN/>
        <w:bidi w:val="0"/>
        <w:adjustRightInd/>
        <w:snapToGrid/>
        <w:spacing w:line="560" w:lineRule="exact"/>
        <w:ind w:firstLine="640" w:firstLineChars="200"/>
        <w:textAlignment w:val="auto"/>
      </w:pPr>
      <w:r>
        <w:rPr>
          <w:rFonts w:hint="eastAsia"/>
        </w:rPr>
        <w:t>1.</w:t>
      </w:r>
      <w:r>
        <w:t>进一步加大基础设施建设力度。富民县的文化设施建设虽然有了很大进步，但不仅与广大市民日益增长的文化需求存在较大距离，与周边县市（区）也有很大差距，我们在积极争取上级项目资金的同时，也希望进一步加大对文化基础设施建设的投入，确保我县“两馆一站”的免费开放能实实在在的让广大群众感受到党和国家给人们带来的惠民政策的好处。     </w:t>
      </w:r>
    </w:p>
    <w:p>
      <w:pPr>
        <w:keepNext w:val="0"/>
        <w:keepLines w:val="0"/>
        <w:pageBreakBefore w:val="0"/>
        <w:kinsoku/>
        <w:wordWrap/>
        <w:overflowPunct/>
        <w:autoSpaceDE/>
        <w:autoSpaceDN/>
        <w:bidi w:val="0"/>
        <w:adjustRightInd/>
        <w:snapToGrid/>
        <w:spacing w:line="560" w:lineRule="exact"/>
        <w:ind w:firstLine="640" w:firstLineChars="200"/>
        <w:textAlignment w:val="auto"/>
      </w:pPr>
      <w:r>
        <w:rPr>
          <w:rFonts w:hint="eastAsia"/>
        </w:rPr>
        <w:t>2.</w:t>
      </w:r>
      <w:r>
        <w:t>进一步加大宣传力度。加强对“两馆一站”的管理和指导。确保做到：“旗帜不倒，阵地不丢，财产不失，干部不离，活动不停”。</w:t>
      </w:r>
    </w:p>
    <w:p>
      <w:pPr>
        <w:keepNext w:val="0"/>
        <w:keepLines w:val="0"/>
        <w:pageBreakBefore w:val="0"/>
        <w:kinsoku/>
        <w:wordWrap/>
        <w:overflowPunct/>
        <w:autoSpaceDE/>
        <w:autoSpaceDN/>
        <w:bidi w:val="0"/>
        <w:adjustRightInd/>
        <w:snapToGrid/>
        <w:spacing w:line="560" w:lineRule="exact"/>
        <w:ind w:firstLine="640" w:firstLineChars="200"/>
        <w:textAlignment w:val="auto"/>
      </w:pPr>
      <w:r>
        <w:rPr>
          <w:rFonts w:hint="eastAsia"/>
        </w:rPr>
        <w:t>3.</w:t>
      </w:r>
      <w:r>
        <w:t>两馆一站免费开放工作是一项功在当代利在千秋的大好事，我局在省市业务主管部门的指导下，在县委、县政府的高度重视下，此项工作开展的如火如荼，但是也存在一些问题，主要是两馆一站运转经费不足，水电、办公用品、设备损耗维修、网络通讯活动、流动服务、交通、管理人员补助等免费开放所需的经费捉襟见肘，基层文化工作举步维艰，建议加大免费开放经费投入力度，真正实现文化惠民。</w:t>
      </w:r>
    </w:p>
    <w:p>
      <w:pPr>
        <w:rPr>
          <w:sz w:val="15"/>
          <w:szCs w:val="15"/>
        </w:rPr>
      </w:pPr>
      <w:bookmarkStart w:id="0" w:name="_GoBack"/>
      <w:bookmarkEnd w:id="0"/>
    </w:p>
    <w:p>
      <w:pPr>
        <w:rPr>
          <w:sz w:val="21"/>
          <w:szCs w:val="21"/>
        </w:rPr>
      </w:pPr>
    </w:p>
    <w:tbl>
      <w:tblPr>
        <w:tblStyle w:val="4"/>
        <w:tblW w:w="9174" w:type="dxa"/>
        <w:jc w:val="center"/>
        <w:tblInd w:w="0" w:type="dxa"/>
        <w:tblLayout w:type="fixed"/>
        <w:tblCellMar>
          <w:top w:w="0" w:type="dxa"/>
          <w:left w:w="28" w:type="dxa"/>
          <w:bottom w:w="0" w:type="dxa"/>
          <w:right w:w="28" w:type="dxa"/>
        </w:tblCellMar>
      </w:tblPr>
      <w:tblGrid>
        <w:gridCol w:w="476"/>
        <w:gridCol w:w="640"/>
        <w:gridCol w:w="1173"/>
        <w:gridCol w:w="570"/>
        <w:gridCol w:w="552"/>
        <w:gridCol w:w="2268"/>
        <w:gridCol w:w="2126"/>
        <w:gridCol w:w="1369"/>
      </w:tblGrid>
      <w:tr>
        <w:tblPrEx>
          <w:tblLayout w:type="fixed"/>
        </w:tblPrEx>
        <w:trPr>
          <w:tblHeader/>
          <w:jc w:val="center"/>
        </w:trPr>
        <w:tc>
          <w:tcPr>
            <w:tcW w:w="9174" w:type="dxa"/>
            <w:gridSpan w:val="8"/>
            <w:tcBorders>
              <w:bottom w:val="single" w:color="auto" w:sz="4" w:space="0"/>
            </w:tcBorders>
            <w:tcMar>
              <w:top w:w="10" w:type="dxa"/>
              <w:left w:w="10" w:type="dxa"/>
              <w:bottom w:w="0" w:type="dxa"/>
              <w:right w:w="10" w:type="dxa"/>
            </w:tcMar>
            <w:vAlign w:val="center"/>
          </w:tcPr>
          <w:p>
            <w:pPr>
              <w:spacing w:afterLines="50"/>
              <w:jc w:val="center"/>
              <w:rPr>
                <w:rFonts w:ascii="黑体" w:eastAsia="黑体"/>
                <w:bCs/>
                <w:sz w:val="36"/>
                <w:szCs w:val="36"/>
              </w:rPr>
            </w:pPr>
            <w:r>
              <w:rPr>
                <w:rFonts w:ascii="黑体" w:eastAsia="黑体"/>
                <w:bCs/>
                <w:sz w:val="36"/>
                <w:szCs w:val="36"/>
              </w:rPr>
              <w:t>201</w:t>
            </w:r>
            <w:r>
              <w:rPr>
                <w:rFonts w:hint="eastAsia" w:ascii="黑体" w:eastAsia="黑体"/>
                <w:bCs/>
                <w:sz w:val="36"/>
                <w:szCs w:val="36"/>
                <w:lang w:val="en-US" w:eastAsia="zh-CN"/>
              </w:rPr>
              <w:t>9</w:t>
            </w:r>
            <w:r>
              <w:rPr>
                <w:rFonts w:hint="eastAsia" w:ascii="黑体" w:eastAsia="黑体"/>
                <w:bCs/>
                <w:sz w:val="36"/>
                <w:szCs w:val="36"/>
              </w:rPr>
              <w:t>年项目支出绩效自评指标评分表</w:t>
            </w:r>
          </w:p>
          <w:p>
            <w:pPr>
              <w:spacing w:afterLines="50"/>
              <w:jc w:val="center"/>
              <w:rPr>
                <w:rFonts w:ascii="黑体" w:eastAsia="黑体"/>
                <w:b/>
                <w:bCs/>
                <w:sz w:val="18"/>
                <w:szCs w:val="18"/>
              </w:rPr>
            </w:pPr>
          </w:p>
        </w:tc>
      </w:tr>
      <w:tr>
        <w:tblPrEx>
          <w:tblLayout w:type="fixed"/>
          <w:tblCellMar>
            <w:top w:w="0" w:type="dxa"/>
            <w:left w:w="28" w:type="dxa"/>
            <w:bottom w:w="0" w:type="dxa"/>
            <w:right w:w="28" w:type="dxa"/>
          </w:tblCellMar>
        </w:tblPrEx>
        <w:trPr>
          <w:trHeight w:val="703" w:hRule="atLeast"/>
          <w:tblHeader/>
          <w:jc w:val="center"/>
        </w:trPr>
        <w:tc>
          <w:tcPr>
            <w:tcW w:w="47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bCs/>
                <w:sz w:val="21"/>
                <w:szCs w:val="21"/>
              </w:rPr>
            </w:pPr>
            <w:r>
              <w:rPr>
                <w:rFonts w:hint="eastAsia"/>
                <w:bCs/>
                <w:sz w:val="21"/>
                <w:szCs w:val="21"/>
              </w:rPr>
              <w:t>一级</w:t>
            </w:r>
            <w:r>
              <w:rPr>
                <w:bCs/>
                <w:sz w:val="21"/>
                <w:szCs w:val="21"/>
              </w:rPr>
              <w:br w:type="textWrapping"/>
            </w:r>
            <w:r>
              <w:rPr>
                <w:rFonts w:hint="eastAsia"/>
                <w:bCs/>
                <w:sz w:val="21"/>
                <w:szCs w:val="21"/>
              </w:rPr>
              <w:t>指标</w:t>
            </w:r>
          </w:p>
        </w:tc>
        <w:tc>
          <w:tcPr>
            <w:tcW w:w="64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bCs/>
                <w:sz w:val="21"/>
                <w:szCs w:val="21"/>
              </w:rPr>
            </w:pPr>
            <w:r>
              <w:rPr>
                <w:rFonts w:hint="eastAsia"/>
                <w:bCs/>
                <w:sz w:val="21"/>
                <w:szCs w:val="21"/>
              </w:rPr>
              <w:t>二级</w:t>
            </w:r>
          </w:p>
          <w:p>
            <w:pPr>
              <w:jc w:val="center"/>
              <w:rPr>
                <w:bCs/>
                <w:sz w:val="21"/>
                <w:szCs w:val="21"/>
              </w:rPr>
            </w:pPr>
            <w:r>
              <w:rPr>
                <w:rFonts w:hint="eastAsia"/>
                <w:bCs/>
                <w:sz w:val="21"/>
                <w:szCs w:val="21"/>
              </w:rPr>
              <w:t>指标</w:t>
            </w:r>
          </w:p>
        </w:tc>
        <w:tc>
          <w:tcPr>
            <w:tcW w:w="117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bCs/>
                <w:sz w:val="21"/>
                <w:szCs w:val="21"/>
              </w:rPr>
            </w:pPr>
            <w:r>
              <w:rPr>
                <w:rFonts w:hint="eastAsia"/>
                <w:bCs/>
                <w:sz w:val="21"/>
                <w:szCs w:val="21"/>
              </w:rPr>
              <w:t>三级</w:t>
            </w:r>
          </w:p>
          <w:p>
            <w:pPr>
              <w:jc w:val="center"/>
              <w:rPr>
                <w:bCs/>
                <w:sz w:val="21"/>
                <w:szCs w:val="21"/>
              </w:rPr>
            </w:pPr>
            <w:r>
              <w:rPr>
                <w:rFonts w:hint="eastAsia"/>
                <w:bCs/>
                <w:sz w:val="21"/>
                <w:szCs w:val="21"/>
              </w:rPr>
              <w:t>指标</w:t>
            </w:r>
          </w:p>
        </w:tc>
        <w:tc>
          <w:tcPr>
            <w:tcW w:w="57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bCs/>
                <w:sz w:val="21"/>
                <w:szCs w:val="21"/>
              </w:rPr>
            </w:pPr>
            <w:r>
              <w:rPr>
                <w:rFonts w:hint="eastAsia"/>
                <w:bCs/>
                <w:sz w:val="21"/>
                <w:szCs w:val="21"/>
              </w:rPr>
              <w:t>分值</w:t>
            </w:r>
          </w:p>
        </w:tc>
        <w:tc>
          <w:tcPr>
            <w:tcW w:w="55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bCs/>
                <w:sz w:val="21"/>
                <w:szCs w:val="21"/>
              </w:rPr>
            </w:pPr>
            <w:r>
              <w:rPr>
                <w:rFonts w:hint="eastAsia"/>
                <w:bCs/>
                <w:sz w:val="21"/>
                <w:szCs w:val="21"/>
              </w:rPr>
              <w:t>得分</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bCs/>
                <w:sz w:val="21"/>
                <w:szCs w:val="21"/>
              </w:rPr>
            </w:pPr>
            <w:r>
              <w:rPr>
                <w:rFonts w:hint="eastAsia"/>
                <w:bCs/>
                <w:sz w:val="21"/>
                <w:szCs w:val="21"/>
              </w:rPr>
              <w:t>指标解释</w:t>
            </w:r>
          </w:p>
        </w:tc>
        <w:tc>
          <w:tcPr>
            <w:tcW w:w="212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bCs/>
                <w:sz w:val="21"/>
                <w:szCs w:val="21"/>
              </w:rPr>
            </w:pPr>
            <w:r>
              <w:rPr>
                <w:rFonts w:hint="eastAsia"/>
                <w:bCs/>
                <w:sz w:val="21"/>
                <w:szCs w:val="21"/>
              </w:rPr>
              <w:t>指标评分细则</w:t>
            </w:r>
          </w:p>
        </w:tc>
        <w:tc>
          <w:tcPr>
            <w:tcW w:w="1369" w:type="dxa"/>
            <w:tcBorders>
              <w:top w:val="single" w:color="auto" w:sz="4" w:space="0"/>
              <w:left w:val="nil"/>
              <w:bottom w:val="single" w:color="auto" w:sz="4" w:space="0"/>
              <w:right w:val="single" w:color="auto" w:sz="4" w:space="0"/>
            </w:tcBorders>
            <w:vAlign w:val="center"/>
          </w:tcPr>
          <w:p>
            <w:pPr>
              <w:jc w:val="center"/>
              <w:rPr>
                <w:bCs/>
                <w:sz w:val="21"/>
                <w:szCs w:val="21"/>
              </w:rPr>
            </w:pPr>
            <w:r>
              <w:rPr>
                <w:rFonts w:hint="eastAsia"/>
                <w:bCs/>
                <w:sz w:val="21"/>
                <w:szCs w:val="21"/>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476" w:type="dxa"/>
            <w:vMerge w:val="restart"/>
            <w:textDirection w:val="tbRlV"/>
            <w:vAlign w:val="bottom"/>
          </w:tcPr>
          <w:p>
            <w:pPr>
              <w:spacing w:line="240" w:lineRule="exact"/>
              <w:ind w:left="113" w:right="113"/>
              <w:jc w:val="center"/>
              <w:rPr>
                <w:rFonts w:ascii="仿宋_GB2312"/>
                <w:sz w:val="15"/>
                <w:szCs w:val="15"/>
              </w:rPr>
            </w:pPr>
            <w:r>
              <w:rPr>
                <w:rFonts w:hint="eastAsia" w:ascii="仿宋_GB2312"/>
                <w:sz w:val="15"/>
                <w:szCs w:val="15"/>
              </w:rPr>
              <w:t>一、项目决策（20分）</w:t>
            </w:r>
          </w:p>
        </w:tc>
        <w:tc>
          <w:tcPr>
            <w:tcW w:w="640" w:type="dxa"/>
            <w:vMerge w:val="restart"/>
            <w:vAlign w:val="center"/>
          </w:tcPr>
          <w:p>
            <w:pPr>
              <w:spacing w:line="240" w:lineRule="exact"/>
              <w:rPr>
                <w:rFonts w:ascii="仿宋_GB2312"/>
                <w:sz w:val="15"/>
                <w:szCs w:val="15"/>
              </w:rPr>
            </w:pPr>
            <w:r>
              <w:rPr>
                <w:rFonts w:hint="eastAsia" w:ascii="仿宋_GB2312"/>
                <w:sz w:val="15"/>
                <w:szCs w:val="15"/>
              </w:rPr>
              <w:t>1项目立项(10)</w:t>
            </w:r>
          </w:p>
        </w:tc>
        <w:tc>
          <w:tcPr>
            <w:tcW w:w="1173" w:type="dxa"/>
            <w:vAlign w:val="center"/>
          </w:tcPr>
          <w:p>
            <w:pPr>
              <w:spacing w:line="240" w:lineRule="exact"/>
              <w:rPr>
                <w:rFonts w:ascii="仿宋_GB2312"/>
                <w:sz w:val="15"/>
                <w:szCs w:val="15"/>
              </w:rPr>
            </w:pPr>
            <w:r>
              <w:rPr>
                <w:rFonts w:hint="eastAsia" w:ascii="仿宋_GB2312"/>
                <w:sz w:val="15"/>
                <w:szCs w:val="15"/>
              </w:rPr>
              <w:t>1.与部门中长期规划目标适应性。</w:t>
            </w:r>
          </w:p>
        </w:tc>
        <w:tc>
          <w:tcPr>
            <w:tcW w:w="570" w:type="dxa"/>
            <w:vAlign w:val="center"/>
          </w:tcPr>
          <w:p>
            <w:pPr>
              <w:spacing w:line="240" w:lineRule="exact"/>
              <w:jc w:val="center"/>
              <w:rPr>
                <w:rFonts w:ascii="仿宋_GB2312"/>
                <w:sz w:val="18"/>
                <w:szCs w:val="18"/>
              </w:rPr>
            </w:pPr>
            <w:r>
              <w:rPr>
                <w:rFonts w:hint="eastAsia" w:ascii="仿宋_GB2312"/>
                <w:sz w:val="18"/>
                <w:szCs w:val="18"/>
              </w:rPr>
              <w:t>4</w:t>
            </w:r>
          </w:p>
        </w:tc>
        <w:tc>
          <w:tcPr>
            <w:tcW w:w="552" w:type="dxa"/>
            <w:vAlign w:val="center"/>
          </w:tcPr>
          <w:p>
            <w:pPr>
              <w:spacing w:line="240" w:lineRule="exact"/>
              <w:rPr>
                <w:rFonts w:ascii="仿宋_GB2312"/>
                <w:sz w:val="18"/>
                <w:szCs w:val="18"/>
              </w:rPr>
            </w:pPr>
            <w:r>
              <w:rPr>
                <w:rFonts w:hint="eastAsia" w:ascii="仿宋_GB2312"/>
                <w:sz w:val="18"/>
                <w:szCs w:val="18"/>
              </w:rPr>
              <w:t>4</w:t>
            </w:r>
          </w:p>
        </w:tc>
        <w:tc>
          <w:tcPr>
            <w:tcW w:w="2268" w:type="dxa"/>
            <w:vAlign w:val="center"/>
          </w:tcPr>
          <w:p>
            <w:pPr>
              <w:spacing w:line="240" w:lineRule="exact"/>
              <w:rPr>
                <w:rFonts w:ascii="仿宋_GB2312"/>
                <w:sz w:val="15"/>
                <w:szCs w:val="15"/>
              </w:rPr>
            </w:pPr>
            <w:r>
              <w:rPr>
                <w:rFonts w:hint="eastAsia" w:ascii="仿宋_GB2312"/>
                <w:sz w:val="15"/>
                <w:szCs w:val="15"/>
              </w:rPr>
              <w:t>考察项目与部门中长期目标是否匹配。</w:t>
            </w:r>
          </w:p>
        </w:tc>
        <w:tc>
          <w:tcPr>
            <w:tcW w:w="2126" w:type="dxa"/>
            <w:vAlign w:val="center"/>
          </w:tcPr>
          <w:p>
            <w:pPr>
              <w:spacing w:line="240" w:lineRule="exact"/>
              <w:rPr>
                <w:rFonts w:ascii="仿宋_GB2312"/>
                <w:sz w:val="15"/>
                <w:szCs w:val="15"/>
              </w:rPr>
            </w:pPr>
            <w:r>
              <w:rPr>
                <w:rFonts w:hint="eastAsia" w:ascii="仿宋_GB2312"/>
                <w:sz w:val="15"/>
                <w:szCs w:val="15"/>
              </w:rPr>
              <w:t>①部门年度工作目标是否明确设定，得2分；②年度工作目标与部门中长期规划目标一致，得2分。</w:t>
            </w:r>
          </w:p>
        </w:tc>
        <w:tc>
          <w:tcPr>
            <w:tcW w:w="1369" w:type="dxa"/>
            <w:vAlign w:val="center"/>
          </w:tcPr>
          <w:p>
            <w:pPr>
              <w:spacing w:line="240" w:lineRule="exact"/>
              <w:rPr>
                <w:rFonts w:ascii="仿宋_GB2312"/>
                <w:sz w:val="15"/>
                <w:szCs w:val="15"/>
              </w:rPr>
            </w:pPr>
            <w:r>
              <w:rPr>
                <w:rFonts w:hint="eastAsia" w:ascii="仿宋_GB2312"/>
                <w:sz w:val="15"/>
                <w:szCs w:val="15"/>
              </w:rPr>
              <w:t>部门中长期规划目标。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476" w:type="dxa"/>
            <w:vMerge w:val="continue"/>
          </w:tcPr>
          <w:p>
            <w:pPr>
              <w:spacing w:line="240" w:lineRule="exact"/>
              <w:jc w:val="left"/>
              <w:rPr>
                <w:rFonts w:ascii="仿宋_GB2312"/>
                <w:sz w:val="15"/>
                <w:szCs w:val="15"/>
              </w:rPr>
            </w:pPr>
          </w:p>
        </w:tc>
        <w:tc>
          <w:tcPr>
            <w:tcW w:w="640" w:type="dxa"/>
            <w:vMerge w:val="continue"/>
            <w:vAlign w:val="center"/>
          </w:tcPr>
          <w:p>
            <w:pPr>
              <w:spacing w:line="240" w:lineRule="exact"/>
              <w:rPr>
                <w:rFonts w:ascii="仿宋_GB2312"/>
                <w:sz w:val="15"/>
                <w:szCs w:val="15"/>
              </w:rPr>
            </w:pPr>
          </w:p>
        </w:tc>
        <w:tc>
          <w:tcPr>
            <w:tcW w:w="1173" w:type="dxa"/>
            <w:vAlign w:val="center"/>
          </w:tcPr>
          <w:p>
            <w:pPr>
              <w:spacing w:line="240" w:lineRule="exact"/>
              <w:rPr>
                <w:rFonts w:ascii="仿宋_GB2312"/>
                <w:sz w:val="15"/>
                <w:szCs w:val="15"/>
              </w:rPr>
            </w:pPr>
            <w:r>
              <w:rPr>
                <w:rFonts w:hint="eastAsia" w:ascii="仿宋_GB2312"/>
                <w:sz w:val="15"/>
                <w:szCs w:val="15"/>
              </w:rPr>
              <w:t>2.立项依据充分性。</w:t>
            </w:r>
          </w:p>
        </w:tc>
        <w:tc>
          <w:tcPr>
            <w:tcW w:w="570" w:type="dxa"/>
            <w:vAlign w:val="center"/>
          </w:tcPr>
          <w:p>
            <w:pPr>
              <w:spacing w:line="240" w:lineRule="exact"/>
              <w:jc w:val="center"/>
              <w:rPr>
                <w:rFonts w:ascii="仿宋_GB2312"/>
                <w:sz w:val="18"/>
                <w:szCs w:val="18"/>
              </w:rPr>
            </w:pPr>
            <w:r>
              <w:rPr>
                <w:rFonts w:hint="eastAsia" w:ascii="仿宋_GB2312"/>
                <w:sz w:val="18"/>
                <w:szCs w:val="18"/>
              </w:rPr>
              <w:t>3</w:t>
            </w:r>
          </w:p>
        </w:tc>
        <w:tc>
          <w:tcPr>
            <w:tcW w:w="552" w:type="dxa"/>
            <w:vAlign w:val="center"/>
          </w:tcPr>
          <w:p>
            <w:pPr>
              <w:spacing w:line="240" w:lineRule="exact"/>
              <w:rPr>
                <w:rFonts w:ascii="仿宋_GB2312"/>
                <w:sz w:val="18"/>
                <w:szCs w:val="18"/>
              </w:rPr>
            </w:pPr>
            <w:r>
              <w:rPr>
                <w:rFonts w:hint="eastAsia" w:ascii="仿宋_GB2312"/>
                <w:sz w:val="18"/>
                <w:szCs w:val="18"/>
              </w:rPr>
              <w:t>3</w:t>
            </w:r>
          </w:p>
        </w:tc>
        <w:tc>
          <w:tcPr>
            <w:tcW w:w="2268" w:type="dxa"/>
            <w:vAlign w:val="center"/>
          </w:tcPr>
          <w:p>
            <w:pPr>
              <w:spacing w:line="240" w:lineRule="exact"/>
              <w:rPr>
                <w:rFonts w:ascii="仿宋_GB2312"/>
                <w:sz w:val="15"/>
                <w:szCs w:val="15"/>
              </w:rPr>
            </w:pPr>
            <w:r>
              <w:rPr>
                <w:rFonts w:hint="eastAsia" w:ascii="仿宋_GB2312"/>
                <w:sz w:val="15"/>
                <w:szCs w:val="15"/>
              </w:rPr>
              <w:t>考察项目是否符合政府相关发展规划和政府决策</w:t>
            </w:r>
          </w:p>
        </w:tc>
        <w:tc>
          <w:tcPr>
            <w:tcW w:w="2126" w:type="dxa"/>
            <w:vAlign w:val="center"/>
          </w:tcPr>
          <w:p>
            <w:pPr>
              <w:spacing w:line="240" w:lineRule="exact"/>
              <w:rPr>
                <w:rFonts w:ascii="仿宋_GB2312"/>
                <w:sz w:val="15"/>
                <w:szCs w:val="15"/>
              </w:rPr>
            </w:pPr>
            <w:r>
              <w:rPr>
                <w:rFonts w:hint="eastAsia" w:ascii="仿宋_GB2312"/>
                <w:sz w:val="15"/>
                <w:szCs w:val="15"/>
              </w:rPr>
              <w:t>符合，得满分；不符合，不得分。</w:t>
            </w:r>
          </w:p>
        </w:tc>
        <w:tc>
          <w:tcPr>
            <w:tcW w:w="1369" w:type="dxa"/>
            <w:vAlign w:val="center"/>
          </w:tcPr>
          <w:p>
            <w:pPr>
              <w:spacing w:line="240" w:lineRule="exact"/>
              <w:rPr>
                <w:rFonts w:ascii="仿宋_GB2312"/>
                <w:sz w:val="15"/>
                <w:szCs w:val="15"/>
              </w:rPr>
            </w:pPr>
            <w:r>
              <w:rPr>
                <w:rFonts w:hint="eastAsia" w:ascii="仿宋_GB2312"/>
                <w:sz w:val="15"/>
                <w:szCs w:val="15"/>
              </w:rPr>
              <w:t>政府相关规划、决策、批复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476" w:type="dxa"/>
            <w:vMerge w:val="continue"/>
          </w:tcPr>
          <w:p>
            <w:pPr>
              <w:spacing w:line="240" w:lineRule="exact"/>
              <w:jc w:val="left"/>
              <w:rPr>
                <w:rFonts w:ascii="仿宋_GB2312"/>
                <w:sz w:val="15"/>
                <w:szCs w:val="15"/>
              </w:rPr>
            </w:pPr>
          </w:p>
        </w:tc>
        <w:tc>
          <w:tcPr>
            <w:tcW w:w="640" w:type="dxa"/>
            <w:vMerge w:val="continue"/>
            <w:vAlign w:val="center"/>
          </w:tcPr>
          <w:p>
            <w:pPr>
              <w:spacing w:line="240" w:lineRule="exact"/>
              <w:rPr>
                <w:rFonts w:ascii="仿宋_GB2312"/>
                <w:sz w:val="15"/>
                <w:szCs w:val="15"/>
              </w:rPr>
            </w:pPr>
          </w:p>
        </w:tc>
        <w:tc>
          <w:tcPr>
            <w:tcW w:w="1173" w:type="dxa"/>
            <w:vAlign w:val="center"/>
          </w:tcPr>
          <w:p>
            <w:pPr>
              <w:spacing w:line="240" w:lineRule="exact"/>
              <w:rPr>
                <w:rFonts w:ascii="仿宋_GB2312"/>
                <w:sz w:val="15"/>
                <w:szCs w:val="15"/>
              </w:rPr>
            </w:pPr>
            <w:r>
              <w:rPr>
                <w:rFonts w:hint="eastAsia" w:ascii="仿宋_GB2312"/>
                <w:sz w:val="15"/>
                <w:szCs w:val="15"/>
              </w:rPr>
              <w:t>3.项目立项规范性。</w:t>
            </w:r>
          </w:p>
        </w:tc>
        <w:tc>
          <w:tcPr>
            <w:tcW w:w="570" w:type="dxa"/>
            <w:vAlign w:val="center"/>
          </w:tcPr>
          <w:p>
            <w:pPr>
              <w:spacing w:line="240" w:lineRule="exact"/>
              <w:jc w:val="center"/>
              <w:rPr>
                <w:rFonts w:ascii="仿宋_GB2312"/>
                <w:sz w:val="18"/>
                <w:szCs w:val="18"/>
              </w:rPr>
            </w:pPr>
            <w:r>
              <w:rPr>
                <w:rFonts w:hint="eastAsia" w:ascii="仿宋_GB2312"/>
                <w:sz w:val="18"/>
                <w:szCs w:val="18"/>
              </w:rPr>
              <w:t>3</w:t>
            </w:r>
          </w:p>
        </w:tc>
        <w:tc>
          <w:tcPr>
            <w:tcW w:w="552" w:type="dxa"/>
            <w:vAlign w:val="center"/>
          </w:tcPr>
          <w:p>
            <w:pPr>
              <w:spacing w:line="240" w:lineRule="exact"/>
              <w:rPr>
                <w:rFonts w:ascii="仿宋_GB2312"/>
                <w:sz w:val="18"/>
                <w:szCs w:val="18"/>
              </w:rPr>
            </w:pPr>
            <w:r>
              <w:rPr>
                <w:rFonts w:hint="eastAsia" w:ascii="仿宋_GB2312"/>
                <w:sz w:val="18"/>
                <w:szCs w:val="18"/>
              </w:rPr>
              <w:t>3</w:t>
            </w:r>
          </w:p>
        </w:tc>
        <w:tc>
          <w:tcPr>
            <w:tcW w:w="2268" w:type="dxa"/>
            <w:vAlign w:val="center"/>
          </w:tcPr>
          <w:p>
            <w:pPr>
              <w:spacing w:line="240" w:lineRule="exact"/>
              <w:rPr>
                <w:rFonts w:ascii="仿宋_GB2312"/>
                <w:sz w:val="15"/>
                <w:szCs w:val="15"/>
              </w:rPr>
            </w:pPr>
            <w:r>
              <w:rPr>
                <w:rFonts w:hint="eastAsia" w:ascii="仿宋_GB2312"/>
                <w:sz w:val="15"/>
                <w:szCs w:val="15"/>
              </w:rPr>
              <w:t>考察项目是否与部门职责密切相关。</w:t>
            </w:r>
          </w:p>
        </w:tc>
        <w:tc>
          <w:tcPr>
            <w:tcW w:w="2126" w:type="dxa"/>
            <w:vAlign w:val="center"/>
          </w:tcPr>
          <w:p>
            <w:pPr>
              <w:spacing w:line="240" w:lineRule="exact"/>
              <w:rPr>
                <w:rFonts w:ascii="仿宋_GB2312"/>
                <w:sz w:val="15"/>
                <w:szCs w:val="15"/>
              </w:rPr>
            </w:pPr>
            <w:r>
              <w:rPr>
                <w:rFonts w:hint="eastAsia" w:ascii="仿宋_GB2312"/>
                <w:sz w:val="15"/>
                <w:szCs w:val="15"/>
              </w:rPr>
              <w:t>是，得满分；否，不得分。</w:t>
            </w:r>
          </w:p>
        </w:tc>
        <w:tc>
          <w:tcPr>
            <w:tcW w:w="1369" w:type="dxa"/>
            <w:vAlign w:val="center"/>
          </w:tcPr>
          <w:p>
            <w:pPr>
              <w:spacing w:line="240" w:lineRule="exact"/>
              <w:rPr>
                <w:rFonts w:ascii="仿宋_GB2312"/>
                <w:sz w:val="15"/>
                <w:szCs w:val="15"/>
              </w:rPr>
            </w:pPr>
            <w:r>
              <w:rPr>
                <w:rFonts w:hint="eastAsia" w:ascii="仿宋_GB2312"/>
                <w:sz w:val="15"/>
                <w:szCs w:val="15"/>
              </w:rPr>
              <w:t>部门职责文件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6" w:type="dxa"/>
            <w:vMerge w:val="continue"/>
          </w:tcPr>
          <w:p>
            <w:pPr>
              <w:spacing w:line="240" w:lineRule="exact"/>
              <w:jc w:val="left"/>
              <w:rPr>
                <w:rFonts w:ascii="仿宋_GB2312"/>
                <w:sz w:val="15"/>
                <w:szCs w:val="15"/>
              </w:rPr>
            </w:pPr>
          </w:p>
        </w:tc>
        <w:tc>
          <w:tcPr>
            <w:tcW w:w="640" w:type="dxa"/>
            <w:vMerge w:val="restart"/>
            <w:vAlign w:val="center"/>
          </w:tcPr>
          <w:p>
            <w:pPr>
              <w:spacing w:line="240" w:lineRule="exact"/>
              <w:rPr>
                <w:rFonts w:ascii="仿宋_GB2312"/>
                <w:sz w:val="15"/>
                <w:szCs w:val="15"/>
              </w:rPr>
            </w:pPr>
            <w:r>
              <w:rPr>
                <w:rFonts w:hint="eastAsia" w:ascii="仿宋_GB2312"/>
                <w:sz w:val="15"/>
                <w:szCs w:val="15"/>
              </w:rPr>
              <w:t>2项目目标(10)</w:t>
            </w:r>
          </w:p>
        </w:tc>
        <w:tc>
          <w:tcPr>
            <w:tcW w:w="1173" w:type="dxa"/>
            <w:vAlign w:val="center"/>
          </w:tcPr>
          <w:p>
            <w:pPr>
              <w:spacing w:line="240" w:lineRule="exact"/>
              <w:rPr>
                <w:rFonts w:ascii="仿宋_GB2312"/>
                <w:sz w:val="15"/>
                <w:szCs w:val="15"/>
              </w:rPr>
            </w:pPr>
            <w:r>
              <w:rPr>
                <w:rFonts w:hint="eastAsia" w:ascii="仿宋_GB2312"/>
                <w:sz w:val="15"/>
                <w:szCs w:val="15"/>
              </w:rPr>
              <w:t>1.绩效目标设定的合理性</w:t>
            </w:r>
          </w:p>
        </w:tc>
        <w:tc>
          <w:tcPr>
            <w:tcW w:w="570" w:type="dxa"/>
            <w:vAlign w:val="center"/>
          </w:tcPr>
          <w:p>
            <w:pPr>
              <w:spacing w:line="240" w:lineRule="exact"/>
              <w:jc w:val="center"/>
              <w:rPr>
                <w:rFonts w:ascii="仿宋_GB2312"/>
                <w:sz w:val="18"/>
                <w:szCs w:val="18"/>
              </w:rPr>
            </w:pPr>
            <w:r>
              <w:rPr>
                <w:rFonts w:hint="eastAsia" w:ascii="仿宋_GB2312"/>
                <w:sz w:val="18"/>
                <w:szCs w:val="18"/>
              </w:rPr>
              <w:t>5</w:t>
            </w:r>
          </w:p>
        </w:tc>
        <w:tc>
          <w:tcPr>
            <w:tcW w:w="552" w:type="dxa"/>
            <w:vAlign w:val="center"/>
          </w:tcPr>
          <w:p>
            <w:pPr>
              <w:spacing w:line="240" w:lineRule="exact"/>
              <w:rPr>
                <w:rFonts w:ascii="仿宋_GB2312"/>
                <w:sz w:val="18"/>
                <w:szCs w:val="18"/>
              </w:rPr>
            </w:pPr>
            <w:r>
              <w:rPr>
                <w:rFonts w:hint="eastAsia" w:ascii="仿宋_GB2312"/>
                <w:sz w:val="18"/>
                <w:szCs w:val="18"/>
              </w:rPr>
              <w:t>5</w:t>
            </w:r>
          </w:p>
        </w:tc>
        <w:tc>
          <w:tcPr>
            <w:tcW w:w="2268" w:type="dxa"/>
            <w:vAlign w:val="center"/>
          </w:tcPr>
          <w:p>
            <w:pPr>
              <w:spacing w:line="240" w:lineRule="exact"/>
              <w:rPr>
                <w:rFonts w:ascii="仿宋_GB2312"/>
                <w:sz w:val="15"/>
                <w:szCs w:val="15"/>
              </w:rPr>
            </w:pPr>
            <w:r>
              <w:rPr>
                <w:rFonts w:hint="eastAsia" w:ascii="仿宋_GB2312"/>
                <w:sz w:val="15"/>
                <w:szCs w:val="15"/>
              </w:rPr>
              <w:t>考察设定的绩效目标是是否与事业发展规划相关；是否完整地反应预期产出和效果；是否与年度预算相匹配。</w:t>
            </w:r>
          </w:p>
        </w:tc>
        <w:tc>
          <w:tcPr>
            <w:tcW w:w="2126" w:type="dxa"/>
            <w:vAlign w:val="center"/>
          </w:tcPr>
          <w:p>
            <w:pPr>
              <w:spacing w:line="240" w:lineRule="exact"/>
              <w:rPr>
                <w:rFonts w:ascii="仿宋_GB2312"/>
                <w:sz w:val="15"/>
                <w:szCs w:val="15"/>
              </w:rPr>
            </w:pPr>
            <w:r>
              <w:rPr>
                <w:rFonts w:hint="eastAsia" w:ascii="仿宋_GB2312"/>
                <w:sz w:val="15"/>
                <w:szCs w:val="15"/>
              </w:rPr>
              <w:t>是，得满分；否，不得分。</w:t>
            </w:r>
          </w:p>
        </w:tc>
        <w:tc>
          <w:tcPr>
            <w:tcW w:w="1369" w:type="dxa"/>
            <w:vAlign w:val="center"/>
          </w:tcPr>
          <w:p>
            <w:pPr>
              <w:spacing w:line="240" w:lineRule="exact"/>
              <w:rPr>
                <w:rFonts w:ascii="仿宋_GB2312"/>
                <w:sz w:val="15"/>
                <w:szCs w:val="15"/>
              </w:rPr>
            </w:pPr>
            <w:r>
              <w:rPr>
                <w:rFonts w:hint="eastAsia" w:ascii="仿宋_GB2312"/>
                <w:sz w:val="15"/>
                <w:szCs w:val="15"/>
              </w:rPr>
              <w:t>绩效目标申报表、立项申请、批复文件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6" w:type="dxa"/>
            <w:vMerge w:val="continue"/>
          </w:tcPr>
          <w:p>
            <w:pPr>
              <w:spacing w:line="240" w:lineRule="exact"/>
              <w:jc w:val="left"/>
              <w:rPr>
                <w:rFonts w:ascii="仿宋_GB2312"/>
                <w:sz w:val="15"/>
                <w:szCs w:val="15"/>
              </w:rPr>
            </w:pPr>
          </w:p>
        </w:tc>
        <w:tc>
          <w:tcPr>
            <w:tcW w:w="640" w:type="dxa"/>
            <w:vMerge w:val="continue"/>
            <w:vAlign w:val="center"/>
          </w:tcPr>
          <w:p>
            <w:pPr>
              <w:spacing w:line="240" w:lineRule="exact"/>
              <w:rPr>
                <w:rFonts w:ascii="仿宋_GB2312"/>
                <w:sz w:val="15"/>
                <w:szCs w:val="15"/>
              </w:rPr>
            </w:pPr>
          </w:p>
        </w:tc>
        <w:tc>
          <w:tcPr>
            <w:tcW w:w="1173" w:type="dxa"/>
            <w:vAlign w:val="center"/>
          </w:tcPr>
          <w:p>
            <w:pPr>
              <w:spacing w:line="240" w:lineRule="exact"/>
              <w:rPr>
                <w:rFonts w:ascii="仿宋_GB2312"/>
                <w:sz w:val="15"/>
                <w:szCs w:val="15"/>
              </w:rPr>
            </w:pPr>
            <w:r>
              <w:rPr>
                <w:rFonts w:hint="eastAsia" w:ascii="仿宋_GB2312"/>
                <w:sz w:val="15"/>
                <w:szCs w:val="15"/>
              </w:rPr>
              <w:t>2.绩效指标设定的明确性</w:t>
            </w:r>
          </w:p>
        </w:tc>
        <w:tc>
          <w:tcPr>
            <w:tcW w:w="570" w:type="dxa"/>
            <w:vAlign w:val="center"/>
          </w:tcPr>
          <w:p>
            <w:pPr>
              <w:spacing w:line="240" w:lineRule="exact"/>
              <w:jc w:val="center"/>
              <w:rPr>
                <w:rFonts w:ascii="仿宋_GB2312"/>
                <w:sz w:val="18"/>
                <w:szCs w:val="18"/>
              </w:rPr>
            </w:pPr>
            <w:r>
              <w:rPr>
                <w:rFonts w:hint="eastAsia" w:ascii="仿宋_GB2312"/>
                <w:sz w:val="18"/>
                <w:szCs w:val="18"/>
              </w:rPr>
              <w:t>5</w:t>
            </w:r>
          </w:p>
        </w:tc>
        <w:tc>
          <w:tcPr>
            <w:tcW w:w="552" w:type="dxa"/>
            <w:vAlign w:val="center"/>
          </w:tcPr>
          <w:p>
            <w:pPr>
              <w:spacing w:line="240" w:lineRule="exact"/>
              <w:rPr>
                <w:rFonts w:ascii="仿宋_GB2312"/>
                <w:sz w:val="18"/>
                <w:szCs w:val="18"/>
              </w:rPr>
            </w:pPr>
            <w:r>
              <w:rPr>
                <w:rFonts w:hint="eastAsia" w:ascii="仿宋_GB2312"/>
                <w:sz w:val="18"/>
                <w:szCs w:val="18"/>
              </w:rPr>
              <w:t>5</w:t>
            </w:r>
          </w:p>
        </w:tc>
        <w:tc>
          <w:tcPr>
            <w:tcW w:w="2268" w:type="dxa"/>
            <w:vAlign w:val="center"/>
          </w:tcPr>
          <w:p>
            <w:pPr>
              <w:spacing w:line="240" w:lineRule="exact"/>
              <w:rPr>
                <w:rFonts w:ascii="仿宋_GB2312"/>
                <w:sz w:val="15"/>
                <w:szCs w:val="15"/>
              </w:rPr>
            </w:pPr>
            <w:r>
              <w:rPr>
                <w:rFonts w:hint="eastAsia" w:ascii="仿宋_GB2312"/>
                <w:sz w:val="15"/>
                <w:szCs w:val="15"/>
              </w:rPr>
              <w:t>考察是否将绩效目标细化分解为清晰、可衡量的绩效指标；是否与年度工作任务相对应。</w:t>
            </w:r>
          </w:p>
        </w:tc>
        <w:tc>
          <w:tcPr>
            <w:tcW w:w="2126" w:type="dxa"/>
            <w:vAlign w:val="center"/>
          </w:tcPr>
          <w:p>
            <w:pPr>
              <w:spacing w:line="240" w:lineRule="exact"/>
              <w:rPr>
                <w:rFonts w:ascii="仿宋_GB2312"/>
                <w:sz w:val="15"/>
                <w:szCs w:val="15"/>
              </w:rPr>
            </w:pPr>
            <w:r>
              <w:rPr>
                <w:rFonts w:hint="eastAsia" w:ascii="仿宋_GB2312"/>
                <w:sz w:val="15"/>
                <w:szCs w:val="15"/>
              </w:rPr>
              <w:t>是，得满分；否，不得分。</w:t>
            </w:r>
          </w:p>
        </w:tc>
        <w:tc>
          <w:tcPr>
            <w:tcW w:w="1369" w:type="dxa"/>
            <w:vAlign w:val="center"/>
          </w:tcPr>
          <w:p>
            <w:pPr>
              <w:spacing w:line="240" w:lineRule="exact"/>
              <w:rPr>
                <w:rFonts w:ascii="仿宋_GB2312"/>
                <w:sz w:val="15"/>
                <w:szCs w:val="15"/>
              </w:rPr>
            </w:pPr>
            <w:r>
              <w:rPr>
                <w:rFonts w:hint="eastAsia" w:ascii="仿宋_GB2312"/>
                <w:sz w:val="15"/>
                <w:szCs w:val="15"/>
              </w:rPr>
              <w:t>绩效目标申报表、立项申请、批复文件、年度工作任务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476" w:type="dxa"/>
            <w:vMerge w:val="restart"/>
            <w:textDirection w:val="tbRlV"/>
          </w:tcPr>
          <w:p>
            <w:pPr>
              <w:spacing w:line="240" w:lineRule="exact"/>
              <w:ind w:left="113" w:right="113"/>
              <w:jc w:val="center"/>
              <w:rPr>
                <w:rFonts w:ascii="仿宋_GB2312"/>
                <w:sz w:val="18"/>
                <w:szCs w:val="18"/>
              </w:rPr>
            </w:pPr>
            <w:r>
              <w:rPr>
                <w:rFonts w:hint="eastAsia" w:ascii="仿宋_GB2312"/>
                <w:sz w:val="18"/>
                <w:szCs w:val="18"/>
              </w:rPr>
              <w:t>二、项目管理（20分）</w:t>
            </w:r>
          </w:p>
        </w:tc>
        <w:tc>
          <w:tcPr>
            <w:tcW w:w="640" w:type="dxa"/>
            <w:vMerge w:val="restart"/>
            <w:vAlign w:val="center"/>
          </w:tcPr>
          <w:p>
            <w:pPr>
              <w:spacing w:line="240" w:lineRule="exact"/>
              <w:rPr>
                <w:rFonts w:ascii="仿宋_GB2312"/>
                <w:sz w:val="18"/>
                <w:szCs w:val="18"/>
              </w:rPr>
            </w:pPr>
            <w:r>
              <w:rPr>
                <w:rFonts w:hint="eastAsia" w:ascii="仿宋_GB2312"/>
                <w:sz w:val="15"/>
                <w:szCs w:val="15"/>
              </w:rPr>
              <w:t>1投入管理（4）</w:t>
            </w:r>
          </w:p>
        </w:tc>
        <w:tc>
          <w:tcPr>
            <w:tcW w:w="1173" w:type="dxa"/>
            <w:vAlign w:val="center"/>
          </w:tcPr>
          <w:p>
            <w:pPr>
              <w:spacing w:line="240" w:lineRule="exact"/>
              <w:rPr>
                <w:rFonts w:ascii="仿宋_GB2312"/>
                <w:sz w:val="15"/>
                <w:szCs w:val="15"/>
              </w:rPr>
            </w:pPr>
            <w:r>
              <w:rPr>
                <w:rFonts w:hint="eastAsia" w:ascii="仿宋_GB2312"/>
                <w:sz w:val="15"/>
                <w:szCs w:val="15"/>
              </w:rPr>
              <w:t>1.预算编制合理性</w:t>
            </w:r>
          </w:p>
        </w:tc>
        <w:tc>
          <w:tcPr>
            <w:tcW w:w="570" w:type="dxa"/>
            <w:vAlign w:val="center"/>
          </w:tcPr>
          <w:p>
            <w:pPr>
              <w:spacing w:line="240" w:lineRule="exact"/>
              <w:jc w:val="center"/>
              <w:rPr>
                <w:rFonts w:ascii="仿宋_GB2312"/>
                <w:sz w:val="18"/>
                <w:szCs w:val="18"/>
              </w:rPr>
            </w:pPr>
            <w:r>
              <w:rPr>
                <w:rFonts w:hint="eastAsia" w:ascii="仿宋_GB2312"/>
                <w:sz w:val="18"/>
                <w:szCs w:val="18"/>
              </w:rPr>
              <w:t>2</w:t>
            </w:r>
          </w:p>
        </w:tc>
        <w:tc>
          <w:tcPr>
            <w:tcW w:w="552" w:type="dxa"/>
            <w:vAlign w:val="center"/>
          </w:tcPr>
          <w:p>
            <w:pPr>
              <w:spacing w:line="240" w:lineRule="exact"/>
              <w:rPr>
                <w:rFonts w:hint="default" w:ascii="仿宋_GB2312" w:eastAsia="仿宋_GB2312"/>
                <w:sz w:val="18"/>
                <w:szCs w:val="18"/>
                <w:lang w:val="en-US" w:eastAsia="zh-CN"/>
              </w:rPr>
            </w:pPr>
            <w:r>
              <w:rPr>
                <w:rFonts w:hint="eastAsia" w:ascii="仿宋_GB2312"/>
                <w:sz w:val="18"/>
                <w:szCs w:val="18"/>
              </w:rPr>
              <w:t>1</w:t>
            </w:r>
            <w:r>
              <w:rPr>
                <w:rFonts w:hint="eastAsia" w:ascii="仿宋_GB2312"/>
                <w:sz w:val="18"/>
                <w:szCs w:val="18"/>
                <w:lang w:val="en-US" w:eastAsia="zh-CN"/>
              </w:rPr>
              <w:t>.5</w:t>
            </w:r>
          </w:p>
        </w:tc>
        <w:tc>
          <w:tcPr>
            <w:tcW w:w="2268" w:type="dxa"/>
            <w:vAlign w:val="center"/>
          </w:tcPr>
          <w:p>
            <w:pPr>
              <w:spacing w:line="240" w:lineRule="exact"/>
              <w:rPr>
                <w:rFonts w:ascii="仿宋_GB2312"/>
                <w:sz w:val="15"/>
                <w:szCs w:val="15"/>
              </w:rPr>
            </w:pPr>
            <w:r>
              <w:rPr>
                <w:rFonts w:hint="eastAsia" w:ascii="仿宋_GB2312"/>
                <w:sz w:val="15"/>
                <w:szCs w:val="15"/>
              </w:rPr>
              <w:t>考察预算编制是否充分、合理，预计项目支出是否完整反应。</w:t>
            </w:r>
          </w:p>
        </w:tc>
        <w:tc>
          <w:tcPr>
            <w:tcW w:w="2126" w:type="dxa"/>
            <w:vAlign w:val="center"/>
          </w:tcPr>
          <w:p>
            <w:pPr>
              <w:spacing w:line="240" w:lineRule="exact"/>
              <w:rPr>
                <w:rFonts w:ascii="仿宋_GB2312"/>
                <w:sz w:val="15"/>
                <w:szCs w:val="15"/>
              </w:rPr>
            </w:pPr>
            <w:r>
              <w:rPr>
                <w:rFonts w:hint="eastAsia" w:ascii="仿宋_GB2312"/>
                <w:sz w:val="15"/>
                <w:szCs w:val="15"/>
              </w:rPr>
              <w:t>合理得满分；存在一项不合理，扣0.5分，扣完为止。</w:t>
            </w:r>
          </w:p>
        </w:tc>
        <w:tc>
          <w:tcPr>
            <w:tcW w:w="1369" w:type="dxa"/>
            <w:vAlign w:val="center"/>
          </w:tcPr>
          <w:p>
            <w:pPr>
              <w:spacing w:line="240" w:lineRule="exact"/>
              <w:rPr>
                <w:rFonts w:ascii="仿宋_GB2312"/>
                <w:sz w:val="15"/>
                <w:szCs w:val="15"/>
              </w:rPr>
            </w:pPr>
            <w:r>
              <w:rPr>
                <w:rFonts w:hint="eastAsia" w:ascii="仿宋_GB2312"/>
                <w:sz w:val="15"/>
                <w:szCs w:val="15"/>
              </w:rPr>
              <w:t>预算批复。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476" w:type="dxa"/>
            <w:vMerge w:val="continue"/>
          </w:tcPr>
          <w:p>
            <w:pPr>
              <w:spacing w:line="240" w:lineRule="exact"/>
              <w:jc w:val="left"/>
              <w:rPr>
                <w:rFonts w:ascii="仿宋_GB2312"/>
                <w:sz w:val="18"/>
                <w:szCs w:val="18"/>
              </w:rPr>
            </w:pPr>
          </w:p>
        </w:tc>
        <w:tc>
          <w:tcPr>
            <w:tcW w:w="640" w:type="dxa"/>
            <w:vMerge w:val="continue"/>
            <w:vAlign w:val="center"/>
          </w:tcPr>
          <w:p>
            <w:pPr>
              <w:spacing w:line="240" w:lineRule="exact"/>
              <w:rPr>
                <w:rFonts w:ascii="仿宋_GB2312"/>
                <w:sz w:val="15"/>
                <w:szCs w:val="15"/>
              </w:rPr>
            </w:pPr>
          </w:p>
        </w:tc>
        <w:tc>
          <w:tcPr>
            <w:tcW w:w="1173" w:type="dxa"/>
            <w:vAlign w:val="center"/>
          </w:tcPr>
          <w:p>
            <w:pPr>
              <w:spacing w:line="240" w:lineRule="exact"/>
              <w:rPr>
                <w:rFonts w:ascii="仿宋_GB2312"/>
                <w:sz w:val="15"/>
                <w:szCs w:val="15"/>
              </w:rPr>
            </w:pPr>
            <w:r>
              <w:rPr>
                <w:rFonts w:hint="eastAsia" w:ascii="仿宋_GB2312"/>
                <w:sz w:val="15"/>
                <w:szCs w:val="15"/>
              </w:rPr>
              <w:t>2.预算执行率</w:t>
            </w:r>
          </w:p>
        </w:tc>
        <w:tc>
          <w:tcPr>
            <w:tcW w:w="570" w:type="dxa"/>
            <w:vAlign w:val="center"/>
          </w:tcPr>
          <w:p>
            <w:pPr>
              <w:spacing w:line="240" w:lineRule="exact"/>
              <w:jc w:val="center"/>
              <w:rPr>
                <w:rFonts w:ascii="仿宋_GB2312"/>
                <w:sz w:val="18"/>
                <w:szCs w:val="18"/>
              </w:rPr>
            </w:pPr>
            <w:r>
              <w:rPr>
                <w:rFonts w:hint="eastAsia" w:ascii="仿宋_GB2312"/>
                <w:sz w:val="18"/>
                <w:szCs w:val="18"/>
              </w:rPr>
              <w:t>2</w:t>
            </w:r>
          </w:p>
        </w:tc>
        <w:tc>
          <w:tcPr>
            <w:tcW w:w="552" w:type="dxa"/>
            <w:vAlign w:val="center"/>
          </w:tcPr>
          <w:p>
            <w:pPr>
              <w:spacing w:line="240" w:lineRule="exact"/>
              <w:rPr>
                <w:rFonts w:ascii="仿宋_GB2312"/>
                <w:sz w:val="18"/>
                <w:szCs w:val="18"/>
              </w:rPr>
            </w:pPr>
            <w:r>
              <w:rPr>
                <w:rFonts w:hint="eastAsia" w:ascii="仿宋_GB2312"/>
                <w:sz w:val="18"/>
                <w:szCs w:val="18"/>
              </w:rPr>
              <w:t>2</w:t>
            </w:r>
          </w:p>
        </w:tc>
        <w:tc>
          <w:tcPr>
            <w:tcW w:w="2268" w:type="dxa"/>
            <w:vAlign w:val="center"/>
          </w:tcPr>
          <w:p>
            <w:pPr>
              <w:spacing w:line="240" w:lineRule="exact"/>
              <w:rPr>
                <w:rFonts w:ascii="仿宋_GB2312"/>
                <w:sz w:val="15"/>
                <w:szCs w:val="15"/>
              </w:rPr>
            </w:pPr>
            <w:r>
              <w:rPr>
                <w:rFonts w:hint="eastAsia" w:ascii="仿宋_GB2312"/>
                <w:sz w:val="15"/>
                <w:szCs w:val="15"/>
              </w:rPr>
              <w:t>考察项目预算执行的进度。预算执行率=实际支出金额/项目预算金额×100%</w:t>
            </w:r>
          </w:p>
        </w:tc>
        <w:tc>
          <w:tcPr>
            <w:tcW w:w="2126" w:type="dxa"/>
            <w:vAlign w:val="center"/>
          </w:tcPr>
          <w:p>
            <w:pPr>
              <w:spacing w:line="240" w:lineRule="exact"/>
              <w:rPr>
                <w:rFonts w:ascii="仿宋_GB2312"/>
                <w:sz w:val="15"/>
                <w:szCs w:val="15"/>
              </w:rPr>
            </w:pPr>
            <w:r>
              <w:rPr>
                <w:rFonts w:hint="eastAsia" w:ascii="仿宋_GB2312"/>
                <w:sz w:val="15"/>
                <w:szCs w:val="15"/>
              </w:rPr>
              <w:t>预算执行率95%以上，得满分；低于95%，每下降1%扣权重的1%；预算执行率60%以下，不计分。</w:t>
            </w:r>
          </w:p>
        </w:tc>
        <w:tc>
          <w:tcPr>
            <w:tcW w:w="1369" w:type="dxa"/>
            <w:vAlign w:val="center"/>
          </w:tcPr>
          <w:p>
            <w:pPr>
              <w:spacing w:line="240" w:lineRule="exact"/>
              <w:rPr>
                <w:rFonts w:ascii="仿宋_GB2312"/>
                <w:sz w:val="15"/>
                <w:szCs w:val="15"/>
              </w:rPr>
            </w:pPr>
            <w:r>
              <w:rPr>
                <w:rFonts w:hint="eastAsia" w:ascii="仿宋_GB2312"/>
                <w:sz w:val="15"/>
                <w:szCs w:val="15"/>
              </w:rPr>
              <w:t>绩效目标申报表、支付指令、合同、财务凭证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76" w:type="dxa"/>
            <w:vMerge w:val="continue"/>
          </w:tcPr>
          <w:p>
            <w:pPr>
              <w:spacing w:line="240" w:lineRule="exact"/>
              <w:jc w:val="left"/>
              <w:rPr>
                <w:sz w:val="18"/>
                <w:szCs w:val="18"/>
              </w:rPr>
            </w:pPr>
          </w:p>
        </w:tc>
        <w:tc>
          <w:tcPr>
            <w:tcW w:w="640" w:type="dxa"/>
            <w:vMerge w:val="restart"/>
            <w:vAlign w:val="center"/>
          </w:tcPr>
          <w:p>
            <w:pPr>
              <w:spacing w:line="240" w:lineRule="exact"/>
              <w:rPr>
                <w:sz w:val="15"/>
                <w:szCs w:val="15"/>
              </w:rPr>
            </w:pPr>
            <w:r>
              <w:rPr>
                <w:rFonts w:hint="eastAsia" w:ascii="仿宋_GB2312"/>
                <w:sz w:val="15"/>
                <w:szCs w:val="15"/>
              </w:rPr>
              <w:t>2.财务管理（6）</w:t>
            </w:r>
          </w:p>
        </w:tc>
        <w:tc>
          <w:tcPr>
            <w:tcW w:w="1173" w:type="dxa"/>
            <w:vAlign w:val="center"/>
          </w:tcPr>
          <w:p>
            <w:pPr>
              <w:spacing w:line="240" w:lineRule="exact"/>
              <w:rPr>
                <w:rFonts w:ascii="仿宋_GB2312"/>
                <w:sz w:val="15"/>
                <w:szCs w:val="15"/>
              </w:rPr>
            </w:pPr>
            <w:r>
              <w:rPr>
                <w:rFonts w:hint="eastAsia" w:ascii="仿宋_GB2312"/>
                <w:sz w:val="15"/>
                <w:szCs w:val="15"/>
              </w:rPr>
              <w:t>1.资金使用情况</w:t>
            </w:r>
          </w:p>
        </w:tc>
        <w:tc>
          <w:tcPr>
            <w:tcW w:w="570" w:type="dxa"/>
            <w:vAlign w:val="center"/>
          </w:tcPr>
          <w:p>
            <w:pPr>
              <w:spacing w:line="240" w:lineRule="exact"/>
              <w:jc w:val="center"/>
              <w:rPr>
                <w:rFonts w:ascii="仿宋_GB2312"/>
                <w:sz w:val="18"/>
                <w:szCs w:val="18"/>
              </w:rPr>
            </w:pPr>
            <w:r>
              <w:rPr>
                <w:rFonts w:hint="eastAsia" w:ascii="仿宋_GB2312"/>
                <w:sz w:val="18"/>
                <w:szCs w:val="18"/>
              </w:rPr>
              <w:t>3</w:t>
            </w:r>
          </w:p>
        </w:tc>
        <w:tc>
          <w:tcPr>
            <w:tcW w:w="552" w:type="dxa"/>
            <w:vAlign w:val="center"/>
          </w:tcPr>
          <w:p>
            <w:pPr>
              <w:spacing w:line="240" w:lineRule="exact"/>
              <w:rPr>
                <w:rFonts w:ascii="仿宋_GB2312"/>
                <w:sz w:val="18"/>
                <w:szCs w:val="18"/>
              </w:rPr>
            </w:pPr>
            <w:r>
              <w:rPr>
                <w:rFonts w:hint="eastAsia" w:ascii="仿宋_GB2312"/>
                <w:sz w:val="18"/>
                <w:szCs w:val="18"/>
              </w:rPr>
              <w:t>3</w:t>
            </w:r>
          </w:p>
        </w:tc>
        <w:tc>
          <w:tcPr>
            <w:tcW w:w="2268" w:type="dxa"/>
            <w:vAlign w:val="center"/>
          </w:tcPr>
          <w:p>
            <w:pPr>
              <w:spacing w:line="240" w:lineRule="exact"/>
              <w:rPr>
                <w:rFonts w:ascii="仿宋_GB2312"/>
                <w:sz w:val="15"/>
                <w:szCs w:val="15"/>
              </w:rPr>
            </w:pPr>
            <w:r>
              <w:rPr>
                <w:rFonts w:hint="eastAsia" w:ascii="仿宋_GB2312"/>
                <w:sz w:val="15"/>
                <w:szCs w:val="15"/>
              </w:rPr>
              <w:t>考察项目资金使用是否符合预算批复的用途，是否存在截留、挤占、挪用、虚列支出等情况。</w:t>
            </w:r>
          </w:p>
        </w:tc>
        <w:tc>
          <w:tcPr>
            <w:tcW w:w="2126" w:type="dxa"/>
            <w:vAlign w:val="center"/>
          </w:tcPr>
          <w:p>
            <w:pPr>
              <w:spacing w:line="240" w:lineRule="exact"/>
              <w:rPr>
                <w:rFonts w:ascii="仿宋_GB2312"/>
                <w:sz w:val="15"/>
                <w:szCs w:val="15"/>
              </w:rPr>
            </w:pPr>
            <w:r>
              <w:rPr>
                <w:rFonts w:hint="eastAsia" w:ascii="仿宋_GB2312"/>
                <w:sz w:val="15"/>
                <w:szCs w:val="15"/>
              </w:rPr>
              <w:t>合规，得满分；存在一项不合规，扣1分，扣完为止。</w:t>
            </w:r>
          </w:p>
        </w:tc>
        <w:tc>
          <w:tcPr>
            <w:tcW w:w="1369" w:type="dxa"/>
            <w:vAlign w:val="center"/>
          </w:tcPr>
          <w:p>
            <w:pPr>
              <w:spacing w:line="240" w:lineRule="exact"/>
              <w:rPr>
                <w:rFonts w:ascii="仿宋_GB2312"/>
                <w:sz w:val="15"/>
                <w:szCs w:val="15"/>
              </w:rPr>
            </w:pPr>
            <w:r>
              <w:rPr>
                <w:rFonts w:hint="eastAsia" w:ascii="仿宋_GB2312"/>
                <w:sz w:val="15"/>
                <w:szCs w:val="15"/>
              </w:rPr>
              <w:t>绩效目标申报表、支付指令，合同、财务凭证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476" w:type="dxa"/>
            <w:vMerge w:val="continue"/>
          </w:tcPr>
          <w:p>
            <w:pPr>
              <w:spacing w:line="240" w:lineRule="exact"/>
              <w:jc w:val="left"/>
              <w:rPr>
                <w:sz w:val="18"/>
                <w:szCs w:val="18"/>
              </w:rPr>
            </w:pPr>
          </w:p>
        </w:tc>
        <w:tc>
          <w:tcPr>
            <w:tcW w:w="640" w:type="dxa"/>
            <w:vMerge w:val="continue"/>
            <w:vAlign w:val="center"/>
          </w:tcPr>
          <w:p>
            <w:pPr>
              <w:spacing w:line="240" w:lineRule="exact"/>
              <w:rPr>
                <w:rFonts w:ascii="仿宋_GB2312"/>
                <w:sz w:val="15"/>
                <w:szCs w:val="15"/>
              </w:rPr>
            </w:pPr>
          </w:p>
        </w:tc>
        <w:tc>
          <w:tcPr>
            <w:tcW w:w="1173" w:type="dxa"/>
            <w:vAlign w:val="center"/>
          </w:tcPr>
          <w:p>
            <w:pPr>
              <w:spacing w:line="240" w:lineRule="exact"/>
              <w:rPr>
                <w:rFonts w:ascii="仿宋_GB2312"/>
                <w:sz w:val="15"/>
                <w:szCs w:val="15"/>
              </w:rPr>
            </w:pPr>
            <w:r>
              <w:rPr>
                <w:rFonts w:hint="eastAsia" w:ascii="仿宋_GB2312"/>
                <w:sz w:val="15"/>
                <w:szCs w:val="15"/>
              </w:rPr>
              <w:t>2.财务管理制度健全性</w:t>
            </w:r>
          </w:p>
        </w:tc>
        <w:tc>
          <w:tcPr>
            <w:tcW w:w="570" w:type="dxa"/>
            <w:vAlign w:val="center"/>
          </w:tcPr>
          <w:p>
            <w:pPr>
              <w:spacing w:line="240" w:lineRule="exact"/>
              <w:jc w:val="center"/>
              <w:rPr>
                <w:rFonts w:ascii="仿宋_GB2312"/>
                <w:sz w:val="18"/>
                <w:szCs w:val="18"/>
              </w:rPr>
            </w:pPr>
            <w:r>
              <w:rPr>
                <w:rFonts w:hint="eastAsia" w:ascii="仿宋_GB2312"/>
                <w:sz w:val="18"/>
                <w:szCs w:val="18"/>
              </w:rPr>
              <w:t>3</w:t>
            </w:r>
          </w:p>
        </w:tc>
        <w:tc>
          <w:tcPr>
            <w:tcW w:w="552" w:type="dxa"/>
            <w:vAlign w:val="center"/>
          </w:tcPr>
          <w:p>
            <w:pPr>
              <w:spacing w:line="240" w:lineRule="exact"/>
              <w:rPr>
                <w:rFonts w:ascii="仿宋_GB2312"/>
                <w:sz w:val="18"/>
                <w:szCs w:val="18"/>
              </w:rPr>
            </w:pPr>
            <w:r>
              <w:rPr>
                <w:rFonts w:hint="eastAsia" w:ascii="仿宋_GB2312"/>
                <w:sz w:val="18"/>
                <w:szCs w:val="18"/>
              </w:rPr>
              <w:t>3</w:t>
            </w:r>
          </w:p>
        </w:tc>
        <w:tc>
          <w:tcPr>
            <w:tcW w:w="2268" w:type="dxa"/>
            <w:vAlign w:val="center"/>
          </w:tcPr>
          <w:p>
            <w:pPr>
              <w:spacing w:line="240" w:lineRule="exact"/>
              <w:rPr>
                <w:rFonts w:ascii="仿宋_GB2312"/>
                <w:sz w:val="15"/>
                <w:szCs w:val="15"/>
              </w:rPr>
            </w:pPr>
            <w:r>
              <w:rPr>
                <w:rFonts w:hint="eastAsia" w:ascii="仿宋_GB2312"/>
                <w:sz w:val="15"/>
                <w:szCs w:val="15"/>
              </w:rPr>
              <w:t>考察项目的财务制度是否健全、完善、有效。</w:t>
            </w:r>
          </w:p>
        </w:tc>
        <w:tc>
          <w:tcPr>
            <w:tcW w:w="2126" w:type="dxa"/>
            <w:vAlign w:val="center"/>
          </w:tcPr>
          <w:p>
            <w:pPr>
              <w:spacing w:line="240" w:lineRule="exact"/>
              <w:rPr>
                <w:rFonts w:ascii="仿宋_GB2312"/>
                <w:sz w:val="15"/>
                <w:szCs w:val="15"/>
              </w:rPr>
            </w:pPr>
            <w:r>
              <w:rPr>
                <w:rFonts w:hint="eastAsia" w:ascii="仿宋_GB2312"/>
                <w:sz w:val="15"/>
                <w:szCs w:val="15"/>
              </w:rPr>
              <w:t xml:space="preserve">a.是否已制定相应的财务管理办法；b.项目财务管理办法是否符合相关财务会计制度的规定；符合所有条件，得满分； 一项不符合，扣1分，扣完为止。                                                                  </w:t>
            </w:r>
          </w:p>
        </w:tc>
        <w:tc>
          <w:tcPr>
            <w:tcW w:w="1369" w:type="dxa"/>
            <w:vAlign w:val="center"/>
          </w:tcPr>
          <w:p>
            <w:pPr>
              <w:spacing w:line="240" w:lineRule="exact"/>
              <w:rPr>
                <w:rFonts w:ascii="仿宋_GB2312"/>
                <w:sz w:val="15"/>
                <w:szCs w:val="15"/>
              </w:rPr>
            </w:pPr>
            <w:r>
              <w:rPr>
                <w:rFonts w:hint="eastAsia" w:ascii="仿宋_GB2312"/>
                <w:sz w:val="15"/>
                <w:szCs w:val="15"/>
              </w:rPr>
              <w:t>财务管理制度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476" w:type="dxa"/>
            <w:vMerge w:val="continue"/>
          </w:tcPr>
          <w:p>
            <w:pPr>
              <w:spacing w:line="240" w:lineRule="exact"/>
              <w:jc w:val="left"/>
              <w:rPr>
                <w:sz w:val="18"/>
                <w:szCs w:val="18"/>
              </w:rPr>
            </w:pPr>
          </w:p>
        </w:tc>
        <w:tc>
          <w:tcPr>
            <w:tcW w:w="640" w:type="dxa"/>
            <w:vMerge w:val="restart"/>
            <w:vAlign w:val="center"/>
          </w:tcPr>
          <w:p>
            <w:pPr>
              <w:spacing w:line="240" w:lineRule="exact"/>
              <w:rPr>
                <w:rFonts w:ascii="仿宋_GB2312"/>
                <w:sz w:val="15"/>
                <w:szCs w:val="15"/>
              </w:rPr>
            </w:pPr>
            <w:r>
              <w:rPr>
                <w:rFonts w:hint="eastAsia" w:ascii="仿宋_GB2312"/>
                <w:sz w:val="15"/>
                <w:szCs w:val="15"/>
              </w:rPr>
              <w:t>3.项目实施（10）</w:t>
            </w:r>
          </w:p>
        </w:tc>
        <w:tc>
          <w:tcPr>
            <w:tcW w:w="1173" w:type="dxa"/>
            <w:vAlign w:val="center"/>
          </w:tcPr>
          <w:p>
            <w:pPr>
              <w:spacing w:line="240" w:lineRule="exact"/>
              <w:rPr>
                <w:rFonts w:ascii="仿宋_GB2312"/>
                <w:sz w:val="15"/>
                <w:szCs w:val="15"/>
              </w:rPr>
            </w:pPr>
            <w:r>
              <w:rPr>
                <w:rFonts w:hint="eastAsia" w:ascii="仿宋_GB2312"/>
                <w:sz w:val="15"/>
                <w:szCs w:val="15"/>
              </w:rPr>
              <w:t>1.项目管理制度健全性</w:t>
            </w:r>
          </w:p>
        </w:tc>
        <w:tc>
          <w:tcPr>
            <w:tcW w:w="570" w:type="dxa"/>
            <w:vAlign w:val="center"/>
          </w:tcPr>
          <w:p>
            <w:pPr>
              <w:spacing w:line="240" w:lineRule="exact"/>
              <w:jc w:val="center"/>
              <w:rPr>
                <w:rFonts w:ascii="仿宋_GB2312"/>
                <w:sz w:val="18"/>
                <w:szCs w:val="18"/>
              </w:rPr>
            </w:pPr>
            <w:r>
              <w:rPr>
                <w:rFonts w:hint="eastAsia" w:ascii="仿宋_GB2312"/>
                <w:sz w:val="18"/>
                <w:szCs w:val="18"/>
              </w:rPr>
              <w:t>5</w:t>
            </w:r>
          </w:p>
        </w:tc>
        <w:tc>
          <w:tcPr>
            <w:tcW w:w="552" w:type="dxa"/>
            <w:vAlign w:val="center"/>
          </w:tcPr>
          <w:p>
            <w:pPr>
              <w:spacing w:line="240" w:lineRule="exact"/>
              <w:rPr>
                <w:rFonts w:ascii="仿宋_GB2312"/>
                <w:sz w:val="18"/>
                <w:szCs w:val="18"/>
              </w:rPr>
            </w:pPr>
            <w:r>
              <w:rPr>
                <w:rFonts w:hint="eastAsia" w:ascii="仿宋_GB2312"/>
                <w:sz w:val="18"/>
                <w:szCs w:val="18"/>
              </w:rPr>
              <w:t>4</w:t>
            </w:r>
          </w:p>
        </w:tc>
        <w:tc>
          <w:tcPr>
            <w:tcW w:w="2268" w:type="dxa"/>
            <w:vAlign w:val="center"/>
          </w:tcPr>
          <w:p>
            <w:pPr>
              <w:spacing w:line="240" w:lineRule="exact"/>
              <w:rPr>
                <w:rFonts w:ascii="仿宋_GB2312"/>
                <w:sz w:val="15"/>
                <w:szCs w:val="15"/>
              </w:rPr>
            </w:pPr>
            <w:r>
              <w:rPr>
                <w:rFonts w:hint="eastAsia" w:ascii="仿宋_GB2312"/>
                <w:sz w:val="15"/>
                <w:szCs w:val="15"/>
              </w:rPr>
              <w:t>项目实施单位为保障项目顺利实施制订的与项目直接相关的业务管理制度是否健全、完善和有效。</w:t>
            </w:r>
          </w:p>
        </w:tc>
        <w:tc>
          <w:tcPr>
            <w:tcW w:w="2126" w:type="dxa"/>
            <w:vAlign w:val="center"/>
          </w:tcPr>
          <w:p>
            <w:pPr>
              <w:spacing w:line="240" w:lineRule="exact"/>
              <w:rPr>
                <w:rFonts w:ascii="仿宋_GB2312"/>
                <w:sz w:val="15"/>
                <w:szCs w:val="15"/>
              </w:rPr>
            </w:pPr>
            <w:r>
              <w:rPr>
                <w:rFonts w:hint="eastAsia" w:ascii="仿宋_GB2312"/>
                <w:sz w:val="15"/>
                <w:szCs w:val="15"/>
              </w:rPr>
              <w:t>制订制度或采取措施，得满分；制度不完善或措施不明确，得权重的60%；没有相关制度或措施，不得分。</w:t>
            </w:r>
          </w:p>
        </w:tc>
        <w:tc>
          <w:tcPr>
            <w:tcW w:w="1369" w:type="dxa"/>
            <w:vAlign w:val="center"/>
          </w:tcPr>
          <w:p>
            <w:pPr>
              <w:spacing w:line="240" w:lineRule="exact"/>
              <w:rPr>
                <w:rFonts w:ascii="仿宋_GB2312"/>
                <w:sz w:val="15"/>
                <w:szCs w:val="15"/>
              </w:rPr>
            </w:pPr>
            <w:r>
              <w:rPr>
                <w:rFonts w:hint="eastAsia" w:ascii="仿宋_GB2312"/>
                <w:sz w:val="15"/>
                <w:szCs w:val="15"/>
              </w:rPr>
              <w:t>项目实施单位管理制度、访谈、现场调查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6" w:type="dxa"/>
            <w:vMerge w:val="continue"/>
          </w:tcPr>
          <w:p>
            <w:pPr>
              <w:spacing w:line="240" w:lineRule="exact"/>
              <w:jc w:val="left"/>
              <w:rPr>
                <w:sz w:val="18"/>
                <w:szCs w:val="18"/>
              </w:rPr>
            </w:pPr>
          </w:p>
        </w:tc>
        <w:tc>
          <w:tcPr>
            <w:tcW w:w="640" w:type="dxa"/>
            <w:vMerge w:val="continue"/>
          </w:tcPr>
          <w:p>
            <w:pPr>
              <w:spacing w:line="240" w:lineRule="exact"/>
              <w:jc w:val="left"/>
              <w:rPr>
                <w:rFonts w:ascii="仿宋_GB2312"/>
                <w:sz w:val="15"/>
                <w:szCs w:val="15"/>
              </w:rPr>
            </w:pPr>
          </w:p>
        </w:tc>
        <w:tc>
          <w:tcPr>
            <w:tcW w:w="1173" w:type="dxa"/>
            <w:vAlign w:val="center"/>
          </w:tcPr>
          <w:p>
            <w:pPr>
              <w:spacing w:line="240" w:lineRule="exact"/>
              <w:rPr>
                <w:rFonts w:ascii="仿宋_GB2312"/>
                <w:sz w:val="15"/>
                <w:szCs w:val="15"/>
              </w:rPr>
            </w:pPr>
            <w:r>
              <w:rPr>
                <w:rFonts w:hint="eastAsia" w:ascii="仿宋_GB2312"/>
                <w:sz w:val="15"/>
                <w:szCs w:val="15"/>
              </w:rPr>
              <w:t>2.项目管理制度执行有效性</w:t>
            </w:r>
          </w:p>
        </w:tc>
        <w:tc>
          <w:tcPr>
            <w:tcW w:w="570" w:type="dxa"/>
            <w:vAlign w:val="center"/>
          </w:tcPr>
          <w:p>
            <w:pPr>
              <w:spacing w:line="240" w:lineRule="exact"/>
              <w:jc w:val="center"/>
              <w:rPr>
                <w:rFonts w:ascii="仿宋_GB2312"/>
                <w:sz w:val="18"/>
                <w:szCs w:val="18"/>
              </w:rPr>
            </w:pPr>
            <w:r>
              <w:rPr>
                <w:rFonts w:hint="eastAsia" w:ascii="仿宋_GB2312"/>
                <w:sz w:val="18"/>
                <w:szCs w:val="18"/>
              </w:rPr>
              <w:t>5</w:t>
            </w:r>
          </w:p>
        </w:tc>
        <w:tc>
          <w:tcPr>
            <w:tcW w:w="552" w:type="dxa"/>
            <w:vAlign w:val="center"/>
          </w:tcPr>
          <w:p>
            <w:pPr>
              <w:spacing w:line="240" w:lineRule="exact"/>
              <w:rPr>
                <w:rFonts w:ascii="仿宋_GB2312"/>
                <w:sz w:val="18"/>
                <w:szCs w:val="18"/>
              </w:rPr>
            </w:pPr>
            <w:r>
              <w:rPr>
                <w:rFonts w:hint="eastAsia" w:ascii="仿宋_GB2312"/>
                <w:sz w:val="18"/>
                <w:szCs w:val="18"/>
              </w:rPr>
              <w:t>5</w:t>
            </w:r>
          </w:p>
        </w:tc>
        <w:tc>
          <w:tcPr>
            <w:tcW w:w="2268" w:type="dxa"/>
            <w:vAlign w:val="center"/>
          </w:tcPr>
          <w:p>
            <w:pPr>
              <w:spacing w:line="240" w:lineRule="exact"/>
              <w:rPr>
                <w:rFonts w:ascii="仿宋_GB2312"/>
                <w:sz w:val="15"/>
                <w:szCs w:val="15"/>
              </w:rPr>
            </w:pPr>
            <w:r>
              <w:rPr>
                <w:rFonts w:hint="eastAsia" w:ascii="仿宋_GB2312"/>
                <w:sz w:val="15"/>
                <w:szCs w:val="15"/>
              </w:rPr>
              <w:t>考察项目实施单位制订的管理制度是否有效执行。</w:t>
            </w:r>
          </w:p>
        </w:tc>
        <w:tc>
          <w:tcPr>
            <w:tcW w:w="2126" w:type="dxa"/>
            <w:vAlign w:val="center"/>
          </w:tcPr>
          <w:p>
            <w:pPr>
              <w:spacing w:line="240" w:lineRule="exact"/>
              <w:rPr>
                <w:rFonts w:ascii="仿宋_GB2312"/>
                <w:sz w:val="15"/>
                <w:szCs w:val="15"/>
              </w:rPr>
            </w:pPr>
            <w:r>
              <w:rPr>
                <w:rFonts w:hint="eastAsia" w:ascii="仿宋_GB2312"/>
                <w:sz w:val="15"/>
                <w:szCs w:val="15"/>
              </w:rPr>
              <w:t>有效执行，得满分；部分执行，得权重的60%；未执行，不得分。</w:t>
            </w:r>
          </w:p>
        </w:tc>
        <w:tc>
          <w:tcPr>
            <w:tcW w:w="1369" w:type="dxa"/>
            <w:vAlign w:val="center"/>
          </w:tcPr>
          <w:p>
            <w:pPr>
              <w:spacing w:line="240" w:lineRule="exact"/>
              <w:rPr>
                <w:rFonts w:ascii="仿宋_GB2312"/>
                <w:sz w:val="15"/>
                <w:szCs w:val="15"/>
              </w:rPr>
            </w:pPr>
            <w:r>
              <w:rPr>
                <w:rFonts w:hint="eastAsia" w:ascii="仿宋_GB2312"/>
                <w:sz w:val="15"/>
                <w:szCs w:val="15"/>
              </w:rPr>
              <w:t>项目实施单位管理制度、现场调查。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476" w:type="dxa"/>
            <w:vMerge w:val="restart"/>
            <w:textDirection w:val="tbRlV"/>
            <w:vAlign w:val="center"/>
          </w:tcPr>
          <w:p>
            <w:pPr>
              <w:spacing w:line="240" w:lineRule="exact"/>
              <w:ind w:left="113" w:right="113"/>
              <w:jc w:val="center"/>
              <w:rPr>
                <w:rFonts w:ascii="仿宋_GB2312"/>
                <w:sz w:val="18"/>
                <w:szCs w:val="18"/>
              </w:rPr>
            </w:pPr>
            <w:r>
              <w:rPr>
                <w:rFonts w:hint="eastAsia" w:ascii="仿宋_GB2312"/>
                <w:sz w:val="18"/>
                <w:szCs w:val="18"/>
              </w:rPr>
              <w:t>三、项目绩效（60分）</w:t>
            </w:r>
          </w:p>
        </w:tc>
        <w:tc>
          <w:tcPr>
            <w:tcW w:w="640" w:type="dxa"/>
            <w:vMerge w:val="restart"/>
            <w:vAlign w:val="center"/>
          </w:tcPr>
          <w:p>
            <w:pPr>
              <w:spacing w:line="240" w:lineRule="exact"/>
              <w:rPr>
                <w:rFonts w:ascii="仿宋_GB2312"/>
                <w:sz w:val="15"/>
                <w:szCs w:val="15"/>
              </w:rPr>
            </w:pPr>
            <w:r>
              <w:rPr>
                <w:rFonts w:hint="eastAsia" w:ascii="仿宋_GB2312"/>
                <w:sz w:val="15"/>
                <w:szCs w:val="15"/>
              </w:rPr>
              <w:t>1.项目产出（30分</w:t>
            </w:r>
          </w:p>
        </w:tc>
        <w:tc>
          <w:tcPr>
            <w:tcW w:w="1173" w:type="dxa"/>
            <w:vAlign w:val="center"/>
          </w:tcPr>
          <w:p>
            <w:pPr>
              <w:spacing w:line="240" w:lineRule="exact"/>
              <w:rPr>
                <w:rFonts w:ascii="仿宋_GB2312"/>
                <w:sz w:val="15"/>
                <w:szCs w:val="15"/>
              </w:rPr>
            </w:pPr>
            <w:r>
              <w:rPr>
                <w:rFonts w:hint="eastAsia" w:ascii="仿宋_GB2312"/>
                <w:sz w:val="15"/>
                <w:szCs w:val="15"/>
              </w:rPr>
              <w:t>1.数量指标</w:t>
            </w:r>
          </w:p>
        </w:tc>
        <w:tc>
          <w:tcPr>
            <w:tcW w:w="570" w:type="dxa"/>
            <w:vAlign w:val="center"/>
          </w:tcPr>
          <w:p>
            <w:pPr>
              <w:spacing w:line="240" w:lineRule="exact"/>
              <w:jc w:val="center"/>
              <w:rPr>
                <w:rFonts w:ascii="仿宋_GB2312"/>
                <w:sz w:val="18"/>
                <w:szCs w:val="18"/>
              </w:rPr>
            </w:pPr>
            <w:r>
              <w:rPr>
                <w:rFonts w:hint="eastAsia" w:ascii="仿宋_GB2312"/>
                <w:sz w:val="18"/>
                <w:szCs w:val="18"/>
              </w:rPr>
              <w:t>8</w:t>
            </w:r>
          </w:p>
        </w:tc>
        <w:tc>
          <w:tcPr>
            <w:tcW w:w="552" w:type="dxa"/>
            <w:vAlign w:val="center"/>
          </w:tcPr>
          <w:p>
            <w:pPr>
              <w:spacing w:line="240" w:lineRule="exact"/>
              <w:rPr>
                <w:rFonts w:ascii="仿宋_GB2312"/>
                <w:sz w:val="18"/>
                <w:szCs w:val="18"/>
              </w:rPr>
            </w:pPr>
            <w:r>
              <w:rPr>
                <w:rFonts w:hint="eastAsia" w:ascii="仿宋_GB2312"/>
                <w:sz w:val="18"/>
                <w:szCs w:val="18"/>
              </w:rPr>
              <w:t>7</w:t>
            </w:r>
          </w:p>
        </w:tc>
        <w:tc>
          <w:tcPr>
            <w:tcW w:w="2268" w:type="dxa"/>
            <w:vAlign w:val="center"/>
          </w:tcPr>
          <w:p>
            <w:pPr>
              <w:spacing w:line="240" w:lineRule="exact"/>
              <w:rPr>
                <w:rFonts w:ascii="仿宋_GB2312"/>
                <w:sz w:val="15"/>
                <w:szCs w:val="15"/>
              </w:rPr>
            </w:pPr>
            <w:r>
              <w:rPr>
                <w:rFonts w:hint="eastAsia" w:ascii="仿宋_GB2312"/>
                <w:sz w:val="15"/>
                <w:szCs w:val="15"/>
              </w:rPr>
              <w:t>根据该项目实际，考察产出数量的实际完成情况。</w:t>
            </w:r>
          </w:p>
        </w:tc>
        <w:tc>
          <w:tcPr>
            <w:tcW w:w="2126" w:type="dxa"/>
            <w:vAlign w:val="center"/>
          </w:tcPr>
          <w:p>
            <w:pPr>
              <w:spacing w:line="240" w:lineRule="exact"/>
              <w:rPr>
                <w:rFonts w:ascii="仿宋_GB2312"/>
                <w:sz w:val="15"/>
                <w:szCs w:val="15"/>
              </w:rPr>
            </w:pPr>
            <w:r>
              <w:rPr>
                <w:rFonts w:hint="eastAsia" w:ascii="仿宋_GB2312"/>
                <w:sz w:val="15"/>
                <w:szCs w:val="15"/>
              </w:rPr>
              <w:t>对照绩效目标，按实际产出数量和计划产出数计算得分。</w:t>
            </w:r>
          </w:p>
        </w:tc>
        <w:tc>
          <w:tcPr>
            <w:tcW w:w="1369" w:type="dxa"/>
            <w:vAlign w:val="center"/>
          </w:tcPr>
          <w:p>
            <w:pPr>
              <w:spacing w:line="240" w:lineRule="exact"/>
              <w:rPr>
                <w:rFonts w:ascii="仿宋_GB2312"/>
                <w:sz w:val="15"/>
                <w:szCs w:val="15"/>
              </w:rPr>
            </w:pPr>
            <w:r>
              <w:rPr>
                <w:rFonts w:hint="eastAsia" w:ascii="仿宋_GB2312"/>
                <w:sz w:val="15"/>
                <w:szCs w:val="15"/>
              </w:rPr>
              <w:t>根据绩效目标及相关资料。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476" w:type="dxa"/>
            <w:vMerge w:val="continue"/>
          </w:tcPr>
          <w:p>
            <w:pPr>
              <w:spacing w:line="240" w:lineRule="exact"/>
              <w:jc w:val="left"/>
              <w:rPr>
                <w:rFonts w:ascii="仿宋_GB2312"/>
                <w:sz w:val="15"/>
                <w:szCs w:val="15"/>
              </w:rPr>
            </w:pPr>
          </w:p>
        </w:tc>
        <w:tc>
          <w:tcPr>
            <w:tcW w:w="640" w:type="dxa"/>
            <w:vMerge w:val="continue"/>
            <w:vAlign w:val="center"/>
          </w:tcPr>
          <w:p>
            <w:pPr>
              <w:spacing w:line="240" w:lineRule="exact"/>
              <w:rPr>
                <w:rFonts w:ascii="仿宋_GB2312"/>
                <w:sz w:val="15"/>
                <w:szCs w:val="15"/>
              </w:rPr>
            </w:pPr>
          </w:p>
        </w:tc>
        <w:tc>
          <w:tcPr>
            <w:tcW w:w="1173" w:type="dxa"/>
            <w:vAlign w:val="center"/>
          </w:tcPr>
          <w:p>
            <w:pPr>
              <w:spacing w:line="240" w:lineRule="exact"/>
              <w:rPr>
                <w:rFonts w:ascii="仿宋_GB2312"/>
                <w:sz w:val="15"/>
                <w:szCs w:val="15"/>
              </w:rPr>
            </w:pPr>
            <w:r>
              <w:rPr>
                <w:rFonts w:hint="eastAsia" w:ascii="仿宋_GB2312"/>
                <w:sz w:val="15"/>
                <w:szCs w:val="15"/>
              </w:rPr>
              <w:t>2.质量指标</w:t>
            </w:r>
          </w:p>
        </w:tc>
        <w:tc>
          <w:tcPr>
            <w:tcW w:w="570" w:type="dxa"/>
            <w:vAlign w:val="center"/>
          </w:tcPr>
          <w:p>
            <w:pPr>
              <w:spacing w:line="240" w:lineRule="exact"/>
              <w:jc w:val="center"/>
              <w:rPr>
                <w:rFonts w:ascii="仿宋_GB2312"/>
                <w:sz w:val="18"/>
                <w:szCs w:val="18"/>
              </w:rPr>
            </w:pPr>
            <w:r>
              <w:rPr>
                <w:rFonts w:hint="eastAsia" w:ascii="仿宋_GB2312"/>
                <w:sz w:val="18"/>
                <w:szCs w:val="18"/>
              </w:rPr>
              <w:t>8</w:t>
            </w:r>
          </w:p>
        </w:tc>
        <w:tc>
          <w:tcPr>
            <w:tcW w:w="552" w:type="dxa"/>
            <w:vAlign w:val="center"/>
          </w:tcPr>
          <w:p>
            <w:pPr>
              <w:spacing w:line="240" w:lineRule="exact"/>
              <w:rPr>
                <w:rFonts w:hint="default" w:ascii="仿宋_GB2312" w:eastAsia="仿宋_GB2312"/>
                <w:sz w:val="18"/>
                <w:szCs w:val="18"/>
                <w:lang w:val="en-US" w:eastAsia="zh-CN"/>
              </w:rPr>
            </w:pPr>
            <w:r>
              <w:rPr>
                <w:rFonts w:hint="eastAsia" w:ascii="仿宋_GB2312"/>
                <w:sz w:val="18"/>
                <w:szCs w:val="18"/>
                <w:lang w:val="en-US" w:eastAsia="zh-CN"/>
              </w:rPr>
              <w:t>7</w:t>
            </w:r>
          </w:p>
        </w:tc>
        <w:tc>
          <w:tcPr>
            <w:tcW w:w="2268" w:type="dxa"/>
            <w:vAlign w:val="center"/>
          </w:tcPr>
          <w:p>
            <w:pPr>
              <w:spacing w:line="240" w:lineRule="exact"/>
              <w:rPr>
                <w:rFonts w:ascii="仿宋_GB2312"/>
                <w:sz w:val="15"/>
                <w:szCs w:val="15"/>
              </w:rPr>
            </w:pPr>
            <w:r>
              <w:rPr>
                <w:rFonts w:hint="eastAsia" w:ascii="仿宋_GB2312"/>
                <w:sz w:val="15"/>
                <w:szCs w:val="15"/>
              </w:rPr>
              <w:t>根据该项目实际，考察项目质量应达到的行业标准。</w:t>
            </w:r>
          </w:p>
        </w:tc>
        <w:tc>
          <w:tcPr>
            <w:tcW w:w="2126" w:type="dxa"/>
            <w:vAlign w:val="center"/>
          </w:tcPr>
          <w:p>
            <w:pPr>
              <w:spacing w:line="240" w:lineRule="exact"/>
              <w:rPr>
                <w:rFonts w:ascii="仿宋_GB2312"/>
                <w:sz w:val="15"/>
                <w:szCs w:val="15"/>
              </w:rPr>
            </w:pPr>
            <w:r>
              <w:rPr>
                <w:rFonts w:hint="eastAsia" w:ascii="仿宋_GB2312"/>
                <w:sz w:val="15"/>
                <w:szCs w:val="15"/>
              </w:rPr>
              <w:t>对照绩效目标、行业标准计算得分。</w:t>
            </w:r>
          </w:p>
        </w:tc>
        <w:tc>
          <w:tcPr>
            <w:tcW w:w="1369" w:type="dxa"/>
            <w:vAlign w:val="center"/>
          </w:tcPr>
          <w:p>
            <w:pPr>
              <w:spacing w:line="240" w:lineRule="exact"/>
              <w:rPr>
                <w:rFonts w:ascii="仿宋_GB2312"/>
                <w:sz w:val="15"/>
                <w:szCs w:val="15"/>
              </w:rPr>
            </w:pPr>
            <w:r>
              <w:rPr>
                <w:rFonts w:hint="eastAsia" w:ascii="仿宋_GB2312"/>
                <w:sz w:val="15"/>
                <w:szCs w:val="15"/>
              </w:rPr>
              <w:t>根据绩效目标及相关资料。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476" w:type="dxa"/>
            <w:vMerge w:val="continue"/>
          </w:tcPr>
          <w:p>
            <w:pPr>
              <w:spacing w:line="240" w:lineRule="exact"/>
              <w:jc w:val="left"/>
              <w:rPr>
                <w:rFonts w:ascii="仿宋_GB2312"/>
                <w:sz w:val="15"/>
                <w:szCs w:val="15"/>
              </w:rPr>
            </w:pPr>
          </w:p>
        </w:tc>
        <w:tc>
          <w:tcPr>
            <w:tcW w:w="640" w:type="dxa"/>
            <w:vMerge w:val="continue"/>
            <w:vAlign w:val="center"/>
          </w:tcPr>
          <w:p>
            <w:pPr>
              <w:spacing w:line="240" w:lineRule="exact"/>
              <w:rPr>
                <w:rFonts w:ascii="仿宋_GB2312"/>
                <w:sz w:val="15"/>
                <w:szCs w:val="15"/>
              </w:rPr>
            </w:pPr>
          </w:p>
        </w:tc>
        <w:tc>
          <w:tcPr>
            <w:tcW w:w="1173" w:type="dxa"/>
            <w:vAlign w:val="center"/>
          </w:tcPr>
          <w:p>
            <w:pPr>
              <w:spacing w:line="240" w:lineRule="exact"/>
              <w:rPr>
                <w:rFonts w:ascii="仿宋_GB2312"/>
                <w:sz w:val="15"/>
                <w:szCs w:val="15"/>
              </w:rPr>
            </w:pPr>
            <w:r>
              <w:rPr>
                <w:rFonts w:hint="eastAsia" w:ascii="仿宋_GB2312"/>
                <w:sz w:val="15"/>
                <w:szCs w:val="15"/>
              </w:rPr>
              <w:t>3.时效指标</w:t>
            </w:r>
          </w:p>
        </w:tc>
        <w:tc>
          <w:tcPr>
            <w:tcW w:w="570" w:type="dxa"/>
            <w:vAlign w:val="center"/>
          </w:tcPr>
          <w:p>
            <w:pPr>
              <w:spacing w:line="240" w:lineRule="exact"/>
              <w:jc w:val="center"/>
              <w:rPr>
                <w:rFonts w:ascii="仿宋_GB2312"/>
                <w:sz w:val="18"/>
                <w:szCs w:val="18"/>
              </w:rPr>
            </w:pPr>
            <w:r>
              <w:rPr>
                <w:rFonts w:hint="eastAsia" w:ascii="仿宋_GB2312"/>
                <w:sz w:val="18"/>
                <w:szCs w:val="18"/>
              </w:rPr>
              <w:t>7</w:t>
            </w:r>
          </w:p>
        </w:tc>
        <w:tc>
          <w:tcPr>
            <w:tcW w:w="552" w:type="dxa"/>
            <w:vAlign w:val="center"/>
          </w:tcPr>
          <w:p>
            <w:pPr>
              <w:spacing w:line="240" w:lineRule="exact"/>
              <w:rPr>
                <w:rFonts w:ascii="仿宋_GB2312"/>
                <w:sz w:val="18"/>
                <w:szCs w:val="18"/>
              </w:rPr>
            </w:pPr>
            <w:r>
              <w:rPr>
                <w:rFonts w:hint="eastAsia" w:ascii="仿宋_GB2312"/>
                <w:sz w:val="18"/>
                <w:szCs w:val="18"/>
              </w:rPr>
              <w:t>7</w:t>
            </w:r>
          </w:p>
        </w:tc>
        <w:tc>
          <w:tcPr>
            <w:tcW w:w="2268" w:type="dxa"/>
            <w:vAlign w:val="center"/>
          </w:tcPr>
          <w:p>
            <w:pPr>
              <w:spacing w:line="240" w:lineRule="exact"/>
              <w:rPr>
                <w:rFonts w:ascii="仿宋_GB2312"/>
                <w:sz w:val="15"/>
                <w:szCs w:val="15"/>
              </w:rPr>
            </w:pPr>
            <w:r>
              <w:rPr>
                <w:rFonts w:hint="eastAsia" w:ascii="仿宋_GB2312"/>
                <w:sz w:val="15"/>
                <w:szCs w:val="15"/>
              </w:rPr>
              <w:t>根据该项目实际，考察项目的实际完成时间。</w:t>
            </w:r>
          </w:p>
        </w:tc>
        <w:tc>
          <w:tcPr>
            <w:tcW w:w="2126" w:type="dxa"/>
            <w:vAlign w:val="center"/>
          </w:tcPr>
          <w:p>
            <w:pPr>
              <w:spacing w:line="240" w:lineRule="exact"/>
              <w:rPr>
                <w:rFonts w:ascii="仿宋_GB2312"/>
                <w:sz w:val="15"/>
                <w:szCs w:val="15"/>
              </w:rPr>
            </w:pPr>
            <w:r>
              <w:rPr>
                <w:rFonts w:hint="eastAsia" w:ascii="仿宋_GB2312"/>
                <w:sz w:val="15"/>
                <w:szCs w:val="15"/>
              </w:rPr>
              <w:t>对照绩效目标、按项目的实际完成时间和计划完成时间计算得分。</w:t>
            </w:r>
          </w:p>
        </w:tc>
        <w:tc>
          <w:tcPr>
            <w:tcW w:w="1369" w:type="dxa"/>
            <w:vAlign w:val="center"/>
          </w:tcPr>
          <w:p>
            <w:pPr>
              <w:spacing w:line="240" w:lineRule="exact"/>
              <w:rPr>
                <w:rFonts w:ascii="仿宋_GB2312"/>
                <w:sz w:val="15"/>
                <w:szCs w:val="15"/>
              </w:rPr>
            </w:pPr>
            <w:r>
              <w:rPr>
                <w:rFonts w:hint="eastAsia" w:ascii="仿宋_GB2312"/>
                <w:sz w:val="15"/>
                <w:szCs w:val="15"/>
              </w:rPr>
              <w:t>根据绩效目标及相关资料。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476" w:type="dxa"/>
            <w:vMerge w:val="continue"/>
          </w:tcPr>
          <w:p>
            <w:pPr>
              <w:spacing w:line="240" w:lineRule="exact"/>
              <w:jc w:val="left"/>
              <w:rPr>
                <w:rFonts w:ascii="仿宋_GB2312"/>
                <w:sz w:val="15"/>
                <w:szCs w:val="15"/>
              </w:rPr>
            </w:pPr>
          </w:p>
        </w:tc>
        <w:tc>
          <w:tcPr>
            <w:tcW w:w="640" w:type="dxa"/>
            <w:vMerge w:val="continue"/>
            <w:vAlign w:val="center"/>
          </w:tcPr>
          <w:p>
            <w:pPr>
              <w:spacing w:line="240" w:lineRule="exact"/>
              <w:rPr>
                <w:rFonts w:ascii="仿宋_GB2312"/>
                <w:sz w:val="15"/>
                <w:szCs w:val="15"/>
              </w:rPr>
            </w:pPr>
          </w:p>
        </w:tc>
        <w:tc>
          <w:tcPr>
            <w:tcW w:w="1173" w:type="dxa"/>
            <w:vAlign w:val="center"/>
          </w:tcPr>
          <w:p>
            <w:pPr>
              <w:spacing w:line="240" w:lineRule="exact"/>
              <w:rPr>
                <w:rFonts w:ascii="仿宋_GB2312"/>
                <w:sz w:val="15"/>
                <w:szCs w:val="15"/>
              </w:rPr>
            </w:pPr>
            <w:r>
              <w:rPr>
                <w:rFonts w:hint="eastAsia" w:ascii="仿宋_GB2312"/>
                <w:sz w:val="15"/>
                <w:szCs w:val="15"/>
              </w:rPr>
              <w:t>4.成本指标</w:t>
            </w:r>
          </w:p>
        </w:tc>
        <w:tc>
          <w:tcPr>
            <w:tcW w:w="570" w:type="dxa"/>
            <w:vAlign w:val="center"/>
          </w:tcPr>
          <w:p>
            <w:pPr>
              <w:spacing w:line="240" w:lineRule="exact"/>
              <w:jc w:val="center"/>
              <w:rPr>
                <w:rFonts w:ascii="仿宋_GB2312"/>
                <w:sz w:val="18"/>
                <w:szCs w:val="18"/>
              </w:rPr>
            </w:pPr>
            <w:r>
              <w:rPr>
                <w:rFonts w:hint="eastAsia" w:ascii="仿宋_GB2312"/>
                <w:sz w:val="18"/>
                <w:szCs w:val="18"/>
              </w:rPr>
              <w:t>7</w:t>
            </w:r>
          </w:p>
        </w:tc>
        <w:tc>
          <w:tcPr>
            <w:tcW w:w="552" w:type="dxa"/>
            <w:vAlign w:val="center"/>
          </w:tcPr>
          <w:p>
            <w:pPr>
              <w:spacing w:line="240" w:lineRule="exact"/>
              <w:rPr>
                <w:rFonts w:ascii="仿宋_GB2312"/>
                <w:sz w:val="18"/>
                <w:szCs w:val="18"/>
              </w:rPr>
            </w:pPr>
            <w:r>
              <w:rPr>
                <w:rFonts w:hint="eastAsia" w:ascii="仿宋_GB2312"/>
                <w:sz w:val="18"/>
                <w:szCs w:val="18"/>
              </w:rPr>
              <w:t>7</w:t>
            </w:r>
          </w:p>
        </w:tc>
        <w:tc>
          <w:tcPr>
            <w:tcW w:w="2268" w:type="dxa"/>
            <w:vAlign w:val="center"/>
          </w:tcPr>
          <w:p>
            <w:pPr>
              <w:spacing w:line="240" w:lineRule="exact"/>
              <w:rPr>
                <w:rFonts w:ascii="仿宋_GB2312"/>
                <w:sz w:val="15"/>
                <w:szCs w:val="15"/>
              </w:rPr>
            </w:pPr>
            <w:r>
              <w:rPr>
                <w:rFonts w:hint="eastAsia" w:ascii="仿宋_GB2312"/>
                <w:sz w:val="15"/>
                <w:szCs w:val="15"/>
              </w:rPr>
              <w:t>根据该项目实际，考察项目总成本和单项成本。</w:t>
            </w:r>
          </w:p>
        </w:tc>
        <w:tc>
          <w:tcPr>
            <w:tcW w:w="2126" w:type="dxa"/>
            <w:vAlign w:val="center"/>
          </w:tcPr>
          <w:p>
            <w:pPr>
              <w:spacing w:line="240" w:lineRule="exact"/>
              <w:rPr>
                <w:rFonts w:ascii="仿宋_GB2312"/>
                <w:sz w:val="15"/>
                <w:szCs w:val="15"/>
              </w:rPr>
            </w:pPr>
            <w:r>
              <w:rPr>
                <w:rFonts w:hint="eastAsia" w:ascii="仿宋_GB2312"/>
                <w:sz w:val="15"/>
                <w:szCs w:val="15"/>
              </w:rPr>
              <w:t>照绩效目标、按项目的实际成本和计划成本计算得分。</w:t>
            </w:r>
          </w:p>
        </w:tc>
        <w:tc>
          <w:tcPr>
            <w:tcW w:w="1369" w:type="dxa"/>
            <w:vAlign w:val="center"/>
          </w:tcPr>
          <w:p>
            <w:pPr>
              <w:spacing w:line="240" w:lineRule="exact"/>
              <w:rPr>
                <w:rFonts w:ascii="仿宋_GB2312"/>
                <w:sz w:val="15"/>
                <w:szCs w:val="15"/>
              </w:rPr>
            </w:pPr>
            <w:r>
              <w:rPr>
                <w:rFonts w:hint="eastAsia" w:ascii="仿宋_GB2312"/>
                <w:sz w:val="15"/>
                <w:szCs w:val="15"/>
              </w:rPr>
              <w:t>根据绩效目标及相关资料。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476" w:type="dxa"/>
            <w:vMerge w:val="continue"/>
          </w:tcPr>
          <w:p>
            <w:pPr>
              <w:spacing w:line="240" w:lineRule="exact"/>
              <w:jc w:val="left"/>
              <w:rPr>
                <w:rFonts w:ascii="仿宋_GB2312"/>
                <w:sz w:val="15"/>
                <w:szCs w:val="15"/>
              </w:rPr>
            </w:pPr>
          </w:p>
        </w:tc>
        <w:tc>
          <w:tcPr>
            <w:tcW w:w="640" w:type="dxa"/>
            <w:vMerge w:val="restart"/>
            <w:vAlign w:val="center"/>
          </w:tcPr>
          <w:p>
            <w:pPr>
              <w:spacing w:line="240" w:lineRule="exact"/>
              <w:rPr>
                <w:rFonts w:ascii="仿宋_GB2312"/>
                <w:sz w:val="15"/>
                <w:szCs w:val="15"/>
              </w:rPr>
            </w:pPr>
            <w:r>
              <w:rPr>
                <w:rFonts w:hint="eastAsia" w:ascii="仿宋_GB2312"/>
                <w:sz w:val="15"/>
                <w:szCs w:val="15"/>
              </w:rPr>
              <w:t>2.项目效益（30分）</w:t>
            </w:r>
          </w:p>
        </w:tc>
        <w:tc>
          <w:tcPr>
            <w:tcW w:w="1173" w:type="dxa"/>
            <w:vAlign w:val="center"/>
          </w:tcPr>
          <w:p>
            <w:pPr>
              <w:spacing w:line="240" w:lineRule="exact"/>
              <w:rPr>
                <w:rFonts w:ascii="仿宋_GB2312"/>
                <w:sz w:val="15"/>
                <w:szCs w:val="15"/>
              </w:rPr>
            </w:pPr>
            <w:r>
              <w:rPr>
                <w:rFonts w:hint="eastAsia" w:ascii="仿宋_GB2312"/>
                <w:sz w:val="15"/>
                <w:szCs w:val="15"/>
              </w:rPr>
              <w:t>1.经济效益</w:t>
            </w:r>
          </w:p>
        </w:tc>
        <w:tc>
          <w:tcPr>
            <w:tcW w:w="570" w:type="dxa"/>
            <w:vAlign w:val="center"/>
          </w:tcPr>
          <w:p>
            <w:pPr>
              <w:spacing w:line="240" w:lineRule="exact"/>
              <w:jc w:val="center"/>
              <w:rPr>
                <w:rFonts w:ascii="仿宋_GB2312"/>
                <w:sz w:val="18"/>
                <w:szCs w:val="18"/>
              </w:rPr>
            </w:pPr>
            <w:r>
              <w:rPr>
                <w:rFonts w:hint="eastAsia" w:ascii="仿宋_GB2312"/>
                <w:sz w:val="18"/>
                <w:szCs w:val="18"/>
              </w:rPr>
              <w:t>3</w:t>
            </w:r>
          </w:p>
        </w:tc>
        <w:tc>
          <w:tcPr>
            <w:tcW w:w="552" w:type="dxa"/>
            <w:vAlign w:val="center"/>
          </w:tcPr>
          <w:p>
            <w:pPr>
              <w:spacing w:line="240" w:lineRule="exact"/>
              <w:jc w:val="center"/>
              <w:rPr>
                <w:rFonts w:ascii="仿宋_GB2312"/>
                <w:sz w:val="18"/>
                <w:szCs w:val="18"/>
              </w:rPr>
            </w:pPr>
            <w:r>
              <w:rPr>
                <w:rFonts w:hint="eastAsia" w:ascii="仿宋_GB2312"/>
                <w:sz w:val="18"/>
                <w:szCs w:val="18"/>
              </w:rPr>
              <w:t>3</w:t>
            </w:r>
          </w:p>
        </w:tc>
        <w:tc>
          <w:tcPr>
            <w:tcW w:w="2268" w:type="dxa"/>
            <w:vAlign w:val="center"/>
          </w:tcPr>
          <w:p>
            <w:pPr>
              <w:spacing w:line="240" w:lineRule="exact"/>
              <w:rPr>
                <w:rFonts w:ascii="仿宋_GB2312"/>
                <w:sz w:val="15"/>
                <w:szCs w:val="15"/>
              </w:rPr>
            </w:pPr>
            <w:r>
              <w:rPr>
                <w:rFonts w:hint="eastAsia" w:ascii="仿宋_GB2312"/>
                <w:sz w:val="15"/>
                <w:szCs w:val="15"/>
              </w:rPr>
              <w:t>根据项目实际，考察项目所产生的直接或间接的经济效益。</w:t>
            </w:r>
          </w:p>
        </w:tc>
        <w:tc>
          <w:tcPr>
            <w:tcW w:w="2126" w:type="dxa"/>
            <w:vAlign w:val="center"/>
          </w:tcPr>
          <w:p>
            <w:pPr>
              <w:spacing w:line="240" w:lineRule="exact"/>
              <w:rPr>
                <w:rFonts w:ascii="仿宋_GB2312"/>
                <w:sz w:val="15"/>
                <w:szCs w:val="15"/>
              </w:rPr>
            </w:pPr>
            <w:r>
              <w:rPr>
                <w:rFonts w:hint="eastAsia" w:ascii="仿宋_GB2312"/>
                <w:sz w:val="15"/>
                <w:szCs w:val="15"/>
              </w:rPr>
              <w:t>对照绩效目标，按经济效益实现程度计算得分。</w:t>
            </w:r>
          </w:p>
        </w:tc>
        <w:tc>
          <w:tcPr>
            <w:tcW w:w="1369" w:type="dxa"/>
            <w:vAlign w:val="center"/>
          </w:tcPr>
          <w:p>
            <w:pPr>
              <w:spacing w:line="240" w:lineRule="exact"/>
              <w:rPr>
                <w:rFonts w:ascii="仿宋_GB2312"/>
                <w:sz w:val="15"/>
                <w:szCs w:val="15"/>
              </w:rPr>
            </w:pPr>
            <w:r>
              <w:rPr>
                <w:rFonts w:hint="eastAsia" w:ascii="仿宋_GB2312"/>
                <w:sz w:val="15"/>
                <w:szCs w:val="15"/>
              </w:rPr>
              <w:t>根据绩效目标及相关资料。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476" w:type="dxa"/>
            <w:vMerge w:val="continue"/>
          </w:tcPr>
          <w:p>
            <w:pPr>
              <w:spacing w:line="240" w:lineRule="exact"/>
              <w:jc w:val="left"/>
              <w:rPr>
                <w:rFonts w:ascii="仿宋_GB2312"/>
                <w:sz w:val="15"/>
                <w:szCs w:val="15"/>
              </w:rPr>
            </w:pPr>
          </w:p>
        </w:tc>
        <w:tc>
          <w:tcPr>
            <w:tcW w:w="640" w:type="dxa"/>
            <w:vMerge w:val="continue"/>
          </w:tcPr>
          <w:p>
            <w:pPr>
              <w:spacing w:line="240" w:lineRule="exact"/>
              <w:jc w:val="left"/>
              <w:rPr>
                <w:rFonts w:ascii="仿宋_GB2312"/>
                <w:sz w:val="15"/>
                <w:szCs w:val="15"/>
              </w:rPr>
            </w:pPr>
          </w:p>
        </w:tc>
        <w:tc>
          <w:tcPr>
            <w:tcW w:w="1173" w:type="dxa"/>
            <w:vAlign w:val="center"/>
          </w:tcPr>
          <w:p>
            <w:pPr>
              <w:spacing w:line="240" w:lineRule="exact"/>
              <w:rPr>
                <w:rFonts w:ascii="仿宋_GB2312"/>
                <w:sz w:val="15"/>
                <w:szCs w:val="15"/>
              </w:rPr>
            </w:pPr>
            <w:r>
              <w:rPr>
                <w:rFonts w:hint="eastAsia" w:ascii="仿宋_GB2312"/>
                <w:sz w:val="15"/>
                <w:szCs w:val="15"/>
              </w:rPr>
              <w:t>2.社会效益</w:t>
            </w:r>
          </w:p>
        </w:tc>
        <w:tc>
          <w:tcPr>
            <w:tcW w:w="570" w:type="dxa"/>
            <w:vAlign w:val="center"/>
          </w:tcPr>
          <w:p>
            <w:pPr>
              <w:spacing w:line="240" w:lineRule="exact"/>
              <w:jc w:val="center"/>
              <w:rPr>
                <w:rFonts w:ascii="仿宋_GB2312"/>
                <w:sz w:val="18"/>
                <w:szCs w:val="18"/>
              </w:rPr>
            </w:pPr>
            <w:r>
              <w:rPr>
                <w:rFonts w:hint="eastAsia" w:ascii="仿宋_GB2312"/>
                <w:sz w:val="18"/>
                <w:szCs w:val="18"/>
              </w:rPr>
              <w:t>20</w:t>
            </w:r>
          </w:p>
        </w:tc>
        <w:tc>
          <w:tcPr>
            <w:tcW w:w="552" w:type="dxa"/>
            <w:vAlign w:val="center"/>
          </w:tcPr>
          <w:p>
            <w:pPr>
              <w:spacing w:line="240" w:lineRule="exact"/>
              <w:jc w:val="center"/>
              <w:rPr>
                <w:rFonts w:ascii="仿宋_GB2312"/>
                <w:sz w:val="18"/>
                <w:szCs w:val="18"/>
              </w:rPr>
            </w:pPr>
            <w:r>
              <w:rPr>
                <w:rFonts w:hint="eastAsia" w:ascii="仿宋_GB2312"/>
                <w:sz w:val="18"/>
                <w:szCs w:val="18"/>
              </w:rPr>
              <w:t>18</w:t>
            </w:r>
          </w:p>
        </w:tc>
        <w:tc>
          <w:tcPr>
            <w:tcW w:w="2268" w:type="dxa"/>
            <w:vAlign w:val="center"/>
          </w:tcPr>
          <w:p>
            <w:pPr>
              <w:spacing w:line="240" w:lineRule="exact"/>
              <w:rPr>
                <w:rFonts w:ascii="仿宋_GB2312"/>
                <w:sz w:val="15"/>
                <w:szCs w:val="15"/>
              </w:rPr>
            </w:pPr>
            <w:r>
              <w:rPr>
                <w:rFonts w:hint="eastAsia" w:ascii="仿宋_GB2312"/>
                <w:sz w:val="15"/>
                <w:szCs w:val="15"/>
              </w:rPr>
              <w:t>根据项目实际，考察项目所产生的社会效益效益。</w:t>
            </w:r>
          </w:p>
        </w:tc>
        <w:tc>
          <w:tcPr>
            <w:tcW w:w="2126" w:type="dxa"/>
            <w:vAlign w:val="center"/>
          </w:tcPr>
          <w:p>
            <w:pPr>
              <w:spacing w:line="240" w:lineRule="exact"/>
              <w:rPr>
                <w:rFonts w:ascii="仿宋_GB2312"/>
                <w:sz w:val="15"/>
                <w:szCs w:val="15"/>
              </w:rPr>
            </w:pPr>
            <w:r>
              <w:rPr>
                <w:rFonts w:hint="eastAsia" w:ascii="仿宋_GB2312"/>
                <w:sz w:val="15"/>
                <w:szCs w:val="15"/>
              </w:rPr>
              <w:t>对照绩效目标，按社会效益实现程度计算得分。</w:t>
            </w:r>
          </w:p>
        </w:tc>
        <w:tc>
          <w:tcPr>
            <w:tcW w:w="1369" w:type="dxa"/>
            <w:vAlign w:val="center"/>
          </w:tcPr>
          <w:p>
            <w:pPr>
              <w:spacing w:line="240" w:lineRule="exact"/>
              <w:rPr>
                <w:rFonts w:ascii="仿宋_GB2312"/>
                <w:sz w:val="15"/>
                <w:szCs w:val="15"/>
              </w:rPr>
            </w:pPr>
            <w:r>
              <w:rPr>
                <w:rFonts w:hint="eastAsia" w:ascii="仿宋_GB2312"/>
                <w:sz w:val="15"/>
                <w:szCs w:val="15"/>
              </w:rPr>
              <w:t>根据绩效目标及相关资料。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476" w:type="dxa"/>
            <w:vMerge w:val="continue"/>
          </w:tcPr>
          <w:p>
            <w:pPr>
              <w:spacing w:line="240" w:lineRule="exact"/>
              <w:jc w:val="left"/>
              <w:rPr>
                <w:rFonts w:ascii="仿宋_GB2312"/>
                <w:sz w:val="15"/>
                <w:szCs w:val="15"/>
              </w:rPr>
            </w:pPr>
          </w:p>
        </w:tc>
        <w:tc>
          <w:tcPr>
            <w:tcW w:w="640" w:type="dxa"/>
            <w:vMerge w:val="continue"/>
          </w:tcPr>
          <w:p>
            <w:pPr>
              <w:spacing w:line="240" w:lineRule="exact"/>
              <w:jc w:val="left"/>
              <w:rPr>
                <w:rFonts w:ascii="仿宋_GB2312"/>
                <w:sz w:val="15"/>
                <w:szCs w:val="15"/>
              </w:rPr>
            </w:pPr>
          </w:p>
        </w:tc>
        <w:tc>
          <w:tcPr>
            <w:tcW w:w="1173" w:type="dxa"/>
            <w:vAlign w:val="center"/>
          </w:tcPr>
          <w:p>
            <w:pPr>
              <w:spacing w:line="240" w:lineRule="exact"/>
              <w:rPr>
                <w:rFonts w:ascii="仿宋_GB2312"/>
                <w:sz w:val="15"/>
                <w:szCs w:val="15"/>
              </w:rPr>
            </w:pPr>
            <w:r>
              <w:rPr>
                <w:rFonts w:hint="eastAsia" w:ascii="仿宋_GB2312"/>
                <w:sz w:val="15"/>
                <w:szCs w:val="15"/>
              </w:rPr>
              <w:t>3.生态效益</w:t>
            </w:r>
          </w:p>
        </w:tc>
        <w:tc>
          <w:tcPr>
            <w:tcW w:w="570" w:type="dxa"/>
            <w:vAlign w:val="center"/>
          </w:tcPr>
          <w:p>
            <w:pPr>
              <w:spacing w:line="240" w:lineRule="exact"/>
              <w:jc w:val="center"/>
              <w:rPr>
                <w:rFonts w:ascii="仿宋_GB2312"/>
                <w:sz w:val="18"/>
                <w:szCs w:val="18"/>
              </w:rPr>
            </w:pPr>
            <w:r>
              <w:rPr>
                <w:rFonts w:hint="eastAsia" w:ascii="仿宋_GB2312"/>
                <w:sz w:val="18"/>
                <w:szCs w:val="18"/>
              </w:rPr>
              <w:t>2</w:t>
            </w:r>
          </w:p>
        </w:tc>
        <w:tc>
          <w:tcPr>
            <w:tcW w:w="552" w:type="dxa"/>
            <w:vAlign w:val="center"/>
          </w:tcPr>
          <w:p>
            <w:pPr>
              <w:spacing w:line="240" w:lineRule="exact"/>
              <w:jc w:val="center"/>
              <w:rPr>
                <w:rFonts w:ascii="仿宋_GB2312"/>
                <w:sz w:val="18"/>
                <w:szCs w:val="18"/>
              </w:rPr>
            </w:pPr>
            <w:r>
              <w:rPr>
                <w:rFonts w:hint="eastAsia" w:ascii="仿宋_GB2312"/>
                <w:sz w:val="18"/>
                <w:szCs w:val="18"/>
              </w:rPr>
              <w:t>2</w:t>
            </w:r>
          </w:p>
        </w:tc>
        <w:tc>
          <w:tcPr>
            <w:tcW w:w="2268" w:type="dxa"/>
            <w:vAlign w:val="center"/>
          </w:tcPr>
          <w:p>
            <w:pPr>
              <w:spacing w:line="240" w:lineRule="exact"/>
              <w:rPr>
                <w:rFonts w:ascii="仿宋_GB2312"/>
                <w:sz w:val="15"/>
                <w:szCs w:val="15"/>
              </w:rPr>
            </w:pPr>
            <w:r>
              <w:rPr>
                <w:rFonts w:hint="eastAsia" w:ascii="仿宋_GB2312"/>
                <w:sz w:val="15"/>
                <w:szCs w:val="15"/>
              </w:rPr>
              <w:t>根据项目实际，考察项目所产生的直接或间接的生态效益。</w:t>
            </w:r>
          </w:p>
        </w:tc>
        <w:tc>
          <w:tcPr>
            <w:tcW w:w="2126" w:type="dxa"/>
            <w:vAlign w:val="center"/>
          </w:tcPr>
          <w:p>
            <w:pPr>
              <w:spacing w:line="240" w:lineRule="exact"/>
              <w:rPr>
                <w:rFonts w:ascii="仿宋_GB2312"/>
                <w:sz w:val="15"/>
                <w:szCs w:val="15"/>
              </w:rPr>
            </w:pPr>
            <w:r>
              <w:rPr>
                <w:rFonts w:hint="eastAsia" w:ascii="仿宋_GB2312"/>
                <w:sz w:val="15"/>
                <w:szCs w:val="15"/>
              </w:rPr>
              <w:t>对照绩效目标，按生态效益实现程度计算得分。</w:t>
            </w:r>
          </w:p>
        </w:tc>
        <w:tc>
          <w:tcPr>
            <w:tcW w:w="1369" w:type="dxa"/>
            <w:vAlign w:val="center"/>
          </w:tcPr>
          <w:p>
            <w:pPr>
              <w:spacing w:line="240" w:lineRule="exact"/>
              <w:rPr>
                <w:rFonts w:ascii="仿宋_GB2312"/>
                <w:sz w:val="15"/>
                <w:szCs w:val="15"/>
              </w:rPr>
            </w:pPr>
            <w:r>
              <w:rPr>
                <w:rFonts w:hint="eastAsia" w:ascii="仿宋_GB2312"/>
                <w:sz w:val="15"/>
                <w:szCs w:val="15"/>
              </w:rPr>
              <w:t>根据绩效目标及相关资料。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476" w:type="dxa"/>
            <w:vMerge w:val="continue"/>
          </w:tcPr>
          <w:p>
            <w:pPr>
              <w:spacing w:line="240" w:lineRule="exact"/>
              <w:jc w:val="left"/>
              <w:rPr>
                <w:rFonts w:ascii="仿宋_GB2312"/>
                <w:sz w:val="15"/>
                <w:szCs w:val="15"/>
              </w:rPr>
            </w:pPr>
          </w:p>
        </w:tc>
        <w:tc>
          <w:tcPr>
            <w:tcW w:w="640" w:type="dxa"/>
            <w:vMerge w:val="continue"/>
            <w:vAlign w:val="center"/>
          </w:tcPr>
          <w:p>
            <w:pPr>
              <w:spacing w:line="240" w:lineRule="exact"/>
              <w:rPr>
                <w:rFonts w:ascii="仿宋_GB2312"/>
                <w:sz w:val="15"/>
                <w:szCs w:val="15"/>
              </w:rPr>
            </w:pPr>
          </w:p>
        </w:tc>
        <w:tc>
          <w:tcPr>
            <w:tcW w:w="1173" w:type="dxa"/>
            <w:vAlign w:val="center"/>
          </w:tcPr>
          <w:p>
            <w:pPr>
              <w:spacing w:line="240" w:lineRule="exact"/>
              <w:rPr>
                <w:rFonts w:ascii="仿宋_GB2312"/>
                <w:sz w:val="15"/>
                <w:szCs w:val="15"/>
              </w:rPr>
            </w:pPr>
            <w:r>
              <w:rPr>
                <w:rFonts w:hint="eastAsia" w:ascii="仿宋_GB2312"/>
                <w:sz w:val="15"/>
                <w:szCs w:val="15"/>
              </w:rPr>
              <w:t>4.服务对象满意度</w:t>
            </w:r>
          </w:p>
        </w:tc>
        <w:tc>
          <w:tcPr>
            <w:tcW w:w="570" w:type="dxa"/>
            <w:vAlign w:val="center"/>
          </w:tcPr>
          <w:p>
            <w:pPr>
              <w:spacing w:line="240" w:lineRule="exact"/>
              <w:jc w:val="center"/>
              <w:rPr>
                <w:rFonts w:ascii="仿宋_GB2312"/>
                <w:sz w:val="18"/>
                <w:szCs w:val="18"/>
              </w:rPr>
            </w:pPr>
            <w:r>
              <w:rPr>
                <w:rFonts w:hint="eastAsia" w:ascii="仿宋_GB2312"/>
                <w:sz w:val="18"/>
                <w:szCs w:val="18"/>
              </w:rPr>
              <w:t>5</w:t>
            </w:r>
          </w:p>
        </w:tc>
        <w:tc>
          <w:tcPr>
            <w:tcW w:w="552" w:type="dxa"/>
            <w:vAlign w:val="center"/>
          </w:tcPr>
          <w:p>
            <w:pPr>
              <w:spacing w:line="240" w:lineRule="exact"/>
              <w:jc w:val="center"/>
              <w:rPr>
                <w:rFonts w:hint="eastAsia" w:ascii="仿宋_GB2312" w:eastAsia="仿宋_GB2312"/>
                <w:sz w:val="18"/>
                <w:szCs w:val="18"/>
                <w:lang w:val="en-US" w:eastAsia="zh-CN"/>
              </w:rPr>
            </w:pPr>
            <w:r>
              <w:rPr>
                <w:rFonts w:hint="eastAsia" w:ascii="仿宋_GB2312"/>
                <w:sz w:val="18"/>
                <w:szCs w:val="18"/>
                <w:lang w:val="en-US" w:eastAsia="zh-CN"/>
              </w:rPr>
              <w:t>5</w:t>
            </w:r>
          </w:p>
        </w:tc>
        <w:tc>
          <w:tcPr>
            <w:tcW w:w="2268" w:type="dxa"/>
            <w:vAlign w:val="center"/>
          </w:tcPr>
          <w:p>
            <w:pPr>
              <w:tabs>
                <w:tab w:val="left" w:pos="2604"/>
              </w:tabs>
              <w:spacing w:line="240" w:lineRule="exact"/>
              <w:rPr>
                <w:rFonts w:ascii="仿宋_GB2312"/>
                <w:sz w:val="15"/>
                <w:szCs w:val="15"/>
              </w:rPr>
            </w:pPr>
            <w:r>
              <w:rPr>
                <w:rFonts w:hint="eastAsia" w:ascii="仿宋_GB2312"/>
                <w:sz w:val="15"/>
                <w:szCs w:val="15"/>
              </w:rPr>
              <w:t>服务对象对项目实施的满意程度。</w:t>
            </w:r>
          </w:p>
        </w:tc>
        <w:tc>
          <w:tcPr>
            <w:tcW w:w="2126" w:type="dxa"/>
            <w:vAlign w:val="center"/>
          </w:tcPr>
          <w:p>
            <w:pPr>
              <w:spacing w:line="240" w:lineRule="exact"/>
              <w:rPr>
                <w:rFonts w:ascii="仿宋_GB2312"/>
                <w:sz w:val="15"/>
                <w:szCs w:val="15"/>
              </w:rPr>
            </w:pPr>
            <w:r>
              <w:rPr>
                <w:rFonts w:hint="eastAsia" w:ascii="仿宋_GB2312" w:hAnsi="宋体" w:cs="宋体"/>
                <w:kern w:val="0"/>
                <w:sz w:val="15"/>
                <w:szCs w:val="15"/>
              </w:rPr>
              <w:t>按收集到的服务对象的满意率计算得分。</w:t>
            </w:r>
          </w:p>
        </w:tc>
        <w:tc>
          <w:tcPr>
            <w:tcW w:w="1369" w:type="dxa"/>
            <w:vAlign w:val="center"/>
          </w:tcPr>
          <w:p>
            <w:pPr>
              <w:spacing w:line="240" w:lineRule="exact"/>
              <w:rPr>
                <w:rFonts w:ascii="仿宋_GB2312"/>
                <w:sz w:val="15"/>
                <w:szCs w:val="15"/>
              </w:rPr>
            </w:pPr>
            <w:r>
              <w:rPr>
                <w:rFonts w:hint="eastAsia" w:ascii="仿宋_GB2312"/>
                <w:sz w:val="15"/>
                <w:szCs w:val="15"/>
              </w:rPr>
              <w:t>问卷调查、访谈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2289" w:type="dxa"/>
            <w:gridSpan w:val="3"/>
            <w:vAlign w:val="center"/>
          </w:tcPr>
          <w:p>
            <w:pPr>
              <w:spacing w:line="240" w:lineRule="exact"/>
              <w:jc w:val="center"/>
              <w:rPr>
                <w:rFonts w:ascii="仿宋_GB2312"/>
                <w:b/>
                <w:sz w:val="18"/>
                <w:szCs w:val="18"/>
              </w:rPr>
            </w:pPr>
            <w:r>
              <w:rPr>
                <w:rFonts w:hint="eastAsia" w:ascii="仿宋_GB2312"/>
                <w:b/>
                <w:sz w:val="18"/>
                <w:szCs w:val="18"/>
              </w:rPr>
              <w:t>合  计</w:t>
            </w:r>
          </w:p>
        </w:tc>
        <w:tc>
          <w:tcPr>
            <w:tcW w:w="570" w:type="dxa"/>
            <w:vAlign w:val="center"/>
          </w:tcPr>
          <w:p>
            <w:pPr>
              <w:spacing w:line="240" w:lineRule="exact"/>
              <w:jc w:val="center"/>
              <w:rPr>
                <w:rFonts w:ascii="仿宋_GB2312"/>
                <w:sz w:val="18"/>
                <w:szCs w:val="18"/>
              </w:rPr>
            </w:pPr>
            <w:r>
              <w:rPr>
                <w:rFonts w:hint="eastAsia" w:ascii="仿宋_GB2312"/>
                <w:sz w:val="18"/>
                <w:szCs w:val="18"/>
              </w:rPr>
              <w:t>100</w:t>
            </w:r>
          </w:p>
        </w:tc>
        <w:tc>
          <w:tcPr>
            <w:tcW w:w="552" w:type="dxa"/>
            <w:vAlign w:val="center"/>
          </w:tcPr>
          <w:p>
            <w:pPr>
              <w:spacing w:line="240" w:lineRule="exact"/>
              <w:jc w:val="center"/>
              <w:rPr>
                <w:rFonts w:hint="default" w:ascii="仿宋_GB2312" w:eastAsia="仿宋_GB2312"/>
                <w:sz w:val="18"/>
                <w:szCs w:val="18"/>
                <w:lang w:val="en-US" w:eastAsia="zh-CN"/>
              </w:rPr>
            </w:pPr>
            <w:r>
              <w:rPr>
                <w:rFonts w:hint="eastAsia" w:ascii="仿宋_GB2312"/>
                <w:sz w:val="18"/>
                <w:szCs w:val="18"/>
              </w:rPr>
              <w:t>9</w:t>
            </w:r>
            <w:r>
              <w:rPr>
                <w:rFonts w:hint="eastAsia" w:ascii="仿宋_GB2312"/>
                <w:sz w:val="18"/>
                <w:szCs w:val="18"/>
                <w:lang w:val="en-US" w:eastAsia="zh-CN"/>
              </w:rPr>
              <w:t>4.5</w:t>
            </w:r>
          </w:p>
        </w:tc>
        <w:tc>
          <w:tcPr>
            <w:tcW w:w="5763" w:type="dxa"/>
            <w:gridSpan w:val="3"/>
            <w:vAlign w:val="center"/>
          </w:tcPr>
          <w:p>
            <w:pPr>
              <w:spacing w:line="240" w:lineRule="exact"/>
              <w:jc w:val="left"/>
              <w:rPr>
                <w:sz w:val="18"/>
                <w:szCs w:val="18"/>
              </w:rPr>
            </w:pPr>
            <w:r>
              <w:rPr>
                <w:rFonts w:hint="eastAsia" w:ascii="仿宋_GB2312"/>
                <w:sz w:val="18"/>
                <w:szCs w:val="18"/>
              </w:rPr>
              <w:t>评价等次：实际得分（S）≥90,优秀；90＞S≥80,良好；80＞S≥60,合格；S＜60，不合格。</w:t>
            </w:r>
          </w:p>
        </w:tc>
      </w:tr>
    </w:tbl>
    <w:p>
      <w:pPr>
        <w:jc w:val="center"/>
        <w:rPr>
          <w:rFonts w:ascii="黑体" w:eastAsia="黑体"/>
          <w:bCs/>
          <w:sz w:val="36"/>
          <w:szCs w:val="36"/>
        </w:rPr>
      </w:pPr>
    </w:p>
    <w:p>
      <w:pPr>
        <w:jc w:val="center"/>
        <w:rPr>
          <w:rFonts w:ascii="黑体" w:eastAsia="黑体"/>
          <w:bCs/>
          <w:sz w:val="36"/>
          <w:szCs w:val="36"/>
        </w:rPr>
      </w:pPr>
    </w:p>
    <w:p>
      <w:pPr>
        <w:jc w:val="center"/>
        <w:rPr>
          <w:rFonts w:ascii="黑体" w:eastAsia="黑体"/>
          <w:bCs/>
          <w:sz w:val="36"/>
          <w:szCs w:val="36"/>
        </w:rPr>
      </w:pPr>
    </w:p>
    <w:p>
      <w:pPr>
        <w:jc w:val="center"/>
        <w:rPr>
          <w:rFonts w:ascii="黑体" w:eastAsia="黑体"/>
          <w:bCs/>
          <w:sz w:val="36"/>
          <w:szCs w:val="36"/>
        </w:rPr>
      </w:pPr>
    </w:p>
    <w:p>
      <w:pPr>
        <w:jc w:val="center"/>
        <w:rPr>
          <w:rFonts w:ascii="黑体" w:eastAsia="黑体"/>
          <w:bCs/>
          <w:sz w:val="36"/>
          <w:szCs w:val="36"/>
        </w:rPr>
      </w:pPr>
    </w:p>
    <w:p>
      <w:pPr>
        <w:jc w:val="center"/>
        <w:rPr>
          <w:rFonts w:ascii="黑体" w:eastAsia="黑体"/>
          <w:bCs/>
          <w:sz w:val="36"/>
          <w:szCs w:val="36"/>
        </w:rPr>
      </w:pPr>
    </w:p>
    <w:p>
      <w:pPr>
        <w:jc w:val="center"/>
        <w:rPr>
          <w:rFonts w:ascii="黑体" w:eastAsia="黑体"/>
          <w:bCs/>
          <w:sz w:val="36"/>
          <w:szCs w:val="36"/>
        </w:rPr>
      </w:pPr>
    </w:p>
    <w:p>
      <w:pPr>
        <w:jc w:val="center"/>
        <w:rPr>
          <w:rFonts w:ascii="黑体" w:eastAsia="黑体"/>
          <w:bCs/>
          <w:sz w:val="36"/>
          <w:szCs w:val="36"/>
        </w:rPr>
      </w:pPr>
    </w:p>
    <w:p>
      <w:pPr>
        <w:jc w:val="center"/>
        <w:rPr>
          <w:rFonts w:ascii="黑体" w:eastAsia="黑体"/>
          <w:bCs/>
          <w:sz w:val="36"/>
          <w:szCs w:val="36"/>
        </w:rPr>
      </w:pPr>
    </w:p>
    <w:p>
      <w:pPr>
        <w:jc w:val="center"/>
        <w:rPr>
          <w:rFonts w:ascii="黑体" w:eastAsia="黑体"/>
          <w:bCs/>
          <w:sz w:val="36"/>
          <w:szCs w:val="36"/>
        </w:rPr>
      </w:pPr>
    </w:p>
    <w:p>
      <w:pPr>
        <w:jc w:val="center"/>
        <w:rPr>
          <w:rFonts w:ascii="黑体" w:eastAsia="黑体"/>
          <w:bCs/>
          <w:sz w:val="36"/>
          <w:szCs w:val="36"/>
        </w:rPr>
      </w:pPr>
    </w:p>
    <w:p>
      <w:pPr>
        <w:jc w:val="center"/>
        <w:rPr>
          <w:rFonts w:ascii="黑体" w:eastAsia="黑体"/>
          <w:bCs/>
          <w:sz w:val="36"/>
          <w:szCs w:val="36"/>
        </w:rPr>
      </w:pPr>
    </w:p>
    <w:p>
      <w:pPr>
        <w:jc w:val="center"/>
        <w:rPr>
          <w:rFonts w:ascii="黑体" w:eastAsia="黑体"/>
          <w:bCs/>
          <w:sz w:val="36"/>
          <w:szCs w:val="36"/>
        </w:rPr>
      </w:pPr>
    </w:p>
    <w:p>
      <w:pPr>
        <w:jc w:val="center"/>
        <w:rPr>
          <w:rFonts w:ascii="黑体" w:eastAsia="黑体"/>
          <w:bCs/>
          <w:sz w:val="36"/>
          <w:szCs w:val="36"/>
        </w:rPr>
      </w:pPr>
    </w:p>
    <w:p>
      <w:pPr>
        <w:jc w:val="center"/>
        <w:rPr>
          <w:rFonts w:ascii="黑体" w:eastAsia="黑体"/>
          <w:bCs/>
          <w:sz w:val="36"/>
          <w:szCs w:val="36"/>
        </w:rPr>
      </w:pPr>
    </w:p>
    <w:p>
      <w:pPr>
        <w:jc w:val="center"/>
        <w:rPr>
          <w:rFonts w:ascii="黑体" w:eastAsia="黑体"/>
          <w:bCs/>
          <w:sz w:val="36"/>
          <w:szCs w:val="36"/>
        </w:rPr>
      </w:pPr>
    </w:p>
    <w:p>
      <w:pPr>
        <w:jc w:val="center"/>
        <w:rPr>
          <w:rFonts w:ascii="黑体" w:eastAsia="黑体"/>
          <w:bCs/>
          <w:sz w:val="36"/>
          <w:szCs w:val="36"/>
        </w:rPr>
      </w:pPr>
    </w:p>
    <w:p>
      <w:pPr>
        <w:jc w:val="center"/>
        <w:rPr>
          <w:rFonts w:ascii="黑体" w:eastAsia="黑体"/>
          <w:bCs/>
          <w:sz w:val="36"/>
          <w:szCs w:val="36"/>
        </w:rPr>
      </w:pPr>
    </w:p>
    <w:p>
      <w:pPr>
        <w:jc w:val="center"/>
        <w:rPr>
          <w:rFonts w:ascii="黑体" w:eastAsia="黑体"/>
          <w:bCs/>
          <w:sz w:val="36"/>
          <w:szCs w:val="36"/>
        </w:rPr>
      </w:pPr>
    </w:p>
    <w:p>
      <w:pPr>
        <w:jc w:val="center"/>
        <w:rPr>
          <w:rFonts w:ascii="黑体" w:eastAsia="黑体"/>
          <w:bCs/>
          <w:sz w:val="36"/>
          <w:szCs w:val="36"/>
        </w:rPr>
      </w:pPr>
    </w:p>
    <w:p>
      <w:pPr>
        <w:jc w:val="center"/>
        <w:rPr>
          <w:rFonts w:ascii="黑体" w:eastAsia="黑体"/>
          <w:bCs/>
          <w:sz w:val="36"/>
          <w:szCs w:val="36"/>
        </w:rPr>
      </w:pPr>
    </w:p>
    <w:p>
      <w:pPr>
        <w:jc w:val="center"/>
        <w:rPr>
          <w:rFonts w:ascii="黑体" w:eastAsia="黑体"/>
          <w:bCs/>
          <w:sz w:val="36"/>
          <w:szCs w:val="36"/>
        </w:rPr>
      </w:pPr>
    </w:p>
    <w:p>
      <w:pPr>
        <w:jc w:val="center"/>
        <w:rPr>
          <w:rFonts w:ascii="黑体" w:eastAsia="黑体"/>
          <w:bCs/>
          <w:sz w:val="36"/>
          <w:szCs w:val="36"/>
        </w:rPr>
      </w:pPr>
      <w:r>
        <w:rPr>
          <w:rFonts w:ascii="黑体" w:eastAsia="黑体"/>
          <w:bCs/>
          <w:sz w:val="36"/>
          <w:szCs w:val="36"/>
        </w:rPr>
        <w:t>201</w:t>
      </w:r>
      <w:r>
        <w:rPr>
          <w:rFonts w:hint="eastAsia" w:ascii="黑体" w:eastAsia="黑体"/>
          <w:bCs/>
          <w:sz w:val="36"/>
          <w:szCs w:val="36"/>
        </w:rPr>
        <w:t>8年项目支出绩效自评指标评分表</w:t>
      </w:r>
    </w:p>
    <w:p>
      <w:pPr>
        <w:jc w:val="center"/>
        <w:rPr>
          <w:rFonts w:ascii="黑体" w:eastAsia="黑体"/>
          <w:bCs/>
          <w:sz w:val="24"/>
          <w:szCs w:val="24"/>
        </w:rPr>
      </w:pPr>
    </w:p>
    <w:tbl>
      <w:tblPr>
        <w:tblStyle w:val="4"/>
        <w:tblW w:w="9081" w:type="dxa"/>
        <w:jc w:val="center"/>
        <w:tblInd w:w="0" w:type="dxa"/>
        <w:tblLayout w:type="fixed"/>
        <w:tblCellMar>
          <w:top w:w="0" w:type="dxa"/>
          <w:left w:w="28" w:type="dxa"/>
          <w:bottom w:w="0" w:type="dxa"/>
          <w:right w:w="28" w:type="dxa"/>
        </w:tblCellMar>
      </w:tblPr>
      <w:tblGrid>
        <w:gridCol w:w="478"/>
        <w:gridCol w:w="640"/>
        <w:gridCol w:w="1255"/>
        <w:gridCol w:w="567"/>
        <w:gridCol w:w="567"/>
        <w:gridCol w:w="2268"/>
        <w:gridCol w:w="1984"/>
        <w:gridCol w:w="1322"/>
      </w:tblGrid>
      <w:tr>
        <w:tblPrEx>
          <w:tblLayout w:type="fixed"/>
          <w:tblCellMar>
            <w:top w:w="0" w:type="dxa"/>
            <w:left w:w="28" w:type="dxa"/>
            <w:bottom w:w="0" w:type="dxa"/>
            <w:right w:w="28" w:type="dxa"/>
          </w:tblCellMar>
        </w:tblPrEx>
        <w:trPr>
          <w:trHeight w:val="703" w:hRule="atLeast"/>
          <w:tblHeader/>
          <w:jc w:val="center"/>
        </w:trPr>
        <w:tc>
          <w:tcPr>
            <w:tcW w:w="47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bCs/>
                <w:sz w:val="21"/>
                <w:szCs w:val="21"/>
              </w:rPr>
            </w:pPr>
            <w:r>
              <w:rPr>
                <w:rFonts w:hint="eastAsia"/>
                <w:bCs/>
                <w:sz w:val="21"/>
                <w:szCs w:val="21"/>
              </w:rPr>
              <w:t>一级</w:t>
            </w:r>
            <w:r>
              <w:rPr>
                <w:bCs/>
                <w:sz w:val="21"/>
                <w:szCs w:val="21"/>
              </w:rPr>
              <w:br w:type="textWrapping"/>
            </w:r>
            <w:r>
              <w:rPr>
                <w:rFonts w:hint="eastAsia"/>
                <w:bCs/>
                <w:sz w:val="21"/>
                <w:szCs w:val="21"/>
              </w:rPr>
              <w:t>指标</w:t>
            </w:r>
          </w:p>
        </w:tc>
        <w:tc>
          <w:tcPr>
            <w:tcW w:w="64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bCs/>
                <w:sz w:val="21"/>
                <w:szCs w:val="21"/>
              </w:rPr>
            </w:pPr>
            <w:r>
              <w:rPr>
                <w:rFonts w:hint="eastAsia"/>
                <w:bCs/>
                <w:sz w:val="21"/>
                <w:szCs w:val="21"/>
              </w:rPr>
              <w:t>二级</w:t>
            </w:r>
          </w:p>
          <w:p>
            <w:pPr>
              <w:jc w:val="center"/>
              <w:rPr>
                <w:bCs/>
                <w:sz w:val="21"/>
                <w:szCs w:val="21"/>
              </w:rPr>
            </w:pPr>
            <w:r>
              <w:rPr>
                <w:rFonts w:hint="eastAsia"/>
                <w:bCs/>
                <w:sz w:val="21"/>
                <w:szCs w:val="21"/>
              </w:rPr>
              <w:t>指标</w:t>
            </w:r>
          </w:p>
        </w:tc>
        <w:tc>
          <w:tcPr>
            <w:tcW w:w="125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bCs/>
                <w:sz w:val="21"/>
                <w:szCs w:val="21"/>
              </w:rPr>
            </w:pPr>
            <w:r>
              <w:rPr>
                <w:rFonts w:hint="eastAsia"/>
                <w:bCs/>
                <w:sz w:val="21"/>
                <w:szCs w:val="21"/>
              </w:rPr>
              <w:t>三级</w:t>
            </w:r>
          </w:p>
          <w:p>
            <w:pPr>
              <w:jc w:val="center"/>
              <w:rPr>
                <w:bCs/>
                <w:sz w:val="21"/>
                <w:szCs w:val="21"/>
              </w:rPr>
            </w:pPr>
            <w:r>
              <w:rPr>
                <w:rFonts w:hint="eastAsia"/>
                <w:bCs/>
                <w:sz w:val="21"/>
                <w:szCs w:val="21"/>
              </w:rPr>
              <w:t>指标</w:t>
            </w:r>
          </w:p>
        </w:tc>
        <w:tc>
          <w:tcPr>
            <w:tcW w:w="56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bCs/>
                <w:sz w:val="21"/>
                <w:szCs w:val="21"/>
              </w:rPr>
            </w:pPr>
            <w:r>
              <w:rPr>
                <w:rFonts w:hint="eastAsia"/>
                <w:bCs/>
                <w:sz w:val="21"/>
                <w:szCs w:val="21"/>
              </w:rPr>
              <w:t>分值</w:t>
            </w:r>
          </w:p>
        </w:tc>
        <w:tc>
          <w:tcPr>
            <w:tcW w:w="56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bCs/>
                <w:sz w:val="21"/>
                <w:szCs w:val="21"/>
              </w:rPr>
            </w:pPr>
            <w:r>
              <w:rPr>
                <w:rFonts w:hint="eastAsia"/>
                <w:bCs/>
                <w:sz w:val="21"/>
                <w:szCs w:val="21"/>
              </w:rPr>
              <w:t>得分</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bCs/>
                <w:sz w:val="21"/>
                <w:szCs w:val="21"/>
              </w:rPr>
            </w:pPr>
            <w:r>
              <w:rPr>
                <w:rFonts w:hint="eastAsia"/>
                <w:bCs/>
                <w:sz w:val="21"/>
                <w:szCs w:val="21"/>
              </w:rPr>
              <w:t>指标解释</w:t>
            </w:r>
          </w:p>
        </w:tc>
        <w:tc>
          <w:tcPr>
            <w:tcW w:w="19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bCs/>
                <w:sz w:val="21"/>
                <w:szCs w:val="21"/>
              </w:rPr>
            </w:pPr>
            <w:r>
              <w:rPr>
                <w:rFonts w:hint="eastAsia"/>
                <w:bCs/>
                <w:sz w:val="21"/>
                <w:szCs w:val="21"/>
              </w:rPr>
              <w:t>指标评分细则</w:t>
            </w:r>
          </w:p>
        </w:tc>
        <w:tc>
          <w:tcPr>
            <w:tcW w:w="1322" w:type="dxa"/>
            <w:tcBorders>
              <w:top w:val="single" w:color="auto" w:sz="4" w:space="0"/>
              <w:left w:val="nil"/>
              <w:bottom w:val="single" w:color="auto" w:sz="4" w:space="0"/>
              <w:right w:val="single" w:color="auto" w:sz="4" w:space="0"/>
            </w:tcBorders>
            <w:vAlign w:val="center"/>
          </w:tcPr>
          <w:p>
            <w:pPr>
              <w:jc w:val="center"/>
              <w:rPr>
                <w:bCs/>
                <w:sz w:val="21"/>
                <w:szCs w:val="21"/>
              </w:rPr>
            </w:pPr>
            <w:r>
              <w:rPr>
                <w:rFonts w:hint="eastAsia"/>
                <w:bCs/>
                <w:sz w:val="21"/>
                <w:szCs w:val="21"/>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78" w:type="dxa"/>
            <w:vMerge w:val="restart"/>
            <w:textDirection w:val="tbRlV"/>
            <w:vAlign w:val="center"/>
          </w:tcPr>
          <w:p>
            <w:pPr>
              <w:spacing w:line="240" w:lineRule="exact"/>
              <w:ind w:left="113" w:right="113"/>
              <w:jc w:val="center"/>
              <w:rPr>
                <w:rFonts w:ascii="仿宋_GB2312"/>
                <w:color w:val="0070C0"/>
                <w:sz w:val="18"/>
                <w:szCs w:val="18"/>
              </w:rPr>
            </w:pPr>
            <w:r>
              <w:rPr>
                <w:rFonts w:hint="eastAsia" w:ascii="仿宋_GB2312"/>
                <w:color w:val="0070C0"/>
                <w:sz w:val="18"/>
                <w:szCs w:val="18"/>
              </w:rPr>
              <w:t>一、项目决策（20%）</w:t>
            </w:r>
          </w:p>
        </w:tc>
        <w:tc>
          <w:tcPr>
            <w:tcW w:w="640" w:type="dxa"/>
            <w:vMerge w:val="restart"/>
            <w:vAlign w:val="center"/>
          </w:tcPr>
          <w:p>
            <w:pPr>
              <w:spacing w:line="240" w:lineRule="exact"/>
              <w:rPr>
                <w:rFonts w:ascii="仿宋_GB2312"/>
                <w:color w:val="0070C0"/>
                <w:sz w:val="15"/>
                <w:szCs w:val="15"/>
              </w:rPr>
            </w:pPr>
            <w:r>
              <w:rPr>
                <w:rFonts w:hint="eastAsia" w:ascii="仿宋_GB2312"/>
                <w:color w:val="0070C0"/>
                <w:sz w:val="15"/>
                <w:szCs w:val="15"/>
              </w:rPr>
              <w:t>1项目立项(12)</w:t>
            </w:r>
          </w:p>
        </w:tc>
        <w:tc>
          <w:tcPr>
            <w:tcW w:w="1255" w:type="dxa"/>
            <w:vAlign w:val="center"/>
          </w:tcPr>
          <w:p>
            <w:pPr>
              <w:spacing w:line="240" w:lineRule="exact"/>
              <w:rPr>
                <w:rFonts w:ascii="仿宋_GB2312"/>
                <w:color w:val="0070C0"/>
                <w:sz w:val="15"/>
                <w:szCs w:val="15"/>
              </w:rPr>
            </w:pPr>
            <w:r>
              <w:rPr>
                <w:rFonts w:hint="eastAsia" w:ascii="仿宋_GB2312"/>
                <w:color w:val="0070C0"/>
                <w:sz w:val="15"/>
                <w:szCs w:val="15"/>
              </w:rPr>
              <w:t>1.与部门中长期规划目标适应性。</w:t>
            </w:r>
          </w:p>
        </w:tc>
        <w:tc>
          <w:tcPr>
            <w:tcW w:w="567" w:type="dxa"/>
            <w:vAlign w:val="center"/>
          </w:tcPr>
          <w:p>
            <w:pPr>
              <w:spacing w:line="240" w:lineRule="exact"/>
              <w:rPr>
                <w:rFonts w:ascii="仿宋_GB2312"/>
                <w:color w:val="0070C0"/>
                <w:sz w:val="15"/>
                <w:szCs w:val="15"/>
              </w:rPr>
            </w:pPr>
          </w:p>
        </w:tc>
        <w:tc>
          <w:tcPr>
            <w:tcW w:w="567" w:type="dxa"/>
            <w:vAlign w:val="center"/>
          </w:tcPr>
          <w:p>
            <w:pPr>
              <w:spacing w:line="240" w:lineRule="exact"/>
              <w:rPr>
                <w:rFonts w:ascii="仿宋_GB2312"/>
                <w:color w:val="0070C0"/>
                <w:sz w:val="15"/>
                <w:szCs w:val="15"/>
              </w:rPr>
            </w:pPr>
          </w:p>
        </w:tc>
        <w:tc>
          <w:tcPr>
            <w:tcW w:w="2268" w:type="dxa"/>
            <w:vAlign w:val="center"/>
          </w:tcPr>
          <w:p>
            <w:pPr>
              <w:spacing w:line="240" w:lineRule="exact"/>
              <w:rPr>
                <w:rFonts w:ascii="仿宋_GB2312"/>
                <w:color w:val="0070C0"/>
                <w:sz w:val="15"/>
                <w:szCs w:val="15"/>
              </w:rPr>
            </w:pPr>
            <w:r>
              <w:rPr>
                <w:rFonts w:hint="eastAsia" w:ascii="仿宋_GB2312"/>
                <w:color w:val="0070C0"/>
                <w:sz w:val="15"/>
                <w:szCs w:val="15"/>
              </w:rPr>
              <w:t>察项目与部门中长期目标是否匹配。</w:t>
            </w:r>
          </w:p>
        </w:tc>
        <w:tc>
          <w:tcPr>
            <w:tcW w:w="1984" w:type="dxa"/>
            <w:vAlign w:val="center"/>
          </w:tcPr>
          <w:p>
            <w:pPr>
              <w:spacing w:line="240" w:lineRule="exact"/>
              <w:rPr>
                <w:rFonts w:ascii="仿宋_GB2312"/>
                <w:color w:val="0070C0"/>
                <w:sz w:val="15"/>
                <w:szCs w:val="15"/>
              </w:rPr>
            </w:pPr>
            <w:r>
              <w:rPr>
                <w:rFonts w:hint="eastAsia" w:ascii="仿宋_GB2312"/>
                <w:color w:val="0070C0"/>
                <w:sz w:val="15"/>
                <w:szCs w:val="15"/>
              </w:rPr>
              <w:t>①部门年度工作目标是否明确设定，得3分；②年度工作目标与部门中长期规划目标一致，得3分。</w:t>
            </w:r>
          </w:p>
        </w:tc>
        <w:tc>
          <w:tcPr>
            <w:tcW w:w="1322" w:type="dxa"/>
            <w:vAlign w:val="center"/>
          </w:tcPr>
          <w:p>
            <w:pPr>
              <w:spacing w:line="240" w:lineRule="exact"/>
              <w:rPr>
                <w:rFonts w:ascii="仿宋_GB2312"/>
                <w:color w:val="0070C0"/>
                <w:sz w:val="15"/>
                <w:szCs w:val="15"/>
              </w:rPr>
            </w:pPr>
            <w:r>
              <w:rPr>
                <w:rFonts w:hint="eastAsia" w:ascii="仿宋_GB2312"/>
                <w:color w:val="0070C0"/>
                <w:sz w:val="15"/>
                <w:szCs w:val="15"/>
              </w:rPr>
              <w:t>部门中长期规划目标。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478" w:type="dxa"/>
            <w:vMerge w:val="continue"/>
            <w:vAlign w:val="center"/>
          </w:tcPr>
          <w:p>
            <w:pPr>
              <w:spacing w:line="240" w:lineRule="exact"/>
              <w:rPr>
                <w:rFonts w:ascii="仿宋_GB2312"/>
                <w:color w:val="0070C0"/>
                <w:sz w:val="15"/>
                <w:szCs w:val="15"/>
              </w:rPr>
            </w:pPr>
          </w:p>
        </w:tc>
        <w:tc>
          <w:tcPr>
            <w:tcW w:w="640" w:type="dxa"/>
            <w:vMerge w:val="continue"/>
            <w:vAlign w:val="center"/>
          </w:tcPr>
          <w:p>
            <w:pPr>
              <w:spacing w:line="240" w:lineRule="exact"/>
              <w:rPr>
                <w:rFonts w:ascii="仿宋_GB2312"/>
                <w:color w:val="0070C0"/>
                <w:sz w:val="15"/>
                <w:szCs w:val="15"/>
              </w:rPr>
            </w:pPr>
          </w:p>
        </w:tc>
        <w:tc>
          <w:tcPr>
            <w:tcW w:w="1255" w:type="dxa"/>
            <w:vAlign w:val="center"/>
          </w:tcPr>
          <w:p>
            <w:pPr>
              <w:spacing w:line="240" w:lineRule="exact"/>
              <w:rPr>
                <w:rFonts w:ascii="仿宋_GB2312"/>
                <w:color w:val="0070C0"/>
                <w:sz w:val="15"/>
                <w:szCs w:val="15"/>
              </w:rPr>
            </w:pPr>
            <w:r>
              <w:rPr>
                <w:rFonts w:hint="eastAsia" w:ascii="仿宋_GB2312"/>
                <w:color w:val="0070C0"/>
                <w:sz w:val="15"/>
                <w:szCs w:val="15"/>
              </w:rPr>
              <w:t>2.立项依据充分性。</w:t>
            </w:r>
          </w:p>
        </w:tc>
        <w:tc>
          <w:tcPr>
            <w:tcW w:w="567" w:type="dxa"/>
            <w:vAlign w:val="center"/>
          </w:tcPr>
          <w:p>
            <w:pPr>
              <w:spacing w:line="240" w:lineRule="exact"/>
              <w:rPr>
                <w:rFonts w:ascii="仿宋_GB2312"/>
                <w:color w:val="0070C0"/>
                <w:sz w:val="15"/>
                <w:szCs w:val="15"/>
              </w:rPr>
            </w:pPr>
          </w:p>
        </w:tc>
        <w:tc>
          <w:tcPr>
            <w:tcW w:w="567" w:type="dxa"/>
            <w:vAlign w:val="center"/>
          </w:tcPr>
          <w:p>
            <w:pPr>
              <w:spacing w:line="240" w:lineRule="exact"/>
              <w:rPr>
                <w:rFonts w:ascii="仿宋_GB2312"/>
                <w:color w:val="0070C0"/>
                <w:sz w:val="15"/>
                <w:szCs w:val="15"/>
              </w:rPr>
            </w:pPr>
          </w:p>
        </w:tc>
        <w:tc>
          <w:tcPr>
            <w:tcW w:w="2268" w:type="dxa"/>
            <w:vAlign w:val="center"/>
          </w:tcPr>
          <w:p>
            <w:pPr>
              <w:spacing w:line="240" w:lineRule="exact"/>
              <w:rPr>
                <w:rFonts w:ascii="仿宋_GB2312"/>
                <w:color w:val="0070C0"/>
                <w:sz w:val="15"/>
                <w:szCs w:val="15"/>
              </w:rPr>
            </w:pPr>
            <w:r>
              <w:rPr>
                <w:rFonts w:hint="eastAsia" w:ascii="仿宋_GB2312"/>
                <w:color w:val="0070C0"/>
                <w:sz w:val="15"/>
                <w:szCs w:val="15"/>
              </w:rPr>
              <w:t>考察项目是否符合政府相关发展规划和政府决策</w:t>
            </w:r>
          </w:p>
        </w:tc>
        <w:tc>
          <w:tcPr>
            <w:tcW w:w="1984" w:type="dxa"/>
            <w:vAlign w:val="center"/>
          </w:tcPr>
          <w:p>
            <w:pPr>
              <w:spacing w:line="240" w:lineRule="exact"/>
              <w:rPr>
                <w:rFonts w:ascii="仿宋_GB2312"/>
                <w:color w:val="0070C0"/>
                <w:sz w:val="15"/>
                <w:szCs w:val="15"/>
              </w:rPr>
            </w:pPr>
            <w:r>
              <w:rPr>
                <w:rFonts w:hint="eastAsia" w:ascii="仿宋_GB2312"/>
                <w:color w:val="0070C0"/>
                <w:sz w:val="15"/>
                <w:szCs w:val="15"/>
              </w:rPr>
              <w:t>符合，得满分；不符合，不得分。</w:t>
            </w:r>
          </w:p>
        </w:tc>
        <w:tc>
          <w:tcPr>
            <w:tcW w:w="1322" w:type="dxa"/>
            <w:vAlign w:val="center"/>
          </w:tcPr>
          <w:p>
            <w:pPr>
              <w:spacing w:line="240" w:lineRule="exact"/>
              <w:rPr>
                <w:rFonts w:ascii="仿宋_GB2312"/>
                <w:color w:val="0070C0"/>
                <w:sz w:val="15"/>
                <w:szCs w:val="15"/>
              </w:rPr>
            </w:pPr>
            <w:r>
              <w:rPr>
                <w:rFonts w:hint="eastAsia" w:ascii="仿宋_GB2312"/>
                <w:color w:val="0070C0"/>
                <w:sz w:val="15"/>
                <w:szCs w:val="15"/>
              </w:rPr>
              <w:t>政府相关规划、决策、批复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478" w:type="dxa"/>
            <w:vMerge w:val="continue"/>
            <w:vAlign w:val="center"/>
          </w:tcPr>
          <w:p>
            <w:pPr>
              <w:spacing w:line="240" w:lineRule="exact"/>
              <w:rPr>
                <w:rFonts w:ascii="仿宋_GB2312"/>
                <w:color w:val="0070C0"/>
                <w:sz w:val="15"/>
                <w:szCs w:val="15"/>
              </w:rPr>
            </w:pPr>
          </w:p>
        </w:tc>
        <w:tc>
          <w:tcPr>
            <w:tcW w:w="640" w:type="dxa"/>
            <w:vMerge w:val="continue"/>
            <w:vAlign w:val="center"/>
          </w:tcPr>
          <w:p>
            <w:pPr>
              <w:spacing w:line="240" w:lineRule="exact"/>
              <w:rPr>
                <w:rFonts w:ascii="仿宋_GB2312"/>
                <w:color w:val="0070C0"/>
                <w:sz w:val="15"/>
                <w:szCs w:val="15"/>
              </w:rPr>
            </w:pPr>
          </w:p>
        </w:tc>
        <w:tc>
          <w:tcPr>
            <w:tcW w:w="1255" w:type="dxa"/>
            <w:vAlign w:val="center"/>
          </w:tcPr>
          <w:p>
            <w:pPr>
              <w:spacing w:line="240" w:lineRule="exact"/>
              <w:rPr>
                <w:rFonts w:ascii="仿宋_GB2312"/>
                <w:color w:val="0070C0"/>
                <w:sz w:val="15"/>
                <w:szCs w:val="15"/>
              </w:rPr>
            </w:pPr>
            <w:r>
              <w:rPr>
                <w:rFonts w:hint="eastAsia" w:ascii="仿宋_GB2312"/>
                <w:color w:val="0070C0"/>
                <w:sz w:val="15"/>
                <w:szCs w:val="15"/>
              </w:rPr>
              <w:t>3.项目立项规范性。</w:t>
            </w:r>
          </w:p>
        </w:tc>
        <w:tc>
          <w:tcPr>
            <w:tcW w:w="567" w:type="dxa"/>
            <w:vAlign w:val="center"/>
          </w:tcPr>
          <w:p>
            <w:pPr>
              <w:spacing w:line="240" w:lineRule="exact"/>
              <w:rPr>
                <w:rFonts w:ascii="仿宋_GB2312"/>
                <w:color w:val="0070C0"/>
                <w:sz w:val="15"/>
                <w:szCs w:val="15"/>
              </w:rPr>
            </w:pPr>
          </w:p>
        </w:tc>
        <w:tc>
          <w:tcPr>
            <w:tcW w:w="567" w:type="dxa"/>
            <w:vAlign w:val="center"/>
          </w:tcPr>
          <w:p>
            <w:pPr>
              <w:spacing w:line="240" w:lineRule="exact"/>
              <w:rPr>
                <w:rFonts w:ascii="仿宋_GB2312"/>
                <w:color w:val="0070C0"/>
                <w:sz w:val="15"/>
                <w:szCs w:val="15"/>
              </w:rPr>
            </w:pPr>
          </w:p>
        </w:tc>
        <w:tc>
          <w:tcPr>
            <w:tcW w:w="2268" w:type="dxa"/>
            <w:vAlign w:val="center"/>
          </w:tcPr>
          <w:p>
            <w:pPr>
              <w:spacing w:line="240" w:lineRule="exact"/>
              <w:rPr>
                <w:rFonts w:ascii="仿宋_GB2312"/>
                <w:color w:val="0070C0"/>
                <w:sz w:val="15"/>
                <w:szCs w:val="15"/>
              </w:rPr>
            </w:pPr>
            <w:r>
              <w:rPr>
                <w:rFonts w:hint="eastAsia" w:ascii="仿宋_GB2312"/>
                <w:color w:val="0070C0"/>
                <w:sz w:val="15"/>
                <w:szCs w:val="15"/>
              </w:rPr>
              <w:t>考察项目是否与部门职责密切相关。</w:t>
            </w:r>
          </w:p>
        </w:tc>
        <w:tc>
          <w:tcPr>
            <w:tcW w:w="1984" w:type="dxa"/>
            <w:vAlign w:val="center"/>
          </w:tcPr>
          <w:p>
            <w:pPr>
              <w:spacing w:line="240" w:lineRule="exact"/>
              <w:rPr>
                <w:rFonts w:ascii="仿宋_GB2312"/>
                <w:color w:val="0070C0"/>
                <w:sz w:val="15"/>
                <w:szCs w:val="15"/>
              </w:rPr>
            </w:pPr>
            <w:r>
              <w:rPr>
                <w:rFonts w:hint="eastAsia" w:ascii="仿宋_GB2312"/>
                <w:color w:val="0070C0"/>
                <w:sz w:val="15"/>
                <w:szCs w:val="15"/>
              </w:rPr>
              <w:t>是，得满分；否，不得分。</w:t>
            </w:r>
          </w:p>
        </w:tc>
        <w:tc>
          <w:tcPr>
            <w:tcW w:w="1322" w:type="dxa"/>
            <w:vAlign w:val="center"/>
          </w:tcPr>
          <w:p>
            <w:pPr>
              <w:spacing w:line="240" w:lineRule="exact"/>
              <w:rPr>
                <w:rFonts w:ascii="仿宋_GB2312"/>
                <w:color w:val="0070C0"/>
                <w:sz w:val="15"/>
                <w:szCs w:val="15"/>
              </w:rPr>
            </w:pPr>
            <w:r>
              <w:rPr>
                <w:rFonts w:hint="eastAsia" w:ascii="仿宋_GB2312"/>
                <w:color w:val="0070C0"/>
                <w:sz w:val="15"/>
                <w:szCs w:val="15"/>
              </w:rPr>
              <w:t>部门职责文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478" w:type="dxa"/>
            <w:vMerge w:val="continue"/>
          </w:tcPr>
          <w:p>
            <w:pPr>
              <w:spacing w:line="240" w:lineRule="exact"/>
              <w:jc w:val="left"/>
              <w:rPr>
                <w:rFonts w:ascii="仿宋_GB2312"/>
                <w:color w:val="0070C0"/>
                <w:sz w:val="15"/>
                <w:szCs w:val="15"/>
              </w:rPr>
            </w:pPr>
          </w:p>
        </w:tc>
        <w:tc>
          <w:tcPr>
            <w:tcW w:w="640" w:type="dxa"/>
            <w:vMerge w:val="restart"/>
            <w:vAlign w:val="center"/>
          </w:tcPr>
          <w:p>
            <w:pPr>
              <w:spacing w:line="240" w:lineRule="exact"/>
              <w:rPr>
                <w:rFonts w:ascii="仿宋_GB2312"/>
                <w:color w:val="0070C0"/>
                <w:sz w:val="15"/>
                <w:szCs w:val="15"/>
              </w:rPr>
            </w:pPr>
            <w:r>
              <w:rPr>
                <w:rFonts w:hint="eastAsia" w:ascii="仿宋_GB2312"/>
                <w:color w:val="0070C0"/>
                <w:sz w:val="15"/>
                <w:szCs w:val="15"/>
              </w:rPr>
              <w:t>2项目目标(12)</w:t>
            </w:r>
          </w:p>
        </w:tc>
        <w:tc>
          <w:tcPr>
            <w:tcW w:w="1255" w:type="dxa"/>
            <w:vAlign w:val="center"/>
          </w:tcPr>
          <w:p>
            <w:pPr>
              <w:spacing w:line="240" w:lineRule="exact"/>
              <w:rPr>
                <w:rFonts w:ascii="仿宋_GB2312"/>
                <w:color w:val="0070C0"/>
                <w:sz w:val="15"/>
                <w:szCs w:val="15"/>
              </w:rPr>
            </w:pPr>
            <w:r>
              <w:rPr>
                <w:rFonts w:hint="eastAsia" w:ascii="仿宋_GB2312"/>
                <w:color w:val="0070C0"/>
                <w:sz w:val="15"/>
                <w:szCs w:val="15"/>
              </w:rPr>
              <w:t>1.绩效目标设定的合理性</w:t>
            </w:r>
          </w:p>
        </w:tc>
        <w:tc>
          <w:tcPr>
            <w:tcW w:w="567" w:type="dxa"/>
            <w:vAlign w:val="center"/>
          </w:tcPr>
          <w:p>
            <w:pPr>
              <w:spacing w:line="240" w:lineRule="exact"/>
              <w:rPr>
                <w:rFonts w:ascii="仿宋_GB2312"/>
                <w:color w:val="0070C0"/>
                <w:sz w:val="15"/>
                <w:szCs w:val="15"/>
              </w:rPr>
            </w:pPr>
          </w:p>
        </w:tc>
        <w:tc>
          <w:tcPr>
            <w:tcW w:w="567" w:type="dxa"/>
            <w:vAlign w:val="center"/>
          </w:tcPr>
          <w:p>
            <w:pPr>
              <w:spacing w:line="240" w:lineRule="exact"/>
              <w:rPr>
                <w:rFonts w:ascii="仿宋_GB2312"/>
                <w:color w:val="0070C0"/>
                <w:sz w:val="15"/>
                <w:szCs w:val="15"/>
              </w:rPr>
            </w:pPr>
          </w:p>
        </w:tc>
        <w:tc>
          <w:tcPr>
            <w:tcW w:w="2268" w:type="dxa"/>
            <w:vAlign w:val="center"/>
          </w:tcPr>
          <w:p>
            <w:pPr>
              <w:spacing w:line="240" w:lineRule="exact"/>
              <w:rPr>
                <w:rFonts w:ascii="仿宋_GB2312"/>
                <w:color w:val="0070C0"/>
                <w:sz w:val="15"/>
                <w:szCs w:val="15"/>
              </w:rPr>
            </w:pPr>
            <w:r>
              <w:rPr>
                <w:rFonts w:hint="eastAsia" w:ascii="仿宋_GB2312"/>
                <w:color w:val="0070C0"/>
                <w:sz w:val="15"/>
                <w:szCs w:val="15"/>
              </w:rPr>
              <w:t>考察设定的绩效目标是是否与事业发展规划相关；是否完整地反应预期产出和效果；是否与年度预算相匹配。</w:t>
            </w:r>
          </w:p>
        </w:tc>
        <w:tc>
          <w:tcPr>
            <w:tcW w:w="1984" w:type="dxa"/>
            <w:vAlign w:val="center"/>
          </w:tcPr>
          <w:p>
            <w:pPr>
              <w:spacing w:line="240" w:lineRule="exact"/>
              <w:rPr>
                <w:rFonts w:ascii="仿宋_GB2312"/>
                <w:color w:val="0070C0"/>
                <w:sz w:val="15"/>
                <w:szCs w:val="15"/>
              </w:rPr>
            </w:pPr>
            <w:r>
              <w:rPr>
                <w:rFonts w:hint="eastAsia" w:ascii="仿宋_GB2312"/>
                <w:color w:val="0070C0"/>
                <w:sz w:val="15"/>
                <w:szCs w:val="15"/>
              </w:rPr>
              <w:t>是，得满分；否，不得分。</w:t>
            </w:r>
          </w:p>
        </w:tc>
        <w:tc>
          <w:tcPr>
            <w:tcW w:w="1322" w:type="dxa"/>
            <w:vAlign w:val="center"/>
          </w:tcPr>
          <w:p>
            <w:pPr>
              <w:spacing w:line="240" w:lineRule="exact"/>
              <w:rPr>
                <w:rFonts w:ascii="仿宋_GB2312"/>
                <w:color w:val="0070C0"/>
                <w:sz w:val="15"/>
                <w:szCs w:val="15"/>
              </w:rPr>
            </w:pPr>
            <w:r>
              <w:rPr>
                <w:rFonts w:hint="eastAsia" w:ascii="仿宋_GB2312"/>
                <w:color w:val="0070C0"/>
                <w:sz w:val="15"/>
                <w:szCs w:val="15"/>
              </w:rPr>
              <w:t>绩效目标申报表、立项申请、批复文件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8" w:type="dxa"/>
            <w:vMerge w:val="continue"/>
          </w:tcPr>
          <w:p>
            <w:pPr>
              <w:spacing w:line="240" w:lineRule="exact"/>
              <w:jc w:val="left"/>
              <w:rPr>
                <w:rFonts w:ascii="仿宋_GB2312"/>
                <w:sz w:val="18"/>
                <w:szCs w:val="18"/>
              </w:rPr>
            </w:pPr>
          </w:p>
        </w:tc>
        <w:tc>
          <w:tcPr>
            <w:tcW w:w="640" w:type="dxa"/>
            <w:vMerge w:val="continue"/>
          </w:tcPr>
          <w:p>
            <w:pPr>
              <w:spacing w:line="240" w:lineRule="exact"/>
              <w:jc w:val="left"/>
              <w:rPr>
                <w:rFonts w:ascii="仿宋_GB2312"/>
                <w:sz w:val="15"/>
                <w:szCs w:val="15"/>
              </w:rPr>
            </w:pPr>
          </w:p>
        </w:tc>
        <w:tc>
          <w:tcPr>
            <w:tcW w:w="1255" w:type="dxa"/>
            <w:vAlign w:val="center"/>
          </w:tcPr>
          <w:p>
            <w:pPr>
              <w:spacing w:line="240" w:lineRule="exact"/>
              <w:rPr>
                <w:rFonts w:ascii="仿宋_GB2312"/>
                <w:color w:val="0070C0"/>
                <w:sz w:val="15"/>
                <w:szCs w:val="15"/>
              </w:rPr>
            </w:pPr>
            <w:r>
              <w:rPr>
                <w:rFonts w:hint="eastAsia" w:ascii="仿宋_GB2312"/>
                <w:color w:val="0070C0"/>
                <w:sz w:val="15"/>
                <w:szCs w:val="15"/>
              </w:rPr>
              <w:t>2.绩效指标设定的明确性</w:t>
            </w:r>
          </w:p>
        </w:tc>
        <w:tc>
          <w:tcPr>
            <w:tcW w:w="567" w:type="dxa"/>
            <w:vAlign w:val="center"/>
          </w:tcPr>
          <w:p>
            <w:pPr>
              <w:spacing w:line="240" w:lineRule="exact"/>
              <w:rPr>
                <w:rFonts w:ascii="仿宋_GB2312"/>
                <w:color w:val="0070C0"/>
                <w:sz w:val="15"/>
                <w:szCs w:val="15"/>
              </w:rPr>
            </w:pPr>
          </w:p>
        </w:tc>
        <w:tc>
          <w:tcPr>
            <w:tcW w:w="567" w:type="dxa"/>
            <w:vAlign w:val="center"/>
          </w:tcPr>
          <w:p>
            <w:pPr>
              <w:spacing w:line="240" w:lineRule="exact"/>
              <w:rPr>
                <w:rFonts w:ascii="仿宋_GB2312"/>
                <w:color w:val="0070C0"/>
                <w:sz w:val="15"/>
                <w:szCs w:val="15"/>
              </w:rPr>
            </w:pPr>
          </w:p>
        </w:tc>
        <w:tc>
          <w:tcPr>
            <w:tcW w:w="2268" w:type="dxa"/>
            <w:vAlign w:val="center"/>
          </w:tcPr>
          <w:p>
            <w:pPr>
              <w:spacing w:line="240" w:lineRule="exact"/>
              <w:rPr>
                <w:rFonts w:ascii="仿宋_GB2312"/>
                <w:color w:val="0070C0"/>
                <w:sz w:val="15"/>
                <w:szCs w:val="15"/>
              </w:rPr>
            </w:pPr>
            <w:r>
              <w:rPr>
                <w:rFonts w:hint="eastAsia" w:ascii="仿宋_GB2312"/>
                <w:color w:val="0070C0"/>
                <w:sz w:val="15"/>
                <w:szCs w:val="15"/>
              </w:rPr>
              <w:t>考察是否将绩效目标细化分解为清晰、可衡量的绩效指标；是否与年度工作任务相对应。</w:t>
            </w:r>
          </w:p>
        </w:tc>
        <w:tc>
          <w:tcPr>
            <w:tcW w:w="1984" w:type="dxa"/>
            <w:vAlign w:val="center"/>
          </w:tcPr>
          <w:p>
            <w:pPr>
              <w:spacing w:line="240" w:lineRule="exact"/>
              <w:rPr>
                <w:rFonts w:ascii="仿宋_GB2312"/>
                <w:color w:val="0070C0"/>
                <w:sz w:val="15"/>
                <w:szCs w:val="15"/>
              </w:rPr>
            </w:pPr>
            <w:r>
              <w:rPr>
                <w:rFonts w:hint="eastAsia" w:ascii="仿宋_GB2312"/>
                <w:color w:val="0070C0"/>
                <w:sz w:val="15"/>
                <w:szCs w:val="15"/>
              </w:rPr>
              <w:t>是，得满分；否，不得分。</w:t>
            </w:r>
          </w:p>
        </w:tc>
        <w:tc>
          <w:tcPr>
            <w:tcW w:w="1322" w:type="dxa"/>
            <w:vAlign w:val="center"/>
          </w:tcPr>
          <w:p>
            <w:pPr>
              <w:spacing w:line="240" w:lineRule="exact"/>
              <w:rPr>
                <w:rFonts w:ascii="仿宋_GB2312"/>
                <w:color w:val="0070C0"/>
                <w:sz w:val="15"/>
                <w:szCs w:val="15"/>
              </w:rPr>
            </w:pPr>
            <w:r>
              <w:rPr>
                <w:rFonts w:hint="eastAsia" w:ascii="仿宋_GB2312"/>
                <w:color w:val="0070C0"/>
                <w:sz w:val="15"/>
                <w:szCs w:val="15"/>
              </w:rPr>
              <w:t>绩效目标申报表、立项申请、批复文件、年度工作任务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478" w:type="dxa"/>
            <w:vMerge w:val="restart"/>
            <w:textDirection w:val="tbRlV"/>
          </w:tcPr>
          <w:p>
            <w:pPr>
              <w:spacing w:line="240" w:lineRule="exact"/>
              <w:ind w:left="113" w:right="113"/>
              <w:jc w:val="center"/>
              <w:rPr>
                <w:rFonts w:ascii="仿宋_GB2312"/>
                <w:sz w:val="18"/>
                <w:szCs w:val="18"/>
              </w:rPr>
            </w:pPr>
            <w:r>
              <w:rPr>
                <w:rFonts w:hint="eastAsia" w:ascii="仿宋_GB2312"/>
                <w:sz w:val="18"/>
                <w:szCs w:val="18"/>
              </w:rPr>
              <w:t>二、项目管理</w:t>
            </w:r>
          </w:p>
        </w:tc>
        <w:tc>
          <w:tcPr>
            <w:tcW w:w="640" w:type="dxa"/>
            <w:vMerge w:val="restart"/>
            <w:vAlign w:val="center"/>
          </w:tcPr>
          <w:p>
            <w:pPr>
              <w:spacing w:line="240" w:lineRule="exact"/>
              <w:rPr>
                <w:rFonts w:ascii="仿宋_GB2312"/>
                <w:color w:val="0070C0"/>
                <w:sz w:val="18"/>
                <w:szCs w:val="18"/>
              </w:rPr>
            </w:pPr>
            <w:r>
              <w:rPr>
                <w:rFonts w:hint="eastAsia" w:ascii="仿宋_GB2312"/>
                <w:color w:val="0070C0"/>
                <w:sz w:val="15"/>
                <w:szCs w:val="15"/>
              </w:rPr>
              <w:t>1投入管理（4）</w:t>
            </w:r>
          </w:p>
        </w:tc>
        <w:tc>
          <w:tcPr>
            <w:tcW w:w="1255" w:type="dxa"/>
            <w:vAlign w:val="center"/>
          </w:tcPr>
          <w:p>
            <w:pPr>
              <w:spacing w:line="240" w:lineRule="exact"/>
              <w:rPr>
                <w:rFonts w:ascii="仿宋_GB2312"/>
                <w:color w:val="0070C0"/>
                <w:sz w:val="15"/>
                <w:szCs w:val="15"/>
              </w:rPr>
            </w:pPr>
            <w:r>
              <w:rPr>
                <w:rFonts w:hint="eastAsia" w:ascii="仿宋_GB2312"/>
                <w:color w:val="0070C0"/>
                <w:sz w:val="15"/>
                <w:szCs w:val="15"/>
              </w:rPr>
              <w:t>1.预算编制合理性</w:t>
            </w:r>
          </w:p>
        </w:tc>
        <w:tc>
          <w:tcPr>
            <w:tcW w:w="567" w:type="dxa"/>
          </w:tcPr>
          <w:p>
            <w:pPr>
              <w:spacing w:line="240" w:lineRule="exact"/>
              <w:jc w:val="left"/>
              <w:rPr>
                <w:rFonts w:ascii="仿宋_GB2312"/>
                <w:color w:val="0070C0"/>
                <w:sz w:val="15"/>
                <w:szCs w:val="15"/>
              </w:rPr>
            </w:pPr>
          </w:p>
        </w:tc>
        <w:tc>
          <w:tcPr>
            <w:tcW w:w="567" w:type="dxa"/>
          </w:tcPr>
          <w:p>
            <w:pPr>
              <w:spacing w:line="240" w:lineRule="exact"/>
              <w:jc w:val="left"/>
              <w:rPr>
                <w:rFonts w:ascii="仿宋_GB2312"/>
                <w:color w:val="0070C0"/>
                <w:sz w:val="15"/>
                <w:szCs w:val="15"/>
              </w:rPr>
            </w:pPr>
          </w:p>
        </w:tc>
        <w:tc>
          <w:tcPr>
            <w:tcW w:w="2268" w:type="dxa"/>
            <w:vAlign w:val="center"/>
          </w:tcPr>
          <w:p>
            <w:pPr>
              <w:spacing w:line="240" w:lineRule="exact"/>
              <w:rPr>
                <w:rFonts w:ascii="仿宋_GB2312"/>
                <w:color w:val="0070C0"/>
                <w:sz w:val="15"/>
                <w:szCs w:val="15"/>
              </w:rPr>
            </w:pPr>
            <w:r>
              <w:rPr>
                <w:rFonts w:hint="eastAsia" w:ascii="仿宋_GB2312"/>
                <w:color w:val="0070C0"/>
                <w:sz w:val="15"/>
                <w:szCs w:val="15"/>
              </w:rPr>
              <w:t>考察预算编制是否充分、合理，预计项目支出是否完整反应。</w:t>
            </w:r>
          </w:p>
        </w:tc>
        <w:tc>
          <w:tcPr>
            <w:tcW w:w="1984" w:type="dxa"/>
            <w:vAlign w:val="center"/>
          </w:tcPr>
          <w:p>
            <w:pPr>
              <w:spacing w:line="240" w:lineRule="exact"/>
              <w:rPr>
                <w:rFonts w:ascii="仿宋_GB2312"/>
                <w:color w:val="0070C0"/>
                <w:sz w:val="15"/>
                <w:szCs w:val="15"/>
              </w:rPr>
            </w:pPr>
            <w:r>
              <w:rPr>
                <w:rFonts w:hint="eastAsia" w:ascii="仿宋_GB2312"/>
                <w:color w:val="0070C0"/>
                <w:sz w:val="15"/>
                <w:szCs w:val="15"/>
              </w:rPr>
              <w:t>合理得满分；存在一项不合理，扣0.5分，扣完为止。</w:t>
            </w:r>
          </w:p>
        </w:tc>
        <w:tc>
          <w:tcPr>
            <w:tcW w:w="1322" w:type="dxa"/>
            <w:vAlign w:val="center"/>
          </w:tcPr>
          <w:p>
            <w:pPr>
              <w:spacing w:line="240" w:lineRule="exact"/>
              <w:rPr>
                <w:rFonts w:ascii="仿宋_GB2312"/>
                <w:color w:val="0070C0"/>
                <w:sz w:val="15"/>
                <w:szCs w:val="15"/>
              </w:rPr>
            </w:pPr>
            <w:r>
              <w:rPr>
                <w:rFonts w:hint="eastAsia" w:ascii="仿宋_GB2312"/>
                <w:color w:val="0070C0"/>
                <w:sz w:val="15"/>
                <w:szCs w:val="15"/>
              </w:rPr>
              <w:t>预算批复。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78" w:type="dxa"/>
            <w:vMerge w:val="continue"/>
          </w:tcPr>
          <w:p>
            <w:pPr>
              <w:spacing w:line="240" w:lineRule="exact"/>
              <w:jc w:val="left"/>
              <w:rPr>
                <w:rFonts w:ascii="仿宋_GB2312"/>
                <w:sz w:val="18"/>
                <w:szCs w:val="18"/>
              </w:rPr>
            </w:pPr>
          </w:p>
        </w:tc>
        <w:tc>
          <w:tcPr>
            <w:tcW w:w="640" w:type="dxa"/>
            <w:vMerge w:val="continue"/>
            <w:vAlign w:val="center"/>
          </w:tcPr>
          <w:p>
            <w:pPr>
              <w:spacing w:line="240" w:lineRule="exact"/>
              <w:rPr>
                <w:rFonts w:ascii="仿宋_GB2312"/>
                <w:sz w:val="15"/>
                <w:szCs w:val="15"/>
              </w:rPr>
            </w:pPr>
          </w:p>
        </w:tc>
        <w:tc>
          <w:tcPr>
            <w:tcW w:w="1255" w:type="dxa"/>
            <w:vAlign w:val="center"/>
          </w:tcPr>
          <w:p>
            <w:pPr>
              <w:spacing w:line="240" w:lineRule="exact"/>
              <w:rPr>
                <w:rFonts w:ascii="仿宋_GB2312"/>
                <w:color w:val="0070C0"/>
                <w:sz w:val="15"/>
                <w:szCs w:val="15"/>
              </w:rPr>
            </w:pPr>
            <w:r>
              <w:rPr>
                <w:rFonts w:hint="eastAsia" w:ascii="仿宋_GB2312"/>
                <w:color w:val="0070C0"/>
                <w:sz w:val="15"/>
                <w:szCs w:val="15"/>
              </w:rPr>
              <w:t>2.预算执行率</w:t>
            </w:r>
          </w:p>
        </w:tc>
        <w:tc>
          <w:tcPr>
            <w:tcW w:w="567" w:type="dxa"/>
            <w:vAlign w:val="center"/>
          </w:tcPr>
          <w:p>
            <w:pPr>
              <w:spacing w:line="240" w:lineRule="exact"/>
              <w:rPr>
                <w:rFonts w:ascii="仿宋_GB2312"/>
                <w:color w:val="0070C0"/>
                <w:sz w:val="15"/>
                <w:szCs w:val="15"/>
              </w:rPr>
            </w:pPr>
          </w:p>
        </w:tc>
        <w:tc>
          <w:tcPr>
            <w:tcW w:w="567" w:type="dxa"/>
            <w:vAlign w:val="center"/>
          </w:tcPr>
          <w:p>
            <w:pPr>
              <w:spacing w:line="240" w:lineRule="exact"/>
              <w:rPr>
                <w:rFonts w:ascii="仿宋_GB2312"/>
                <w:color w:val="0070C0"/>
                <w:sz w:val="15"/>
                <w:szCs w:val="15"/>
              </w:rPr>
            </w:pPr>
          </w:p>
        </w:tc>
        <w:tc>
          <w:tcPr>
            <w:tcW w:w="2268" w:type="dxa"/>
            <w:vAlign w:val="center"/>
          </w:tcPr>
          <w:p>
            <w:pPr>
              <w:spacing w:line="240" w:lineRule="exact"/>
              <w:rPr>
                <w:rFonts w:ascii="仿宋_GB2312"/>
                <w:color w:val="0070C0"/>
                <w:sz w:val="15"/>
                <w:szCs w:val="15"/>
              </w:rPr>
            </w:pPr>
            <w:r>
              <w:rPr>
                <w:rFonts w:hint="eastAsia" w:ascii="仿宋_GB2312"/>
                <w:color w:val="0070C0"/>
                <w:sz w:val="15"/>
                <w:szCs w:val="15"/>
              </w:rPr>
              <w:t>考察项目预算执行的进度。预算执行率=实际支出金额/项目预算金额×100%</w:t>
            </w:r>
          </w:p>
        </w:tc>
        <w:tc>
          <w:tcPr>
            <w:tcW w:w="1984" w:type="dxa"/>
            <w:vAlign w:val="center"/>
          </w:tcPr>
          <w:p>
            <w:pPr>
              <w:spacing w:line="240" w:lineRule="exact"/>
              <w:rPr>
                <w:rFonts w:ascii="仿宋_GB2312"/>
                <w:color w:val="0070C0"/>
                <w:sz w:val="15"/>
                <w:szCs w:val="15"/>
              </w:rPr>
            </w:pPr>
            <w:r>
              <w:rPr>
                <w:rFonts w:hint="eastAsia" w:ascii="仿宋_GB2312"/>
                <w:color w:val="0070C0"/>
                <w:sz w:val="15"/>
                <w:szCs w:val="15"/>
              </w:rPr>
              <w:t>预算执行率95%以上，得满分；低于95%，每下降1%扣权重的1%；预算执行率60%以下，不计分。</w:t>
            </w:r>
          </w:p>
        </w:tc>
        <w:tc>
          <w:tcPr>
            <w:tcW w:w="1322" w:type="dxa"/>
            <w:vAlign w:val="center"/>
          </w:tcPr>
          <w:p>
            <w:pPr>
              <w:spacing w:line="240" w:lineRule="exact"/>
              <w:rPr>
                <w:rFonts w:ascii="仿宋_GB2312"/>
                <w:color w:val="0070C0"/>
                <w:sz w:val="15"/>
                <w:szCs w:val="15"/>
              </w:rPr>
            </w:pPr>
            <w:r>
              <w:rPr>
                <w:rFonts w:hint="eastAsia" w:ascii="仿宋_GB2312"/>
                <w:color w:val="0070C0"/>
                <w:sz w:val="15"/>
                <w:szCs w:val="15"/>
              </w:rPr>
              <w:t>绩效目标申报表、支付指令、合同、财务凭证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8" w:type="dxa"/>
            <w:vMerge w:val="continue"/>
          </w:tcPr>
          <w:p>
            <w:pPr>
              <w:spacing w:line="240" w:lineRule="exact"/>
              <w:jc w:val="left"/>
              <w:rPr>
                <w:sz w:val="18"/>
                <w:szCs w:val="18"/>
              </w:rPr>
            </w:pPr>
          </w:p>
        </w:tc>
        <w:tc>
          <w:tcPr>
            <w:tcW w:w="640" w:type="dxa"/>
            <w:vMerge w:val="restart"/>
            <w:vAlign w:val="center"/>
          </w:tcPr>
          <w:p>
            <w:pPr>
              <w:spacing w:line="240" w:lineRule="exact"/>
              <w:rPr>
                <w:color w:val="0070C0"/>
                <w:sz w:val="15"/>
                <w:szCs w:val="15"/>
              </w:rPr>
            </w:pPr>
            <w:r>
              <w:rPr>
                <w:rFonts w:hint="eastAsia" w:ascii="仿宋_GB2312"/>
                <w:color w:val="0070C0"/>
                <w:sz w:val="15"/>
                <w:szCs w:val="15"/>
              </w:rPr>
              <w:t>2.财务管理（6）</w:t>
            </w:r>
          </w:p>
        </w:tc>
        <w:tc>
          <w:tcPr>
            <w:tcW w:w="1255" w:type="dxa"/>
            <w:vAlign w:val="center"/>
          </w:tcPr>
          <w:p>
            <w:pPr>
              <w:spacing w:line="240" w:lineRule="exact"/>
              <w:rPr>
                <w:rFonts w:ascii="仿宋_GB2312"/>
                <w:color w:val="0070C0"/>
                <w:sz w:val="15"/>
                <w:szCs w:val="15"/>
              </w:rPr>
            </w:pPr>
            <w:r>
              <w:rPr>
                <w:rFonts w:hint="eastAsia" w:ascii="仿宋_GB2312"/>
                <w:color w:val="0070C0"/>
                <w:sz w:val="15"/>
                <w:szCs w:val="15"/>
              </w:rPr>
              <w:t>1.资金使用情况</w:t>
            </w:r>
          </w:p>
        </w:tc>
        <w:tc>
          <w:tcPr>
            <w:tcW w:w="567" w:type="dxa"/>
            <w:vAlign w:val="center"/>
          </w:tcPr>
          <w:p>
            <w:pPr>
              <w:spacing w:line="240" w:lineRule="exact"/>
              <w:rPr>
                <w:rFonts w:ascii="仿宋_GB2312"/>
                <w:color w:val="0070C0"/>
                <w:sz w:val="15"/>
                <w:szCs w:val="15"/>
              </w:rPr>
            </w:pPr>
          </w:p>
        </w:tc>
        <w:tc>
          <w:tcPr>
            <w:tcW w:w="567" w:type="dxa"/>
            <w:vAlign w:val="center"/>
          </w:tcPr>
          <w:p>
            <w:pPr>
              <w:spacing w:line="240" w:lineRule="exact"/>
              <w:rPr>
                <w:rFonts w:ascii="仿宋_GB2312"/>
                <w:color w:val="0070C0"/>
                <w:sz w:val="15"/>
                <w:szCs w:val="15"/>
              </w:rPr>
            </w:pPr>
          </w:p>
        </w:tc>
        <w:tc>
          <w:tcPr>
            <w:tcW w:w="2268" w:type="dxa"/>
            <w:vAlign w:val="center"/>
          </w:tcPr>
          <w:p>
            <w:pPr>
              <w:spacing w:line="240" w:lineRule="exact"/>
              <w:rPr>
                <w:rFonts w:ascii="仿宋_GB2312"/>
                <w:color w:val="0070C0"/>
                <w:sz w:val="15"/>
                <w:szCs w:val="15"/>
              </w:rPr>
            </w:pPr>
            <w:r>
              <w:rPr>
                <w:rFonts w:hint="eastAsia" w:ascii="仿宋_GB2312"/>
                <w:color w:val="0070C0"/>
                <w:sz w:val="15"/>
                <w:szCs w:val="15"/>
              </w:rPr>
              <w:t>考察项目资金使用是否符合预算批复的用途，是否存在截留、挤占、挪用、虚列支出等情况。</w:t>
            </w:r>
          </w:p>
        </w:tc>
        <w:tc>
          <w:tcPr>
            <w:tcW w:w="1984" w:type="dxa"/>
            <w:vAlign w:val="center"/>
          </w:tcPr>
          <w:p>
            <w:pPr>
              <w:spacing w:line="240" w:lineRule="exact"/>
              <w:rPr>
                <w:rFonts w:ascii="仿宋_GB2312"/>
                <w:color w:val="0070C0"/>
                <w:sz w:val="15"/>
                <w:szCs w:val="15"/>
              </w:rPr>
            </w:pPr>
            <w:r>
              <w:rPr>
                <w:rFonts w:hint="eastAsia" w:ascii="仿宋_GB2312"/>
                <w:color w:val="0070C0"/>
                <w:sz w:val="15"/>
                <w:szCs w:val="15"/>
              </w:rPr>
              <w:t>合规，得满分；存在一项不合规，扣1分，扣完为止。</w:t>
            </w:r>
          </w:p>
        </w:tc>
        <w:tc>
          <w:tcPr>
            <w:tcW w:w="1322" w:type="dxa"/>
            <w:vAlign w:val="center"/>
          </w:tcPr>
          <w:p>
            <w:pPr>
              <w:spacing w:line="240" w:lineRule="exact"/>
              <w:rPr>
                <w:rFonts w:ascii="仿宋_GB2312"/>
                <w:color w:val="0070C0"/>
                <w:sz w:val="15"/>
                <w:szCs w:val="15"/>
              </w:rPr>
            </w:pPr>
            <w:r>
              <w:rPr>
                <w:rFonts w:hint="eastAsia" w:ascii="仿宋_GB2312"/>
                <w:color w:val="0070C0"/>
                <w:sz w:val="15"/>
                <w:szCs w:val="15"/>
              </w:rPr>
              <w:t>绩效目标申报表、支付指令，合同、财务凭证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8" w:type="dxa"/>
            <w:vMerge w:val="continue"/>
          </w:tcPr>
          <w:p>
            <w:pPr>
              <w:spacing w:line="240" w:lineRule="exact"/>
              <w:jc w:val="left"/>
              <w:rPr>
                <w:sz w:val="18"/>
                <w:szCs w:val="18"/>
              </w:rPr>
            </w:pPr>
          </w:p>
        </w:tc>
        <w:tc>
          <w:tcPr>
            <w:tcW w:w="640" w:type="dxa"/>
            <w:vMerge w:val="continue"/>
            <w:vAlign w:val="center"/>
          </w:tcPr>
          <w:p>
            <w:pPr>
              <w:spacing w:line="240" w:lineRule="exact"/>
              <w:rPr>
                <w:rFonts w:ascii="仿宋_GB2312"/>
                <w:color w:val="0070C0"/>
                <w:sz w:val="15"/>
                <w:szCs w:val="15"/>
              </w:rPr>
            </w:pPr>
          </w:p>
        </w:tc>
        <w:tc>
          <w:tcPr>
            <w:tcW w:w="1255" w:type="dxa"/>
            <w:vAlign w:val="center"/>
          </w:tcPr>
          <w:p>
            <w:pPr>
              <w:spacing w:line="240" w:lineRule="exact"/>
              <w:rPr>
                <w:rFonts w:ascii="仿宋_GB2312"/>
                <w:color w:val="0070C0"/>
                <w:sz w:val="15"/>
                <w:szCs w:val="15"/>
              </w:rPr>
            </w:pPr>
            <w:r>
              <w:rPr>
                <w:rFonts w:hint="eastAsia" w:ascii="仿宋_GB2312"/>
                <w:color w:val="0070C0"/>
                <w:sz w:val="15"/>
                <w:szCs w:val="15"/>
              </w:rPr>
              <w:t>2.财务管理制度健全性</w:t>
            </w:r>
          </w:p>
        </w:tc>
        <w:tc>
          <w:tcPr>
            <w:tcW w:w="567" w:type="dxa"/>
            <w:vAlign w:val="center"/>
          </w:tcPr>
          <w:p>
            <w:pPr>
              <w:spacing w:line="240" w:lineRule="exact"/>
              <w:rPr>
                <w:rFonts w:ascii="仿宋_GB2312"/>
                <w:color w:val="0070C0"/>
                <w:sz w:val="15"/>
                <w:szCs w:val="15"/>
              </w:rPr>
            </w:pPr>
          </w:p>
        </w:tc>
        <w:tc>
          <w:tcPr>
            <w:tcW w:w="567" w:type="dxa"/>
            <w:vAlign w:val="center"/>
          </w:tcPr>
          <w:p>
            <w:pPr>
              <w:spacing w:line="240" w:lineRule="exact"/>
              <w:rPr>
                <w:rFonts w:ascii="仿宋_GB2312"/>
                <w:color w:val="0070C0"/>
                <w:sz w:val="15"/>
                <w:szCs w:val="15"/>
              </w:rPr>
            </w:pPr>
          </w:p>
        </w:tc>
        <w:tc>
          <w:tcPr>
            <w:tcW w:w="2268" w:type="dxa"/>
            <w:vAlign w:val="center"/>
          </w:tcPr>
          <w:p>
            <w:pPr>
              <w:spacing w:line="240" w:lineRule="exact"/>
              <w:rPr>
                <w:rFonts w:ascii="仿宋_GB2312"/>
                <w:color w:val="0070C0"/>
                <w:sz w:val="15"/>
                <w:szCs w:val="15"/>
              </w:rPr>
            </w:pPr>
            <w:r>
              <w:rPr>
                <w:rFonts w:hint="eastAsia" w:ascii="仿宋_GB2312"/>
                <w:color w:val="0070C0"/>
                <w:sz w:val="15"/>
                <w:szCs w:val="15"/>
              </w:rPr>
              <w:t>考察项目的财务制度是否健全、完善、有效。</w:t>
            </w:r>
          </w:p>
        </w:tc>
        <w:tc>
          <w:tcPr>
            <w:tcW w:w="1984" w:type="dxa"/>
            <w:vAlign w:val="center"/>
          </w:tcPr>
          <w:p>
            <w:pPr>
              <w:spacing w:line="240" w:lineRule="exact"/>
              <w:rPr>
                <w:rFonts w:ascii="仿宋_GB2312"/>
                <w:color w:val="0070C0"/>
                <w:sz w:val="15"/>
                <w:szCs w:val="15"/>
              </w:rPr>
            </w:pPr>
            <w:r>
              <w:rPr>
                <w:rFonts w:hint="eastAsia" w:ascii="仿宋_GB2312"/>
                <w:color w:val="0070C0"/>
                <w:sz w:val="15"/>
                <w:szCs w:val="15"/>
              </w:rPr>
              <w:t xml:space="preserve">a.是否已制定相应的财务管理办法；b.项目财务管理办法是否符合相关财务会计制度的规定；符合所有条件，得满分； 一项不符合，扣1分，扣完为止。                                                                                                  </w:t>
            </w:r>
          </w:p>
        </w:tc>
        <w:tc>
          <w:tcPr>
            <w:tcW w:w="1322" w:type="dxa"/>
            <w:vAlign w:val="center"/>
          </w:tcPr>
          <w:p>
            <w:pPr>
              <w:spacing w:line="240" w:lineRule="exact"/>
              <w:rPr>
                <w:rFonts w:ascii="仿宋_GB2312"/>
                <w:color w:val="0070C0"/>
                <w:sz w:val="15"/>
                <w:szCs w:val="15"/>
              </w:rPr>
            </w:pPr>
            <w:r>
              <w:rPr>
                <w:rFonts w:hint="eastAsia" w:ascii="仿宋_GB2312"/>
                <w:color w:val="0070C0"/>
                <w:sz w:val="15"/>
                <w:szCs w:val="15"/>
              </w:rPr>
              <w:t>财务管理制度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8" w:type="dxa"/>
            <w:vMerge w:val="continue"/>
          </w:tcPr>
          <w:p>
            <w:pPr>
              <w:spacing w:line="240" w:lineRule="exact"/>
              <w:jc w:val="left"/>
              <w:rPr>
                <w:sz w:val="18"/>
                <w:szCs w:val="18"/>
              </w:rPr>
            </w:pPr>
          </w:p>
        </w:tc>
        <w:tc>
          <w:tcPr>
            <w:tcW w:w="640" w:type="dxa"/>
            <w:vMerge w:val="restart"/>
            <w:vAlign w:val="center"/>
          </w:tcPr>
          <w:p>
            <w:pPr>
              <w:spacing w:line="240" w:lineRule="exact"/>
              <w:rPr>
                <w:rFonts w:ascii="仿宋_GB2312"/>
                <w:sz w:val="15"/>
                <w:szCs w:val="15"/>
              </w:rPr>
            </w:pPr>
            <w:r>
              <w:rPr>
                <w:rFonts w:hint="eastAsia" w:ascii="仿宋_GB2312"/>
                <w:sz w:val="15"/>
                <w:szCs w:val="15"/>
              </w:rPr>
              <w:t>3.项目实施（10）</w:t>
            </w:r>
          </w:p>
        </w:tc>
        <w:tc>
          <w:tcPr>
            <w:tcW w:w="1255" w:type="dxa"/>
            <w:vAlign w:val="center"/>
          </w:tcPr>
          <w:p>
            <w:pPr>
              <w:spacing w:line="240" w:lineRule="exact"/>
              <w:rPr>
                <w:rFonts w:ascii="仿宋_GB2312"/>
                <w:color w:val="0070C0"/>
                <w:sz w:val="15"/>
                <w:szCs w:val="15"/>
              </w:rPr>
            </w:pPr>
            <w:r>
              <w:rPr>
                <w:rFonts w:hint="eastAsia" w:ascii="仿宋_GB2312"/>
                <w:color w:val="0070C0"/>
                <w:sz w:val="15"/>
                <w:szCs w:val="15"/>
              </w:rPr>
              <w:t>1.项目管理制度健全性</w:t>
            </w:r>
          </w:p>
        </w:tc>
        <w:tc>
          <w:tcPr>
            <w:tcW w:w="567" w:type="dxa"/>
            <w:vAlign w:val="center"/>
          </w:tcPr>
          <w:p>
            <w:pPr>
              <w:spacing w:line="240" w:lineRule="exact"/>
              <w:rPr>
                <w:rFonts w:ascii="仿宋_GB2312"/>
                <w:color w:val="0070C0"/>
                <w:sz w:val="15"/>
                <w:szCs w:val="15"/>
              </w:rPr>
            </w:pPr>
          </w:p>
        </w:tc>
        <w:tc>
          <w:tcPr>
            <w:tcW w:w="567" w:type="dxa"/>
            <w:vAlign w:val="center"/>
          </w:tcPr>
          <w:p>
            <w:pPr>
              <w:spacing w:line="240" w:lineRule="exact"/>
              <w:rPr>
                <w:rFonts w:ascii="仿宋_GB2312"/>
                <w:color w:val="0070C0"/>
                <w:sz w:val="15"/>
                <w:szCs w:val="15"/>
              </w:rPr>
            </w:pPr>
          </w:p>
        </w:tc>
        <w:tc>
          <w:tcPr>
            <w:tcW w:w="2268" w:type="dxa"/>
            <w:vAlign w:val="center"/>
          </w:tcPr>
          <w:p>
            <w:pPr>
              <w:spacing w:line="240" w:lineRule="exact"/>
              <w:rPr>
                <w:rFonts w:ascii="仿宋_GB2312"/>
                <w:color w:val="0070C0"/>
                <w:sz w:val="15"/>
                <w:szCs w:val="15"/>
              </w:rPr>
            </w:pPr>
            <w:r>
              <w:rPr>
                <w:rFonts w:hint="eastAsia" w:ascii="仿宋_GB2312"/>
                <w:color w:val="0070C0"/>
                <w:sz w:val="15"/>
                <w:szCs w:val="15"/>
              </w:rPr>
              <w:t>项目实施单位为保障项目顺利实施制订的与项目直接相关的业务管理制度是否健全、完善和有效。</w:t>
            </w:r>
          </w:p>
        </w:tc>
        <w:tc>
          <w:tcPr>
            <w:tcW w:w="1984" w:type="dxa"/>
            <w:vAlign w:val="center"/>
          </w:tcPr>
          <w:p>
            <w:pPr>
              <w:spacing w:line="240" w:lineRule="exact"/>
              <w:rPr>
                <w:rFonts w:ascii="仿宋_GB2312"/>
                <w:color w:val="0070C0"/>
                <w:sz w:val="15"/>
                <w:szCs w:val="15"/>
              </w:rPr>
            </w:pPr>
            <w:r>
              <w:rPr>
                <w:rFonts w:hint="eastAsia" w:ascii="仿宋_GB2312"/>
                <w:color w:val="0070C0"/>
                <w:sz w:val="15"/>
                <w:szCs w:val="15"/>
              </w:rPr>
              <w:t>制订制度或采取措施，得满分；制度不完善或措施不明确，得权重的60%；没有相关制度或措施，不得分。</w:t>
            </w:r>
          </w:p>
        </w:tc>
        <w:tc>
          <w:tcPr>
            <w:tcW w:w="1322" w:type="dxa"/>
            <w:vAlign w:val="center"/>
          </w:tcPr>
          <w:p>
            <w:pPr>
              <w:spacing w:line="240" w:lineRule="exact"/>
              <w:rPr>
                <w:rFonts w:ascii="仿宋_GB2312"/>
                <w:color w:val="0070C0"/>
                <w:sz w:val="15"/>
                <w:szCs w:val="15"/>
              </w:rPr>
            </w:pPr>
            <w:r>
              <w:rPr>
                <w:rFonts w:hint="eastAsia" w:ascii="仿宋_GB2312"/>
                <w:color w:val="0070C0"/>
                <w:sz w:val="15"/>
                <w:szCs w:val="15"/>
              </w:rPr>
              <w:t>项目实施单位管理制度、访谈、现场调查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8" w:type="dxa"/>
            <w:vMerge w:val="continue"/>
          </w:tcPr>
          <w:p>
            <w:pPr>
              <w:spacing w:line="240" w:lineRule="exact"/>
              <w:jc w:val="left"/>
              <w:rPr>
                <w:sz w:val="18"/>
                <w:szCs w:val="18"/>
              </w:rPr>
            </w:pPr>
          </w:p>
        </w:tc>
        <w:tc>
          <w:tcPr>
            <w:tcW w:w="640" w:type="dxa"/>
            <w:vMerge w:val="continue"/>
          </w:tcPr>
          <w:p>
            <w:pPr>
              <w:spacing w:line="240" w:lineRule="exact"/>
              <w:jc w:val="left"/>
              <w:rPr>
                <w:rFonts w:ascii="仿宋_GB2312"/>
                <w:sz w:val="15"/>
                <w:szCs w:val="15"/>
              </w:rPr>
            </w:pPr>
          </w:p>
        </w:tc>
        <w:tc>
          <w:tcPr>
            <w:tcW w:w="1255" w:type="dxa"/>
            <w:vAlign w:val="center"/>
          </w:tcPr>
          <w:p>
            <w:pPr>
              <w:spacing w:line="240" w:lineRule="exact"/>
              <w:rPr>
                <w:rFonts w:ascii="仿宋_GB2312"/>
                <w:color w:val="0070C0"/>
                <w:sz w:val="15"/>
                <w:szCs w:val="15"/>
              </w:rPr>
            </w:pPr>
            <w:r>
              <w:rPr>
                <w:rFonts w:hint="eastAsia" w:ascii="仿宋_GB2312"/>
                <w:color w:val="0070C0"/>
                <w:sz w:val="15"/>
                <w:szCs w:val="15"/>
              </w:rPr>
              <w:t>2.项目管理制度执行有效性</w:t>
            </w:r>
          </w:p>
        </w:tc>
        <w:tc>
          <w:tcPr>
            <w:tcW w:w="567" w:type="dxa"/>
            <w:vAlign w:val="center"/>
          </w:tcPr>
          <w:p>
            <w:pPr>
              <w:spacing w:line="240" w:lineRule="exact"/>
              <w:rPr>
                <w:rFonts w:ascii="仿宋_GB2312"/>
                <w:sz w:val="15"/>
                <w:szCs w:val="15"/>
              </w:rPr>
            </w:pPr>
          </w:p>
        </w:tc>
        <w:tc>
          <w:tcPr>
            <w:tcW w:w="567" w:type="dxa"/>
            <w:vAlign w:val="center"/>
          </w:tcPr>
          <w:p>
            <w:pPr>
              <w:spacing w:line="240" w:lineRule="exact"/>
              <w:rPr>
                <w:rFonts w:ascii="仿宋_GB2312"/>
                <w:sz w:val="15"/>
                <w:szCs w:val="15"/>
              </w:rPr>
            </w:pPr>
          </w:p>
        </w:tc>
        <w:tc>
          <w:tcPr>
            <w:tcW w:w="2268" w:type="dxa"/>
            <w:vAlign w:val="center"/>
          </w:tcPr>
          <w:p>
            <w:pPr>
              <w:spacing w:line="240" w:lineRule="exact"/>
              <w:rPr>
                <w:rFonts w:ascii="仿宋_GB2312"/>
                <w:color w:val="0070C0"/>
                <w:sz w:val="15"/>
                <w:szCs w:val="15"/>
              </w:rPr>
            </w:pPr>
            <w:r>
              <w:rPr>
                <w:rFonts w:hint="eastAsia" w:ascii="仿宋_GB2312"/>
                <w:color w:val="0070C0"/>
                <w:sz w:val="15"/>
                <w:szCs w:val="15"/>
              </w:rPr>
              <w:t>考察项目实施单位制订的管理制度是否有效执行。</w:t>
            </w:r>
          </w:p>
        </w:tc>
        <w:tc>
          <w:tcPr>
            <w:tcW w:w="1984" w:type="dxa"/>
            <w:vAlign w:val="center"/>
          </w:tcPr>
          <w:p>
            <w:pPr>
              <w:spacing w:line="240" w:lineRule="exact"/>
              <w:rPr>
                <w:rFonts w:ascii="仿宋_GB2312"/>
                <w:color w:val="0070C0"/>
                <w:sz w:val="15"/>
                <w:szCs w:val="15"/>
              </w:rPr>
            </w:pPr>
            <w:r>
              <w:rPr>
                <w:rFonts w:hint="eastAsia" w:ascii="仿宋_GB2312"/>
                <w:color w:val="0070C0"/>
                <w:sz w:val="15"/>
                <w:szCs w:val="15"/>
              </w:rPr>
              <w:t>有效执行，得满分；部分执行，得权重的60%；未执行，不得分。</w:t>
            </w:r>
          </w:p>
        </w:tc>
        <w:tc>
          <w:tcPr>
            <w:tcW w:w="1322" w:type="dxa"/>
            <w:vAlign w:val="center"/>
          </w:tcPr>
          <w:p>
            <w:pPr>
              <w:spacing w:line="240" w:lineRule="exact"/>
              <w:rPr>
                <w:rFonts w:ascii="仿宋_GB2312"/>
                <w:color w:val="0070C0"/>
                <w:sz w:val="15"/>
                <w:szCs w:val="15"/>
              </w:rPr>
            </w:pPr>
            <w:r>
              <w:rPr>
                <w:rFonts w:hint="eastAsia" w:ascii="仿宋_GB2312"/>
                <w:color w:val="0070C0"/>
                <w:sz w:val="15"/>
                <w:szCs w:val="15"/>
              </w:rPr>
              <w:t>项目实施单位管理制度、现场调查。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8" w:type="dxa"/>
            <w:vMerge w:val="continue"/>
          </w:tcPr>
          <w:p>
            <w:pPr>
              <w:spacing w:line="240" w:lineRule="exact"/>
              <w:jc w:val="left"/>
              <w:rPr>
                <w:sz w:val="18"/>
                <w:szCs w:val="18"/>
              </w:rPr>
            </w:pPr>
          </w:p>
        </w:tc>
        <w:tc>
          <w:tcPr>
            <w:tcW w:w="640" w:type="dxa"/>
            <w:vMerge w:val="continue"/>
          </w:tcPr>
          <w:p>
            <w:pPr>
              <w:spacing w:line="240" w:lineRule="exact"/>
              <w:jc w:val="left"/>
              <w:rPr>
                <w:rFonts w:ascii="仿宋_GB2312"/>
                <w:sz w:val="15"/>
                <w:szCs w:val="15"/>
              </w:rPr>
            </w:pPr>
          </w:p>
        </w:tc>
        <w:tc>
          <w:tcPr>
            <w:tcW w:w="1255" w:type="dxa"/>
            <w:vAlign w:val="center"/>
          </w:tcPr>
          <w:p>
            <w:pPr>
              <w:spacing w:line="240" w:lineRule="exact"/>
              <w:rPr>
                <w:rFonts w:ascii="仿宋_GB2312"/>
                <w:color w:val="0070C0"/>
                <w:sz w:val="15"/>
                <w:szCs w:val="15"/>
              </w:rPr>
            </w:pPr>
            <w:r>
              <w:rPr>
                <w:rFonts w:hint="eastAsia" w:ascii="仿宋_GB2312"/>
                <w:color w:val="0070C0"/>
                <w:sz w:val="15"/>
                <w:szCs w:val="15"/>
              </w:rPr>
              <w:t>3.政府采购规范性</w:t>
            </w:r>
          </w:p>
        </w:tc>
        <w:tc>
          <w:tcPr>
            <w:tcW w:w="567" w:type="dxa"/>
            <w:vAlign w:val="center"/>
          </w:tcPr>
          <w:p>
            <w:pPr>
              <w:spacing w:line="240" w:lineRule="exact"/>
              <w:rPr>
                <w:rFonts w:ascii="仿宋_GB2312"/>
                <w:color w:val="0070C0"/>
                <w:sz w:val="15"/>
                <w:szCs w:val="15"/>
              </w:rPr>
            </w:pPr>
          </w:p>
        </w:tc>
        <w:tc>
          <w:tcPr>
            <w:tcW w:w="567" w:type="dxa"/>
            <w:vAlign w:val="center"/>
          </w:tcPr>
          <w:p>
            <w:pPr>
              <w:spacing w:line="240" w:lineRule="exact"/>
              <w:rPr>
                <w:rFonts w:ascii="仿宋_GB2312"/>
                <w:color w:val="0070C0"/>
                <w:sz w:val="15"/>
                <w:szCs w:val="15"/>
              </w:rPr>
            </w:pPr>
          </w:p>
        </w:tc>
        <w:tc>
          <w:tcPr>
            <w:tcW w:w="2268" w:type="dxa"/>
            <w:vAlign w:val="center"/>
          </w:tcPr>
          <w:p>
            <w:pPr>
              <w:spacing w:line="240" w:lineRule="exact"/>
              <w:rPr>
                <w:rFonts w:ascii="仿宋_GB2312"/>
                <w:color w:val="0070C0"/>
                <w:sz w:val="15"/>
                <w:szCs w:val="15"/>
              </w:rPr>
            </w:pPr>
            <w:r>
              <w:rPr>
                <w:rFonts w:hint="eastAsia" w:ascii="仿宋_GB2312"/>
                <w:color w:val="0070C0"/>
                <w:sz w:val="15"/>
                <w:szCs w:val="15"/>
              </w:rPr>
              <w:t>考察采购方式是否符合国家的相关要求;采购流程是否符合相关规定。。</w:t>
            </w:r>
          </w:p>
        </w:tc>
        <w:tc>
          <w:tcPr>
            <w:tcW w:w="1984" w:type="dxa"/>
            <w:vAlign w:val="center"/>
          </w:tcPr>
          <w:p>
            <w:pPr>
              <w:spacing w:line="240" w:lineRule="exact"/>
              <w:rPr>
                <w:rFonts w:ascii="仿宋_GB2312"/>
                <w:color w:val="0070C0"/>
                <w:sz w:val="15"/>
                <w:szCs w:val="15"/>
              </w:rPr>
            </w:pPr>
            <w:r>
              <w:rPr>
                <w:rFonts w:hint="eastAsia" w:ascii="仿宋_GB2312"/>
                <w:color w:val="0070C0"/>
                <w:sz w:val="15"/>
                <w:szCs w:val="15"/>
              </w:rPr>
              <w:t>符合相关要求和规定的，得满分；一项不符合，不得分。</w:t>
            </w:r>
          </w:p>
        </w:tc>
        <w:tc>
          <w:tcPr>
            <w:tcW w:w="1322" w:type="dxa"/>
            <w:vAlign w:val="center"/>
          </w:tcPr>
          <w:p>
            <w:pPr>
              <w:spacing w:line="240" w:lineRule="exact"/>
              <w:rPr>
                <w:rFonts w:ascii="仿宋_GB2312"/>
                <w:color w:val="0070C0"/>
                <w:sz w:val="15"/>
                <w:szCs w:val="15"/>
              </w:rPr>
            </w:pPr>
            <w:r>
              <w:rPr>
                <w:rFonts w:hint="eastAsia" w:ascii="仿宋_GB2312"/>
                <w:color w:val="0070C0"/>
                <w:sz w:val="15"/>
                <w:szCs w:val="15"/>
              </w:rPr>
              <w:t>政府采购相关材料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8" w:type="dxa"/>
            <w:vMerge w:val="restart"/>
            <w:textDirection w:val="tbRlV"/>
            <w:vAlign w:val="center"/>
          </w:tcPr>
          <w:p>
            <w:pPr>
              <w:spacing w:line="240" w:lineRule="exact"/>
              <w:ind w:left="113" w:right="113"/>
              <w:jc w:val="center"/>
              <w:rPr>
                <w:sz w:val="18"/>
                <w:szCs w:val="18"/>
              </w:rPr>
            </w:pPr>
            <w:r>
              <w:rPr>
                <w:rFonts w:hint="eastAsia"/>
                <w:sz w:val="18"/>
                <w:szCs w:val="18"/>
              </w:rPr>
              <w:t>三、项目绩效</w:t>
            </w:r>
          </w:p>
        </w:tc>
        <w:tc>
          <w:tcPr>
            <w:tcW w:w="640" w:type="dxa"/>
            <w:vMerge w:val="restart"/>
            <w:vAlign w:val="center"/>
          </w:tcPr>
          <w:p>
            <w:pPr>
              <w:spacing w:line="240" w:lineRule="exact"/>
              <w:rPr>
                <w:rFonts w:ascii="仿宋_GB2312"/>
                <w:sz w:val="15"/>
                <w:szCs w:val="15"/>
              </w:rPr>
            </w:pPr>
            <w:r>
              <w:rPr>
                <w:rFonts w:hint="eastAsia" w:ascii="仿宋_GB2312"/>
                <w:sz w:val="15"/>
                <w:szCs w:val="15"/>
              </w:rPr>
              <w:t>1.项目产出</w:t>
            </w:r>
          </w:p>
        </w:tc>
        <w:tc>
          <w:tcPr>
            <w:tcW w:w="1255" w:type="dxa"/>
            <w:vAlign w:val="center"/>
          </w:tcPr>
          <w:p>
            <w:pPr>
              <w:spacing w:line="240" w:lineRule="exact"/>
              <w:rPr>
                <w:rFonts w:ascii="仿宋_GB2312"/>
                <w:sz w:val="15"/>
                <w:szCs w:val="15"/>
              </w:rPr>
            </w:pPr>
            <w:r>
              <w:rPr>
                <w:rFonts w:hint="eastAsia" w:ascii="仿宋_GB2312"/>
                <w:sz w:val="15"/>
                <w:szCs w:val="15"/>
              </w:rPr>
              <w:t>1.数量指标</w:t>
            </w:r>
          </w:p>
        </w:tc>
        <w:tc>
          <w:tcPr>
            <w:tcW w:w="567" w:type="dxa"/>
            <w:vAlign w:val="center"/>
          </w:tcPr>
          <w:p>
            <w:pPr>
              <w:spacing w:line="240" w:lineRule="exact"/>
              <w:rPr>
                <w:rFonts w:ascii="仿宋_GB2312"/>
                <w:sz w:val="15"/>
                <w:szCs w:val="15"/>
              </w:rPr>
            </w:pPr>
          </w:p>
        </w:tc>
        <w:tc>
          <w:tcPr>
            <w:tcW w:w="567" w:type="dxa"/>
            <w:vAlign w:val="center"/>
          </w:tcPr>
          <w:p>
            <w:pPr>
              <w:spacing w:line="240" w:lineRule="exact"/>
              <w:rPr>
                <w:rFonts w:ascii="仿宋_GB2312"/>
                <w:sz w:val="15"/>
                <w:szCs w:val="15"/>
              </w:rPr>
            </w:pPr>
          </w:p>
        </w:tc>
        <w:tc>
          <w:tcPr>
            <w:tcW w:w="2268" w:type="dxa"/>
            <w:vAlign w:val="center"/>
          </w:tcPr>
          <w:p>
            <w:pPr>
              <w:spacing w:line="240" w:lineRule="exact"/>
              <w:rPr>
                <w:rFonts w:ascii="仿宋_GB2312"/>
                <w:sz w:val="15"/>
                <w:szCs w:val="15"/>
              </w:rPr>
            </w:pPr>
          </w:p>
        </w:tc>
        <w:tc>
          <w:tcPr>
            <w:tcW w:w="1984" w:type="dxa"/>
            <w:vAlign w:val="center"/>
          </w:tcPr>
          <w:p>
            <w:pPr>
              <w:spacing w:line="240" w:lineRule="exact"/>
              <w:rPr>
                <w:rFonts w:ascii="仿宋_GB2312"/>
                <w:sz w:val="15"/>
                <w:szCs w:val="15"/>
              </w:rPr>
            </w:pPr>
          </w:p>
        </w:tc>
        <w:tc>
          <w:tcPr>
            <w:tcW w:w="1322" w:type="dxa"/>
            <w:vAlign w:val="center"/>
          </w:tcPr>
          <w:p>
            <w:pPr>
              <w:spacing w:line="240" w:lineRule="exact"/>
              <w:rPr>
                <w:rFonts w:ascii="仿宋_GB231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8" w:type="dxa"/>
            <w:vMerge w:val="continue"/>
          </w:tcPr>
          <w:p>
            <w:pPr>
              <w:spacing w:line="240" w:lineRule="exact"/>
              <w:jc w:val="left"/>
              <w:rPr>
                <w:sz w:val="18"/>
                <w:szCs w:val="18"/>
              </w:rPr>
            </w:pPr>
          </w:p>
        </w:tc>
        <w:tc>
          <w:tcPr>
            <w:tcW w:w="640" w:type="dxa"/>
            <w:vMerge w:val="continue"/>
            <w:vAlign w:val="center"/>
          </w:tcPr>
          <w:p>
            <w:pPr>
              <w:spacing w:line="240" w:lineRule="exact"/>
              <w:rPr>
                <w:rFonts w:ascii="仿宋_GB2312"/>
                <w:sz w:val="15"/>
                <w:szCs w:val="15"/>
              </w:rPr>
            </w:pPr>
          </w:p>
        </w:tc>
        <w:tc>
          <w:tcPr>
            <w:tcW w:w="1255" w:type="dxa"/>
            <w:vAlign w:val="center"/>
          </w:tcPr>
          <w:p>
            <w:pPr>
              <w:spacing w:line="240" w:lineRule="exact"/>
              <w:rPr>
                <w:rFonts w:ascii="仿宋_GB2312"/>
                <w:sz w:val="15"/>
                <w:szCs w:val="15"/>
              </w:rPr>
            </w:pPr>
            <w:r>
              <w:rPr>
                <w:rFonts w:hint="eastAsia" w:ascii="仿宋_GB2312"/>
                <w:sz w:val="15"/>
                <w:szCs w:val="15"/>
              </w:rPr>
              <w:t>2.质量指标</w:t>
            </w:r>
          </w:p>
        </w:tc>
        <w:tc>
          <w:tcPr>
            <w:tcW w:w="567" w:type="dxa"/>
            <w:vAlign w:val="center"/>
          </w:tcPr>
          <w:p>
            <w:pPr>
              <w:spacing w:line="240" w:lineRule="exact"/>
              <w:rPr>
                <w:rFonts w:ascii="仿宋_GB2312"/>
                <w:sz w:val="15"/>
                <w:szCs w:val="15"/>
              </w:rPr>
            </w:pPr>
          </w:p>
        </w:tc>
        <w:tc>
          <w:tcPr>
            <w:tcW w:w="567" w:type="dxa"/>
            <w:vAlign w:val="center"/>
          </w:tcPr>
          <w:p>
            <w:pPr>
              <w:spacing w:line="240" w:lineRule="exact"/>
              <w:rPr>
                <w:rFonts w:ascii="仿宋_GB2312"/>
                <w:sz w:val="15"/>
                <w:szCs w:val="15"/>
              </w:rPr>
            </w:pPr>
          </w:p>
        </w:tc>
        <w:tc>
          <w:tcPr>
            <w:tcW w:w="2268" w:type="dxa"/>
            <w:vAlign w:val="center"/>
          </w:tcPr>
          <w:p>
            <w:pPr>
              <w:spacing w:line="240" w:lineRule="exact"/>
              <w:rPr>
                <w:rFonts w:ascii="仿宋_GB2312"/>
                <w:sz w:val="15"/>
                <w:szCs w:val="15"/>
              </w:rPr>
            </w:pPr>
          </w:p>
        </w:tc>
        <w:tc>
          <w:tcPr>
            <w:tcW w:w="1984" w:type="dxa"/>
            <w:vAlign w:val="center"/>
          </w:tcPr>
          <w:p>
            <w:pPr>
              <w:spacing w:line="240" w:lineRule="exact"/>
              <w:rPr>
                <w:rFonts w:ascii="仿宋_GB2312"/>
                <w:sz w:val="15"/>
                <w:szCs w:val="15"/>
              </w:rPr>
            </w:pPr>
          </w:p>
        </w:tc>
        <w:tc>
          <w:tcPr>
            <w:tcW w:w="1322" w:type="dxa"/>
            <w:vAlign w:val="center"/>
          </w:tcPr>
          <w:p>
            <w:pPr>
              <w:spacing w:line="240" w:lineRule="exact"/>
              <w:rPr>
                <w:rFonts w:ascii="仿宋_GB231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8" w:type="dxa"/>
            <w:vMerge w:val="continue"/>
          </w:tcPr>
          <w:p>
            <w:pPr>
              <w:spacing w:line="240" w:lineRule="exact"/>
              <w:jc w:val="left"/>
              <w:rPr>
                <w:sz w:val="18"/>
                <w:szCs w:val="18"/>
              </w:rPr>
            </w:pPr>
          </w:p>
        </w:tc>
        <w:tc>
          <w:tcPr>
            <w:tcW w:w="640" w:type="dxa"/>
            <w:vMerge w:val="continue"/>
            <w:vAlign w:val="center"/>
          </w:tcPr>
          <w:p>
            <w:pPr>
              <w:spacing w:line="240" w:lineRule="exact"/>
              <w:rPr>
                <w:rFonts w:ascii="仿宋_GB2312"/>
                <w:sz w:val="15"/>
                <w:szCs w:val="15"/>
              </w:rPr>
            </w:pPr>
          </w:p>
        </w:tc>
        <w:tc>
          <w:tcPr>
            <w:tcW w:w="1255" w:type="dxa"/>
            <w:vAlign w:val="center"/>
          </w:tcPr>
          <w:p>
            <w:pPr>
              <w:spacing w:line="240" w:lineRule="exact"/>
              <w:rPr>
                <w:rFonts w:ascii="仿宋_GB2312"/>
                <w:sz w:val="15"/>
                <w:szCs w:val="15"/>
              </w:rPr>
            </w:pPr>
            <w:r>
              <w:rPr>
                <w:rFonts w:hint="eastAsia" w:ascii="仿宋_GB2312"/>
                <w:sz w:val="15"/>
                <w:szCs w:val="15"/>
              </w:rPr>
              <w:t>3.时效指标</w:t>
            </w:r>
          </w:p>
        </w:tc>
        <w:tc>
          <w:tcPr>
            <w:tcW w:w="567" w:type="dxa"/>
            <w:vAlign w:val="center"/>
          </w:tcPr>
          <w:p>
            <w:pPr>
              <w:spacing w:line="240" w:lineRule="exact"/>
              <w:rPr>
                <w:rFonts w:ascii="仿宋_GB2312"/>
                <w:sz w:val="15"/>
                <w:szCs w:val="15"/>
              </w:rPr>
            </w:pPr>
          </w:p>
        </w:tc>
        <w:tc>
          <w:tcPr>
            <w:tcW w:w="567" w:type="dxa"/>
            <w:vAlign w:val="center"/>
          </w:tcPr>
          <w:p>
            <w:pPr>
              <w:spacing w:line="240" w:lineRule="exact"/>
              <w:rPr>
                <w:rFonts w:ascii="仿宋_GB2312"/>
                <w:sz w:val="15"/>
                <w:szCs w:val="15"/>
              </w:rPr>
            </w:pPr>
          </w:p>
        </w:tc>
        <w:tc>
          <w:tcPr>
            <w:tcW w:w="2268" w:type="dxa"/>
            <w:vAlign w:val="center"/>
          </w:tcPr>
          <w:p>
            <w:pPr>
              <w:spacing w:line="240" w:lineRule="exact"/>
              <w:rPr>
                <w:rFonts w:ascii="仿宋_GB2312"/>
                <w:sz w:val="15"/>
                <w:szCs w:val="15"/>
              </w:rPr>
            </w:pPr>
          </w:p>
        </w:tc>
        <w:tc>
          <w:tcPr>
            <w:tcW w:w="1984" w:type="dxa"/>
            <w:vAlign w:val="center"/>
          </w:tcPr>
          <w:p>
            <w:pPr>
              <w:spacing w:line="240" w:lineRule="exact"/>
              <w:rPr>
                <w:rFonts w:ascii="仿宋_GB2312"/>
                <w:sz w:val="15"/>
                <w:szCs w:val="15"/>
              </w:rPr>
            </w:pPr>
          </w:p>
        </w:tc>
        <w:tc>
          <w:tcPr>
            <w:tcW w:w="1322" w:type="dxa"/>
            <w:vAlign w:val="center"/>
          </w:tcPr>
          <w:p>
            <w:pPr>
              <w:spacing w:line="240" w:lineRule="exact"/>
              <w:rPr>
                <w:rFonts w:ascii="仿宋_GB231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8" w:type="dxa"/>
            <w:vMerge w:val="continue"/>
          </w:tcPr>
          <w:p>
            <w:pPr>
              <w:spacing w:line="240" w:lineRule="exact"/>
              <w:jc w:val="left"/>
              <w:rPr>
                <w:sz w:val="18"/>
                <w:szCs w:val="18"/>
              </w:rPr>
            </w:pPr>
          </w:p>
        </w:tc>
        <w:tc>
          <w:tcPr>
            <w:tcW w:w="640" w:type="dxa"/>
            <w:vMerge w:val="continue"/>
            <w:vAlign w:val="center"/>
          </w:tcPr>
          <w:p>
            <w:pPr>
              <w:spacing w:line="240" w:lineRule="exact"/>
              <w:rPr>
                <w:rFonts w:ascii="仿宋_GB2312"/>
                <w:sz w:val="15"/>
                <w:szCs w:val="15"/>
              </w:rPr>
            </w:pPr>
          </w:p>
        </w:tc>
        <w:tc>
          <w:tcPr>
            <w:tcW w:w="1255" w:type="dxa"/>
            <w:vAlign w:val="center"/>
          </w:tcPr>
          <w:p>
            <w:pPr>
              <w:spacing w:line="240" w:lineRule="exact"/>
              <w:rPr>
                <w:rFonts w:ascii="仿宋_GB2312"/>
                <w:sz w:val="15"/>
                <w:szCs w:val="15"/>
              </w:rPr>
            </w:pPr>
            <w:r>
              <w:rPr>
                <w:rFonts w:hint="eastAsia" w:ascii="仿宋_GB2312"/>
                <w:sz w:val="15"/>
                <w:szCs w:val="15"/>
              </w:rPr>
              <w:t>4.成本指标</w:t>
            </w:r>
          </w:p>
        </w:tc>
        <w:tc>
          <w:tcPr>
            <w:tcW w:w="567" w:type="dxa"/>
            <w:vAlign w:val="center"/>
          </w:tcPr>
          <w:p>
            <w:pPr>
              <w:spacing w:line="240" w:lineRule="exact"/>
              <w:rPr>
                <w:rFonts w:ascii="仿宋_GB2312"/>
                <w:sz w:val="15"/>
                <w:szCs w:val="15"/>
              </w:rPr>
            </w:pPr>
          </w:p>
        </w:tc>
        <w:tc>
          <w:tcPr>
            <w:tcW w:w="567" w:type="dxa"/>
            <w:vAlign w:val="center"/>
          </w:tcPr>
          <w:p>
            <w:pPr>
              <w:spacing w:line="240" w:lineRule="exact"/>
              <w:rPr>
                <w:rFonts w:ascii="仿宋_GB2312"/>
                <w:sz w:val="15"/>
                <w:szCs w:val="15"/>
              </w:rPr>
            </w:pPr>
          </w:p>
        </w:tc>
        <w:tc>
          <w:tcPr>
            <w:tcW w:w="2268" w:type="dxa"/>
            <w:vAlign w:val="center"/>
          </w:tcPr>
          <w:p>
            <w:pPr>
              <w:spacing w:line="240" w:lineRule="exact"/>
              <w:rPr>
                <w:rFonts w:ascii="仿宋_GB2312"/>
                <w:sz w:val="15"/>
                <w:szCs w:val="15"/>
              </w:rPr>
            </w:pPr>
          </w:p>
        </w:tc>
        <w:tc>
          <w:tcPr>
            <w:tcW w:w="1984" w:type="dxa"/>
            <w:vAlign w:val="center"/>
          </w:tcPr>
          <w:p>
            <w:pPr>
              <w:spacing w:line="240" w:lineRule="exact"/>
              <w:rPr>
                <w:rFonts w:ascii="仿宋_GB2312"/>
                <w:sz w:val="15"/>
                <w:szCs w:val="15"/>
              </w:rPr>
            </w:pPr>
          </w:p>
        </w:tc>
        <w:tc>
          <w:tcPr>
            <w:tcW w:w="1322" w:type="dxa"/>
            <w:vAlign w:val="center"/>
          </w:tcPr>
          <w:p>
            <w:pPr>
              <w:spacing w:line="240" w:lineRule="exact"/>
              <w:rPr>
                <w:rFonts w:ascii="仿宋_GB231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8" w:type="dxa"/>
            <w:vMerge w:val="continue"/>
          </w:tcPr>
          <w:p>
            <w:pPr>
              <w:spacing w:line="240" w:lineRule="exact"/>
              <w:jc w:val="left"/>
              <w:rPr>
                <w:sz w:val="18"/>
                <w:szCs w:val="18"/>
              </w:rPr>
            </w:pPr>
          </w:p>
        </w:tc>
        <w:tc>
          <w:tcPr>
            <w:tcW w:w="640" w:type="dxa"/>
            <w:vMerge w:val="restart"/>
          </w:tcPr>
          <w:p>
            <w:pPr>
              <w:spacing w:line="240" w:lineRule="exact"/>
              <w:jc w:val="left"/>
              <w:rPr>
                <w:sz w:val="18"/>
                <w:szCs w:val="18"/>
              </w:rPr>
            </w:pPr>
            <w:r>
              <w:rPr>
                <w:rFonts w:hint="eastAsia"/>
                <w:sz w:val="18"/>
                <w:szCs w:val="18"/>
              </w:rPr>
              <w:t>2.项目效益</w:t>
            </w:r>
          </w:p>
        </w:tc>
        <w:tc>
          <w:tcPr>
            <w:tcW w:w="1255" w:type="dxa"/>
          </w:tcPr>
          <w:p>
            <w:pPr>
              <w:spacing w:line="240" w:lineRule="exact"/>
              <w:jc w:val="left"/>
              <w:rPr>
                <w:sz w:val="18"/>
                <w:szCs w:val="18"/>
              </w:rPr>
            </w:pPr>
            <w:r>
              <w:rPr>
                <w:rFonts w:hint="eastAsia"/>
                <w:sz w:val="18"/>
                <w:szCs w:val="18"/>
              </w:rPr>
              <w:t>1.经济效益</w:t>
            </w:r>
          </w:p>
        </w:tc>
        <w:tc>
          <w:tcPr>
            <w:tcW w:w="567" w:type="dxa"/>
          </w:tcPr>
          <w:p>
            <w:pPr>
              <w:spacing w:line="240" w:lineRule="exact"/>
              <w:jc w:val="left"/>
              <w:rPr>
                <w:sz w:val="18"/>
                <w:szCs w:val="18"/>
              </w:rPr>
            </w:pPr>
          </w:p>
        </w:tc>
        <w:tc>
          <w:tcPr>
            <w:tcW w:w="567" w:type="dxa"/>
          </w:tcPr>
          <w:p>
            <w:pPr>
              <w:spacing w:line="240" w:lineRule="exact"/>
              <w:jc w:val="left"/>
              <w:rPr>
                <w:sz w:val="18"/>
                <w:szCs w:val="18"/>
              </w:rPr>
            </w:pPr>
          </w:p>
        </w:tc>
        <w:tc>
          <w:tcPr>
            <w:tcW w:w="2268" w:type="dxa"/>
          </w:tcPr>
          <w:p>
            <w:pPr>
              <w:spacing w:line="240" w:lineRule="exact"/>
              <w:jc w:val="left"/>
              <w:rPr>
                <w:sz w:val="18"/>
                <w:szCs w:val="18"/>
              </w:rPr>
            </w:pPr>
          </w:p>
        </w:tc>
        <w:tc>
          <w:tcPr>
            <w:tcW w:w="1984" w:type="dxa"/>
          </w:tcPr>
          <w:p>
            <w:pPr>
              <w:spacing w:line="240" w:lineRule="exact"/>
              <w:jc w:val="left"/>
              <w:rPr>
                <w:sz w:val="18"/>
                <w:szCs w:val="18"/>
              </w:rPr>
            </w:pPr>
          </w:p>
        </w:tc>
        <w:tc>
          <w:tcPr>
            <w:tcW w:w="1322" w:type="dxa"/>
          </w:tcPr>
          <w:p>
            <w:pPr>
              <w:spacing w:line="2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8" w:type="dxa"/>
            <w:vMerge w:val="continue"/>
          </w:tcPr>
          <w:p>
            <w:pPr>
              <w:spacing w:line="240" w:lineRule="exact"/>
              <w:jc w:val="left"/>
              <w:rPr>
                <w:sz w:val="18"/>
                <w:szCs w:val="18"/>
              </w:rPr>
            </w:pPr>
          </w:p>
        </w:tc>
        <w:tc>
          <w:tcPr>
            <w:tcW w:w="640" w:type="dxa"/>
            <w:vMerge w:val="continue"/>
          </w:tcPr>
          <w:p>
            <w:pPr>
              <w:spacing w:line="240" w:lineRule="exact"/>
              <w:jc w:val="left"/>
              <w:rPr>
                <w:sz w:val="18"/>
                <w:szCs w:val="18"/>
              </w:rPr>
            </w:pPr>
          </w:p>
        </w:tc>
        <w:tc>
          <w:tcPr>
            <w:tcW w:w="1255" w:type="dxa"/>
          </w:tcPr>
          <w:p>
            <w:pPr>
              <w:spacing w:line="240" w:lineRule="exact"/>
              <w:jc w:val="left"/>
              <w:rPr>
                <w:sz w:val="18"/>
                <w:szCs w:val="18"/>
              </w:rPr>
            </w:pPr>
            <w:r>
              <w:rPr>
                <w:rFonts w:hint="eastAsia"/>
                <w:sz w:val="18"/>
                <w:szCs w:val="18"/>
              </w:rPr>
              <w:t>2.社会效益</w:t>
            </w:r>
          </w:p>
        </w:tc>
        <w:tc>
          <w:tcPr>
            <w:tcW w:w="567" w:type="dxa"/>
          </w:tcPr>
          <w:p>
            <w:pPr>
              <w:spacing w:line="240" w:lineRule="exact"/>
              <w:jc w:val="left"/>
              <w:rPr>
                <w:sz w:val="18"/>
                <w:szCs w:val="18"/>
              </w:rPr>
            </w:pPr>
          </w:p>
        </w:tc>
        <w:tc>
          <w:tcPr>
            <w:tcW w:w="567" w:type="dxa"/>
          </w:tcPr>
          <w:p>
            <w:pPr>
              <w:spacing w:line="240" w:lineRule="exact"/>
              <w:jc w:val="left"/>
              <w:rPr>
                <w:sz w:val="18"/>
                <w:szCs w:val="18"/>
              </w:rPr>
            </w:pPr>
          </w:p>
        </w:tc>
        <w:tc>
          <w:tcPr>
            <w:tcW w:w="2268" w:type="dxa"/>
          </w:tcPr>
          <w:p>
            <w:pPr>
              <w:spacing w:line="240" w:lineRule="exact"/>
              <w:jc w:val="left"/>
              <w:rPr>
                <w:sz w:val="18"/>
                <w:szCs w:val="18"/>
              </w:rPr>
            </w:pPr>
          </w:p>
        </w:tc>
        <w:tc>
          <w:tcPr>
            <w:tcW w:w="1984" w:type="dxa"/>
          </w:tcPr>
          <w:p>
            <w:pPr>
              <w:spacing w:line="240" w:lineRule="exact"/>
              <w:jc w:val="left"/>
              <w:rPr>
                <w:sz w:val="18"/>
                <w:szCs w:val="18"/>
              </w:rPr>
            </w:pPr>
          </w:p>
        </w:tc>
        <w:tc>
          <w:tcPr>
            <w:tcW w:w="1322" w:type="dxa"/>
          </w:tcPr>
          <w:p>
            <w:pPr>
              <w:spacing w:line="2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8" w:type="dxa"/>
            <w:vMerge w:val="continue"/>
          </w:tcPr>
          <w:p>
            <w:pPr>
              <w:spacing w:line="240" w:lineRule="exact"/>
              <w:jc w:val="left"/>
              <w:rPr>
                <w:sz w:val="18"/>
                <w:szCs w:val="18"/>
              </w:rPr>
            </w:pPr>
          </w:p>
        </w:tc>
        <w:tc>
          <w:tcPr>
            <w:tcW w:w="640" w:type="dxa"/>
            <w:vMerge w:val="continue"/>
          </w:tcPr>
          <w:p>
            <w:pPr>
              <w:spacing w:line="240" w:lineRule="exact"/>
              <w:jc w:val="left"/>
              <w:rPr>
                <w:sz w:val="18"/>
                <w:szCs w:val="18"/>
              </w:rPr>
            </w:pPr>
          </w:p>
        </w:tc>
        <w:tc>
          <w:tcPr>
            <w:tcW w:w="1255" w:type="dxa"/>
          </w:tcPr>
          <w:p>
            <w:pPr>
              <w:spacing w:line="240" w:lineRule="exact"/>
              <w:jc w:val="left"/>
              <w:rPr>
                <w:sz w:val="18"/>
                <w:szCs w:val="18"/>
              </w:rPr>
            </w:pPr>
            <w:r>
              <w:rPr>
                <w:rFonts w:hint="eastAsia"/>
                <w:sz w:val="18"/>
                <w:szCs w:val="18"/>
              </w:rPr>
              <w:t>3.生态效益</w:t>
            </w:r>
          </w:p>
        </w:tc>
        <w:tc>
          <w:tcPr>
            <w:tcW w:w="567" w:type="dxa"/>
          </w:tcPr>
          <w:p>
            <w:pPr>
              <w:spacing w:line="240" w:lineRule="exact"/>
              <w:jc w:val="left"/>
              <w:rPr>
                <w:sz w:val="18"/>
                <w:szCs w:val="18"/>
              </w:rPr>
            </w:pPr>
          </w:p>
        </w:tc>
        <w:tc>
          <w:tcPr>
            <w:tcW w:w="567" w:type="dxa"/>
          </w:tcPr>
          <w:p>
            <w:pPr>
              <w:spacing w:line="240" w:lineRule="exact"/>
              <w:jc w:val="left"/>
              <w:rPr>
                <w:sz w:val="18"/>
                <w:szCs w:val="18"/>
              </w:rPr>
            </w:pPr>
          </w:p>
        </w:tc>
        <w:tc>
          <w:tcPr>
            <w:tcW w:w="2268" w:type="dxa"/>
          </w:tcPr>
          <w:p>
            <w:pPr>
              <w:spacing w:line="240" w:lineRule="exact"/>
              <w:jc w:val="left"/>
              <w:rPr>
                <w:sz w:val="18"/>
                <w:szCs w:val="18"/>
              </w:rPr>
            </w:pPr>
          </w:p>
        </w:tc>
        <w:tc>
          <w:tcPr>
            <w:tcW w:w="1984" w:type="dxa"/>
          </w:tcPr>
          <w:p>
            <w:pPr>
              <w:spacing w:line="240" w:lineRule="exact"/>
              <w:jc w:val="left"/>
              <w:rPr>
                <w:sz w:val="18"/>
                <w:szCs w:val="18"/>
              </w:rPr>
            </w:pPr>
          </w:p>
        </w:tc>
        <w:tc>
          <w:tcPr>
            <w:tcW w:w="1322" w:type="dxa"/>
          </w:tcPr>
          <w:p>
            <w:pPr>
              <w:spacing w:line="2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8" w:type="dxa"/>
            <w:vMerge w:val="restart"/>
          </w:tcPr>
          <w:p>
            <w:pPr>
              <w:spacing w:line="240" w:lineRule="exact"/>
              <w:jc w:val="left"/>
              <w:rPr>
                <w:sz w:val="18"/>
                <w:szCs w:val="18"/>
              </w:rPr>
            </w:pPr>
            <w:r>
              <w:rPr>
                <w:rFonts w:hint="eastAsia"/>
                <w:sz w:val="18"/>
                <w:szCs w:val="18"/>
              </w:rPr>
              <w:t>三、项目绩效</w:t>
            </w:r>
          </w:p>
        </w:tc>
        <w:tc>
          <w:tcPr>
            <w:tcW w:w="640" w:type="dxa"/>
            <w:vMerge w:val="restart"/>
            <w:vAlign w:val="center"/>
          </w:tcPr>
          <w:p>
            <w:pPr>
              <w:spacing w:line="240" w:lineRule="exact"/>
              <w:rPr>
                <w:sz w:val="18"/>
                <w:szCs w:val="18"/>
              </w:rPr>
            </w:pPr>
            <w:r>
              <w:rPr>
                <w:rFonts w:hint="eastAsia"/>
                <w:sz w:val="18"/>
                <w:szCs w:val="18"/>
              </w:rPr>
              <w:t>2.项目效益</w:t>
            </w:r>
          </w:p>
        </w:tc>
        <w:tc>
          <w:tcPr>
            <w:tcW w:w="1255" w:type="dxa"/>
            <w:vAlign w:val="center"/>
          </w:tcPr>
          <w:p>
            <w:pPr>
              <w:spacing w:line="240" w:lineRule="exact"/>
              <w:rPr>
                <w:sz w:val="18"/>
                <w:szCs w:val="18"/>
              </w:rPr>
            </w:pPr>
            <w:r>
              <w:rPr>
                <w:rFonts w:hint="eastAsia"/>
                <w:sz w:val="18"/>
                <w:szCs w:val="18"/>
              </w:rPr>
              <w:t>4.可持续影响</w:t>
            </w:r>
          </w:p>
        </w:tc>
        <w:tc>
          <w:tcPr>
            <w:tcW w:w="567" w:type="dxa"/>
          </w:tcPr>
          <w:p>
            <w:pPr>
              <w:spacing w:line="240" w:lineRule="exact"/>
              <w:jc w:val="left"/>
              <w:rPr>
                <w:sz w:val="18"/>
                <w:szCs w:val="18"/>
              </w:rPr>
            </w:pPr>
          </w:p>
        </w:tc>
        <w:tc>
          <w:tcPr>
            <w:tcW w:w="567" w:type="dxa"/>
          </w:tcPr>
          <w:p>
            <w:pPr>
              <w:spacing w:line="240" w:lineRule="exact"/>
              <w:jc w:val="left"/>
              <w:rPr>
                <w:sz w:val="18"/>
                <w:szCs w:val="18"/>
              </w:rPr>
            </w:pPr>
          </w:p>
        </w:tc>
        <w:tc>
          <w:tcPr>
            <w:tcW w:w="2268" w:type="dxa"/>
          </w:tcPr>
          <w:p>
            <w:pPr>
              <w:spacing w:line="240" w:lineRule="exact"/>
              <w:jc w:val="left"/>
              <w:rPr>
                <w:sz w:val="18"/>
                <w:szCs w:val="18"/>
              </w:rPr>
            </w:pPr>
          </w:p>
        </w:tc>
        <w:tc>
          <w:tcPr>
            <w:tcW w:w="1984" w:type="dxa"/>
          </w:tcPr>
          <w:p>
            <w:pPr>
              <w:spacing w:line="240" w:lineRule="exact"/>
              <w:jc w:val="left"/>
              <w:rPr>
                <w:sz w:val="18"/>
                <w:szCs w:val="18"/>
              </w:rPr>
            </w:pPr>
          </w:p>
        </w:tc>
        <w:tc>
          <w:tcPr>
            <w:tcW w:w="1322" w:type="dxa"/>
          </w:tcPr>
          <w:p>
            <w:pPr>
              <w:spacing w:line="2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8" w:type="dxa"/>
            <w:vMerge w:val="continue"/>
          </w:tcPr>
          <w:p>
            <w:pPr>
              <w:spacing w:line="240" w:lineRule="exact"/>
              <w:jc w:val="left"/>
              <w:rPr>
                <w:sz w:val="18"/>
                <w:szCs w:val="18"/>
              </w:rPr>
            </w:pPr>
          </w:p>
        </w:tc>
        <w:tc>
          <w:tcPr>
            <w:tcW w:w="640" w:type="dxa"/>
            <w:vMerge w:val="continue"/>
            <w:vAlign w:val="center"/>
          </w:tcPr>
          <w:p>
            <w:pPr>
              <w:spacing w:line="240" w:lineRule="exact"/>
              <w:rPr>
                <w:sz w:val="18"/>
                <w:szCs w:val="18"/>
              </w:rPr>
            </w:pPr>
          </w:p>
        </w:tc>
        <w:tc>
          <w:tcPr>
            <w:tcW w:w="1255" w:type="dxa"/>
            <w:vAlign w:val="center"/>
          </w:tcPr>
          <w:p>
            <w:pPr>
              <w:spacing w:line="240" w:lineRule="exact"/>
              <w:rPr>
                <w:sz w:val="18"/>
                <w:szCs w:val="18"/>
              </w:rPr>
            </w:pPr>
            <w:r>
              <w:rPr>
                <w:rFonts w:hint="eastAsia"/>
                <w:sz w:val="18"/>
                <w:szCs w:val="18"/>
              </w:rPr>
              <w:t>5.服务对象满意度</w:t>
            </w:r>
          </w:p>
        </w:tc>
        <w:tc>
          <w:tcPr>
            <w:tcW w:w="567" w:type="dxa"/>
          </w:tcPr>
          <w:p>
            <w:pPr>
              <w:spacing w:line="240" w:lineRule="exact"/>
              <w:jc w:val="left"/>
              <w:rPr>
                <w:sz w:val="18"/>
                <w:szCs w:val="18"/>
              </w:rPr>
            </w:pPr>
          </w:p>
        </w:tc>
        <w:tc>
          <w:tcPr>
            <w:tcW w:w="567" w:type="dxa"/>
          </w:tcPr>
          <w:p>
            <w:pPr>
              <w:spacing w:line="240" w:lineRule="exact"/>
              <w:jc w:val="left"/>
              <w:rPr>
                <w:sz w:val="18"/>
                <w:szCs w:val="18"/>
              </w:rPr>
            </w:pPr>
          </w:p>
        </w:tc>
        <w:tc>
          <w:tcPr>
            <w:tcW w:w="2268" w:type="dxa"/>
          </w:tcPr>
          <w:p>
            <w:pPr>
              <w:spacing w:line="240" w:lineRule="exact"/>
              <w:jc w:val="left"/>
              <w:rPr>
                <w:sz w:val="18"/>
                <w:szCs w:val="18"/>
              </w:rPr>
            </w:pPr>
          </w:p>
        </w:tc>
        <w:tc>
          <w:tcPr>
            <w:tcW w:w="1984" w:type="dxa"/>
          </w:tcPr>
          <w:p>
            <w:pPr>
              <w:spacing w:line="240" w:lineRule="exact"/>
              <w:jc w:val="left"/>
              <w:rPr>
                <w:sz w:val="18"/>
                <w:szCs w:val="18"/>
              </w:rPr>
            </w:pPr>
          </w:p>
        </w:tc>
        <w:tc>
          <w:tcPr>
            <w:tcW w:w="1322" w:type="dxa"/>
          </w:tcPr>
          <w:p>
            <w:pPr>
              <w:spacing w:line="24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8" w:type="dxa"/>
          </w:tcPr>
          <w:p>
            <w:pPr>
              <w:spacing w:line="240" w:lineRule="exact"/>
              <w:jc w:val="left"/>
              <w:rPr>
                <w:sz w:val="18"/>
                <w:szCs w:val="18"/>
              </w:rPr>
            </w:pPr>
          </w:p>
        </w:tc>
        <w:tc>
          <w:tcPr>
            <w:tcW w:w="640" w:type="dxa"/>
          </w:tcPr>
          <w:p>
            <w:pPr>
              <w:spacing w:line="240" w:lineRule="exact"/>
              <w:jc w:val="left"/>
              <w:rPr>
                <w:sz w:val="18"/>
                <w:szCs w:val="18"/>
              </w:rPr>
            </w:pPr>
          </w:p>
        </w:tc>
        <w:tc>
          <w:tcPr>
            <w:tcW w:w="1255" w:type="dxa"/>
          </w:tcPr>
          <w:p>
            <w:pPr>
              <w:spacing w:line="240" w:lineRule="exact"/>
              <w:jc w:val="left"/>
              <w:rPr>
                <w:sz w:val="18"/>
                <w:szCs w:val="18"/>
              </w:rPr>
            </w:pPr>
          </w:p>
        </w:tc>
        <w:tc>
          <w:tcPr>
            <w:tcW w:w="567" w:type="dxa"/>
          </w:tcPr>
          <w:p>
            <w:pPr>
              <w:spacing w:line="240" w:lineRule="exact"/>
              <w:jc w:val="left"/>
              <w:rPr>
                <w:sz w:val="18"/>
                <w:szCs w:val="18"/>
              </w:rPr>
            </w:pPr>
          </w:p>
        </w:tc>
        <w:tc>
          <w:tcPr>
            <w:tcW w:w="567" w:type="dxa"/>
          </w:tcPr>
          <w:p>
            <w:pPr>
              <w:spacing w:line="240" w:lineRule="exact"/>
              <w:jc w:val="left"/>
              <w:rPr>
                <w:sz w:val="18"/>
                <w:szCs w:val="18"/>
              </w:rPr>
            </w:pPr>
          </w:p>
        </w:tc>
        <w:tc>
          <w:tcPr>
            <w:tcW w:w="2268" w:type="dxa"/>
          </w:tcPr>
          <w:p>
            <w:pPr>
              <w:spacing w:line="240" w:lineRule="exact"/>
              <w:jc w:val="left"/>
              <w:rPr>
                <w:sz w:val="18"/>
                <w:szCs w:val="18"/>
              </w:rPr>
            </w:pPr>
          </w:p>
        </w:tc>
        <w:tc>
          <w:tcPr>
            <w:tcW w:w="1984" w:type="dxa"/>
          </w:tcPr>
          <w:p>
            <w:pPr>
              <w:spacing w:line="240" w:lineRule="exact"/>
              <w:jc w:val="left"/>
              <w:rPr>
                <w:sz w:val="18"/>
                <w:szCs w:val="18"/>
              </w:rPr>
            </w:pPr>
          </w:p>
        </w:tc>
        <w:tc>
          <w:tcPr>
            <w:tcW w:w="1322" w:type="dxa"/>
          </w:tcPr>
          <w:p>
            <w:pPr>
              <w:spacing w:line="240" w:lineRule="exact"/>
              <w:jc w:val="left"/>
              <w:rPr>
                <w:sz w:val="18"/>
                <w:szCs w:val="18"/>
              </w:rPr>
            </w:pPr>
          </w:p>
        </w:tc>
      </w:tr>
    </w:tbl>
    <w:p>
      <w:pPr>
        <w:jc w:val="left"/>
      </w:pP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黑体">
    <w:altName w:val="黑体"/>
    <w:panose1 w:val="00000000000000000000"/>
    <w:charset w:val="86"/>
    <w:family w:val="auto"/>
    <w:pitch w:val="default"/>
    <w:sig w:usb0="00000000" w:usb1="00000000" w:usb2="00020017" w:usb3="00000000" w:csb0="6016009F" w:csb1="9FD7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C1657"/>
    <w:rsid w:val="00052276"/>
    <w:rsid w:val="000A2E4C"/>
    <w:rsid w:val="000A4C6C"/>
    <w:rsid w:val="000B3CB0"/>
    <w:rsid w:val="000D37FE"/>
    <w:rsid w:val="000F16B4"/>
    <w:rsid w:val="001104B7"/>
    <w:rsid w:val="00175AAC"/>
    <w:rsid w:val="00197507"/>
    <w:rsid w:val="001C5DCB"/>
    <w:rsid w:val="00216F82"/>
    <w:rsid w:val="002324CD"/>
    <w:rsid w:val="00246DAD"/>
    <w:rsid w:val="0025715A"/>
    <w:rsid w:val="002A2F77"/>
    <w:rsid w:val="002C1657"/>
    <w:rsid w:val="002E3518"/>
    <w:rsid w:val="003033E4"/>
    <w:rsid w:val="00341940"/>
    <w:rsid w:val="00364740"/>
    <w:rsid w:val="003C2470"/>
    <w:rsid w:val="003D7DDC"/>
    <w:rsid w:val="003E1CE8"/>
    <w:rsid w:val="004404E8"/>
    <w:rsid w:val="004E1CFF"/>
    <w:rsid w:val="0059730F"/>
    <w:rsid w:val="005B6DCE"/>
    <w:rsid w:val="005C4EBC"/>
    <w:rsid w:val="0068776A"/>
    <w:rsid w:val="006B646E"/>
    <w:rsid w:val="006B76B9"/>
    <w:rsid w:val="006C69CD"/>
    <w:rsid w:val="007A2AEE"/>
    <w:rsid w:val="007B15FD"/>
    <w:rsid w:val="00814474"/>
    <w:rsid w:val="008200F2"/>
    <w:rsid w:val="00825412"/>
    <w:rsid w:val="00831604"/>
    <w:rsid w:val="008429E3"/>
    <w:rsid w:val="008C67AB"/>
    <w:rsid w:val="008D1B0B"/>
    <w:rsid w:val="00907C08"/>
    <w:rsid w:val="00921D90"/>
    <w:rsid w:val="00954C8A"/>
    <w:rsid w:val="00991C6C"/>
    <w:rsid w:val="00993DEC"/>
    <w:rsid w:val="009A7C71"/>
    <w:rsid w:val="009E55C2"/>
    <w:rsid w:val="00A32AC0"/>
    <w:rsid w:val="00A3508F"/>
    <w:rsid w:val="00A4158F"/>
    <w:rsid w:val="00A42997"/>
    <w:rsid w:val="00A53419"/>
    <w:rsid w:val="00A70BC2"/>
    <w:rsid w:val="00A7249B"/>
    <w:rsid w:val="00A730D7"/>
    <w:rsid w:val="00A9345F"/>
    <w:rsid w:val="00A94E8A"/>
    <w:rsid w:val="00AE307B"/>
    <w:rsid w:val="00B27C69"/>
    <w:rsid w:val="00B52403"/>
    <w:rsid w:val="00B540B6"/>
    <w:rsid w:val="00B7368C"/>
    <w:rsid w:val="00B92D16"/>
    <w:rsid w:val="00C20D3A"/>
    <w:rsid w:val="00C356D2"/>
    <w:rsid w:val="00CA7DE8"/>
    <w:rsid w:val="00CC0BDC"/>
    <w:rsid w:val="00CC2741"/>
    <w:rsid w:val="00CF6D07"/>
    <w:rsid w:val="00D263E1"/>
    <w:rsid w:val="00D377AB"/>
    <w:rsid w:val="00D96B8D"/>
    <w:rsid w:val="00DA414F"/>
    <w:rsid w:val="00DF5C8E"/>
    <w:rsid w:val="00E07C05"/>
    <w:rsid w:val="00E30C53"/>
    <w:rsid w:val="00E560DB"/>
    <w:rsid w:val="00EA0572"/>
    <w:rsid w:val="00EA3D4A"/>
    <w:rsid w:val="00EB14AA"/>
    <w:rsid w:val="00EB6D7A"/>
    <w:rsid w:val="00EF279E"/>
    <w:rsid w:val="00F35578"/>
    <w:rsid w:val="00FA1C86"/>
    <w:rsid w:val="00FA1DD3"/>
    <w:rsid w:val="00FC7905"/>
    <w:rsid w:val="00FF23ED"/>
    <w:rsid w:val="00FF7E55"/>
    <w:rsid w:val="060F1FD3"/>
    <w:rsid w:val="22B842BB"/>
    <w:rsid w:val="34D11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kern w:val="2"/>
      <w:sz w:val="18"/>
      <w:szCs w:val="18"/>
    </w:rPr>
  </w:style>
  <w:style w:type="character" w:customStyle="1" w:styleId="7">
    <w:name w:val="页脚 Char"/>
    <w:basedOn w:val="5"/>
    <w:link w:val="2"/>
    <w:semiHidden/>
    <w:qFormat/>
    <w:uiPriority w:val="99"/>
    <w:rPr>
      <w:kern w:val="2"/>
      <w:sz w:val="18"/>
      <w:szCs w:val="18"/>
    </w:rPr>
  </w:style>
  <w:style w:type="paragraph" w:customStyle="1" w:styleId="8">
    <w:name w:val="普通(网站)1"/>
    <w:basedOn w:val="1"/>
    <w:qFormat/>
    <w:uiPriority w:val="0"/>
    <w:pPr>
      <w:spacing w:line="360" w:lineRule="atLeast"/>
      <w:jc w:val="left"/>
    </w:pPr>
    <w:rPr>
      <w:rFonts w:ascii="华文黑体" w:hAnsi="华文黑体" w:eastAsia="宋体"/>
      <w:kern w:val="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22447B-510E-49DD-AE1A-9283975DEDD3}">
  <ds:schemaRefs/>
</ds:datastoreItem>
</file>

<file path=docProps/app.xml><?xml version="1.0" encoding="utf-8"?>
<Properties xmlns="http://schemas.openxmlformats.org/officeDocument/2006/extended-properties" xmlns:vt="http://schemas.openxmlformats.org/officeDocument/2006/docPropsVTypes">
  <Template>Normal</Template>
  <Company>fmczj</Company>
  <Pages>13</Pages>
  <Words>1205</Words>
  <Characters>6870</Characters>
  <Lines>57</Lines>
  <Paragraphs>16</Paragraphs>
  <TotalTime>5</TotalTime>
  <ScaleCrop>false</ScaleCrop>
  <LinksUpToDate>false</LinksUpToDate>
  <CharactersWithSpaces>8059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2019-04-25T06:15:00Z</dcterms:created>
  <dc:creator>张子明</dc:creator>
  <cp:lastModifiedBy>淡然﹌</cp:lastModifiedBy>
  <dcterms:modified xsi:type="dcterms:W3CDTF">2020-04-26T02:50:29Z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