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center"/>
        <w:textAlignment w:val="auto"/>
        <w:rPr>
          <w:rFonts w:ascii="Times New Roman"/>
          <w:color w:val="auto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</w:rPr>
        <w:t>饮用水水源地保护区部分环境问题未整改到位的问题</w:t>
      </w:r>
      <w:r>
        <w:rPr>
          <w:rFonts w:eastAsia="方正小标宋简体"/>
          <w:color w:val="auto"/>
          <w:sz w:val="44"/>
          <w:szCs w:val="44"/>
        </w:rPr>
        <w:t>整改落实情况公示表</w:t>
      </w:r>
    </w:p>
    <w:tbl>
      <w:tblPr>
        <w:tblStyle w:val="4"/>
        <w:tblpPr w:leftFromText="180" w:rightFromText="180" w:vertAnchor="text" w:horzAnchor="page" w:tblpX="1597" w:tblpY="882"/>
        <w:tblOverlap w:val="never"/>
        <w:tblW w:w="90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2"/>
        <w:gridCol w:w="7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反馈问题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bookmarkStart w:id="0" w:name="_GoBack"/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饮用水水源地</w:t>
            </w:r>
            <w:bookmarkEnd w:id="0"/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保护区部分环境问题未整改到位的问题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整改目标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auto"/>
              <w:rPr>
                <w:color w:val="auto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深入贯彻习近平生态文明思想，坚决落实党中央、国务院和省委、省政府、市委、市政府关于生态文明建设及环境保护的决策部署，通过各项有效措施，切实保障我县饮用水安全。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整改措施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加强农村环境综合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整治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，进一步完善生活污水收集处理设施、垃圾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清运设施并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加强设施运营管理。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进一步调整农业种植结构，</w:t>
            </w:r>
            <w:r>
              <w:rPr>
                <w:rFonts w:hint="eastAsia"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严禁施用化肥、农药</w:t>
            </w: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，对一级保护区内的农业种植逐步退出，有效防控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农业面源污染。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举一反三，加强对饮用水水资源利用和规范化建设，建立县级以上集中式饮用水水源保护区规范化管理机制，完善巡查检查制度，强化水源地保护与管理。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color w:val="auto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.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规范设置集中式饮用水水源保护区内道路各类标识标牌，强化保护区道路和运输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的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监管。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整改主要工作成效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color w:val="auto"/>
                <w:szCs w:val="32"/>
              </w:rPr>
            </w:pPr>
            <w:r>
              <w:rPr>
                <w:rFonts w:hint="eastAsia" w:ascii="仿宋_GB2312"/>
                <w:sz w:val="28"/>
                <w:szCs w:val="28"/>
                <w:lang w:eastAsia="zh-CN"/>
              </w:rPr>
              <w:t>一是</w:t>
            </w:r>
            <w:r>
              <w:rPr>
                <w:rFonts w:hint="eastAsia" w:ascii="仿宋_GB2312" w:eastAsia="仿宋_GB2312"/>
                <w:sz w:val="28"/>
                <w:szCs w:val="28"/>
              </w:rPr>
              <w:t>组织对拖担水库水源地一二级保护区设置警示标识标牌32块，同时对水库大坝至九连年村道路沿线安装水泥杆420根，刺铁丝网围栏1600米，同时协调楚雄州禄丰县九年坪村设置300米围栏，有效防止居民生活污染源进入水源地上游。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二是</w:t>
            </w:r>
            <w:r>
              <w:rPr>
                <w:rFonts w:hint="eastAsia" w:ascii="仿宋_GB2312" w:eastAsia="仿宋_GB2312"/>
                <w:sz w:val="28"/>
                <w:szCs w:val="28"/>
              </w:rPr>
              <w:t>围绕实现拖担饮用水源地环境保护区种植户杜绝使用农药、化肥，减少农业面源污染的工作目标，富民县对拖担水库饮用水源地保护区及周边从环境保护、禁种禁养等方面的政策法规、制度等内容进行广泛宣传培训，结合工作实际，引导并督促农户开展禁花减菜，大力发展特色经济林果种植。科学施用化肥，提高化肥利用率，减少不合理化肥投入，保护饮用水源地生态环境，实现减少农业面源污染。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三是</w:t>
            </w:r>
            <w:r>
              <w:rPr>
                <w:rFonts w:hint="eastAsia" w:ascii="仿宋_GB2312" w:eastAsia="仿宋_GB2312"/>
                <w:sz w:val="28"/>
                <w:szCs w:val="28"/>
              </w:rPr>
              <w:t>对拖担水源地3个片区土地入户调查核实，实际面积20.96亩，涉及12户农户。安排一定的生态补助资金，根据土地面积兑付到群众，从2018年大春收割后，涉及的地块除经济林果、绿化种树等乔木外，群众不再种植蔬菜及其他粮经作物。目前，已与群众签订了补偿协议，同时清理了作物秸秆。实现退耕还林效果，达到了整改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9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责任单位、责任人及联系人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36" w:firstLineChars="200"/>
              <w:textAlignment w:val="auto"/>
              <w:rPr>
                <w:rFonts w:hint="eastAsia" w:eastAsia="仿宋_GB2312"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牵头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：</w:t>
            </w:r>
            <w:r>
              <w:rPr>
                <w:rFonts w:hint="eastAsia"/>
                <w:color w:val="auto"/>
                <w:sz w:val="28"/>
                <w:szCs w:val="28"/>
                <w:lang w:eastAsia="zh-CN"/>
              </w:rPr>
              <w:t>市生态环境局富民分局</w:t>
            </w:r>
            <w:r>
              <w:rPr>
                <w:rFonts w:hint="eastAsia" w:eastAsia="仿宋_GB2312"/>
                <w:color w:val="auto"/>
                <w:sz w:val="28"/>
                <w:szCs w:val="28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36" w:firstLineChars="200"/>
              <w:textAlignment w:val="auto"/>
              <w:rPr>
                <w:rFonts w:hint="eastAsia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color w:val="auto"/>
                <w:sz w:val="28"/>
                <w:szCs w:val="28"/>
              </w:rPr>
              <w:t>责任单位：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县农业农村局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8"/>
                <w:szCs w:val="28"/>
                <w:lang w:eastAsia="zh-CN"/>
              </w:rPr>
              <w:t>、县</w:t>
            </w:r>
            <w:r>
              <w:rPr>
                <w:rFonts w:ascii="Times New Roman" w:hAnsi="Times New Roman" w:eastAsia="仿宋_GB2312" w:cs="Times New Roman"/>
                <w:snapToGrid w:val="0"/>
                <w:color w:val="auto"/>
                <w:kern w:val="0"/>
                <w:sz w:val="28"/>
                <w:szCs w:val="28"/>
              </w:rPr>
              <w:t>水务局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  <w:lang w:eastAsia="zh-CN"/>
              </w:rPr>
              <w:t>县城市管理局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536" w:firstLineChars="200"/>
              <w:jc w:val="both"/>
              <w:textAlignment w:val="auto"/>
              <w:rPr>
                <w:color w:val="auto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整改时限：</w:t>
            </w:r>
            <w:r>
              <w:rPr>
                <w:rFonts w:ascii="Times New Roman" w:hAnsi="Times New Roman" w:eastAsia="仿宋_GB2312" w:cs="Times New Roman"/>
                <w:snapToGrid w:val="0"/>
                <w:color w:val="000000"/>
                <w:kern w:val="0"/>
                <w:sz w:val="28"/>
                <w:szCs w:val="28"/>
              </w:rPr>
              <w:t>2018年12月31日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902" w:type="dxa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  <w:szCs w:val="32"/>
              </w:rPr>
            </w:pPr>
            <w:r>
              <w:rPr>
                <w:color w:val="auto"/>
                <w:szCs w:val="32"/>
              </w:rPr>
              <w:t>公示说明</w:t>
            </w:r>
          </w:p>
        </w:tc>
        <w:tc>
          <w:tcPr>
            <w:tcW w:w="71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18"/>
              <w:jc w:val="left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fldChar w:fldCharType="begin"/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instrText xml:space="preserve"> HYPERLINK "mailto:现将该问题整改落实情况进行公示，如有意见建议，请反馈至fmxhjbhj@163.com。" </w:instrTex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fldChar w:fldCharType="separate"/>
            </w:r>
            <w:r>
              <w:rPr>
                <w:rStyle w:val="6"/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t>现将该问题整改落实情况进行公示，如有意见建议，请反馈</w:t>
            </w:r>
            <w:r>
              <w:rPr>
                <w:rStyle w:val="6"/>
                <w:rFonts w:hint="eastAsia" w:ascii="仿宋_GB2312" w:eastAsia="仿宋_GB2312"/>
                <w:color w:val="auto"/>
                <w:sz w:val="32"/>
                <w:szCs w:val="32"/>
                <w:u w:val="none"/>
                <w:lang w:eastAsia="zh-CN"/>
              </w:rPr>
              <w:t>至</w:t>
            </w:r>
            <w:r>
              <w:rPr>
                <w:rStyle w:val="6"/>
                <w:rFonts w:hint="eastAsia" w:ascii="仿宋_GB2312" w:eastAsia="仿宋_GB2312"/>
                <w:color w:val="auto"/>
                <w:sz w:val="32"/>
                <w:szCs w:val="32"/>
                <w:u w:val="none"/>
                <w:lang w:val="en-US" w:eastAsia="zh-CN"/>
              </w:rPr>
              <w:t>fmxhjbhj@163.com</w:t>
            </w:r>
            <w:r>
              <w:rPr>
                <w:rStyle w:val="6"/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t>。</w:t>
            </w:r>
            <w:r>
              <w:rPr>
                <w:rFonts w:hint="eastAsia" w:ascii="仿宋_GB2312" w:eastAsia="仿宋_GB2312"/>
                <w:color w:val="auto"/>
                <w:sz w:val="32"/>
                <w:szCs w:val="32"/>
                <w:u w:val="none"/>
              </w:rPr>
              <w:fldChar w:fldCharType="end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18"/>
              <w:jc w:val="left"/>
              <w:textAlignment w:val="auto"/>
              <w:rPr>
                <w:rFonts w:hint="default" w:eastAsia="仿宋_GB2312"/>
                <w:color w:val="auto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</w:rPr>
              <w:t>联系人员及电话：</w:t>
            </w: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color w:val="auto"/>
                <w:sz w:val="32"/>
                <w:szCs w:val="32"/>
                <w:lang w:eastAsia="zh-CN"/>
              </w:rPr>
              <w:t>顾</w:t>
            </w:r>
            <w:r>
              <w:rPr>
                <w:rFonts w:hint="eastAsia" w:ascii="仿宋_GB2312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 xml:space="preserve">   0871-8810843</w:t>
            </w:r>
          </w:p>
        </w:tc>
      </w:tr>
    </w:tbl>
    <w:p>
      <w:pPr>
        <w:pStyle w:val="3"/>
        <w:rPr>
          <w:rFonts w:ascii="Times New Roman"/>
          <w:color w:val="auto"/>
        </w:rPr>
      </w:pPr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639C2"/>
    <w:rsid w:val="264D16CF"/>
    <w:rsid w:val="291E793A"/>
    <w:rsid w:val="4FDC7EB9"/>
    <w:rsid w:val="574068F2"/>
    <w:rsid w:val="588E78D8"/>
    <w:rsid w:val="7576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 w:afterLines="0"/>
    </w:pPr>
    <w:rPr>
      <w:rFonts w:hint="default" w:ascii="Calibri"/>
      <w:kern w:val="2"/>
      <w:sz w:val="22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昆明市富民县党政机关单位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2021-02-18T03:09:00Z</dcterms:created>
  <dc:creator>戰狼</dc:creator>
  <cp:lastModifiedBy>戰狼</cp:lastModifiedBy>
  <cp:lastPrinted>2021-02-23T06:49:23Z</cp:lastPrinted>
  <dcterms:modified xsi:type="dcterms:W3CDTF">2021-02-23T06:51:50Z</dcterms:modified>
  <dc:title>整改落实情况公示表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