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firstLineChars="200"/>
        <w:jc w:val="center"/>
        <w:rPr>
          <w:rFonts w:ascii="黑体" w:hAnsi="黑体" w:eastAsia="黑体"/>
          <w:spacing w:val="-20"/>
          <w:sz w:val="36"/>
          <w:szCs w:val="36"/>
        </w:rPr>
      </w:pPr>
    </w:p>
    <w:p>
      <w:pPr>
        <w:topLinePunct/>
        <w:spacing w:line="560" w:lineRule="exact"/>
        <w:jc w:val="center"/>
        <w:rPr>
          <w:rFonts w:hint="eastAsia" w:ascii="方正小标宋简体" w:hAnsi="黑体" w:eastAsia="方正小标宋简体" w:cs="方正小标宋简体"/>
          <w:spacing w:val="-20"/>
          <w:sz w:val="44"/>
          <w:szCs w:val="44"/>
        </w:rPr>
      </w:pPr>
      <w:r>
        <w:rPr>
          <w:rFonts w:hint="eastAsia" w:ascii="方正小标宋简体" w:hAnsi="黑体" w:eastAsia="方正小标宋简体" w:cs="方正小标宋简体"/>
          <w:spacing w:val="-20"/>
          <w:sz w:val="44"/>
          <w:szCs w:val="44"/>
        </w:rPr>
        <w:t>富民县</w:t>
      </w:r>
      <w:r>
        <w:rPr>
          <w:rFonts w:hint="eastAsia" w:ascii="方正小标宋简体" w:hAnsi="黑体" w:eastAsia="方正小标宋简体" w:cs="方正小标宋简体"/>
          <w:spacing w:val="-20"/>
          <w:sz w:val="44"/>
          <w:szCs w:val="44"/>
          <w:lang w:eastAsia="zh-CN"/>
        </w:rPr>
        <w:t>“十四五”国民经济和社会发展规划编制经费</w:t>
      </w:r>
      <w:r>
        <w:rPr>
          <w:rFonts w:hint="eastAsia" w:ascii="方正小标宋简体" w:hAnsi="黑体" w:eastAsia="方正小标宋简体" w:cs="方正小标宋简体"/>
          <w:spacing w:val="-20"/>
          <w:sz w:val="44"/>
          <w:szCs w:val="44"/>
        </w:rPr>
        <w:t>支出绩效评价报告</w:t>
      </w:r>
    </w:p>
    <w:p>
      <w:pPr>
        <w:topLinePunct/>
        <w:spacing w:line="540" w:lineRule="exact"/>
        <w:jc w:val="center"/>
        <w:rPr>
          <w:rFonts w:hint="eastAsia" w:ascii="仿宋_GB2312" w:cs="仿宋_GB2312"/>
          <w:szCs w:val="32"/>
          <w:lang w:eastAsia="zh-CN"/>
        </w:rPr>
      </w:pPr>
      <w:r>
        <w:rPr>
          <w:rFonts w:hint="eastAsia" w:ascii="仿宋_GB2312" w:cs="仿宋_GB2312"/>
          <w:szCs w:val="32"/>
          <w:lang w:eastAsia="zh-CN"/>
        </w:rPr>
        <w:t>（富政办通〔2019〕94号）</w:t>
      </w:r>
    </w:p>
    <w:p>
      <w:pPr>
        <w:topLinePunct/>
        <w:spacing w:line="540" w:lineRule="exact"/>
        <w:jc w:val="center"/>
        <w:rPr>
          <w:rFonts w:hint="eastAsia" w:ascii="仿宋_GB2312" w:cs="仿宋_GB2312"/>
          <w:szCs w:val="32"/>
          <w:lang w:eastAsia="zh-CN"/>
        </w:rPr>
      </w:pPr>
      <w:bookmarkStart w:id="0" w:name="_GoBack"/>
      <w:bookmarkEnd w:id="0"/>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ascii="黑体" w:eastAsia="黑体"/>
        </w:rPr>
      </w:pPr>
      <w:r>
        <w:rPr>
          <w:rFonts w:hint="eastAsia" w:ascii="黑体" w:eastAsia="黑体" w:cs="黑体"/>
        </w:rPr>
        <w:t>一、项目基本情况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 w:hAnsi="楷体" w:eastAsia="楷体" w:cs="楷体"/>
        </w:rPr>
      </w:pPr>
      <w:r>
        <w:rPr>
          <w:rFonts w:hint="eastAsia" w:ascii="楷体" w:hAnsi="楷体" w:eastAsia="楷体" w:cs="楷体"/>
        </w:rPr>
        <w:t>（一）项目概况。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rPr>
        <w:t>根据国家、省、市关于做好“十四五”规划编制工作的要求</w:t>
      </w:r>
      <w:r>
        <w:rPr>
          <w:rFonts w:hint="eastAsia" w:ascii="仿宋_GB2312" w:hAnsi="仿宋_GB2312" w:eastAsia="仿宋_GB2312" w:cs="仿宋_GB2312"/>
          <w:lang w:eastAsia="zh-CN"/>
        </w:rPr>
        <w:t>和</w:t>
      </w:r>
      <w:r>
        <w:rPr>
          <w:rFonts w:hint="eastAsia" w:ascii="仿宋_GB2312" w:hAnsi="仿宋_GB2312" w:eastAsia="仿宋_GB2312" w:cs="仿宋_GB2312"/>
        </w:rPr>
        <w:t>富民县人民政府办公室关于《富民县国民经济和社会发展“十四五”规划编制工作方案》</w:t>
      </w:r>
      <w:r>
        <w:rPr>
          <w:rFonts w:hint="eastAsia" w:ascii="仿宋_GB2312" w:hAnsi="仿宋_GB2312" w:eastAsia="仿宋_GB2312" w:cs="仿宋_GB2312"/>
          <w:lang w:eastAsia="zh-CN"/>
        </w:rPr>
        <w:t>（</w:t>
      </w:r>
      <w:r>
        <w:rPr>
          <w:rFonts w:hint="eastAsia" w:ascii="仿宋_GB2312" w:hAnsi="仿宋_GB2312" w:eastAsia="仿宋_GB2312" w:cs="仿宋_GB2312"/>
        </w:rPr>
        <w:t>富政办通〔</w:t>
      </w:r>
      <w:r>
        <w:rPr>
          <w:rFonts w:hint="default" w:ascii="Times New Roman" w:hAnsi="Times New Roman" w:eastAsia="仿宋_GB2312" w:cs="Times New Roman"/>
        </w:rPr>
        <w:t>2019</w:t>
      </w:r>
      <w:r>
        <w:rPr>
          <w:rFonts w:hint="eastAsia" w:ascii="仿宋_GB2312" w:hAnsi="仿宋_GB2312" w:eastAsia="仿宋_GB2312" w:cs="仿宋_GB2312"/>
        </w:rPr>
        <w:t>〕</w:t>
      </w:r>
      <w:r>
        <w:rPr>
          <w:rFonts w:hint="default" w:ascii="Times New Roman" w:hAnsi="Times New Roman" w:eastAsia="仿宋_GB2312" w:cs="Times New Roman"/>
        </w:rPr>
        <w:t>94</w:t>
      </w:r>
      <w:r>
        <w:rPr>
          <w:rFonts w:hint="eastAsia" w:ascii="仿宋_GB2312" w:hAnsi="仿宋_GB2312" w:eastAsia="仿宋_GB2312" w:cs="仿宋_GB2312"/>
        </w:rPr>
        <w:t>号</w:t>
      </w:r>
      <w:r>
        <w:rPr>
          <w:rFonts w:hint="eastAsia" w:ascii="仿宋_GB2312" w:hAnsi="仿宋_GB2312" w:eastAsia="仿宋_GB2312" w:cs="仿宋_GB2312"/>
          <w:lang w:eastAsia="zh-CN"/>
        </w:rPr>
        <w:t>）</w:t>
      </w:r>
      <w:r>
        <w:rPr>
          <w:rFonts w:hint="eastAsia" w:ascii="仿宋_GB2312" w:hAnsi="仿宋_GB2312" w:eastAsia="仿宋_GB2312" w:cs="仿宋_GB2312"/>
        </w:rPr>
        <w:t>的通知，决定启动“十四五”规划编制工作，为确保《富民县国民经济和社会发展第十四个五年规划和二O三五年远景目标纲要》（以下简称：纲要）</w:t>
      </w:r>
      <w:r>
        <w:rPr>
          <w:rFonts w:hint="eastAsia" w:ascii="仿宋_GB2312" w:hAnsi="仿宋_GB2312" w:cs="仿宋_GB2312"/>
          <w:lang w:eastAsia="zh-CN"/>
        </w:rPr>
        <w:t>及</w:t>
      </w:r>
      <w:r>
        <w:rPr>
          <w:rFonts w:hint="eastAsia" w:ascii="仿宋_GB2312" w:hAnsi="仿宋_GB2312" w:eastAsia="仿宋_GB2312" w:cs="仿宋_GB2312"/>
        </w:rPr>
        <w:t>相关课题</w:t>
      </w:r>
      <w:r>
        <w:rPr>
          <w:rFonts w:hint="eastAsia" w:ascii="仿宋_GB2312" w:hAnsi="仿宋_GB2312" w:cs="仿宋_GB2312"/>
          <w:lang w:eastAsia="zh-CN"/>
        </w:rPr>
        <w:t>（</w:t>
      </w:r>
      <w:r>
        <w:rPr>
          <w:rFonts w:hint="default" w:ascii="Times New Roman" w:hAnsi="Times New Roman" w:cs="Times New Roman"/>
          <w:lang w:eastAsia="zh-CN"/>
        </w:rPr>
        <w:t>12</w:t>
      </w:r>
      <w:r>
        <w:rPr>
          <w:rFonts w:hint="eastAsia" w:ascii="仿宋_GB2312" w:hAnsi="仿宋_GB2312" w:cs="仿宋_GB2312"/>
          <w:lang w:eastAsia="zh-CN"/>
        </w:rPr>
        <w:t>个重点研究课题，</w:t>
      </w:r>
      <w:r>
        <w:rPr>
          <w:rFonts w:hint="default" w:ascii="Times New Roman" w:hAnsi="Times New Roman" w:cs="Times New Roman"/>
          <w:lang w:eastAsia="zh-CN"/>
        </w:rPr>
        <w:t>27</w:t>
      </w:r>
      <w:r>
        <w:rPr>
          <w:rFonts w:hint="eastAsia" w:ascii="仿宋_GB2312" w:hAnsi="仿宋_GB2312" w:cs="仿宋_GB2312"/>
          <w:lang w:eastAsia="zh-CN"/>
        </w:rPr>
        <w:t>个部门（行业）规划，</w:t>
      </w:r>
      <w:r>
        <w:rPr>
          <w:rFonts w:hint="default" w:ascii="Times New Roman" w:hAnsi="Times New Roman" w:cs="Times New Roman"/>
          <w:lang w:eastAsia="zh-CN"/>
        </w:rPr>
        <w:t>7</w:t>
      </w:r>
      <w:r>
        <w:rPr>
          <w:rFonts w:hint="eastAsia" w:ascii="仿宋_GB2312" w:hAnsi="仿宋_GB2312" w:cs="仿宋_GB2312"/>
          <w:lang w:eastAsia="zh-CN"/>
        </w:rPr>
        <w:t>个区域规划）</w:t>
      </w:r>
      <w:r>
        <w:rPr>
          <w:rFonts w:hint="eastAsia" w:ascii="仿宋_GB2312" w:hAnsi="仿宋_GB2312" w:eastAsia="仿宋_GB2312" w:cs="仿宋_GB2312"/>
        </w:rPr>
        <w:t>能够结合富民实际，具有可操作性，充分体现规划的纲领性，经</w:t>
      </w:r>
      <w:r>
        <w:rPr>
          <w:rFonts w:hint="eastAsia" w:ascii="仿宋_GB2312" w:hAnsi="仿宋_GB2312" w:cs="仿宋_GB2312"/>
          <w:lang w:eastAsia="zh-CN"/>
        </w:rPr>
        <w:t>县政府研究同意</w:t>
      </w:r>
      <w:r>
        <w:rPr>
          <w:rFonts w:hint="eastAsia" w:ascii="仿宋_GB2312" w:hAnsi="仿宋_GB2312" w:eastAsia="仿宋_GB2312" w:cs="仿宋_GB2312"/>
        </w:rPr>
        <w:t>，于</w:t>
      </w:r>
      <w:r>
        <w:rPr>
          <w:rFonts w:hint="default" w:ascii="Times New Roman" w:hAnsi="Times New Roman" w:eastAsia="仿宋_GB2312" w:cs="Times New Roman"/>
        </w:rPr>
        <w:t>2020</w:t>
      </w:r>
      <w:r>
        <w:rPr>
          <w:rFonts w:hint="eastAsia" w:ascii="仿宋_GB2312" w:hAnsi="仿宋_GB2312" w:eastAsia="仿宋_GB2312" w:cs="仿宋_GB2312"/>
        </w:rPr>
        <w:t>年</w:t>
      </w:r>
      <w:r>
        <w:rPr>
          <w:rFonts w:hint="default" w:ascii="Times New Roman" w:hAnsi="Times New Roman" w:eastAsia="仿宋_GB2312" w:cs="Times New Roman"/>
        </w:rPr>
        <w:t>3</w:t>
      </w:r>
      <w:r>
        <w:rPr>
          <w:rFonts w:hint="eastAsia" w:ascii="仿宋_GB2312" w:hAnsi="仿宋_GB2312" w:eastAsia="仿宋_GB2312" w:cs="仿宋_GB2312"/>
        </w:rPr>
        <w:t>月通过公开招标采购，确定云南旭景规划研究院为规划《纲要》编制单位</w:t>
      </w:r>
      <w:r>
        <w:rPr>
          <w:rFonts w:hint="eastAsia" w:ascii="仿宋_GB2312" w:hAnsi="仿宋_GB2312" w:eastAsia="仿宋_GB2312" w:cs="仿宋_GB2312"/>
          <w:lang w:eastAsia="zh-CN"/>
        </w:rPr>
        <w:t>，进行科学编制。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1.立项背景及目的。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rPr>
        <w:t>“十四五”时期，是我国由全面建成小康社会向全面建设社会主义现代化国家迈进的关键时期，是“两个一百年”奋斗目标的历史交汇期，是全面开启社会主义现代化强国建设新征程的重要机遇期。在国内外发展环境错综复杂、不确定因素增多的背景下，科学编制好“十四五”规划</w:t>
      </w:r>
      <w:r>
        <w:rPr>
          <w:rFonts w:hint="eastAsia" w:ascii="仿宋_GB2312" w:hAnsi="仿宋_GB2312" w:cs="仿宋_GB2312"/>
          <w:lang w:eastAsia="zh-CN"/>
        </w:rPr>
        <w:t>纲要</w:t>
      </w:r>
      <w:r>
        <w:rPr>
          <w:rFonts w:hint="eastAsia" w:ascii="仿宋_GB2312" w:hAnsi="仿宋_GB2312" w:eastAsia="仿宋_GB2312" w:cs="仿宋_GB2312"/>
        </w:rPr>
        <w:t>事关我县经济社会发展全局，对于我县积极适应发展形势的新变化，妥善应对经济社会发展的新挑战，高质量推动我县经济社会跨越式发展具有重要意义</w:t>
      </w:r>
      <w:r>
        <w:rPr>
          <w:rFonts w:hint="eastAsia" w:ascii="仿宋_GB2312" w:hAnsi="仿宋_GB2312" w:eastAsia="仿宋_GB2312" w:cs="仿宋_GB231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2.项目实施情况。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default" w:ascii="Times New Roman" w:hAnsi="Times New Roman" w:eastAsia="仿宋_GB2312" w:cs="Times New Roman"/>
        </w:rPr>
        <w:t>2019</w:t>
      </w:r>
      <w:r>
        <w:rPr>
          <w:rFonts w:hint="eastAsia" w:ascii="仿宋_GB2312" w:hAnsi="仿宋_GB2312" w:eastAsia="仿宋_GB2312" w:cs="仿宋_GB2312"/>
        </w:rPr>
        <w:t>年</w:t>
      </w:r>
      <w:r>
        <w:rPr>
          <w:rFonts w:hint="default" w:ascii="Times New Roman" w:hAnsi="Times New Roman" w:eastAsia="仿宋_GB2312" w:cs="Times New Roman"/>
        </w:rPr>
        <w:t>11</w:t>
      </w:r>
      <w:r>
        <w:rPr>
          <w:rFonts w:hint="eastAsia" w:ascii="仿宋_GB2312" w:hAnsi="仿宋_GB2312" w:eastAsia="仿宋_GB2312" w:cs="仿宋_GB2312"/>
        </w:rPr>
        <w:t>月启动规划《纲要》编制工作，于</w:t>
      </w:r>
      <w:r>
        <w:rPr>
          <w:rFonts w:hint="default" w:ascii="Times New Roman" w:hAnsi="Times New Roman" w:eastAsia="仿宋_GB2312" w:cs="Times New Roman"/>
        </w:rPr>
        <w:t>2020</w:t>
      </w:r>
      <w:r>
        <w:rPr>
          <w:rFonts w:hint="eastAsia" w:ascii="仿宋_GB2312" w:hAnsi="仿宋_GB2312" w:eastAsia="仿宋_GB2312" w:cs="仿宋_GB2312"/>
        </w:rPr>
        <w:t>年</w:t>
      </w:r>
      <w:r>
        <w:rPr>
          <w:rFonts w:hint="default" w:ascii="Times New Roman" w:hAnsi="Times New Roman" w:eastAsia="仿宋_GB2312" w:cs="Times New Roman"/>
        </w:rPr>
        <w:t>3</w:t>
      </w:r>
      <w:r>
        <w:rPr>
          <w:rFonts w:hint="eastAsia" w:ascii="仿宋_GB2312" w:hAnsi="仿宋_GB2312" w:eastAsia="仿宋_GB2312" w:cs="仿宋_GB2312"/>
        </w:rPr>
        <w:t>月通过公开招标采购，确定云南旭景规划研究院为规划《纲要》编制单位。随后，云南旭景规划研究院到我县开展了部门座谈会，到主要经济部门和镇（街道）进行了实地调研，并就规划《纲要》编制思路与相关县领导开展了交流座谈，</w:t>
      </w:r>
      <w:r>
        <w:rPr>
          <w:rFonts w:hint="default" w:ascii="Times New Roman" w:hAnsi="Times New Roman" w:eastAsia="仿宋_GB2312" w:cs="Times New Roman"/>
        </w:rPr>
        <w:t>2020</w:t>
      </w:r>
      <w:r>
        <w:rPr>
          <w:rFonts w:hint="eastAsia" w:ascii="仿宋_GB2312" w:hAnsi="仿宋_GB2312" w:eastAsia="仿宋_GB2312" w:cs="仿宋_GB2312"/>
        </w:rPr>
        <w:t>年</w:t>
      </w:r>
      <w:r>
        <w:rPr>
          <w:rFonts w:hint="default" w:ascii="Times New Roman" w:hAnsi="Times New Roman" w:eastAsia="仿宋_GB2312" w:cs="Times New Roman"/>
        </w:rPr>
        <w:t>7</w:t>
      </w:r>
      <w:r>
        <w:rPr>
          <w:rFonts w:hint="eastAsia" w:ascii="仿宋_GB2312" w:hAnsi="仿宋_GB2312" w:eastAsia="仿宋_GB2312" w:cs="仿宋_GB2312"/>
        </w:rPr>
        <w:t>月完成规划《纲要》初稿草拟</w:t>
      </w:r>
      <w:r>
        <w:rPr>
          <w:rFonts w:hint="eastAsia" w:ascii="仿宋_GB2312" w:hAnsi="仿宋_GB2312" w:eastAsia="仿宋_GB2312" w:cs="仿宋_GB2312"/>
          <w:lang w:eastAsia="zh-CN"/>
        </w:rPr>
        <w:t>，</w:t>
      </w:r>
      <w:r>
        <w:rPr>
          <w:rFonts w:hint="default" w:ascii="Times New Roman" w:hAnsi="Times New Roman" w:eastAsia="仿宋_GB2312" w:cs="Times New Roman"/>
          <w:lang w:eastAsia="zh-CN"/>
        </w:rPr>
        <w:t>2020</w:t>
      </w:r>
      <w:r>
        <w:rPr>
          <w:rFonts w:hint="eastAsia" w:ascii="仿宋_GB2312" w:hAnsi="仿宋_GB2312" w:eastAsia="仿宋_GB2312" w:cs="仿宋_GB2312"/>
          <w:lang w:eastAsia="zh-CN"/>
        </w:rPr>
        <w:t>年</w:t>
      </w:r>
      <w:r>
        <w:rPr>
          <w:rFonts w:hint="default" w:ascii="Times New Roman" w:hAnsi="Times New Roman" w:eastAsia="仿宋_GB2312" w:cs="Times New Roman"/>
          <w:lang w:eastAsia="zh-CN"/>
        </w:rPr>
        <w:t>7</w:t>
      </w:r>
      <w:r>
        <w:rPr>
          <w:rFonts w:hint="eastAsia" w:ascii="仿宋_GB2312" w:hAnsi="仿宋_GB2312" w:eastAsia="仿宋_GB2312" w:cs="仿宋_GB2312"/>
          <w:lang w:eastAsia="zh-CN"/>
        </w:rPr>
        <w:t>至</w:t>
      </w:r>
      <w:r>
        <w:rPr>
          <w:rFonts w:hint="default" w:ascii="Times New Roman" w:hAnsi="Times New Roman" w:eastAsia="仿宋_GB2312" w:cs="Times New Roman"/>
          <w:lang w:eastAsia="zh-CN"/>
        </w:rPr>
        <w:t>12</w:t>
      </w:r>
      <w:r>
        <w:rPr>
          <w:rFonts w:hint="eastAsia" w:ascii="仿宋_GB2312" w:hAnsi="仿宋_GB2312" w:eastAsia="仿宋_GB2312" w:cs="仿宋_GB2312"/>
          <w:lang w:eastAsia="zh-CN"/>
        </w:rPr>
        <w:t>月，先后多次召开专题会议研究，作了修改完善，并多轮征求了县属各部门、各镇（街道）意见建议，听取了部分县级领导、省市专家的意见建议，修改完善后形成《富民县国民经济和社会发展第十四个五年规划和二O三五年远景目标纲要（报审稿）》报县委、县政府审定后，提交“</w:t>
      </w:r>
      <w:r>
        <w:rPr>
          <w:rFonts w:hint="eastAsia" w:ascii="仿宋_GB2312" w:hAnsi="仿宋_GB2312" w:cs="仿宋_GB2312"/>
          <w:lang w:eastAsia="zh-CN"/>
        </w:rPr>
        <w:t>县</w:t>
      </w:r>
      <w:r>
        <w:rPr>
          <w:rFonts w:hint="eastAsia" w:ascii="仿宋_GB2312" w:hAnsi="仿宋_GB2312" w:eastAsia="仿宋_GB2312" w:cs="仿宋_GB2312"/>
          <w:lang w:eastAsia="zh-CN"/>
        </w:rPr>
        <w:t>两会”</w:t>
      </w:r>
      <w:r>
        <w:rPr>
          <w:rFonts w:hint="eastAsia" w:ascii="仿宋_GB2312" w:hAnsi="仿宋_GB2312" w:cs="仿宋_GB2312"/>
          <w:lang w:eastAsia="zh-CN"/>
        </w:rPr>
        <w:t>讨论</w:t>
      </w:r>
      <w:r>
        <w:rPr>
          <w:rFonts w:hint="eastAsia" w:ascii="仿宋_GB2312" w:hAnsi="仿宋_GB2312" w:eastAsia="仿宋_GB2312" w:cs="仿宋_GB2312"/>
          <w:lang w:eastAsia="zh-CN"/>
        </w:rPr>
        <w:t>，现已提请县人大审议并通过。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3.资金来源及使用情况。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rPr>
        <w:t>根据富民县人民政府办公室《富民县国民经济和社会发展“十四五”规划编制工作方案》</w:t>
      </w:r>
      <w:r>
        <w:rPr>
          <w:rFonts w:hint="eastAsia" w:ascii="仿宋_GB2312" w:hAnsi="仿宋_GB2312" w:eastAsia="仿宋_GB2312" w:cs="仿宋_GB2312"/>
          <w:lang w:eastAsia="zh-CN"/>
        </w:rPr>
        <w:t>（</w:t>
      </w:r>
      <w:r>
        <w:rPr>
          <w:rFonts w:hint="eastAsia" w:ascii="仿宋_GB2312" w:hAnsi="仿宋_GB2312" w:eastAsia="仿宋_GB2312" w:cs="仿宋_GB2312"/>
        </w:rPr>
        <w:t>富政办通〔</w:t>
      </w:r>
      <w:r>
        <w:rPr>
          <w:rFonts w:hint="default" w:ascii="Times New Roman" w:hAnsi="Times New Roman" w:eastAsia="仿宋_GB2312" w:cs="Times New Roman"/>
        </w:rPr>
        <w:t>2019</w:t>
      </w:r>
      <w:r>
        <w:rPr>
          <w:rFonts w:hint="eastAsia" w:ascii="仿宋_GB2312" w:hAnsi="仿宋_GB2312" w:eastAsia="仿宋_GB2312" w:cs="仿宋_GB2312"/>
        </w:rPr>
        <w:t>〕</w:t>
      </w:r>
      <w:r>
        <w:rPr>
          <w:rFonts w:hint="default" w:ascii="Times New Roman" w:hAnsi="Times New Roman" w:eastAsia="仿宋_GB2312" w:cs="Times New Roman"/>
        </w:rPr>
        <w:t>94</w:t>
      </w:r>
      <w:r>
        <w:rPr>
          <w:rFonts w:hint="eastAsia" w:ascii="仿宋_GB2312" w:hAnsi="仿宋_GB2312" w:eastAsia="仿宋_GB2312" w:cs="仿宋_GB2312"/>
        </w:rPr>
        <w:t>号</w:t>
      </w:r>
      <w:r>
        <w:rPr>
          <w:rFonts w:hint="eastAsia" w:ascii="仿宋_GB2312" w:hAnsi="仿宋_GB2312" w:eastAsia="仿宋_GB2312" w:cs="仿宋_GB2312"/>
          <w:lang w:eastAsia="zh-CN"/>
        </w:rPr>
        <w:t>）</w:t>
      </w:r>
      <w:r>
        <w:rPr>
          <w:rFonts w:hint="eastAsia" w:ascii="仿宋_GB2312" w:hAnsi="仿宋_GB2312" w:eastAsia="仿宋_GB2312" w:cs="仿宋_GB2312"/>
        </w:rPr>
        <w:t>的通知</w:t>
      </w:r>
      <w:r>
        <w:rPr>
          <w:rFonts w:hint="eastAsia" w:ascii="仿宋_GB2312" w:hAnsi="仿宋_GB2312" w:eastAsia="仿宋_GB2312" w:cs="仿宋_GB2312"/>
          <w:lang w:eastAsia="zh-CN"/>
        </w:rPr>
        <w:t>要求</w:t>
      </w:r>
      <w:r>
        <w:rPr>
          <w:rFonts w:hint="eastAsia" w:ascii="仿宋_GB2312" w:hAnsi="仿宋_GB2312" w:cs="仿宋_GB2312"/>
          <w:lang w:eastAsia="zh-CN"/>
        </w:rPr>
        <w:t>，</w:t>
      </w:r>
      <w:r>
        <w:rPr>
          <w:rFonts w:hint="eastAsia" w:ascii="仿宋_GB2312" w:hAnsi="仿宋_GB2312" w:eastAsia="仿宋_GB2312" w:cs="仿宋_GB2312"/>
          <w:lang w:val="en-US" w:eastAsia="zh-CN"/>
        </w:rPr>
        <w:t>结合《纲要》编制情况及各责任单位重点课题及专项规划编制情况，研究及时拨付编制经费和补助经费。</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4.组织及管理情况。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为深化“十四五”规划编制工作，增强规划的系统性、操作性，从着力解决“十四五”乃至更长时期内</w:t>
      </w:r>
      <w:r>
        <w:rPr>
          <w:rFonts w:hint="eastAsia" w:ascii="仿宋_GB2312" w:hAnsi="仿宋_GB2312" w:cs="仿宋_GB2312"/>
          <w:lang w:eastAsia="zh-CN"/>
        </w:rPr>
        <w:t>富民县</w:t>
      </w:r>
      <w:r>
        <w:rPr>
          <w:rFonts w:hint="eastAsia" w:ascii="仿宋_GB2312" w:hAnsi="仿宋_GB2312" w:eastAsia="仿宋_GB2312" w:cs="仿宋_GB2312"/>
        </w:rPr>
        <w:t>发展的战略定位、调整经济发展结构、转变经济发展方式、提升区域综合竞争力等重要问题的角度出发，本着突出重点、兼顾全面工作的原则，</w:t>
      </w:r>
      <w:r>
        <w:rPr>
          <w:rFonts w:hint="eastAsia" w:ascii="仿宋_GB2312" w:hAnsi="仿宋_GB2312" w:eastAsia="仿宋_GB2312" w:cs="仿宋_GB2312"/>
          <w:b/>
          <w:bCs/>
        </w:rPr>
        <w:t>一是</w:t>
      </w:r>
      <w:r>
        <w:rPr>
          <w:rFonts w:hint="eastAsia" w:ascii="仿宋_GB2312" w:hAnsi="仿宋_GB2312" w:cs="仿宋_GB2312"/>
          <w:b w:val="0"/>
          <w:bCs w:val="0"/>
          <w:lang w:eastAsia="zh-CN"/>
        </w:rPr>
        <w:t>明确责任分工。</w:t>
      </w:r>
      <w:r>
        <w:rPr>
          <w:rFonts w:hint="eastAsia" w:ascii="仿宋_GB2312" w:hAnsi="仿宋_GB2312" w:eastAsia="仿宋_GB2312" w:cs="仿宋_GB2312"/>
        </w:rPr>
        <w:t>提出</w:t>
      </w:r>
      <w:r>
        <w:rPr>
          <w:rFonts w:hint="default" w:ascii="Times New Roman" w:hAnsi="Times New Roman" w:eastAsia="仿宋_GB2312" w:cs="Times New Roman"/>
        </w:rPr>
        <w:t>12</w:t>
      </w:r>
      <w:r>
        <w:rPr>
          <w:rFonts w:hint="eastAsia" w:ascii="仿宋_GB2312" w:hAnsi="仿宋_GB2312" w:eastAsia="仿宋_GB2312" w:cs="仿宋_GB2312"/>
        </w:rPr>
        <w:t>个重点研究课题，</w:t>
      </w:r>
      <w:r>
        <w:rPr>
          <w:rFonts w:hint="default" w:ascii="Times New Roman" w:hAnsi="Times New Roman" w:eastAsia="仿宋_GB2312" w:cs="Times New Roman"/>
        </w:rPr>
        <w:t>27</w:t>
      </w:r>
      <w:r>
        <w:rPr>
          <w:rFonts w:hint="eastAsia" w:ascii="仿宋_GB2312" w:hAnsi="仿宋_GB2312" w:eastAsia="仿宋_GB2312" w:cs="仿宋_GB2312"/>
        </w:rPr>
        <w:t>个部门（行业）规划，</w:t>
      </w:r>
      <w:r>
        <w:rPr>
          <w:rFonts w:hint="default" w:ascii="Times New Roman" w:hAnsi="Times New Roman" w:eastAsia="仿宋_GB2312" w:cs="Times New Roman"/>
        </w:rPr>
        <w:t>7</w:t>
      </w:r>
      <w:r>
        <w:rPr>
          <w:rFonts w:hint="eastAsia" w:ascii="仿宋_GB2312" w:hAnsi="仿宋_GB2312" w:eastAsia="仿宋_GB2312" w:cs="仿宋_GB2312"/>
        </w:rPr>
        <w:t>个区域规划。其中，涉及经济社会发展战略且综合性强的</w:t>
      </w:r>
      <w:r>
        <w:rPr>
          <w:rFonts w:hint="default" w:ascii="Times New Roman" w:hAnsi="Times New Roman" w:eastAsia="仿宋_GB2312" w:cs="Times New Roman"/>
        </w:rPr>
        <w:t>12</w:t>
      </w:r>
      <w:r>
        <w:rPr>
          <w:rFonts w:hint="eastAsia" w:ascii="仿宋_GB2312" w:hAnsi="仿宋_GB2312" w:eastAsia="仿宋_GB2312" w:cs="仿宋_GB2312"/>
        </w:rPr>
        <w:t>个重点研究课题，拟采取面向社会公开招标或委托或自行编制；</w:t>
      </w:r>
      <w:r>
        <w:rPr>
          <w:rFonts w:hint="default" w:ascii="Times New Roman" w:hAnsi="Times New Roman" w:eastAsia="仿宋_GB2312" w:cs="Times New Roman"/>
        </w:rPr>
        <w:t>27</w:t>
      </w:r>
      <w:r>
        <w:rPr>
          <w:rFonts w:hint="eastAsia" w:ascii="仿宋_GB2312" w:hAnsi="仿宋_GB2312" w:eastAsia="仿宋_GB2312" w:cs="仿宋_GB2312"/>
        </w:rPr>
        <w:t>个部门（行业）规划由县级相关部门牵头，采取委托或招标方式或自己组织力量编制</w:t>
      </w:r>
      <w:r>
        <w:rPr>
          <w:rFonts w:hint="eastAsia" w:ascii="仿宋_GB2312" w:hAnsi="仿宋_GB2312" w:cs="仿宋_GB2312"/>
          <w:lang w:eastAsia="zh-CN"/>
        </w:rPr>
        <w:t>；</w:t>
      </w:r>
      <w:r>
        <w:rPr>
          <w:rFonts w:hint="eastAsia" w:ascii="仿宋_GB2312" w:hAnsi="仿宋_GB2312" w:eastAsia="仿宋_GB2312" w:cs="仿宋_GB2312"/>
        </w:rPr>
        <w:t>区域规划由各镇（街道）组织编制。</w:t>
      </w:r>
      <w:r>
        <w:rPr>
          <w:rFonts w:hint="eastAsia" w:ascii="仿宋_GB2312" w:hAnsi="仿宋_GB2312" w:cs="仿宋_GB2312"/>
          <w:lang w:eastAsia="zh-CN"/>
        </w:rPr>
        <w:t>二</w:t>
      </w:r>
      <w:r>
        <w:rPr>
          <w:rFonts w:hint="eastAsia" w:ascii="仿宋_GB2312" w:hAnsi="仿宋_GB2312" w:eastAsia="仿宋_GB2312" w:cs="仿宋_GB2312"/>
          <w:b/>
          <w:bCs/>
        </w:rPr>
        <w:t>是</w:t>
      </w:r>
      <w:r>
        <w:rPr>
          <w:rFonts w:hint="eastAsia" w:ascii="仿宋_GB2312" w:hAnsi="仿宋_GB2312" w:eastAsia="仿宋_GB2312" w:cs="仿宋_GB2312"/>
        </w:rPr>
        <w:t>切实加强资金监管</w:t>
      </w:r>
      <w:r>
        <w:rPr>
          <w:rFonts w:hint="eastAsia" w:ascii="仿宋_GB2312" w:hAnsi="仿宋_GB2312" w:eastAsia="仿宋_GB2312" w:cs="仿宋_GB2312"/>
          <w:lang w:eastAsia="zh-CN"/>
        </w:rPr>
        <w:t>。</w:t>
      </w:r>
      <w:r>
        <w:rPr>
          <w:rFonts w:hint="eastAsia" w:ascii="仿宋_GB2312" w:hAnsi="仿宋_GB2312" w:eastAsia="仿宋_GB2312" w:cs="仿宋_GB2312"/>
        </w:rPr>
        <w:t>防止资金挪用，</w:t>
      </w:r>
      <w:r>
        <w:rPr>
          <w:rFonts w:hint="eastAsia" w:ascii="仿宋_GB2312" w:hAnsi="仿宋_GB2312" w:eastAsia="仿宋_GB2312" w:cs="仿宋_GB2312"/>
          <w:lang w:eastAsia="zh-CN"/>
        </w:rPr>
        <w:t>确保经费用途清晰，审批程序规范</w:t>
      </w:r>
      <w:r>
        <w:rPr>
          <w:rFonts w:hint="eastAsia" w:ascii="仿宋_GB2312" w:hAnsi="仿宋_GB2312" w:cs="仿宋_GB2312"/>
          <w:lang w:eastAsia="zh-CN"/>
        </w:rPr>
        <w:t>，认真审查《纲要》编制情况及各责任单位重点课题及专项规划编制情况，按进度适时拨付经费</w:t>
      </w:r>
      <w:r>
        <w:rPr>
          <w:rFonts w:hint="eastAsia" w:ascii="仿宋_GB2312" w:hAnsi="仿宋_GB2312" w:eastAsia="仿宋_GB2312" w:cs="仿宋_GB2312"/>
        </w:rPr>
        <w:t>；</w:t>
      </w:r>
      <w:r>
        <w:rPr>
          <w:rFonts w:hint="eastAsia" w:ascii="仿宋_GB2312" w:hAnsi="仿宋_GB2312" w:cs="仿宋_GB2312"/>
          <w:b/>
          <w:bCs/>
          <w:lang w:eastAsia="zh-CN"/>
        </w:rPr>
        <w:t>三</w:t>
      </w:r>
      <w:r>
        <w:rPr>
          <w:rFonts w:hint="eastAsia" w:ascii="仿宋_GB2312" w:hAnsi="仿宋_GB2312" w:eastAsia="仿宋_GB2312" w:cs="仿宋_GB2312"/>
          <w:b/>
          <w:bCs/>
        </w:rPr>
        <w:t>是</w:t>
      </w:r>
      <w:r>
        <w:rPr>
          <w:rFonts w:hint="eastAsia" w:ascii="仿宋_GB2312" w:hAnsi="仿宋_GB2312" w:eastAsia="仿宋_GB2312" w:cs="仿宋_GB2312"/>
        </w:rPr>
        <w:t>加强监督检查</w:t>
      </w:r>
      <w:r>
        <w:rPr>
          <w:rFonts w:hint="eastAsia" w:ascii="仿宋_GB2312" w:hAnsi="仿宋_GB2312" w:cs="仿宋_GB2312"/>
          <w:lang w:eastAsia="zh-CN"/>
        </w:rPr>
        <w:t>。严把编制质量关，</w:t>
      </w:r>
      <w:r>
        <w:rPr>
          <w:rFonts w:hint="eastAsia" w:ascii="仿宋_GB2312" w:hAnsi="仿宋_GB2312" w:eastAsia="仿宋_GB2312" w:cs="仿宋_GB2312"/>
        </w:rPr>
        <w:t>项目推进情况</w:t>
      </w:r>
      <w:r>
        <w:rPr>
          <w:rFonts w:hint="eastAsia" w:ascii="仿宋_GB2312" w:hAnsi="仿宋_GB2312" w:eastAsia="仿宋_GB2312" w:cs="仿宋_GB2312"/>
          <w:lang w:eastAsia="zh-CN"/>
        </w:rPr>
        <w:t>定期上报</w:t>
      </w:r>
      <w:r>
        <w:rPr>
          <w:rFonts w:hint="eastAsia" w:ascii="仿宋_GB2312" w:hAnsi="仿宋_GB2312" w:cs="仿宋_GB2312"/>
          <w:lang w:eastAsia="zh-CN"/>
        </w:rPr>
        <w:t>，动态掌握项目进展情况。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楷体" w:hAnsi="楷体" w:eastAsia="楷体" w:cs="楷体"/>
        </w:rPr>
      </w:pPr>
      <w:r>
        <w:rPr>
          <w:rFonts w:hint="eastAsia" w:ascii="楷体" w:hAnsi="楷体" w:eastAsia="楷体" w:cs="楷体"/>
        </w:rPr>
        <w:t>（二）绩效目标。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rPr>
        <w:t>1.总目标。</w:t>
      </w:r>
      <w:r>
        <w:rPr>
          <w:rFonts w:hint="eastAsia" w:ascii="仿宋_GB2312" w:hAnsi="仿宋_GB2312" w:eastAsia="仿宋_GB2312" w:cs="仿宋_GB2312"/>
          <w:lang w:eastAsia="zh-CN"/>
        </w:rPr>
        <w:t>根据十三五时期国民经济和社会发展完成情况，结合十四五时期富民县发展面临的机遇和挑战，科学合理提出富民县未来五年经济社会重点建设任务和发展目标。</w:t>
      </w:r>
    </w:p>
    <w:p>
      <w:pPr>
        <w:keepNext w:val="0"/>
        <w:keepLines w:val="0"/>
        <w:pageBreakBefore w:val="0"/>
        <w:widowControl w:val="0"/>
        <w:kinsoku/>
        <w:wordWrap/>
        <w:overflowPunct/>
        <w:topLinePunct/>
        <w:autoSpaceDE/>
        <w:autoSpaceDN/>
        <w:bidi w:val="0"/>
        <w:adjustRightInd/>
        <w:snapToGrid/>
        <w:spacing w:line="560" w:lineRule="exact"/>
        <w:ind w:firstLine="480" w:firstLineChars="15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rPr>
        <w:t xml:space="preserve"> 2.年度目标。</w:t>
      </w:r>
      <w:r>
        <w:rPr>
          <w:rFonts w:hint="eastAsia" w:ascii="仿宋_GB2312" w:hAnsi="仿宋_GB2312" w:eastAsia="仿宋_GB2312" w:cs="仿宋_GB2312"/>
          <w:lang w:eastAsia="zh-CN"/>
        </w:rPr>
        <w:t>按富民县国民经济和社会发展第十四个五年规划和二O三五年远景目标纲要编制进度适时拨付。</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cs="仿宋_GB2312"/>
          <w:lang w:val="en-US" w:eastAsia="zh-CN"/>
        </w:rPr>
      </w:pPr>
      <w:r>
        <w:rPr>
          <w:rFonts w:hint="eastAsia" w:ascii="仿宋_GB2312" w:hAnsi="仿宋_GB2312" w:eastAsia="仿宋_GB2312" w:cs="仿宋_GB2312"/>
        </w:rPr>
        <w:t>（1）产出目标。</w:t>
      </w:r>
      <w:r>
        <w:rPr>
          <w:rFonts w:hint="eastAsia" w:ascii="仿宋_GB2312" w:hAnsi="仿宋_GB2312" w:eastAsia="仿宋_GB2312" w:cs="仿宋_GB2312"/>
          <w:lang w:eastAsia="zh-CN"/>
        </w:rPr>
        <w:t>根据各责任单位重点课题完成情况，</w:t>
      </w:r>
      <w:r>
        <w:rPr>
          <w:rFonts w:hint="default" w:ascii="Times New Roman" w:hAnsi="Times New Roman" w:eastAsia="仿宋_GB2312" w:cs="Times New Roman"/>
          <w:lang w:val="en-US" w:eastAsia="zh-CN"/>
        </w:rPr>
        <w:t>2019</w:t>
      </w:r>
      <w:r>
        <w:rPr>
          <w:rFonts w:hint="eastAsia" w:ascii="仿宋_GB2312" w:hAnsi="仿宋_GB2312" w:eastAsia="仿宋_GB2312" w:cs="仿宋_GB2312"/>
          <w:lang w:val="en-US" w:eastAsia="zh-CN"/>
        </w:rPr>
        <w:t>年启动“十四五”规划编制工作，</w:t>
      </w:r>
      <w:r>
        <w:rPr>
          <w:rFonts w:hint="default" w:ascii="Times New Roman" w:hAnsi="Times New Roman" w:eastAsia="仿宋_GB2312" w:cs="Times New Roman"/>
          <w:lang w:val="en-US" w:eastAsia="zh-CN"/>
        </w:rPr>
        <w:t>2020</w:t>
      </w:r>
      <w:r>
        <w:rPr>
          <w:rFonts w:hint="eastAsia" w:ascii="仿宋_GB2312" w:hAnsi="仿宋_GB2312" w:eastAsia="仿宋_GB2312" w:cs="仿宋_GB2312"/>
          <w:lang w:val="en-US" w:eastAsia="zh-CN"/>
        </w:rPr>
        <w:t>年完成修改、专家意见征询、报县委、县政府审定后，提交“县两会”</w:t>
      </w:r>
      <w:r>
        <w:rPr>
          <w:rFonts w:hint="eastAsia" w:ascii="仿宋_GB2312" w:hAnsi="仿宋_GB2312" w:cs="仿宋_GB2312"/>
          <w:lang w:val="en-US" w:eastAsia="zh-CN"/>
        </w:rPr>
        <w:t>讨论后，报经县人大审议并通过。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jc w:val="both"/>
        <w:textAlignment w:val="auto"/>
        <w:rPr>
          <w:rFonts w:hint="eastAsia" w:ascii="仿宋_GB2312" w:hAnsi="仿宋_GB2312" w:eastAsia="仿宋_GB2312" w:cs="仿宋_GB2312"/>
          <w:color w:val="auto"/>
        </w:rPr>
      </w:pPr>
      <w:r>
        <w:rPr>
          <w:rFonts w:hint="eastAsia" w:ascii="仿宋_GB2312" w:hAnsi="仿宋_GB2312" w:eastAsia="仿宋_GB2312" w:cs="仿宋_GB2312"/>
        </w:rPr>
        <w:t>（2）效果目标。</w:t>
      </w:r>
      <w:r>
        <w:rPr>
          <w:rFonts w:hint="eastAsia" w:ascii="仿宋_GB2312" w:hAnsi="仿宋_GB2312" w:eastAsia="仿宋_GB2312" w:cs="仿宋_GB2312"/>
          <w:color w:val="auto"/>
        </w:rPr>
        <w:t>为加快建设“山水园林卫星城</w:t>
      </w:r>
      <w:r>
        <w:rPr>
          <w:rFonts w:hint="eastAsia" w:ascii="仿宋_GB2312" w:hAnsi="仿宋_GB2312" w:cs="仿宋_GB2312"/>
          <w:color w:val="auto"/>
          <w:lang w:eastAsia="zh-CN"/>
        </w:rPr>
        <w:t>、休闲康养目的地</w:t>
      </w:r>
      <w:r>
        <w:rPr>
          <w:rFonts w:hint="eastAsia" w:ascii="仿宋_GB2312" w:hAnsi="仿宋_GB2312" w:eastAsia="仿宋_GB2312" w:cs="仿宋_GB2312"/>
          <w:color w:val="auto"/>
        </w:rPr>
        <w:t>”，坚定不移推进“融城发展”战略；坚定不移做好卫星城、绿色发展、休闲康养“三篇文章”；坚定不移建成服务主城发展区、绿色消费引领区、美丽县城典范区、乡村振兴示范区“四个区”；坚定不移塑造昆明近郊消费中心、螳川花园城市“两大品牌”，积极融入以国内大循环为主体、国内国际双循环相互促进的新发展格局，推进县域治理体系和治理能力现代化</w:t>
      </w:r>
      <w:r>
        <w:rPr>
          <w:rFonts w:hint="eastAsia" w:ascii="仿宋_GB2312" w:hAnsi="仿宋_GB2312" w:cs="仿宋_GB2312"/>
          <w:color w:val="auto"/>
          <w:lang w:eastAsia="zh-CN"/>
        </w:rPr>
        <w:t>，</w:t>
      </w:r>
      <w:r>
        <w:rPr>
          <w:rFonts w:hint="eastAsia" w:ascii="仿宋_GB2312" w:hAnsi="仿宋_GB2312" w:eastAsia="仿宋_GB2312" w:cs="仿宋_GB2312"/>
          <w:color w:val="auto"/>
        </w:rPr>
        <w:t>加快建立现代化经济体系提供可靠的规划保障和科学的政策指引。</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黑体" w:hAnsi="黑体" w:eastAsia="黑体" w:cs="黑体"/>
        </w:rPr>
      </w:pPr>
      <w:r>
        <w:rPr>
          <w:rFonts w:hint="eastAsia" w:ascii="黑体" w:hAnsi="黑体" w:eastAsia="黑体" w:cs="黑体"/>
        </w:rPr>
        <w:t>二、绩效评价工作情况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楷体" w:hAnsi="楷体" w:eastAsia="楷体" w:cs="楷体"/>
        </w:rPr>
        <w:t>（一）主要内容</w:t>
      </w:r>
      <w:r>
        <w:rPr>
          <w:rFonts w:hint="eastAsia" w:ascii="仿宋_GB2312" w:hAnsi="仿宋_GB2312" w:eastAsia="仿宋_GB2312" w:cs="仿宋_GB2312"/>
        </w:rPr>
        <w:t>：项目管理过程规范、产出目标</w:t>
      </w:r>
      <w:r>
        <w:rPr>
          <w:rFonts w:hint="eastAsia" w:ascii="仿宋_GB2312" w:hAnsi="仿宋_GB2312" w:eastAsia="仿宋_GB2312" w:cs="仿宋_GB2312"/>
          <w:lang w:eastAsia="zh-CN"/>
        </w:rPr>
        <w:t>已</w:t>
      </w:r>
      <w:r>
        <w:rPr>
          <w:rFonts w:hint="eastAsia" w:ascii="仿宋_GB2312" w:hAnsi="仿宋_GB2312" w:eastAsia="仿宋_GB2312" w:cs="仿宋_GB2312"/>
        </w:rPr>
        <w:t>完成。项目预算编制的合理、成本支出真实，控制有效，财政资金的使用效率和效果较好。</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楷体" w:hAnsi="楷体" w:eastAsia="楷体" w:cs="楷体"/>
        </w:rPr>
      </w:pPr>
      <w:r>
        <w:rPr>
          <w:rFonts w:hint="eastAsia" w:ascii="楷体" w:hAnsi="楷体" w:eastAsia="楷体" w:cs="楷体"/>
        </w:rPr>
        <w:t>（二）绩效评价原则、评价方法</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按照</w:t>
      </w:r>
      <w:r>
        <w:rPr>
          <w:rFonts w:hint="eastAsia" w:ascii="仿宋_GB2312" w:hAnsi="仿宋_GB2312" w:eastAsia="仿宋_GB2312" w:cs="仿宋_GB2312"/>
        </w:rPr>
        <w:t>科学规范、公开公正、</w:t>
      </w:r>
      <w:r>
        <w:rPr>
          <w:rFonts w:hint="eastAsia" w:ascii="仿宋_GB2312" w:hAnsi="仿宋_GB2312" w:eastAsia="仿宋_GB2312" w:cs="仿宋_GB2312"/>
          <w:lang w:eastAsia="zh-CN"/>
        </w:rPr>
        <w:t>分级分类、</w:t>
      </w:r>
      <w:r>
        <w:rPr>
          <w:rFonts w:hint="eastAsia" w:ascii="仿宋_GB2312" w:hAnsi="仿宋_GB2312" w:eastAsia="仿宋_GB2312" w:cs="仿宋_GB2312"/>
        </w:rPr>
        <w:t>绩效相关</w:t>
      </w:r>
      <w:r>
        <w:rPr>
          <w:rFonts w:hint="eastAsia" w:ascii="仿宋_GB2312" w:hAnsi="仿宋_GB2312" w:eastAsia="仿宋_GB2312" w:cs="仿宋_GB2312"/>
          <w:lang w:eastAsia="zh-CN"/>
        </w:rPr>
        <w:t>的评价原则，制定评价方案和评价指标体系，收集被评价项目的相关资料，对数据进行计算复核，在形成评价结论后，按照绩效评定的工作要求认真、严谨撰写绩效评价报告。</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黑体" w:hAnsi="黑体" w:eastAsia="黑体" w:cs="黑体"/>
        </w:rPr>
      </w:pPr>
      <w:r>
        <w:rPr>
          <w:rFonts w:hint="eastAsia" w:ascii="黑体" w:hAnsi="黑体" w:eastAsia="黑体" w:cs="黑体"/>
        </w:rPr>
        <w:t>三、评价结论</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楷体" w:hAnsi="楷体" w:eastAsia="楷体" w:cs="楷体"/>
        </w:rPr>
        <w:t>（一）评价结果。</w:t>
      </w:r>
      <w:r>
        <w:rPr>
          <w:rFonts w:hint="eastAsia" w:ascii="仿宋_GB2312" w:hAnsi="仿宋_GB2312" w:eastAsia="仿宋_GB2312" w:cs="仿宋_GB2312"/>
          <w:lang w:eastAsia="zh-CN"/>
        </w:rPr>
        <w:t>《纲要》编制</w:t>
      </w:r>
      <w:r>
        <w:rPr>
          <w:rFonts w:hint="eastAsia" w:ascii="仿宋_GB2312" w:hAnsi="仿宋_GB2312" w:eastAsia="仿宋_GB2312" w:cs="仿宋_GB2312"/>
        </w:rPr>
        <w:t>能够</w:t>
      </w:r>
      <w:r>
        <w:rPr>
          <w:rFonts w:hint="eastAsia" w:ascii="仿宋_GB2312" w:hAnsi="仿宋_GB2312" w:eastAsia="仿宋_GB2312" w:cs="仿宋_GB2312"/>
          <w:lang w:eastAsia="zh-CN"/>
        </w:rPr>
        <w:t>充分结合富民实际，编制科学化、规范化、民主化，能够</w:t>
      </w:r>
      <w:r>
        <w:rPr>
          <w:rFonts w:hint="eastAsia" w:ascii="仿宋_GB2312" w:hAnsi="仿宋_GB2312" w:eastAsia="仿宋_GB2312" w:cs="仿宋_GB2312"/>
        </w:rPr>
        <w:t>积极适应新变化，妥善应对新挑战，更好发挥发展规划的战略导向作用，</w:t>
      </w:r>
      <w:r>
        <w:rPr>
          <w:rFonts w:hint="eastAsia" w:ascii="仿宋_GB2312" w:hAnsi="仿宋_GB2312" w:eastAsia="仿宋_GB2312" w:cs="仿宋_GB2312"/>
          <w:lang w:eastAsia="zh-CN"/>
        </w:rPr>
        <w:t>为富民县经济规划和社会发展指明方向。</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楷体" w:hAnsi="楷体" w:eastAsia="楷体" w:cs="楷体"/>
        </w:rPr>
      </w:pPr>
      <w:r>
        <w:rPr>
          <w:rFonts w:hint="eastAsia" w:ascii="楷体" w:hAnsi="楷体" w:eastAsia="楷体" w:cs="楷体"/>
        </w:rPr>
        <w:t>（二）主要绩效。</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rPr>
        <w:t>（1）经济效益。</w:t>
      </w:r>
      <w:r>
        <w:rPr>
          <w:rFonts w:hint="eastAsia" w:ascii="仿宋_GB2312" w:hAnsi="仿宋_GB2312" w:eastAsia="仿宋_GB2312" w:cs="仿宋_GB2312"/>
          <w:lang w:eastAsia="zh-CN"/>
        </w:rPr>
        <w:t>《纲要》编制充分考虑全县经济由高速发展向高质量发展转变，对未来五年经济发展提出目标和任务。</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rPr>
        <w:t>（2）社会效益。</w:t>
      </w:r>
      <w:r>
        <w:rPr>
          <w:rFonts w:hint="eastAsia" w:ascii="仿宋_GB2312" w:hAnsi="仿宋_GB2312" w:eastAsia="仿宋_GB2312" w:cs="仿宋_GB2312"/>
          <w:lang w:eastAsia="zh-CN"/>
        </w:rPr>
        <w:t>《纲要》编制充分考虑全民共享改革成果，对未来五年社会事业发展提出目标和任务。</w:t>
      </w:r>
    </w:p>
    <w:p>
      <w:pPr>
        <w:keepNext w:val="0"/>
        <w:keepLines w:val="0"/>
        <w:pageBreakBefore w:val="0"/>
        <w:widowControl w:val="0"/>
        <w:kinsoku/>
        <w:wordWrap/>
        <w:overflowPunct/>
        <w:topLinePunct/>
        <w:autoSpaceDE/>
        <w:autoSpaceDN/>
        <w:bidi w:val="0"/>
        <w:adjustRightInd/>
        <w:snapToGrid/>
        <w:spacing w:line="560" w:lineRule="exact"/>
        <w:ind w:firstLine="800" w:firstLineChars="250"/>
        <w:jc w:val="both"/>
        <w:textAlignment w:val="auto"/>
        <w:rPr>
          <w:rFonts w:hint="eastAsia" w:ascii="仿宋_GB2312" w:hAnsi="仿宋_GB2312" w:eastAsia="仿宋_GB2312" w:cs="仿宋_GB2312"/>
          <w:lang w:eastAsia="zh-CN"/>
        </w:rPr>
      </w:pPr>
      <w:r>
        <w:rPr>
          <w:rFonts w:hint="eastAsia" w:ascii="仿宋_GB2312" w:hAnsi="仿宋_GB2312" w:cs="仿宋_GB2312"/>
          <w:lang w:eastAsia="zh-CN"/>
        </w:rPr>
        <w:t>（</w:t>
      </w:r>
      <w:r>
        <w:rPr>
          <w:rFonts w:hint="eastAsia" w:ascii="仿宋_GB2312" w:hAnsi="仿宋_GB2312" w:cs="仿宋_GB2312"/>
          <w:lang w:val="en-US" w:eastAsia="zh-CN"/>
        </w:rPr>
        <w:t>3</w:t>
      </w:r>
      <w:r>
        <w:rPr>
          <w:rFonts w:hint="eastAsia" w:ascii="仿宋_GB2312" w:hAnsi="仿宋_GB2312" w:cs="仿宋_GB2312"/>
          <w:lang w:eastAsia="zh-CN"/>
        </w:rPr>
        <w:t>）</w:t>
      </w:r>
      <w:r>
        <w:rPr>
          <w:rFonts w:hint="eastAsia" w:ascii="仿宋_GB2312" w:hAnsi="仿宋_GB2312" w:eastAsia="仿宋_GB2312" w:cs="仿宋_GB2312"/>
          <w:lang w:eastAsia="zh-CN"/>
        </w:rPr>
        <w:t>生态效益。《纲要》编制融入绿色生态发展理念，并提出未来五年生态建设目标。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eastAsia="zh-CN"/>
        </w:rPr>
      </w:pPr>
      <w:r>
        <w:rPr>
          <w:rFonts w:hint="eastAsia" w:ascii="仿宋_GB2312" w:hAnsi="仿宋_GB2312" w:cs="仿宋_GB2312"/>
          <w:lang w:eastAsia="zh-CN"/>
        </w:rPr>
        <w:t>（</w:t>
      </w:r>
      <w:r>
        <w:rPr>
          <w:rFonts w:hint="eastAsia" w:ascii="仿宋_GB2312" w:hAnsi="仿宋_GB2312" w:cs="仿宋_GB2312"/>
          <w:lang w:val="en-US" w:eastAsia="zh-CN"/>
        </w:rPr>
        <w:t>4</w:t>
      </w:r>
      <w:r>
        <w:rPr>
          <w:rFonts w:hint="eastAsia" w:ascii="仿宋_GB2312" w:hAnsi="仿宋_GB2312" w:cs="仿宋_GB2312"/>
          <w:lang w:eastAsia="zh-CN"/>
        </w:rPr>
        <w:t>）可持续性影响。是富民县未来五年经济社会发展的指导性纲领。</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黑体" w:hAnsi="黑体" w:eastAsia="黑体" w:cs="黑体"/>
        </w:rPr>
      </w:pPr>
      <w:r>
        <w:rPr>
          <w:rFonts w:hint="eastAsia" w:ascii="黑体" w:hAnsi="黑体" w:eastAsia="黑体" w:cs="黑体"/>
        </w:rPr>
        <w:t>四、成本效益分析。</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楷体" w:hAnsi="楷体" w:eastAsia="楷体" w:cs="楷体"/>
        </w:rPr>
      </w:pPr>
      <w:r>
        <w:rPr>
          <w:rFonts w:hint="eastAsia" w:ascii="楷体" w:hAnsi="楷体" w:eastAsia="楷体" w:cs="楷体"/>
          <w:lang w:eastAsia="zh-CN"/>
        </w:rPr>
        <w:t>（一）项目管理情况</w:t>
      </w:r>
      <w:r>
        <w:rPr>
          <w:rFonts w:hint="eastAsia" w:ascii="楷体" w:hAnsi="楷体" w:eastAsia="楷体" w:cs="楷体"/>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cs="仿宋_GB2312"/>
          <w:lang w:val="en-US" w:eastAsia="zh-CN"/>
        </w:rPr>
        <w:t>1.</w:t>
      </w:r>
      <w:r>
        <w:rPr>
          <w:rFonts w:hint="eastAsia" w:ascii="仿宋_GB2312" w:hAnsi="仿宋_GB2312" w:eastAsia="仿宋_GB2312" w:cs="仿宋_GB2312"/>
        </w:rPr>
        <w:t>成立富民县国民经济和社会发展第十四个五年规划和二O三五年远景目标纲要编制工作领导小组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成立以县长任组长，常务副县长任常务副组长，各位副县长任副组长，各职能部门主要领导为成员的富民县国民经济和社会发展“十四五”规划编制工作领导小组（以下简称“领导小组”），领导小组办公室设在县发改局，主要职责是按照领导小组的安排，研究、协调、督促、检查规划编制日常工作，协调组织“十四五”规划重大课题研究；督促“十四五”部门规划、重点专项规划的编制及组织上报审批；对工作进度及存在问题及时整理反馈；联系专家咨询及课题研究相关事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各镇（街道）、县属部门要建立相应工作机构，并设立联络员与领导小组办公室进行联络对接，同步开展“十四五”规划编制的各项工作。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cs="仿宋_GB2312"/>
          <w:lang w:val="en-US" w:eastAsia="zh-CN"/>
        </w:rPr>
        <w:t>2.</w:t>
      </w:r>
      <w:r>
        <w:rPr>
          <w:rFonts w:hint="eastAsia" w:ascii="仿宋_GB2312" w:hAnsi="仿宋_GB2312" w:eastAsia="仿宋_GB2312" w:cs="仿宋_GB2312"/>
        </w:rPr>
        <w:t>建立编制“十四五”规划专家咨询小组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根据需要，聘请较高水平专家组成专家咨询小组，全程参与编制咨询和研究。咨询小组受县政府委托对“十四五”规划研究编制中的重大课题组织咨询、评审。</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楷体" w:hAnsi="楷体" w:eastAsia="楷体" w:cs="楷体"/>
          <w:lang w:val="en-US" w:eastAsia="zh-CN"/>
        </w:rPr>
      </w:pPr>
      <w:r>
        <w:rPr>
          <w:rFonts w:hint="eastAsia" w:ascii="楷体" w:hAnsi="楷体" w:eastAsia="楷体" w:cs="楷体"/>
          <w:lang w:val="en-US" w:eastAsia="zh-CN"/>
        </w:rPr>
        <w:t>（二）资金管理情况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cs="仿宋_GB2312"/>
          <w:lang w:val="en-US" w:eastAsia="zh-CN"/>
        </w:rPr>
      </w:pPr>
      <w:r>
        <w:rPr>
          <w:rFonts w:hint="eastAsia" w:ascii="仿宋_GB2312" w:hAnsi="仿宋_GB2312" w:cs="仿宋_GB2312"/>
          <w:lang w:val="en-US" w:eastAsia="zh-CN"/>
        </w:rPr>
        <w:t>1.资金使用方向及支出结构</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cs="仿宋_GB2312"/>
          <w:lang w:val="en-US" w:eastAsia="zh-CN"/>
        </w:rPr>
      </w:pPr>
      <w:r>
        <w:rPr>
          <w:rFonts w:hint="eastAsia" w:ascii="仿宋_GB2312" w:hAnsi="仿宋_GB2312" w:cs="仿宋_GB2312"/>
          <w:lang w:val="en-US" w:eastAsia="zh-CN"/>
        </w:rPr>
        <w:t>《纲要》规划编制共</w:t>
      </w:r>
      <w:r>
        <w:rPr>
          <w:rFonts w:hint="default" w:ascii="Times New Roman" w:hAnsi="Times New Roman" w:cs="Times New Roman"/>
          <w:lang w:val="en-US" w:eastAsia="zh-CN"/>
        </w:rPr>
        <w:t>12</w:t>
      </w:r>
      <w:r>
        <w:rPr>
          <w:rFonts w:hint="eastAsia" w:ascii="仿宋_GB2312" w:hAnsi="仿宋_GB2312" w:cs="仿宋_GB2312"/>
          <w:lang w:val="en-US" w:eastAsia="zh-CN"/>
        </w:rPr>
        <w:t>个重点研究课题，</w:t>
      </w:r>
      <w:r>
        <w:rPr>
          <w:rFonts w:hint="default" w:ascii="Times New Roman" w:hAnsi="Times New Roman" w:cs="Times New Roman"/>
          <w:lang w:val="en-US" w:eastAsia="zh-CN"/>
        </w:rPr>
        <w:t>27</w:t>
      </w:r>
      <w:r>
        <w:rPr>
          <w:rFonts w:hint="eastAsia" w:ascii="仿宋_GB2312" w:hAnsi="仿宋_GB2312" w:cs="仿宋_GB2312"/>
          <w:lang w:val="en-US" w:eastAsia="zh-CN"/>
        </w:rPr>
        <w:t>个部门（行业）规划，</w:t>
      </w:r>
      <w:r>
        <w:rPr>
          <w:rFonts w:hint="default" w:ascii="Times New Roman" w:hAnsi="Times New Roman" w:cs="Times New Roman"/>
          <w:lang w:val="en-US" w:eastAsia="zh-CN"/>
        </w:rPr>
        <w:t>7</w:t>
      </w:r>
      <w:r>
        <w:rPr>
          <w:rFonts w:hint="eastAsia" w:ascii="仿宋_GB2312" w:hAnsi="仿宋_GB2312" w:cs="仿宋_GB2312"/>
          <w:lang w:val="en-US" w:eastAsia="zh-CN"/>
        </w:rPr>
        <w:t>个区域规划，根据编制完成情况按时拨付补助经费，重点研究课题</w:t>
      </w:r>
      <w:r>
        <w:rPr>
          <w:rFonts w:hint="default" w:ascii="Times New Roman" w:hAnsi="Times New Roman" w:cs="Times New Roman"/>
          <w:lang w:val="en-US" w:eastAsia="zh-CN"/>
        </w:rPr>
        <w:t>5</w:t>
      </w:r>
      <w:r>
        <w:rPr>
          <w:rFonts w:hint="eastAsia" w:ascii="仿宋_GB2312" w:hAnsi="仿宋_GB2312" w:cs="仿宋_GB2312"/>
          <w:lang w:val="en-US" w:eastAsia="zh-CN"/>
        </w:rPr>
        <w:t>万元、专项规划和区域规划各</w:t>
      </w:r>
      <w:r>
        <w:rPr>
          <w:rFonts w:hint="default" w:ascii="Times New Roman" w:hAnsi="Times New Roman" w:cs="Times New Roman"/>
          <w:lang w:val="en-US" w:eastAsia="zh-CN"/>
        </w:rPr>
        <w:t>1</w:t>
      </w:r>
      <w:r>
        <w:rPr>
          <w:rFonts w:hint="eastAsia" w:ascii="仿宋_GB2312" w:hAnsi="仿宋_GB2312" w:cs="仿宋_GB2312"/>
          <w:lang w:val="en-US" w:eastAsia="zh-CN"/>
        </w:rPr>
        <w:t>万元。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cs="仿宋_GB2312"/>
          <w:lang w:val="en-US" w:eastAsia="zh-CN"/>
        </w:rPr>
      </w:pPr>
      <w:r>
        <w:rPr>
          <w:rFonts w:hint="eastAsia" w:ascii="仿宋_GB2312" w:hAnsi="仿宋_GB2312" w:cs="仿宋_GB2312"/>
          <w:lang w:val="en-US" w:eastAsia="zh-CN"/>
        </w:rPr>
        <w:t>2.项目成本控制情况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仿宋_GB2312" w:hAnsi="仿宋_GB2312" w:cs="仿宋_GB2312"/>
          <w:lang w:val="en-US" w:eastAsia="zh-CN"/>
        </w:rPr>
      </w:pPr>
      <w:r>
        <w:rPr>
          <w:rFonts w:hint="eastAsia" w:ascii="仿宋_GB2312" w:hAnsi="仿宋_GB2312" w:cs="仿宋_GB2312"/>
          <w:lang w:val="en-US" w:eastAsia="zh-CN"/>
        </w:rPr>
        <w:t>富民县国民经济和社会发展第十四个五年规划和二O三五年远景目标纲要工作领导小组办公室严格按照相关程序逐级审批并办理资金拨付。</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黑体" w:hAnsi="黑体" w:eastAsia="黑体" w:cs="黑体"/>
        </w:rPr>
      </w:pPr>
      <w:r>
        <w:rPr>
          <w:rFonts w:hint="eastAsia" w:ascii="黑体" w:hAnsi="黑体" w:eastAsia="黑体" w:cs="黑体"/>
        </w:rPr>
        <w:t>五、主要经验及做法、存在的问题和建议</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楷体" w:hAnsi="楷体" w:eastAsia="楷体" w:cs="楷体"/>
          <w:color w:val="000000" w:themeColor="text1"/>
          <w14:textFill>
            <w14:solidFill>
              <w14:schemeClr w14:val="tx1"/>
            </w14:solidFill>
          </w14:textFill>
        </w:rPr>
      </w:pPr>
      <w:r>
        <w:rPr>
          <w:rFonts w:hint="eastAsia" w:ascii="楷体" w:hAnsi="楷体" w:eastAsia="楷体" w:cs="楷体"/>
          <w:color w:val="000000" w:themeColor="text1"/>
          <w14:textFill>
            <w14:solidFill>
              <w14:schemeClr w14:val="tx1"/>
            </w14:solidFill>
          </w14:textFill>
        </w:rPr>
        <w:t>（一）主要经验及做法。</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cs="仿宋_GB2312"/>
          <w:color w:val="000000" w:themeColor="text1"/>
          <w:lang w:eastAsia="zh-CN"/>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w:t>
      </w:r>
      <w:r>
        <w:rPr>
          <w:rFonts w:hint="eastAsia" w:ascii="仿宋_GB2312" w:hAnsi="仿宋_GB2312" w:cs="仿宋_GB2312"/>
          <w:color w:val="000000" w:themeColor="text1"/>
          <w:lang w:eastAsia="zh-CN"/>
          <w14:textFill>
            <w14:solidFill>
              <w14:schemeClr w14:val="tx1"/>
            </w14:solidFill>
          </w14:textFill>
        </w:rPr>
        <w:t>加强组织领导</w:t>
      </w: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cs="仿宋_GB2312"/>
          <w:color w:val="000000" w:themeColor="text1"/>
          <w:lang w:eastAsia="zh-CN"/>
          <w14:textFill>
            <w14:solidFill>
              <w14:schemeClr w14:val="tx1"/>
            </w14:solidFill>
          </w14:textFill>
        </w:rPr>
        <w:t>成立工作领导小组，明确责任分工，协调组织全域内规划编制日常工作；建立规划专家咨询小组，全程参与讨论研究，提供咨询，提出审查意见，确保课题研究、专项规划编制达到质量要求。</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仿宋_GB2312" w:hAnsi="仿宋_GB2312" w:cs="仿宋_GB2312"/>
          <w:color w:val="000000" w:themeColor="text1"/>
          <w:lang w:val="en-US" w:eastAsia="zh-CN"/>
          <w14:textFill>
            <w14:solidFill>
              <w14:schemeClr w14:val="tx1"/>
            </w14:solidFill>
          </w14:textFill>
        </w:rPr>
      </w:pPr>
      <w:r>
        <w:rPr>
          <w:rFonts w:hint="eastAsia" w:ascii="仿宋_GB2312" w:hAnsi="仿宋_GB2312" w:cs="仿宋_GB2312"/>
          <w:color w:val="000000" w:themeColor="text1"/>
          <w:lang w:val="en-US" w:eastAsia="zh-CN"/>
          <w14:textFill>
            <w14:solidFill>
              <w14:schemeClr w14:val="tx1"/>
            </w14:solidFill>
          </w14:textFill>
        </w:rPr>
        <w:t>2.完善监督机制。加强检查督促，形成汇报制度，定期上报各职能部门项目推进情况，以专报形式定期通报项目进展情况，全面掌握项目进度，确保所有项目按时保质完成。</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cs="仿宋_GB2312"/>
          <w:color w:val="000000" w:themeColor="text1"/>
          <w:lang w:val="en-US" w:eastAsia="zh-CN"/>
          <w14:textFill>
            <w14:solidFill>
              <w14:schemeClr w14:val="tx1"/>
            </w14:solidFill>
          </w14:textFill>
        </w:rPr>
        <w:t>3.</w:t>
      </w:r>
      <w:r>
        <w:rPr>
          <w:rFonts w:hint="eastAsia" w:ascii="仿宋_GB2312" w:hAnsi="仿宋_GB2312" w:eastAsia="仿宋_GB2312" w:cs="仿宋_GB2312"/>
          <w:color w:val="000000" w:themeColor="text1"/>
          <w14:textFill>
            <w14:solidFill>
              <w14:schemeClr w14:val="tx1"/>
            </w14:solidFill>
          </w14:textFill>
        </w:rPr>
        <w:t>健全制度管理。</w:t>
      </w:r>
      <w:r>
        <w:rPr>
          <w:rFonts w:hint="eastAsia" w:ascii="仿宋_GB2312" w:hAnsi="仿宋_GB2312" w:cs="仿宋_GB2312"/>
          <w:color w:val="000000" w:themeColor="text1"/>
          <w:lang w:eastAsia="zh-CN"/>
          <w14:textFill>
            <w14:solidFill>
              <w14:schemeClr w14:val="tx1"/>
            </w14:solidFill>
          </w14:textFill>
        </w:rPr>
        <w:t>规范化管理，</w:t>
      </w:r>
      <w:r>
        <w:rPr>
          <w:rFonts w:hint="eastAsia" w:ascii="仿宋_GB2312" w:hAnsi="仿宋_GB2312" w:eastAsia="仿宋_GB2312" w:cs="仿宋_GB2312"/>
          <w:color w:val="000000" w:themeColor="text1"/>
          <w14:textFill>
            <w14:solidFill>
              <w14:schemeClr w14:val="tx1"/>
            </w14:solidFill>
          </w14:textFill>
        </w:rPr>
        <w:t>为项目支出管理发挥预期绩效提供了制度保障。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楷体" w:cs="仿宋_GB2312"/>
          <w:color w:val="000000" w:themeColor="text1"/>
          <w:lang w:eastAsia="zh-CN"/>
          <w14:textFill>
            <w14:solidFill>
              <w14:schemeClr w14:val="tx1"/>
            </w14:solidFill>
          </w14:textFill>
        </w:rPr>
      </w:pPr>
      <w:r>
        <w:rPr>
          <w:rFonts w:hint="eastAsia" w:ascii="楷体" w:hAnsi="楷体" w:eastAsia="楷体" w:cs="楷体"/>
          <w:color w:val="000000" w:themeColor="text1"/>
          <w14:textFill>
            <w14:solidFill>
              <w14:schemeClr w14:val="tx1"/>
            </w14:solidFill>
          </w14:textFill>
        </w:rPr>
        <w:t>（二）存在的问题：</w:t>
      </w:r>
      <w:r>
        <w:rPr>
          <w:rFonts w:hint="eastAsia" w:ascii="仿宋_GB2312" w:hAnsi="仿宋_GB2312" w:cs="仿宋_GB2312"/>
          <w:color w:val="000000" w:themeColor="text1"/>
          <w:lang w:eastAsia="zh-CN"/>
          <w14:textFill>
            <w14:solidFill>
              <w14:schemeClr w14:val="tx1"/>
            </w14:solidFill>
          </w14:textFill>
        </w:rPr>
        <w:t>预算拨付资金滞后，资金和经费暂未完全拨付到位。</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lang w:eastAsia="zh-CN"/>
          <w14:textFill>
            <w14:solidFill>
              <w14:schemeClr w14:val="tx1"/>
            </w14:solidFill>
          </w14:textFill>
        </w:rPr>
      </w:pPr>
      <w:r>
        <w:rPr>
          <w:rFonts w:hint="eastAsia" w:ascii="楷体" w:hAnsi="楷体" w:eastAsia="楷体" w:cs="楷体"/>
          <w:color w:val="000000" w:themeColor="text1"/>
          <w14:textFill>
            <w14:solidFill>
              <w14:schemeClr w14:val="tx1"/>
            </w14:solidFill>
          </w14:textFill>
        </w:rPr>
        <w:t>（三）建议和改进措施。</w:t>
      </w:r>
      <w:r>
        <w:rPr>
          <w:rFonts w:hint="eastAsia" w:ascii="仿宋_GB2312" w:hAnsi="仿宋_GB2312" w:eastAsia="仿宋_GB2312" w:cs="仿宋_GB2312"/>
          <w:color w:val="000000" w:themeColor="text1"/>
          <w:lang w:eastAsia="zh-CN"/>
          <w14:textFill>
            <w14:solidFill>
              <w14:schemeClr w14:val="tx1"/>
            </w14:solidFill>
          </w14:textFill>
        </w:rPr>
        <w:t>做好预算分析常态化工作，定期做好预算支出财务分析，做好整体预算支出评价工作。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lang w:eastAsia="zh-CN"/>
          <w14:textFill>
            <w14:solidFill>
              <w14:schemeClr w14:val="tx1"/>
            </w14:solidFill>
          </w14:textFill>
        </w:rPr>
      </w:pPr>
    </w:p>
    <w:p>
      <w:pPr>
        <w:rPr>
          <w:sz w:val="21"/>
          <w:szCs w:val="21"/>
        </w:rPr>
      </w:pP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sz w:val="36"/>
                <w:szCs w:val="36"/>
              </w:rPr>
            </w:pPr>
            <w:r>
              <w:rPr>
                <w:rFonts w:ascii="黑体" w:eastAsia="黑体" w:cs="黑体"/>
                <w:sz w:val="36"/>
                <w:szCs w:val="36"/>
              </w:rPr>
              <w:t>20</w:t>
            </w:r>
            <w:r>
              <w:rPr>
                <w:rFonts w:hint="eastAsia" w:ascii="黑体" w:eastAsia="黑体" w:cs="黑体"/>
                <w:sz w:val="36"/>
                <w:szCs w:val="36"/>
                <w:lang w:val="en-US" w:eastAsia="zh-CN"/>
              </w:rPr>
              <w:t>20</w:t>
            </w:r>
            <w:r>
              <w:rPr>
                <w:rFonts w:hint="eastAsia" w:ascii="黑体" w:eastAsia="黑体" w:cs="黑体"/>
                <w:sz w:val="36"/>
                <w:szCs w:val="36"/>
              </w:rPr>
              <w:t>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sz w:val="21"/>
                <w:szCs w:val="21"/>
              </w:rPr>
            </w:pPr>
            <w:r>
              <w:rPr>
                <w:rFonts w:hint="eastAsia" w:cs="仿宋_GB2312"/>
                <w:sz w:val="21"/>
                <w:szCs w:val="21"/>
              </w:rPr>
              <w:t>一级</w:t>
            </w:r>
            <w:r>
              <w:rPr>
                <w:sz w:val="21"/>
                <w:szCs w:val="21"/>
              </w:rPr>
              <w:br w:type="textWrapping"/>
            </w:r>
            <w:r>
              <w:rPr>
                <w:rFonts w:hint="eastAsia" w:cs="仿宋_GB2312"/>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sz w:val="21"/>
                <w:szCs w:val="21"/>
              </w:rPr>
            </w:pPr>
            <w:r>
              <w:rPr>
                <w:rFonts w:hint="eastAsia" w:cs="仿宋_GB2312"/>
                <w:sz w:val="21"/>
                <w:szCs w:val="21"/>
              </w:rPr>
              <w:t>二级</w:t>
            </w:r>
          </w:p>
          <w:p>
            <w:pPr>
              <w:jc w:val="center"/>
              <w:rPr>
                <w:sz w:val="21"/>
                <w:szCs w:val="21"/>
              </w:rPr>
            </w:pPr>
            <w:r>
              <w:rPr>
                <w:rFonts w:hint="eastAsia" w:cs="仿宋_GB2312"/>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sz w:val="21"/>
                <w:szCs w:val="21"/>
              </w:rPr>
            </w:pPr>
            <w:r>
              <w:rPr>
                <w:rFonts w:hint="eastAsia" w:cs="仿宋_GB2312"/>
                <w:sz w:val="21"/>
                <w:szCs w:val="21"/>
              </w:rPr>
              <w:t>三级</w:t>
            </w:r>
          </w:p>
          <w:p>
            <w:pPr>
              <w:jc w:val="center"/>
              <w:rPr>
                <w:sz w:val="21"/>
                <w:szCs w:val="21"/>
              </w:rPr>
            </w:pPr>
            <w:r>
              <w:rPr>
                <w:rFonts w:hint="eastAsia" w:cs="仿宋_GB2312"/>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sz w:val="21"/>
                <w:szCs w:val="21"/>
              </w:rPr>
            </w:pPr>
            <w:r>
              <w:rPr>
                <w:rFonts w:hint="eastAsia" w:cs="仿宋_GB2312"/>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sz w:val="21"/>
                <w:szCs w:val="21"/>
              </w:rPr>
            </w:pPr>
            <w:r>
              <w:rPr>
                <w:rFonts w:hint="eastAsia" w:cs="仿宋_GB2312"/>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rFonts w:hint="eastAsia" w:cs="仿宋_GB2312"/>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sz w:val="21"/>
                <w:szCs w:val="21"/>
              </w:rPr>
            </w:pPr>
            <w:r>
              <w:rPr>
                <w:rFonts w:hint="eastAsia" w:cs="仿宋_GB2312"/>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sz w:val="21"/>
                <w:szCs w:val="21"/>
              </w:rPr>
            </w:pPr>
            <w:r>
              <w:rPr>
                <w:rFonts w:hint="eastAsia" w:cs="仿宋_GB2312"/>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cs="仿宋_GB2312"/>
                <w:sz w:val="15"/>
                <w:szCs w:val="15"/>
              </w:rPr>
              <w:t>一、项目决策（</w:t>
            </w:r>
            <w:r>
              <w:rPr>
                <w:rFonts w:ascii="仿宋_GB2312" w:cs="仿宋_GB2312"/>
                <w:sz w:val="15"/>
                <w:szCs w:val="15"/>
              </w:rPr>
              <w:t>20</w:t>
            </w:r>
            <w:r>
              <w:rPr>
                <w:rFonts w:hint="eastAsia" w:ascii="仿宋_GB2312" w:cs="仿宋_GB2312"/>
                <w:sz w:val="15"/>
                <w:szCs w:val="15"/>
              </w:rPr>
              <w:t>分）</w:t>
            </w:r>
          </w:p>
        </w:tc>
        <w:tc>
          <w:tcPr>
            <w:tcW w:w="640" w:type="dxa"/>
            <w:vMerge w:val="restart"/>
            <w:vAlign w:val="center"/>
          </w:tcPr>
          <w:p>
            <w:pPr>
              <w:spacing w:line="240" w:lineRule="exact"/>
              <w:rPr>
                <w:rFonts w:ascii="仿宋_GB2312" w:cs="仿宋_GB2312"/>
                <w:sz w:val="15"/>
                <w:szCs w:val="15"/>
              </w:rPr>
            </w:pPr>
            <w:r>
              <w:rPr>
                <w:rFonts w:ascii="仿宋_GB2312" w:cs="仿宋_GB2312"/>
                <w:sz w:val="15"/>
                <w:szCs w:val="15"/>
              </w:rPr>
              <w:t>1</w:t>
            </w:r>
            <w:r>
              <w:rPr>
                <w:rFonts w:hint="eastAsia" w:ascii="仿宋_GB2312" w:cs="仿宋_GB2312"/>
                <w:sz w:val="15"/>
                <w:szCs w:val="15"/>
              </w:rPr>
              <w:t>项目立项</w:t>
            </w:r>
            <w:r>
              <w:rPr>
                <w:rFonts w:ascii="仿宋_GB2312" w:cs="仿宋_GB2312"/>
                <w:sz w:val="15"/>
                <w:szCs w:val="15"/>
              </w:rPr>
              <w:t>(10)</w:t>
            </w:r>
          </w:p>
        </w:tc>
        <w:tc>
          <w:tcPr>
            <w:tcW w:w="1173" w:type="dxa"/>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与部门中长期规划目标适应性。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4</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cs="仿宋_GB2312"/>
                <w:sz w:val="15"/>
                <w:szCs w:val="15"/>
              </w:rPr>
              <w:t>①部门年度工作目标是否明确设定，得</w:t>
            </w:r>
            <w:r>
              <w:rPr>
                <w:rFonts w:ascii="仿宋_GB2312" w:cs="仿宋_GB2312"/>
                <w:sz w:val="15"/>
                <w:szCs w:val="15"/>
              </w:rPr>
              <w:t>2</w:t>
            </w:r>
            <w:r>
              <w:rPr>
                <w:rFonts w:hint="eastAsia" w:ascii="仿宋_GB2312" w:cs="仿宋_GB2312"/>
                <w:sz w:val="15"/>
                <w:szCs w:val="15"/>
              </w:rPr>
              <w:t>分；②年度工作目标与部门中长期规划目标一致，得</w:t>
            </w:r>
            <w:r>
              <w:rPr>
                <w:rFonts w:ascii="仿宋_GB2312" w:cs="仿宋_GB2312"/>
                <w:sz w:val="15"/>
                <w:szCs w:val="15"/>
              </w:rPr>
              <w:t>2</w:t>
            </w:r>
            <w:r>
              <w:rPr>
                <w:rFonts w:hint="eastAsia" w:ascii="仿宋_GB2312" w:cs="仿宋_GB2312"/>
                <w:sz w:val="15"/>
                <w:szCs w:val="15"/>
              </w:rPr>
              <w:t>分。</w:t>
            </w:r>
          </w:p>
        </w:tc>
        <w:tc>
          <w:tcPr>
            <w:tcW w:w="1369" w:type="dxa"/>
            <w:vAlign w:val="center"/>
          </w:tcPr>
          <w:p>
            <w:pPr>
              <w:spacing w:line="240" w:lineRule="exact"/>
              <w:rPr>
                <w:rFonts w:ascii="仿宋_GB2312"/>
                <w:sz w:val="15"/>
                <w:szCs w:val="15"/>
              </w:rPr>
            </w:pPr>
            <w:r>
              <w:rPr>
                <w:rFonts w:hint="eastAsia" w:ascii="仿宋_GB2312" w:cs="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立项依据充分性。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cs="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3.</w:t>
            </w:r>
            <w:r>
              <w:rPr>
                <w:rFonts w:hint="eastAsia" w:ascii="仿宋_GB2312" w:cs="仿宋_GB2312"/>
                <w:sz w:val="15"/>
                <w:szCs w:val="15"/>
              </w:rPr>
              <w:t>项目立项规范性。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cs="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cs="仿宋_GB2312"/>
                <w:sz w:val="15"/>
                <w:szCs w:val="15"/>
              </w:rPr>
            </w:pPr>
            <w:r>
              <w:rPr>
                <w:rFonts w:ascii="仿宋_GB2312" w:cs="仿宋_GB2312"/>
                <w:sz w:val="15"/>
                <w:szCs w:val="15"/>
              </w:rPr>
              <w:t>2</w:t>
            </w:r>
            <w:r>
              <w:rPr>
                <w:rFonts w:hint="eastAsia" w:ascii="仿宋_GB2312" w:cs="仿宋_GB2312"/>
                <w:sz w:val="15"/>
                <w:szCs w:val="15"/>
              </w:rPr>
              <w:t>项目目标</w:t>
            </w:r>
            <w:r>
              <w:rPr>
                <w:rFonts w:ascii="仿宋_GB2312" w:cs="仿宋_GB2312"/>
                <w:sz w:val="15"/>
                <w:szCs w:val="15"/>
              </w:rPr>
              <w:t>(10)</w:t>
            </w:r>
          </w:p>
        </w:tc>
        <w:tc>
          <w:tcPr>
            <w:tcW w:w="1173" w:type="dxa"/>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绩效目标设定的合理性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cs="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绩效指标设定的明确性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cs="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cs="仿宋_GB2312"/>
                <w:sz w:val="18"/>
                <w:szCs w:val="18"/>
              </w:rPr>
              <w:t>二、项目管理（</w:t>
            </w:r>
            <w:r>
              <w:rPr>
                <w:rFonts w:ascii="仿宋_GB2312" w:cs="仿宋_GB2312"/>
                <w:sz w:val="18"/>
                <w:szCs w:val="18"/>
              </w:rPr>
              <w:t>20</w:t>
            </w:r>
            <w:r>
              <w:rPr>
                <w:rFonts w:hint="eastAsia" w:ascii="仿宋_GB2312" w:cs="仿宋_GB2312"/>
                <w:sz w:val="18"/>
                <w:szCs w:val="18"/>
              </w:rPr>
              <w:t>分）</w:t>
            </w:r>
          </w:p>
        </w:tc>
        <w:tc>
          <w:tcPr>
            <w:tcW w:w="640" w:type="dxa"/>
            <w:vMerge w:val="restart"/>
            <w:vAlign w:val="center"/>
          </w:tcPr>
          <w:p>
            <w:pPr>
              <w:spacing w:line="240" w:lineRule="exact"/>
              <w:rPr>
                <w:rFonts w:ascii="仿宋_GB2312"/>
                <w:sz w:val="18"/>
                <w:szCs w:val="18"/>
              </w:rPr>
            </w:pPr>
            <w:r>
              <w:rPr>
                <w:rFonts w:ascii="仿宋_GB2312" w:cs="仿宋_GB2312"/>
                <w:sz w:val="15"/>
                <w:szCs w:val="15"/>
              </w:rPr>
              <w:t>1</w:t>
            </w:r>
            <w:r>
              <w:rPr>
                <w:rFonts w:hint="eastAsia" w:ascii="仿宋_GB2312" w:cs="仿宋_GB2312"/>
                <w:sz w:val="15"/>
                <w:szCs w:val="15"/>
              </w:rPr>
              <w:t>投入管理（</w:t>
            </w:r>
            <w:r>
              <w:rPr>
                <w:rFonts w:ascii="仿宋_GB2312" w:cs="仿宋_GB2312"/>
                <w:sz w:val="15"/>
                <w:szCs w:val="15"/>
              </w:rPr>
              <w:t>4</w:t>
            </w:r>
            <w:r>
              <w:rPr>
                <w:rFonts w:hint="eastAsia" w:ascii="仿宋_GB2312" w:cs="仿宋_GB2312"/>
                <w:sz w:val="15"/>
                <w:szCs w:val="15"/>
              </w:rPr>
              <w:t>）</w:t>
            </w:r>
          </w:p>
        </w:tc>
        <w:tc>
          <w:tcPr>
            <w:tcW w:w="1173" w:type="dxa"/>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预算编制合理性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2</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cs="仿宋_GB2312"/>
                <w:sz w:val="15"/>
                <w:szCs w:val="15"/>
              </w:rPr>
              <w:t>合理得满分；存在一项不合理，扣</w:t>
            </w:r>
            <w:r>
              <w:rPr>
                <w:rFonts w:ascii="仿宋_GB2312" w:cs="仿宋_GB2312"/>
                <w:sz w:val="15"/>
                <w:szCs w:val="15"/>
              </w:rPr>
              <w:t>0.5</w:t>
            </w:r>
            <w:r>
              <w:rPr>
                <w:rFonts w:hint="eastAsia" w:ascii="仿宋_GB2312" w:cs="仿宋_GB2312"/>
                <w:sz w:val="15"/>
                <w:szCs w:val="15"/>
              </w:rPr>
              <w:t>分，扣完为止。</w:t>
            </w:r>
          </w:p>
        </w:tc>
        <w:tc>
          <w:tcPr>
            <w:tcW w:w="1369" w:type="dxa"/>
            <w:vAlign w:val="center"/>
          </w:tcPr>
          <w:p>
            <w:pPr>
              <w:spacing w:line="240" w:lineRule="exact"/>
              <w:rPr>
                <w:rFonts w:ascii="仿宋_GB2312"/>
                <w:sz w:val="15"/>
                <w:szCs w:val="15"/>
              </w:rPr>
            </w:pPr>
            <w:r>
              <w:rPr>
                <w:rFonts w:hint="eastAsia" w:ascii="仿宋_GB2312" w:cs="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预算执行率</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2</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2</w:t>
            </w:r>
          </w:p>
        </w:tc>
        <w:tc>
          <w:tcPr>
            <w:tcW w:w="2268" w:type="dxa"/>
            <w:vAlign w:val="center"/>
          </w:tcPr>
          <w:p>
            <w:pPr>
              <w:spacing w:line="240" w:lineRule="exact"/>
              <w:rPr>
                <w:rFonts w:ascii="仿宋_GB2312" w:cs="仿宋_GB2312"/>
                <w:sz w:val="15"/>
                <w:szCs w:val="15"/>
              </w:rPr>
            </w:pPr>
            <w:r>
              <w:rPr>
                <w:rFonts w:hint="eastAsia" w:ascii="仿宋_GB2312" w:cs="仿宋_GB2312"/>
                <w:sz w:val="15"/>
                <w:szCs w:val="15"/>
              </w:rPr>
              <w:t>考察项目预算执行的进度。预算执行率</w:t>
            </w:r>
            <w:r>
              <w:rPr>
                <w:rFonts w:ascii="仿宋_GB2312" w:cs="仿宋_GB2312"/>
                <w:sz w:val="15"/>
                <w:szCs w:val="15"/>
              </w:rPr>
              <w:t>=</w:t>
            </w:r>
            <w:r>
              <w:rPr>
                <w:rFonts w:hint="eastAsia" w:ascii="仿宋_GB2312" w:cs="仿宋_GB2312"/>
                <w:sz w:val="15"/>
                <w:szCs w:val="15"/>
              </w:rPr>
              <w:t>实际支出金额</w:t>
            </w:r>
            <w:r>
              <w:rPr>
                <w:rFonts w:ascii="仿宋_GB2312" w:cs="仿宋_GB2312"/>
                <w:sz w:val="15"/>
                <w:szCs w:val="15"/>
              </w:rPr>
              <w:t>/</w:t>
            </w:r>
            <w:r>
              <w:rPr>
                <w:rFonts w:hint="eastAsia" w:ascii="仿宋_GB2312" w:cs="仿宋_GB2312"/>
                <w:sz w:val="15"/>
                <w:szCs w:val="15"/>
              </w:rPr>
              <w:t>项目预算金额×</w:t>
            </w:r>
            <w:r>
              <w:rPr>
                <w:rFonts w:ascii="仿宋_GB2312" w:cs="仿宋_GB2312"/>
                <w:sz w:val="15"/>
                <w:szCs w:val="15"/>
              </w:rPr>
              <w:t>100%</w:t>
            </w:r>
          </w:p>
        </w:tc>
        <w:tc>
          <w:tcPr>
            <w:tcW w:w="2126" w:type="dxa"/>
            <w:vAlign w:val="center"/>
          </w:tcPr>
          <w:p>
            <w:pPr>
              <w:spacing w:line="240" w:lineRule="exact"/>
              <w:rPr>
                <w:rFonts w:ascii="仿宋_GB2312"/>
                <w:sz w:val="15"/>
                <w:szCs w:val="15"/>
              </w:rPr>
            </w:pPr>
            <w:r>
              <w:rPr>
                <w:rFonts w:hint="eastAsia" w:ascii="仿宋_GB2312" w:cs="仿宋_GB2312"/>
                <w:sz w:val="15"/>
                <w:szCs w:val="15"/>
              </w:rPr>
              <w:t>预算执行率</w:t>
            </w:r>
            <w:r>
              <w:rPr>
                <w:rFonts w:ascii="仿宋_GB2312" w:cs="仿宋_GB2312"/>
                <w:sz w:val="15"/>
                <w:szCs w:val="15"/>
              </w:rPr>
              <w:t>95%</w:t>
            </w:r>
            <w:r>
              <w:rPr>
                <w:rFonts w:hint="eastAsia" w:ascii="仿宋_GB2312" w:cs="仿宋_GB2312"/>
                <w:sz w:val="15"/>
                <w:szCs w:val="15"/>
              </w:rPr>
              <w:t>以上，得满分；低于</w:t>
            </w:r>
            <w:r>
              <w:rPr>
                <w:rFonts w:ascii="仿宋_GB2312" w:cs="仿宋_GB2312"/>
                <w:sz w:val="15"/>
                <w:szCs w:val="15"/>
              </w:rPr>
              <w:t>95%</w:t>
            </w:r>
            <w:r>
              <w:rPr>
                <w:rFonts w:hint="eastAsia" w:ascii="仿宋_GB2312" w:cs="仿宋_GB2312"/>
                <w:sz w:val="15"/>
                <w:szCs w:val="15"/>
              </w:rPr>
              <w:t>，每下降</w:t>
            </w:r>
            <w:r>
              <w:rPr>
                <w:rFonts w:ascii="仿宋_GB2312" w:cs="仿宋_GB2312"/>
                <w:sz w:val="15"/>
                <w:szCs w:val="15"/>
              </w:rPr>
              <w:t>1%</w:t>
            </w:r>
            <w:r>
              <w:rPr>
                <w:rFonts w:hint="eastAsia" w:ascii="仿宋_GB2312" w:cs="仿宋_GB2312"/>
                <w:sz w:val="15"/>
                <w:szCs w:val="15"/>
              </w:rPr>
              <w:t>扣权重的</w:t>
            </w:r>
            <w:r>
              <w:rPr>
                <w:rFonts w:ascii="仿宋_GB2312" w:cs="仿宋_GB2312"/>
                <w:sz w:val="15"/>
                <w:szCs w:val="15"/>
              </w:rPr>
              <w:t>1%</w:t>
            </w:r>
            <w:r>
              <w:rPr>
                <w:rFonts w:hint="eastAsia" w:ascii="仿宋_GB2312" w:cs="仿宋_GB2312"/>
                <w:sz w:val="15"/>
                <w:szCs w:val="15"/>
              </w:rPr>
              <w:t>；预算执行率</w:t>
            </w:r>
            <w:r>
              <w:rPr>
                <w:rFonts w:ascii="仿宋_GB2312" w:cs="仿宋_GB2312"/>
                <w:sz w:val="15"/>
                <w:szCs w:val="15"/>
              </w:rPr>
              <w:t>60%</w:t>
            </w:r>
            <w:r>
              <w:rPr>
                <w:rFonts w:hint="eastAsia" w:ascii="仿宋_GB2312" w:cs="仿宋_GB2312"/>
                <w:sz w:val="15"/>
                <w:szCs w:val="15"/>
              </w:rPr>
              <w:t>以下，不计分。</w:t>
            </w:r>
          </w:p>
        </w:tc>
        <w:tc>
          <w:tcPr>
            <w:tcW w:w="1369" w:type="dxa"/>
            <w:vAlign w:val="center"/>
          </w:tcPr>
          <w:p>
            <w:pPr>
              <w:spacing w:line="240" w:lineRule="exact"/>
              <w:rPr>
                <w:rFonts w:ascii="仿宋_GB2312"/>
                <w:sz w:val="15"/>
                <w:szCs w:val="15"/>
              </w:rPr>
            </w:pPr>
            <w:r>
              <w:rPr>
                <w:rFonts w:hint="eastAsia" w:ascii="仿宋_GB2312" w:cs="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ascii="仿宋_GB2312" w:cs="仿宋_GB2312"/>
                <w:sz w:val="15"/>
                <w:szCs w:val="15"/>
              </w:rPr>
              <w:t>2.</w:t>
            </w:r>
            <w:r>
              <w:rPr>
                <w:rFonts w:hint="eastAsia" w:ascii="仿宋_GB2312" w:cs="仿宋_GB2312"/>
                <w:sz w:val="15"/>
                <w:szCs w:val="15"/>
              </w:rPr>
              <w:t>财务管理（</w:t>
            </w:r>
            <w:r>
              <w:rPr>
                <w:rFonts w:ascii="仿宋_GB2312" w:cs="仿宋_GB2312"/>
                <w:sz w:val="15"/>
                <w:szCs w:val="15"/>
              </w:rPr>
              <w:t>6</w:t>
            </w:r>
            <w:r>
              <w:rPr>
                <w:rFonts w:hint="eastAsia" w:ascii="仿宋_GB2312" w:cs="仿宋_GB2312"/>
                <w:sz w:val="15"/>
                <w:szCs w:val="15"/>
              </w:rPr>
              <w:t>）</w:t>
            </w:r>
          </w:p>
        </w:tc>
        <w:tc>
          <w:tcPr>
            <w:tcW w:w="1173" w:type="dxa"/>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资金使用情况</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cs="仿宋_GB2312"/>
                <w:sz w:val="15"/>
                <w:szCs w:val="15"/>
              </w:rPr>
              <w:t>合规，得满分；存在一项不合规，扣</w:t>
            </w:r>
            <w:r>
              <w:rPr>
                <w:rFonts w:ascii="仿宋_GB2312" w:cs="仿宋_GB2312"/>
                <w:sz w:val="15"/>
                <w:szCs w:val="15"/>
              </w:rPr>
              <w:t>1</w:t>
            </w:r>
            <w:r>
              <w:rPr>
                <w:rFonts w:hint="eastAsia" w:ascii="仿宋_GB2312" w:cs="仿宋_GB2312"/>
                <w:sz w:val="15"/>
                <w:szCs w:val="15"/>
              </w:rPr>
              <w:t>分，扣完为止。</w:t>
            </w:r>
          </w:p>
        </w:tc>
        <w:tc>
          <w:tcPr>
            <w:tcW w:w="1369" w:type="dxa"/>
            <w:vAlign w:val="center"/>
          </w:tcPr>
          <w:p>
            <w:pPr>
              <w:spacing w:line="240" w:lineRule="exact"/>
              <w:rPr>
                <w:rFonts w:ascii="仿宋_GB2312"/>
                <w:sz w:val="15"/>
                <w:szCs w:val="15"/>
              </w:rPr>
            </w:pPr>
            <w:r>
              <w:rPr>
                <w:rFonts w:hint="eastAsia" w:ascii="仿宋_GB2312" w:cs="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财务管理制度健全性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考察项目的财务制度是否健全、完善、有效。</w:t>
            </w:r>
          </w:p>
        </w:tc>
        <w:tc>
          <w:tcPr>
            <w:tcW w:w="2126" w:type="dxa"/>
            <w:vAlign w:val="center"/>
          </w:tcPr>
          <w:p>
            <w:pPr>
              <w:spacing w:line="240" w:lineRule="exact"/>
              <w:rPr>
                <w:rFonts w:ascii="仿宋_GB2312" w:cs="仿宋_GB2312"/>
                <w:sz w:val="15"/>
                <w:szCs w:val="15"/>
              </w:rPr>
            </w:pPr>
            <w:r>
              <w:rPr>
                <w:rFonts w:ascii="仿宋_GB2312" w:cs="仿宋_GB2312"/>
                <w:sz w:val="15"/>
                <w:szCs w:val="15"/>
              </w:rPr>
              <w:t>a.</w:t>
            </w:r>
            <w:r>
              <w:rPr>
                <w:rFonts w:hint="eastAsia" w:ascii="仿宋_GB2312" w:cs="仿宋_GB2312"/>
                <w:sz w:val="15"/>
                <w:szCs w:val="15"/>
              </w:rPr>
              <w:t>是否已制定相应的财务管理办法；</w:t>
            </w:r>
            <w:r>
              <w:rPr>
                <w:rFonts w:ascii="仿宋_GB2312" w:cs="仿宋_GB2312"/>
                <w:sz w:val="15"/>
                <w:szCs w:val="15"/>
              </w:rPr>
              <w:t>b.</w:t>
            </w:r>
            <w:r>
              <w:rPr>
                <w:rFonts w:hint="eastAsia" w:ascii="仿宋_GB2312" w:cs="仿宋_GB2312"/>
                <w:sz w:val="15"/>
                <w:szCs w:val="15"/>
              </w:rPr>
              <w:t>项目财务管理办法是否符合相关财务会计制度的规定；符合所有条件，得满分；</w:t>
            </w:r>
            <w:r>
              <w:rPr>
                <w:rFonts w:ascii="仿宋_GB2312" w:cs="仿宋_GB2312"/>
                <w:sz w:val="15"/>
                <w:szCs w:val="15"/>
              </w:rPr>
              <w:t xml:space="preserve"> </w:t>
            </w:r>
            <w:r>
              <w:rPr>
                <w:rFonts w:hint="eastAsia" w:ascii="仿宋_GB2312" w:cs="仿宋_GB2312"/>
                <w:sz w:val="15"/>
                <w:szCs w:val="15"/>
              </w:rPr>
              <w:t>一项不符合，扣</w:t>
            </w:r>
            <w:r>
              <w:rPr>
                <w:rFonts w:ascii="仿宋_GB2312" w:cs="仿宋_GB2312"/>
                <w:sz w:val="15"/>
                <w:szCs w:val="15"/>
              </w:rPr>
              <w:t>1</w:t>
            </w:r>
            <w:r>
              <w:rPr>
                <w:rFonts w:hint="eastAsia" w:ascii="仿宋_GB2312" w:cs="仿宋_GB2312"/>
                <w:sz w:val="15"/>
                <w:szCs w:val="15"/>
              </w:rPr>
              <w:t>分，扣完为止。</w:t>
            </w:r>
            <w:r>
              <w:rPr>
                <w:rFonts w:ascii="仿宋_GB2312" w:cs="仿宋_GB2312"/>
                <w:sz w:val="15"/>
                <w:szCs w:val="15"/>
              </w:rPr>
              <w:t xml:space="preserve">                                                                  </w:t>
            </w:r>
          </w:p>
        </w:tc>
        <w:tc>
          <w:tcPr>
            <w:tcW w:w="1369" w:type="dxa"/>
            <w:vAlign w:val="center"/>
          </w:tcPr>
          <w:p>
            <w:pPr>
              <w:spacing w:line="240" w:lineRule="exact"/>
              <w:rPr>
                <w:rFonts w:ascii="仿宋_GB2312"/>
                <w:sz w:val="15"/>
                <w:szCs w:val="15"/>
              </w:rPr>
            </w:pPr>
            <w:r>
              <w:rPr>
                <w:rFonts w:hint="eastAsia" w:ascii="仿宋_GB2312" w:cs="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ascii="仿宋_GB2312" w:cs="仿宋_GB2312"/>
                <w:sz w:val="15"/>
                <w:szCs w:val="15"/>
              </w:rPr>
              <w:t>3.</w:t>
            </w:r>
            <w:r>
              <w:rPr>
                <w:rFonts w:hint="eastAsia" w:ascii="仿宋_GB2312" w:cs="仿宋_GB2312"/>
                <w:sz w:val="15"/>
                <w:szCs w:val="15"/>
              </w:rPr>
              <w:t>项目实施（</w:t>
            </w:r>
            <w:r>
              <w:rPr>
                <w:rFonts w:ascii="仿宋_GB2312" w:cs="仿宋_GB2312"/>
                <w:sz w:val="15"/>
                <w:szCs w:val="15"/>
              </w:rPr>
              <w:t>10</w:t>
            </w:r>
            <w:r>
              <w:rPr>
                <w:rFonts w:hint="eastAsia" w:ascii="仿宋_GB2312" w:cs="仿宋_GB2312"/>
                <w:sz w:val="15"/>
                <w:szCs w:val="15"/>
              </w:rPr>
              <w:t>）</w:t>
            </w:r>
          </w:p>
        </w:tc>
        <w:tc>
          <w:tcPr>
            <w:tcW w:w="1173" w:type="dxa"/>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项目管理制度健全性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cs="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cs="仿宋_GB2312"/>
                <w:sz w:val="15"/>
                <w:szCs w:val="15"/>
              </w:rPr>
              <w:t>制订制度或采取措施，得满分；制度不完善或措施不明确，得权重的</w:t>
            </w:r>
            <w:r>
              <w:rPr>
                <w:rFonts w:ascii="仿宋_GB2312" w:cs="仿宋_GB2312"/>
                <w:sz w:val="15"/>
                <w:szCs w:val="15"/>
              </w:rPr>
              <w:t>60%</w:t>
            </w:r>
            <w:r>
              <w:rPr>
                <w:rFonts w:hint="eastAsia" w:ascii="仿宋_GB2312" w:cs="仿宋_GB2312"/>
                <w:sz w:val="15"/>
                <w:szCs w:val="15"/>
              </w:rPr>
              <w:t>；没有相关制度或措施，不得分。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项目管理制度执行有效性</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552" w:type="dxa"/>
            <w:vAlign w:val="center"/>
          </w:tcPr>
          <w:p>
            <w:pPr>
              <w:spacing w:line="240" w:lineRule="exact"/>
              <w:ind w:firstLine="180" w:firstLineChars="100"/>
              <w:jc w:val="both"/>
              <w:rPr>
                <w:rFonts w:ascii="仿宋_GB2312" w:cs="仿宋_GB2312"/>
                <w:sz w:val="18"/>
                <w:szCs w:val="18"/>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cs="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cs="仿宋_GB2312"/>
                <w:sz w:val="15"/>
                <w:szCs w:val="15"/>
              </w:rPr>
              <w:t>有效执行，得满分；部分执行，得权重的</w:t>
            </w:r>
            <w:r>
              <w:rPr>
                <w:rFonts w:ascii="仿宋_GB2312" w:cs="仿宋_GB2312"/>
                <w:sz w:val="15"/>
                <w:szCs w:val="15"/>
              </w:rPr>
              <w:t>60%</w:t>
            </w:r>
            <w:r>
              <w:rPr>
                <w:rFonts w:hint="eastAsia" w:ascii="仿宋_GB2312" w:cs="仿宋_GB2312"/>
                <w:sz w:val="15"/>
                <w:szCs w:val="15"/>
              </w:rPr>
              <w:t>；未执行，不得分。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cs="仿宋_GB2312"/>
                <w:sz w:val="18"/>
                <w:szCs w:val="18"/>
              </w:rPr>
              <w:t>三、项目绩效（</w:t>
            </w:r>
            <w:r>
              <w:rPr>
                <w:rFonts w:ascii="仿宋_GB2312" w:cs="仿宋_GB2312"/>
                <w:sz w:val="18"/>
                <w:szCs w:val="18"/>
              </w:rPr>
              <w:t>60</w:t>
            </w:r>
            <w:r>
              <w:rPr>
                <w:rFonts w:hint="eastAsia" w:ascii="仿宋_GB2312" w:cs="仿宋_GB2312"/>
                <w:sz w:val="18"/>
                <w:szCs w:val="18"/>
              </w:rPr>
              <w:t>分）</w:t>
            </w:r>
          </w:p>
        </w:tc>
        <w:tc>
          <w:tcPr>
            <w:tcW w:w="640" w:type="dxa"/>
            <w:vMerge w:val="restart"/>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项目产出（</w:t>
            </w:r>
            <w:r>
              <w:rPr>
                <w:rFonts w:ascii="仿宋_GB2312" w:cs="仿宋_GB2312"/>
                <w:sz w:val="15"/>
                <w:szCs w:val="15"/>
              </w:rPr>
              <w:t>30</w:t>
            </w:r>
            <w:r>
              <w:rPr>
                <w:rFonts w:hint="eastAsia" w:ascii="仿宋_GB2312" w:cs="仿宋_GB2312"/>
                <w:sz w:val="15"/>
                <w:szCs w:val="15"/>
              </w:rPr>
              <w:t>分</w:t>
            </w:r>
          </w:p>
        </w:tc>
        <w:tc>
          <w:tcPr>
            <w:tcW w:w="1173" w:type="dxa"/>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数量指标</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8</w:t>
            </w:r>
          </w:p>
        </w:tc>
        <w:tc>
          <w:tcPr>
            <w:tcW w:w="552" w:type="dxa"/>
            <w:vAlign w:val="center"/>
          </w:tcPr>
          <w:p>
            <w:pPr>
              <w:spacing w:line="240" w:lineRule="exact"/>
              <w:ind w:firstLine="180" w:firstLineChars="100"/>
              <w:jc w:val="both"/>
              <w:rPr>
                <w:rFonts w:ascii="仿宋_GB2312" w:cs="仿宋_GB2312"/>
                <w:sz w:val="18"/>
                <w:szCs w:val="18"/>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cs="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cs="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质量指标</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8</w:t>
            </w:r>
          </w:p>
        </w:tc>
        <w:tc>
          <w:tcPr>
            <w:tcW w:w="552" w:type="dxa"/>
            <w:vAlign w:val="center"/>
          </w:tcPr>
          <w:p>
            <w:pPr>
              <w:spacing w:line="240" w:lineRule="exact"/>
              <w:ind w:firstLine="180" w:firstLineChars="100"/>
              <w:jc w:val="both"/>
              <w:rPr>
                <w:rFonts w:ascii="仿宋_GB2312" w:cs="仿宋_GB2312"/>
                <w:sz w:val="18"/>
                <w:szCs w:val="18"/>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cs="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cs="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3.</w:t>
            </w:r>
            <w:r>
              <w:rPr>
                <w:rFonts w:hint="eastAsia" w:ascii="仿宋_GB2312" w:cs="仿宋_GB2312"/>
                <w:sz w:val="15"/>
                <w:szCs w:val="15"/>
              </w:rPr>
              <w:t>时效指标</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7</w:t>
            </w:r>
          </w:p>
        </w:tc>
        <w:tc>
          <w:tcPr>
            <w:tcW w:w="552" w:type="dxa"/>
            <w:vAlign w:val="center"/>
          </w:tcPr>
          <w:p>
            <w:pPr>
              <w:spacing w:line="240" w:lineRule="exact"/>
              <w:jc w:val="center"/>
              <w:rPr>
                <w:rFonts w:hint="eastAsia" w:ascii="仿宋_GB2312" w:eastAsia="仿宋_GB2312" w:cs="仿宋_GB2312"/>
                <w:sz w:val="18"/>
                <w:szCs w:val="18"/>
                <w:lang w:val="en-US" w:eastAsia="zh-CN"/>
              </w:rPr>
            </w:pPr>
            <w:r>
              <w:rPr>
                <w:rFonts w:hint="eastAsia" w:ascii="仿宋_GB2312" w:cs="仿宋_GB2312"/>
                <w:sz w:val="18"/>
                <w:szCs w:val="18"/>
                <w:lang w:val="en-US" w:eastAsia="zh-CN"/>
              </w:rPr>
              <w:t>6</w:t>
            </w:r>
          </w:p>
        </w:tc>
        <w:tc>
          <w:tcPr>
            <w:tcW w:w="2268" w:type="dxa"/>
            <w:vAlign w:val="center"/>
          </w:tcPr>
          <w:p>
            <w:pPr>
              <w:spacing w:line="240" w:lineRule="exact"/>
              <w:rPr>
                <w:rFonts w:ascii="仿宋_GB2312"/>
                <w:sz w:val="15"/>
                <w:szCs w:val="15"/>
              </w:rPr>
            </w:pPr>
            <w:r>
              <w:rPr>
                <w:rFonts w:hint="eastAsia" w:ascii="仿宋_GB2312" w:cs="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cs="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4.</w:t>
            </w:r>
            <w:r>
              <w:rPr>
                <w:rFonts w:hint="eastAsia" w:ascii="仿宋_GB2312" w:cs="仿宋_GB2312"/>
                <w:sz w:val="15"/>
                <w:szCs w:val="15"/>
              </w:rPr>
              <w:t>成本指标</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7</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7</w:t>
            </w:r>
          </w:p>
        </w:tc>
        <w:tc>
          <w:tcPr>
            <w:tcW w:w="2268" w:type="dxa"/>
            <w:vAlign w:val="center"/>
          </w:tcPr>
          <w:p>
            <w:pPr>
              <w:spacing w:line="240" w:lineRule="exact"/>
              <w:rPr>
                <w:rFonts w:ascii="仿宋_GB2312"/>
                <w:sz w:val="15"/>
                <w:szCs w:val="15"/>
              </w:rPr>
            </w:pPr>
            <w:r>
              <w:rPr>
                <w:rFonts w:hint="eastAsia" w:ascii="仿宋_GB2312" w:cs="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cs="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项目效益（</w:t>
            </w:r>
            <w:r>
              <w:rPr>
                <w:rFonts w:ascii="仿宋_GB2312" w:cs="仿宋_GB2312"/>
                <w:sz w:val="15"/>
                <w:szCs w:val="15"/>
              </w:rPr>
              <w:t>30</w:t>
            </w:r>
            <w:r>
              <w:rPr>
                <w:rFonts w:hint="eastAsia" w:ascii="仿宋_GB2312" w:cs="仿宋_GB2312"/>
                <w:sz w:val="15"/>
                <w:szCs w:val="15"/>
              </w:rPr>
              <w:t>分）</w:t>
            </w:r>
          </w:p>
        </w:tc>
        <w:tc>
          <w:tcPr>
            <w:tcW w:w="1173" w:type="dxa"/>
            <w:vAlign w:val="center"/>
          </w:tcPr>
          <w:p>
            <w:pPr>
              <w:spacing w:line="240" w:lineRule="exact"/>
              <w:rPr>
                <w:rFonts w:ascii="仿宋_GB2312"/>
                <w:sz w:val="15"/>
                <w:szCs w:val="15"/>
              </w:rPr>
            </w:pPr>
            <w:r>
              <w:rPr>
                <w:rFonts w:ascii="仿宋_GB2312" w:cs="仿宋_GB2312"/>
                <w:sz w:val="15"/>
                <w:szCs w:val="15"/>
              </w:rPr>
              <w:t>1.</w:t>
            </w:r>
            <w:r>
              <w:rPr>
                <w:rFonts w:hint="eastAsia" w:ascii="仿宋_GB2312" w:cs="仿宋_GB2312"/>
                <w:sz w:val="15"/>
                <w:szCs w:val="15"/>
              </w:rPr>
              <w:t>经济效益</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cs="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cs="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2.</w:t>
            </w:r>
            <w:r>
              <w:rPr>
                <w:rFonts w:hint="eastAsia" w:ascii="仿宋_GB2312" w:cs="仿宋_GB2312"/>
                <w:sz w:val="15"/>
                <w:szCs w:val="15"/>
              </w:rPr>
              <w:t>社会效益</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20</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20</w:t>
            </w:r>
          </w:p>
        </w:tc>
        <w:tc>
          <w:tcPr>
            <w:tcW w:w="2268" w:type="dxa"/>
            <w:vAlign w:val="center"/>
          </w:tcPr>
          <w:p>
            <w:pPr>
              <w:spacing w:line="240" w:lineRule="exact"/>
              <w:rPr>
                <w:rFonts w:ascii="仿宋_GB2312"/>
                <w:sz w:val="15"/>
                <w:szCs w:val="15"/>
              </w:rPr>
            </w:pPr>
            <w:r>
              <w:rPr>
                <w:rFonts w:hint="eastAsia" w:ascii="仿宋_GB2312" w:cs="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cs="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3.</w:t>
            </w:r>
            <w:r>
              <w:rPr>
                <w:rFonts w:hint="eastAsia" w:ascii="仿宋_GB2312" w:cs="仿宋_GB2312"/>
                <w:sz w:val="15"/>
                <w:szCs w:val="15"/>
              </w:rPr>
              <w:t>生态效益</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2</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cs="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cs="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ascii="仿宋_GB2312" w:cs="仿宋_GB2312"/>
                <w:sz w:val="15"/>
                <w:szCs w:val="15"/>
              </w:rPr>
              <w:t>4.</w:t>
            </w:r>
            <w:r>
              <w:rPr>
                <w:rFonts w:hint="eastAsia" w:ascii="仿宋_GB2312" w:cs="仿宋_GB2312"/>
                <w:sz w:val="15"/>
                <w:szCs w:val="15"/>
              </w:rPr>
              <w:t>服务对象满意度</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552" w:type="dxa"/>
            <w:vAlign w:val="center"/>
          </w:tcPr>
          <w:p>
            <w:pPr>
              <w:spacing w:line="240" w:lineRule="exact"/>
              <w:jc w:val="center"/>
              <w:rPr>
                <w:rFonts w:ascii="仿宋_GB2312" w:cs="仿宋_GB2312"/>
                <w:sz w:val="18"/>
                <w:szCs w:val="18"/>
              </w:rPr>
            </w:pPr>
            <w:r>
              <w:rPr>
                <w:rFonts w:ascii="仿宋_GB2312" w:cs="仿宋_GB2312"/>
                <w:sz w:val="18"/>
                <w:szCs w:val="18"/>
              </w:rPr>
              <w:t>5</w:t>
            </w:r>
          </w:p>
        </w:tc>
        <w:tc>
          <w:tcPr>
            <w:tcW w:w="2268" w:type="dxa"/>
            <w:vAlign w:val="center"/>
          </w:tcPr>
          <w:p>
            <w:pPr>
              <w:tabs>
                <w:tab w:val="left" w:pos="2604"/>
              </w:tabs>
              <w:spacing w:line="240" w:lineRule="exact"/>
              <w:rPr>
                <w:rFonts w:ascii="仿宋_GB2312"/>
                <w:sz w:val="15"/>
                <w:szCs w:val="15"/>
              </w:rPr>
            </w:pPr>
            <w:r>
              <w:rPr>
                <w:rFonts w:hint="eastAsia" w:ascii="仿宋_GB2312" w:cs="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仿宋_GB2312"/>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cs="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bCs/>
                <w:sz w:val="18"/>
                <w:szCs w:val="18"/>
              </w:rPr>
            </w:pPr>
            <w:r>
              <w:rPr>
                <w:rFonts w:hint="eastAsia" w:ascii="仿宋_GB2312" w:cs="仿宋_GB2312"/>
                <w:b/>
                <w:bCs/>
                <w:sz w:val="18"/>
                <w:szCs w:val="18"/>
              </w:rPr>
              <w:t>合</w:t>
            </w:r>
            <w:r>
              <w:rPr>
                <w:rFonts w:ascii="仿宋_GB2312" w:cs="仿宋_GB2312"/>
                <w:b/>
                <w:bCs/>
                <w:sz w:val="18"/>
                <w:szCs w:val="18"/>
              </w:rPr>
              <w:t xml:space="preserve">  </w:t>
            </w:r>
            <w:r>
              <w:rPr>
                <w:rFonts w:hint="eastAsia" w:ascii="仿宋_GB2312" w:cs="仿宋_GB2312"/>
                <w:b/>
                <w:bCs/>
                <w:sz w:val="18"/>
                <w:szCs w:val="18"/>
              </w:rPr>
              <w:t>计</w:t>
            </w:r>
          </w:p>
        </w:tc>
        <w:tc>
          <w:tcPr>
            <w:tcW w:w="570" w:type="dxa"/>
            <w:vAlign w:val="center"/>
          </w:tcPr>
          <w:p>
            <w:pPr>
              <w:spacing w:line="240" w:lineRule="exact"/>
              <w:jc w:val="center"/>
              <w:rPr>
                <w:rFonts w:ascii="仿宋_GB2312" w:cs="仿宋_GB2312"/>
                <w:sz w:val="18"/>
                <w:szCs w:val="18"/>
              </w:rPr>
            </w:pPr>
            <w:r>
              <w:rPr>
                <w:rFonts w:ascii="仿宋_GB2312" w:cs="仿宋_GB2312"/>
                <w:sz w:val="18"/>
                <w:szCs w:val="18"/>
              </w:rPr>
              <w:t>100</w:t>
            </w:r>
          </w:p>
        </w:tc>
        <w:tc>
          <w:tcPr>
            <w:tcW w:w="552" w:type="dxa"/>
            <w:vAlign w:val="center"/>
          </w:tcPr>
          <w:p>
            <w:pPr>
              <w:spacing w:line="240" w:lineRule="exact"/>
              <w:jc w:val="center"/>
              <w:rPr>
                <w:rFonts w:hint="eastAsia" w:ascii="仿宋_GB2312" w:eastAsia="仿宋_GB2312" w:cs="仿宋_GB2312"/>
                <w:sz w:val="18"/>
                <w:szCs w:val="18"/>
                <w:lang w:val="en-US" w:eastAsia="zh-CN"/>
              </w:rPr>
            </w:pPr>
            <w:r>
              <w:rPr>
                <w:rFonts w:ascii="仿宋_GB2312" w:cs="仿宋_GB2312"/>
                <w:sz w:val="18"/>
                <w:szCs w:val="18"/>
              </w:rPr>
              <w:t>9</w:t>
            </w:r>
            <w:r>
              <w:rPr>
                <w:rFonts w:hint="eastAsia" w:ascii="仿宋_GB2312" w:cs="仿宋_GB2312"/>
                <w:sz w:val="18"/>
                <w:szCs w:val="18"/>
                <w:lang w:val="en-US" w:eastAsia="zh-CN"/>
              </w:rPr>
              <w:t>9</w:t>
            </w:r>
          </w:p>
        </w:tc>
        <w:tc>
          <w:tcPr>
            <w:tcW w:w="5763" w:type="dxa"/>
            <w:gridSpan w:val="3"/>
            <w:vAlign w:val="center"/>
          </w:tcPr>
          <w:p>
            <w:pPr>
              <w:spacing w:line="240" w:lineRule="exact"/>
              <w:jc w:val="left"/>
              <w:rPr>
                <w:sz w:val="18"/>
                <w:szCs w:val="18"/>
              </w:rPr>
            </w:pPr>
            <w:r>
              <w:rPr>
                <w:rFonts w:hint="eastAsia" w:ascii="仿宋_GB2312" w:cs="仿宋_GB2312"/>
                <w:sz w:val="18"/>
                <w:szCs w:val="18"/>
              </w:rPr>
              <w:t>评价等次：实际得分（</w:t>
            </w:r>
            <w:r>
              <w:rPr>
                <w:rFonts w:ascii="仿宋_GB2312" w:cs="仿宋_GB2312"/>
                <w:sz w:val="18"/>
                <w:szCs w:val="18"/>
              </w:rPr>
              <w:t>S</w:t>
            </w:r>
            <w:r>
              <w:rPr>
                <w:rFonts w:hint="eastAsia" w:ascii="仿宋_GB2312" w:cs="仿宋_GB2312"/>
                <w:sz w:val="18"/>
                <w:szCs w:val="18"/>
              </w:rPr>
              <w:t>）≥</w:t>
            </w:r>
            <w:r>
              <w:rPr>
                <w:rFonts w:ascii="仿宋_GB2312" w:cs="仿宋_GB2312"/>
                <w:sz w:val="18"/>
                <w:szCs w:val="18"/>
              </w:rPr>
              <w:t>90,</w:t>
            </w:r>
            <w:r>
              <w:rPr>
                <w:rFonts w:hint="eastAsia" w:ascii="仿宋_GB2312" w:cs="仿宋_GB2312"/>
                <w:sz w:val="18"/>
                <w:szCs w:val="18"/>
              </w:rPr>
              <w:t>优秀；</w:t>
            </w:r>
            <w:r>
              <w:rPr>
                <w:rFonts w:ascii="仿宋_GB2312" w:cs="仿宋_GB2312"/>
                <w:sz w:val="18"/>
                <w:szCs w:val="18"/>
              </w:rPr>
              <w:t>90</w:t>
            </w:r>
            <w:r>
              <w:rPr>
                <w:rFonts w:hint="eastAsia" w:ascii="仿宋_GB2312" w:cs="仿宋_GB2312"/>
                <w:sz w:val="18"/>
                <w:szCs w:val="18"/>
              </w:rPr>
              <w:t>＞</w:t>
            </w:r>
            <w:r>
              <w:rPr>
                <w:rFonts w:ascii="仿宋_GB2312" w:cs="仿宋_GB2312"/>
                <w:sz w:val="18"/>
                <w:szCs w:val="18"/>
              </w:rPr>
              <w:t>S</w:t>
            </w:r>
            <w:r>
              <w:rPr>
                <w:rFonts w:hint="eastAsia" w:ascii="仿宋_GB2312" w:cs="仿宋_GB2312"/>
                <w:sz w:val="18"/>
                <w:szCs w:val="18"/>
              </w:rPr>
              <w:t>≥</w:t>
            </w:r>
            <w:r>
              <w:rPr>
                <w:rFonts w:ascii="仿宋_GB2312" w:cs="仿宋_GB2312"/>
                <w:sz w:val="18"/>
                <w:szCs w:val="18"/>
              </w:rPr>
              <w:t>80,</w:t>
            </w:r>
            <w:r>
              <w:rPr>
                <w:rFonts w:hint="eastAsia" w:ascii="仿宋_GB2312" w:cs="仿宋_GB2312"/>
                <w:sz w:val="18"/>
                <w:szCs w:val="18"/>
              </w:rPr>
              <w:t>良好；</w:t>
            </w:r>
            <w:r>
              <w:rPr>
                <w:rFonts w:ascii="仿宋_GB2312" w:cs="仿宋_GB2312"/>
                <w:sz w:val="18"/>
                <w:szCs w:val="18"/>
              </w:rPr>
              <w:t>80</w:t>
            </w:r>
            <w:r>
              <w:rPr>
                <w:rFonts w:hint="eastAsia" w:ascii="仿宋_GB2312" w:cs="仿宋_GB2312"/>
                <w:sz w:val="18"/>
                <w:szCs w:val="18"/>
              </w:rPr>
              <w:t>＞</w:t>
            </w:r>
            <w:r>
              <w:rPr>
                <w:rFonts w:ascii="仿宋_GB2312" w:cs="仿宋_GB2312"/>
                <w:sz w:val="18"/>
                <w:szCs w:val="18"/>
              </w:rPr>
              <w:t>S</w:t>
            </w:r>
            <w:r>
              <w:rPr>
                <w:rFonts w:hint="eastAsia" w:ascii="仿宋_GB2312" w:cs="仿宋_GB2312"/>
                <w:sz w:val="18"/>
                <w:szCs w:val="18"/>
              </w:rPr>
              <w:t>≥</w:t>
            </w:r>
            <w:r>
              <w:rPr>
                <w:rFonts w:ascii="仿宋_GB2312" w:cs="仿宋_GB2312"/>
                <w:sz w:val="18"/>
                <w:szCs w:val="18"/>
              </w:rPr>
              <w:t>60,</w:t>
            </w:r>
            <w:r>
              <w:rPr>
                <w:rFonts w:hint="eastAsia" w:ascii="仿宋_GB2312" w:cs="仿宋_GB2312"/>
                <w:sz w:val="18"/>
                <w:szCs w:val="18"/>
              </w:rPr>
              <w:t>合格；</w:t>
            </w:r>
            <w:r>
              <w:rPr>
                <w:rFonts w:ascii="仿宋_GB2312" w:cs="仿宋_GB2312"/>
                <w:sz w:val="18"/>
                <w:szCs w:val="18"/>
              </w:rPr>
              <w:t>S</w:t>
            </w:r>
            <w:r>
              <w:rPr>
                <w:rFonts w:hint="eastAsia" w:ascii="仿宋_GB2312" w:cs="仿宋_GB2312"/>
                <w:sz w:val="18"/>
                <w:szCs w:val="18"/>
              </w:rPr>
              <w:t>＜</w:t>
            </w:r>
            <w:r>
              <w:rPr>
                <w:rFonts w:ascii="仿宋_GB2312" w:cs="仿宋_GB2312"/>
                <w:sz w:val="18"/>
                <w:szCs w:val="18"/>
              </w:rPr>
              <w:t>60</w:t>
            </w:r>
            <w:r>
              <w:rPr>
                <w:rFonts w:hint="eastAsia" w:ascii="仿宋_GB2312" w:cs="仿宋_GB2312"/>
                <w:sz w:val="18"/>
                <w:szCs w:val="18"/>
              </w:rPr>
              <w:t>，不合格。</w:t>
            </w:r>
          </w:p>
        </w:tc>
      </w:tr>
    </w:tbl>
    <w:p>
      <w:pPr>
        <w:rPr>
          <w:rFonts w:ascii="黑体" w:eastAsia="黑体"/>
          <w:sz w:val="36"/>
          <w:szCs w:val="36"/>
        </w:rPr>
      </w:pPr>
    </w:p>
    <w:p>
      <w:pPr>
        <w:jc w:val="lef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01574"/>
    <w:rsid w:val="0003609C"/>
    <w:rsid w:val="000556E4"/>
    <w:rsid w:val="0008317F"/>
    <w:rsid w:val="000A2E4C"/>
    <w:rsid w:val="000B3144"/>
    <w:rsid w:val="000C7586"/>
    <w:rsid w:val="000D37FE"/>
    <w:rsid w:val="000F16B4"/>
    <w:rsid w:val="001104B7"/>
    <w:rsid w:val="0011151A"/>
    <w:rsid w:val="0012734F"/>
    <w:rsid w:val="00130590"/>
    <w:rsid w:val="00175AAC"/>
    <w:rsid w:val="00197507"/>
    <w:rsid w:val="001A1D64"/>
    <w:rsid w:val="001B46F1"/>
    <w:rsid w:val="001C5DCB"/>
    <w:rsid w:val="001C71B5"/>
    <w:rsid w:val="0020692A"/>
    <w:rsid w:val="00241890"/>
    <w:rsid w:val="00246DAD"/>
    <w:rsid w:val="0025715A"/>
    <w:rsid w:val="002C1657"/>
    <w:rsid w:val="002C6F74"/>
    <w:rsid w:val="002E3518"/>
    <w:rsid w:val="003033E4"/>
    <w:rsid w:val="00341940"/>
    <w:rsid w:val="00364740"/>
    <w:rsid w:val="003A42E5"/>
    <w:rsid w:val="003A5181"/>
    <w:rsid w:val="003B018E"/>
    <w:rsid w:val="003B7794"/>
    <w:rsid w:val="003C2470"/>
    <w:rsid w:val="003D7DDC"/>
    <w:rsid w:val="003E1CE8"/>
    <w:rsid w:val="003F295B"/>
    <w:rsid w:val="004404E8"/>
    <w:rsid w:val="00464279"/>
    <w:rsid w:val="004B0C1A"/>
    <w:rsid w:val="004E1CFF"/>
    <w:rsid w:val="00542195"/>
    <w:rsid w:val="00583F97"/>
    <w:rsid w:val="00591F4B"/>
    <w:rsid w:val="0059730F"/>
    <w:rsid w:val="005B0976"/>
    <w:rsid w:val="005B6DCE"/>
    <w:rsid w:val="005C4EBC"/>
    <w:rsid w:val="005D2247"/>
    <w:rsid w:val="00621CF6"/>
    <w:rsid w:val="0068776A"/>
    <w:rsid w:val="00697F4B"/>
    <w:rsid w:val="006B646E"/>
    <w:rsid w:val="006C5D05"/>
    <w:rsid w:val="006C69CD"/>
    <w:rsid w:val="00745B1C"/>
    <w:rsid w:val="00767739"/>
    <w:rsid w:val="0077156D"/>
    <w:rsid w:val="00786B45"/>
    <w:rsid w:val="007A2AEE"/>
    <w:rsid w:val="007B15FD"/>
    <w:rsid w:val="008200F2"/>
    <w:rsid w:val="00825412"/>
    <w:rsid w:val="00826119"/>
    <w:rsid w:val="008429E3"/>
    <w:rsid w:val="0084401B"/>
    <w:rsid w:val="00844FC4"/>
    <w:rsid w:val="008551DD"/>
    <w:rsid w:val="008B0C3C"/>
    <w:rsid w:val="008C5791"/>
    <w:rsid w:val="008C67AB"/>
    <w:rsid w:val="008D1B0B"/>
    <w:rsid w:val="008F59DA"/>
    <w:rsid w:val="00907C08"/>
    <w:rsid w:val="00954568"/>
    <w:rsid w:val="00971A92"/>
    <w:rsid w:val="00972C4E"/>
    <w:rsid w:val="00983841"/>
    <w:rsid w:val="00991C6C"/>
    <w:rsid w:val="009927E7"/>
    <w:rsid w:val="00993DEC"/>
    <w:rsid w:val="009A7C71"/>
    <w:rsid w:val="009B234E"/>
    <w:rsid w:val="009B4029"/>
    <w:rsid w:val="009E4489"/>
    <w:rsid w:val="009E55C2"/>
    <w:rsid w:val="009F516B"/>
    <w:rsid w:val="00A1646E"/>
    <w:rsid w:val="00A3508F"/>
    <w:rsid w:val="00A4158F"/>
    <w:rsid w:val="00A545DE"/>
    <w:rsid w:val="00A60B2B"/>
    <w:rsid w:val="00A70BC2"/>
    <w:rsid w:val="00A7249B"/>
    <w:rsid w:val="00A730D7"/>
    <w:rsid w:val="00A9345F"/>
    <w:rsid w:val="00AA2EA3"/>
    <w:rsid w:val="00AC74DC"/>
    <w:rsid w:val="00AE3257"/>
    <w:rsid w:val="00AF2269"/>
    <w:rsid w:val="00AF2FBF"/>
    <w:rsid w:val="00AF464D"/>
    <w:rsid w:val="00B27C69"/>
    <w:rsid w:val="00B32B85"/>
    <w:rsid w:val="00B540B6"/>
    <w:rsid w:val="00B7368C"/>
    <w:rsid w:val="00B90506"/>
    <w:rsid w:val="00C104B9"/>
    <w:rsid w:val="00C44B72"/>
    <w:rsid w:val="00C66F52"/>
    <w:rsid w:val="00C93BA5"/>
    <w:rsid w:val="00CA7DE8"/>
    <w:rsid w:val="00CB02E5"/>
    <w:rsid w:val="00CC0BDC"/>
    <w:rsid w:val="00CC1DC7"/>
    <w:rsid w:val="00CF6D07"/>
    <w:rsid w:val="00D02F8F"/>
    <w:rsid w:val="00D263E1"/>
    <w:rsid w:val="00D96B8D"/>
    <w:rsid w:val="00DA1F0C"/>
    <w:rsid w:val="00DA414F"/>
    <w:rsid w:val="00DD3B47"/>
    <w:rsid w:val="00DD3C17"/>
    <w:rsid w:val="00DF4E96"/>
    <w:rsid w:val="00DF5C8E"/>
    <w:rsid w:val="00E0658C"/>
    <w:rsid w:val="00E07C05"/>
    <w:rsid w:val="00E15350"/>
    <w:rsid w:val="00E17707"/>
    <w:rsid w:val="00E2160F"/>
    <w:rsid w:val="00E254BF"/>
    <w:rsid w:val="00E30C53"/>
    <w:rsid w:val="00E534FF"/>
    <w:rsid w:val="00E55EFF"/>
    <w:rsid w:val="00E560DB"/>
    <w:rsid w:val="00EA0572"/>
    <w:rsid w:val="00EA0812"/>
    <w:rsid w:val="00EA3D4A"/>
    <w:rsid w:val="00EA6B37"/>
    <w:rsid w:val="00EF279E"/>
    <w:rsid w:val="00EF4091"/>
    <w:rsid w:val="00FA1C86"/>
    <w:rsid w:val="00FA1DD3"/>
    <w:rsid w:val="00FF23ED"/>
    <w:rsid w:val="00FF7E55"/>
    <w:rsid w:val="05EB6604"/>
    <w:rsid w:val="0C770ABB"/>
    <w:rsid w:val="0E322A54"/>
    <w:rsid w:val="1F2F36D4"/>
    <w:rsid w:val="20492C52"/>
    <w:rsid w:val="3FD0471F"/>
    <w:rsid w:val="4036174C"/>
    <w:rsid w:val="444C2816"/>
    <w:rsid w:val="47696C5C"/>
    <w:rsid w:val="517B5B04"/>
    <w:rsid w:val="53132999"/>
    <w:rsid w:val="5A9525B7"/>
    <w:rsid w:val="670A447E"/>
    <w:rsid w:val="6A292798"/>
    <w:rsid w:val="78BA6F7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semiHidden/>
    <w:qFormat/>
    <w:uiPriority w:val="99"/>
    <w:pPr>
      <w:tabs>
        <w:tab w:val="center" w:pos="4153"/>
        <w:tab w:val="right" w:pos="8306"/>
      </w:tabs>
      <w:snapToGrid w:val="0"/>
      <w:jc w:val="left"/>
    </w:pPr>
    <w:rPr>
      <w:sz w:val="18"/>
      <w:szCs w:val="18"/>
    </w:rPr>
  </w:style>
  <w:style w:type="paragraph" w:styleId="3">
    <w:name w:val="header"/>
    <w:basedOn w:val="1"/>
    <w:link w:val="7"/>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Footer Char"/>
    <w:basedOn w:val="5"/>
    <w:link w:val="2"/>
    <w:semiHidden/>
    <w:qFormat/>
    <w:locked/>
    <w:uiPriority w:val="99"/>
    <w:rPr>
      <w:rFonts w:cs="Times New Roman"/>
      <w:kern w:val="2"/>
      <w:sz w:val="18"/>
      <w:szCs w:val="18"/>
    </w:rPr>
  </w:style>
  <w:style w:type="character" w:customStyle="1" w:styleId="7">
    <w:name w:val="Header Char"/>
    <w:basedOn w:val="5"/>
    <w:link w:val="3"/>
    <w:semiHidden/>
    <w:qFormat/>
    <w:locked/>
    <w:uiPriority w:val="99"/>
    <w:rPr>
      <w:rFonts w:cs="Times New Roman"/>
      <w:kern w:val="2"/>
      <w:sz w:val="18"/>
      <w:szCs w:val="18"/>
    </w:rPr>
  </w:style>
  <w:style w:type="paragraph" w:customStyle="1" w:styleId="8">
    <w:name w:val="默认段落字体 Para Char Char Char Char Char Char Char"/>
    <w:basedOn w:val="1"/>
    <w:qFormat/>
    <w:uiPriority w:val="99"/>
    <w:rPr>
      <w:rFonts w:eastAsia="宋体"/>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fmczj</Company>
  <Pages>8</Pages>
  <Words>742</Words>
  <Characters>4232</Characters>
  <Lines>0</Lines>
  <Paragraphs>0</Paragraphs>
  <TotalTime>19</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2019-05-20T02:13:00Z</dcterms:created>
  <dc:creator>张子明</dc:creator>
  <cp:lastModifiedBy>Administrator</cp:lastModifiedBy>
  <dcterms:modified xsi:type="dcterms:W3CDTF">2021-04-09T01:14:17Z</dcterms:modified>
  <dc:title>XXX部门</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