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r>
        <w:rPr>
          <w:rFonts w:hint="eastAsia" w:ascii="黑体" w:hAnsi="黑体" w:eastAsia="黑体"/>
          <w:spacing w:val="-20"/>
          <w:sz w:val="21"/>
          <w:szCs w:val="21"/>
        </w:rPr>
        <w:t xml:space="preserve">                                                                                                                                                                                                                                                                  </w:t>
      </w:r>
    </w:p>
    <w:p>
      <w:pPr>
        <w:topLinePunct/>
        <w:spacing w:line="560" w:lineRule="exact"/>
        <w:jc w:val="center"/>
        <w:rPr>
          <w:rFonts w:hint="eastAsia" w:ascii="方正小标宋简体" w:hAnsi="黑体" w:eastAsia="方正小标宋简体" w:cs="方正小标宋简体"/>
          <w:spacing w:val="-20"/>
          <w:sz w:val="44"/>
          <w:szCs w:val="44"/>
        </w:rPr>
      </w:pPr>
      <w:r>
        <w:rPr>
          <w:rFonts w:hint="eastAsia" w:ascii="方正小标宋简体" w:hAnsi="黑体" w:eastAsia="方正小标宋简体" w:cs="方正小标宋简体"/>
          <w:spacing w:val="-20"/>
          <w:sz w:val="44"/>
          <w:szCs w:val="44"/>
        </w:rPr>
        <w:t>富民</w:t>
      </w:r>
      <w:r>
        <w:rPr>
          <w:rFonts w:hint="eastAsia" w:ascii="方正小标宋简体" w:hAnsi="黑体" w:eastAsia="方正小标宋简体" w:cs="方正小标宋简体"/>
          <w:spacing w:val="-20"/>
          <w:sz w:val="44"/>
          <w:szCs w:val="44"/>
          <w:lang w:eastAsia="zh-CN"/>
        </w:rPr>
        <w:t>县</w:t>
      </w:r>
      <w:r>
        <w:rPr>
          <w:rFonts w:hint="eastAsia" w:ascii="方正小标宋简体" w:hAnsi="黑体" w:eastAsia="方正小标宋简体" w:cs="方正小标宋简体"/>
          <w:spacing w:val="-20"/>
          <w:sz w:val="44"/>
          <w:szCs w:val="44"/>
        </w:rPr>
        <w:t>发</w:t>
      </w:r>
      <w:r>
        <w:rPr>
          <w:rFonts w:hint="eastAsia" w:ascii="方正小标宋简体" w:hAnsi="黑体" w:eastAsia="方正小标宋简体" w:cs="方正小标宋简体"/>
          <w:spacing w:val="-20"/>
          <w:sz w:val="44"/>
          <w:szCs w:val="44"/>
          <w:lang w:eastAsia="zh-CN"/>
        </w:rPr>
        <w:t>展和改革局</w:t>
      </w:r>
      <w:r>
        <w:rPr>
          <w:rFonts w:hint="eastAsia" w:ascii="方正小标宋简体" w:hAnsi="黑体" w:eastAsia="方正小标宋简体" w:cs="方正小标宋简体"/>
          <w:spacing w:val="-20"/>
          <w:sz w:val="44"/>
          <w:szCs w:val="44"/>
        </w:rPr>
        <w:t>新增粮食财务挂账贷款</w:t>
      </w:r>
    </w:p>
    <w:p>
      <w:pPr>
        <w:topLinePunct/>
        <w:spacing w:line="560" w:lineRule="exact"/>
        <w:jc w:val="center"/>
        <w:rPr>
          <w:rFonts w:hint="eastAsia" w:ascii="方正小标宋简体" w:hAnsi="黑体" w:eastAsia="方正小标宋简体" w:cs="方正小标宋简体"/>
          <w:spacing w:val="-20"/>
          <w:sz w:val="44"/>
          <w:szCs w:val="44"/>
          <w:lang w:eastAsia="zh-CN"/>
        </w:rPr>
      </w:pPr>
      <w:r>
        <w:rPr>
          <w:rFonts w:hint="eastAsia" w:ascii="方正小标宋简体" w:hAnsi="黑体" w:eastAsia="方正小标宋简体" w:cs="方正小标宋简体"/>
          <w:spacing w:val="-20"/>
          <w:sz w:val="44"/>
          <w:szCs w:val="44"/>
        </w:rPr>
        <w:t>利息项目</w:t>
      </w:r>
      <w:r>
        <w:rPr>
          <w:rFonts w:hint="eastAsia" w:ascii="方正小标宋简体" w:hAnsi="黑体" w:eastAsia="方正小标宋简体" w:cs="方正小标宋简体"/>
          <w:spacing w:val="-20"/>
          <w:sz w:val="44"/>
          <w:szCs w:val="44"/>
          <w:lang w:eastAsia="zh-CN"/>
        </w:rPr>
        <w:t>支出绩效评价报告</w:t>
      </w:r>
    </w:p>
    <w:p>
      <w:pPr>
        <w:topLinePunct/>
        <w:spacing w:line="540" w:lineRule="exact"/>
        <w:ind w:firstLine="800" w:firstLineChars="250"/>
        <w:rPr>
          <w:rFonts w:hint="eastAsia" w:ascii="黑体" w:eastAsia="黑体"/>
          <w:szCs w:val="32"/>
          <w:lang w:eastAsia="zh-CN"/>
        </w:rPr>
      </w:pPr>
      <w:r>
        <w:rPr>
          <w:rFonts w:hint="eastAsia" w:ascii="黑体" w:eastAsia="黑体"/>
          <w:szCs w:val="32"/>
          <w:lang w:eastAsia="zh-CN"/>
        </w:rPr>
        <w:t>（</w:t>
      </w:r>
      <w:r>
        <w:rPr>
          <w:rFonts w:hint="eastAsia" w:ascii="仿宋_GB2312" w:cs="仿宋_GB2312"/>
          <w:szCs w:val="32"/>
          <w:lang w:eastAsia="zh-CN"/>
        </w:rPr>
        <w:t>国发[2004]17号     财建[2004]187号文件</w:t>
      </w:r>
      <w:bookmarkStart w:id="0" w:name="_GoBack"/>
      <w:bookmarkEnd w:id="0"/>
      <w:r>
        <w:rPr>
          <w:rFonts w:hint="eastAsia" w:ascii="黑体" w:eastAsia="黑体"/>
          <w:szCs w:val="32"/>
          <w:lang w:eastAsia="zh-CN"/>
        </w:rPr>
        <w:t>）</w:t>
      </w:r>
    </w:p>
    <w:p>
      <w:pPr>
        <w:topLinePunct/>
        <w:spacing w:line="540" w:lineRule="exact"/>
        <w:ind w:firstLine="800" w:firstLineChars="250"/>
        <w:rPr>
          <w:rFonts w:hint="eastAsia" w:ascii="黑体" w:eastAsia="黑体"/>
          <w:szCs w:val="32"/>
          <w:lang w:eastAsia="zh-CN"/>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ascii="仿宋_GB2312" w:hAnsi="楷体"/>
          <w:szCs w:val="32"/>
        </w:rPr>
      </w:pPr>
      <w:r>
        <w:rPr>
          <w:rFonts w:hint="eastAsia" w:ascii="仿宋_GB2312" w:hAnsi="楷体"/>
          <w:szCs w:val="32"/>
        </w:rPr>
        <w:t>（一）项目概况。</w:t>
      </w:r>
    </w:p>
    <w:p>
      <w:pPr>
        <w:topLinePunct/>
        <w:spacing w:line="540" w:lineRule="exact"/>
        <w:ind w:firstLine="800" w:firstLineChars="250"/>
        <w:rPr>
          <w:rFonts w:hint="eastAsia" w:ascii="仿宋_GB2312" w:hAnsi="楷体"/>
          <w:szCs w:val="32"/>
        </w:rPr>
      </w:pPr>
      <w:r>
        <w:rPr>
          <w:rFonts w:hint="eastAsia" w:ascii="仿宋_GB2312" w:hAnsi="楷体"/>
          <w:szCs w:val="32"/>
        </w:rPr>
        <w:t>1.立项背景及目的。</w:t>
      </w:r>
    </w:p>
    <w:p>
      <w:pPr>
        <w:ind w:firstLine="640" w:firstLineChars="200"/>
        <w:rPr>
          <w:rFonts w:hint="eastAsia" w:eastAsia="仿宋_GB2312"/>
          <w:sz w:val="32"/>
          <w:szCs w:val="32"/>
        </w:rPr>
      </w:pPr>
      <w:r>
        <w:rPr>
          <w:rFonts w:hint="eastAsia"/>
          <w:sz w:val="32"/>
          <w:szCs w:val="32"/>
          <w:lang w:eastAsia="zh-CN"/>
        </w:rPr>
        <w:t>（</w:t>
      </w:r>
      <w:r>
        <w:rPr>
          <w:rFonts w:hint="eastAsia"/>
          <w:sz w:val="32"/>
          <w:szCs w:val="32"/>
          <w:lang w:val="en-US" w:eastAsia="zh-CN"/>
        </w:rPr>
        <w:t>1</w:t>
      </w:r>
      <w:r>
        <w:rPr>
          <w:rFonts w:hint="eastAsia"/>
          <w:sz w:val="32"/>
          <w:szCs w:val="32"/>
          <w:lang w:eastAsia="zh-CN"/>
        </w:rPr>
        <w:t>）立项背景。</w:t>
      </w:r>
      <w:r>
        <w:rPr>
          <w:rFonts w:hint="eastAsia" w:eastAsia="仿宋_GB2312"/>
          <w:sz w:val="32"/>
          <w:szCs w:val="32"/>
        </w:rPr>
        <w:t>1992年—1998年期间执行国家保护价粮食收购政策所产生的政策性亏损金额1117万元，称之为“第一轮新增粮食财务挂账贷款”。实施粮食政策性财务挂账，从政策的出台到亏损数据的认定都有一系列国家相关政策作为依据，我局作为行政主体认真做好政策的执行工作。</w:t>
      </w:r>
    </w:p>
    <w:p>
      <w:pPr>
        <w:topLinePunct/>
        <w:ind w:firstLine="640" w:firstLineChars="200"/>
        <w:rPr>
          <w:rFonts w:hint="eastAsia" w:ascii="仿宋_GB2312" w:hAnsi="楷体" w:eastAsia="仿宋_GB2312"/>
          <w:szCs w:val="32"/>
          <w:lang w:eastAsia="zh-CN"/>
        </w:rPr>
      </w:pPr>
      <w:r>
        <w:rPr>
          <w:rFonts w:hint="eastAsia"/>
          <w:sz w:val="32"/>
          <w:szCs w:val="32"/>
          <w:lang w:eastAsia="zh-CN"/>
        </w:rPr>
        <w:t>（</w:t>
      </w:r>
      <w:r>
        <w:rPr>
          <w:rFonts w:hint="eastAsia"/>
          <w:sz w:val="32"/>
          <w:szCs w:val="32"/>
          <w:lang w:val="en-US" w:eastAsia="zh-CN"/>
        </w:rPr>
        <w:t>2</w:t>
      </w:r>
      <w:r>
        <w:rPr>
          <w:rFonts w:hint="eastAsia"/>
          <w:sz w:val="32"/>
          <w:szCs w:val="32"/>
          <w:lang w:eastAsia="zh-CN"/>
        </w:rPr>
        <w:t>）立项目的。</w:t>
      </w:r>
      <w:r>
        <w:rPr>
          <w:rFonts w:hint="eastAsia" w:cs="仿宋_GB2312"/>
          <w:kern w:val="0"/>
        </w:rPr>
        <w:t>确保粮食质检体系健康良性运行、履行职责、发挥作用。积极筹措资金，按照要求按时支付应付利息。</w:t>
      </w:r>
    </w:p>
    <w:p>
      <w:pPr>
        <w:ind w:firstLine="640" w:firstLineChars="200"/>
        <w:rPr>
          <w:rFonts w:hint="eastAsia" w:ascii="仿宋_GB2312" w:hAnsi="楷体"/>
          <w:szCs w:val="32"/>
        </w:rPr>
      </w:pPr>
      <w:r>
        <w:rPr>
          <w:rFonts w:hint="eastAsia" w:ascii="仿宋_GB2312" w:hAnsi="楷体"/>
          <w:szCs w:val="32"/>
        </w:rPr>
        <w:t>2.项目实施情况。</w:t>
      </w:r>
    </w:p>
    <w:p>
      <w:pPr>
        <w:ind w:firstLine="640" w:firstLineChars="200"/>
        <w:rPr>
          <w:rFonts w:ascii="仿宋_GB2312" w:hAnsi="楷体"/>
          <w:szCs w:val="32"/>
        </w:rPr>
      </w:pPr>
      <w:r>
        <w:rPr>
          <w:rFonts w:hint="eastAsia" w:eastAsia="仿宋_GB2312"/>
          <w:sz w:val="32"/>
          <w:szCs w:val="32"/>
        </w:rPr>
        <w:t>新增粮食财务挂账贷款</w:t>
      </w:r>
      <w:r>
        <w:rPr>
          <w:rFonts w:eastAsia="仿宋_GB2312"/>
          <w:sz w:val="32"/>
          <w:szCs w:val="32"/>
        </w:rPr>
        <w:t>利息由中央财政和地方财政各承担50%</w:t>
      </w:r>
      <w:r>
        <w:rPr>
          <w:rFonts w:hint="eastAsia" w:eastAsia="仿宋_GB2312"/>
          <w:sz w:val="32"/>
          <w:szCs w:val="32"/>
        </w:rPr>
        <w:t>，贷款实行付息不还本政策，我县承担部分由县级财政预算安排支出，按季拨付中国农业发展银行禄劝彝族苗族自治县支行。</w:t>
      </w:r>
    </w:p>
    <w:p>
      <w:pPr>
        <w:numPr>
          <w:ilvl w:val="0"/>
          <w:numId w:val="1"/>
        </w:numPr>
        <w:topLinePunct/>
        <w:spacing w:line="540" w:lineRule="exact"/>
        <w:ind w:firstLine="800" w:firstLineChars="250"/>
        <w:rPr>
          <w:rFonts w:hint="eastAsia" w:ascii="仿宋_GB2312" w:hAnsi="楷体"/>
          <w:szCs w:val="32"/>
        </w:rPr>
      </w:pPr>
      <w:r>
        <w:rPr>
          <w:rFonts w:hint="eastAsia" w:ascii="仿宋_GB2312" w:hAnsi="楷体"/>
          <w:szCs w:val="32"/>
        </w:rPr>
        <w:t>资金来源及使用情况。</w:t>
      </w:r>
    </w:p>
    <w:p>
      <w:pPr>
        <w:ind w:firstLine="640" w:firstLineChars="200"/>
        <w:rPr>
          <w:rFonts w:hint="eastAsia" w:ascii="仿宋_GB2312" w:hAnsi="楷体"/>
          <w:szCs w:val="32"/>
        </w:rPr>
      </w:pPr>
      <w:r>
        <w:rPr>
          <w:rFonts w:hint="eastAsia" w:eastAsia="仿宋_GB2312"/>
          <w:sz w:val="32"/>
          <w:szCs w:val="32"/>
        </w:rPr>
        <w:t>新增粮食财务挂账贷款</w:t>
      </w:r>
      <w:r>
        <w:rPr>
          <w:rFonts w:eastAsia="仿宋_GB2312"/>
          <w:sz w:val="32"/>
          <w:szCs w:val="32"/>
        </w:rPr>
        <w:t>利息由中央财政和地方财政各承担50%</w:t>
      </w:r>
      <w:r>
        <w:rPr>
          <w:rFonts w:hint="eastAsia" w:eastAsia="仿宋_GB2312"/>
          <w:sz w:val="32"/>
          <w:szCs w:val="32"/>
        </w:rPr>
        <w:t>，贷款实行付息不还本政策，我县承担部分由县级财政预算安排支出，按季拨付中国农业发展银行禄劝彝族苗族自治县支行。</w:t>
      </w:r>
    </w:p>
    <w:p>
      <w:pPr>
        <w:topLinePunct/>
        <w:spacing w:line="540" w:lineRule="exact"/>
        <w:ind w:firstLine="800" w:firstLineChars="250"/>
        <w:rPr>
          <w:rFonts w:ascii="仿宋_GB2312" w:hAnsi="楷体"/>
          <w:szCs w:val="32"/>
        </w:rPr>
      </w:pPr>
      <w:r>
        <w:rPr>
          <w:rFonts w:hint="eastAsia" w:ascii="仿宋_GB2312" w:hAnsi="楷体"/>
          <w:szCs w:val="32"/>
        </w:rPr>
        <w:t>（二）绩效目标。</w:t>
      </w:r>
    </w:p>
    <w:p>
      <w:pPr>
        <w:topLinePunct/>
        <w:spacing w:line="540" w:lineRule="exact"/>
        <w:ind w:firstLine="800" w:firstLineChars="250"/>
        <w:rPr>
          <w:rFonts w:ascii="仿宋_GB2312" w:hAnsi="楷体"/>
          <w:szCs w:val="32"/>
        </w:rPr>
      </w:pPr>
      <w:r>
        <w:rPr>
          <w:rFonts w:hint="eastAsia" w:ascii="仿宋_GB2312" w:hAnsi="楷体"/>
          <w:szCs w:val="32"/>
        </w:rPr>
        <w:t>1.</w:t>
      </w:r>
      <w:r>
        <w:rPr>
          <w:rFonts w:hint="eastAsia" w:ascii="仿宋_GB2312" w:hAnsi="楷体"/>
          <w:szCs w:val="32"/>
          <w:lang w:eastAsia="zh-CN"/>
        </w:rPr>
        <w:t>中期</w:t>
      </w:r>
      <w:r>
        <w:rPr>
          <w:rFonts w:hint="eastAsia" w:ascii="仿宋_GB2312" w:hAnsi="楷体"/>
          <w:szCs w:val="32"/>
        </w:rPr>
        <w:t>目标。</w:t>
      </w:r>
      <w:r>
        <w:rPr>
          <w:rFonts w:hint="eastAsia" w:cs="仿宋_GB2312"/>
          <w:lang w:eastAsia="zh-CN"/>
        </w:rPr>
        <w:t>积极筹措资金，按时支付应付利息。</w:t>
      </w:r>
    </w:p>
    <w:p>
      <w:pPr>
        <w:topLinePunct/>
        <w:spacing w:line="540" w:lineRule="exact"/>
        <w:ind w:firstLine="800" w:firstLineChars="250"/>
        <w:rPr>
          <w:rFonts w:ascii="仿宋_GB2312" w:hAnsi="楷体"/>
          <w:szCs w:val="32"/>
        </w:rPr>
      </w:pPr>
      <w:r>
        <w:rPr>
          <w:rFonts w:hint="eastAsia" w:ascii="仿宋_GB2312" w:hAnsi="楷体"/>
          <w:szCs w:val="32"/>
        </w:rPr>
        <w:t>2.年度目标。</w:t>
      </w:r>
      <w:r>
        <w:rPr>
          <w:rFonts w:hint="eastAsia" w:cs="仿宋_GB2312"/>
        </w:rPr>
        <w:t>按照要求按时支付利息。</w:t>
      </w:r>
    </w:p>
    <w:p>
      <w:pPr>
        <w:topLinePunct/>
        <w:ind w:firstLine="640" w:firstLineChars="200"/>
        <w:rPr>
          <w:rFonts w:ascii="仿宋_GB2312" w:hAnsi="楷体"/>
          <w:szCs w:val="32"/>
        </w:rPr>
      </w:pPr>
      <w:r>
        <w:rPr>
          <w:rFonts w:hint="eastAsia" w:ascii="仿宋_GB2312" w:hAnsi="楷体"/>
          <w:szCs w:val="32"/>
        </w:rPr>
        <w:t>（1）产出目标。</w:t>
      </w:r>
      <w:r>
        <w:rPr>
          <w:rFonts w:hint="eastAsia" w:hAnsi="仿宋" w:cs="仿宋_GB2312"/>
        </w:rPr>
        <w:t>根据《昆明市人民政府关于对全市国有粮食购销企业粮食财务挂账清理认定相关文件的批复》</w:t>
      </w:r>
      <w:r>
        <w:rPr>
          <w:rFonts w:hint="eastAsia" w:hAnsi="仿宋" w:cs="仿宋_GB2312"/>
          <w:lang w:eastAsia="zh-CN"/>
        </w:rPr>
        <w:t>要求，县发改局</w:t>
      </w:r>
      <w:r>
        <w:rPr>
          <w:rFonts w:hint="eastAsia" w:hAnsi="仿宋" w:cs="仿宋_GB2312"/>
        </w:rPr>
        <w:t>将县区粮食企业政策性粮食财务挂账占用农发行贷款本金剥离到企业隶属粮食行政管理部门集中管理，贷款利息按现行有关政策办理。</w:t>
      </w:r>
    </w:p>
    <w:p>
      <w:pPr>
        <w:topLinePunct/>
        <w:spacing w:line="540" w:lineRule="exact"/>
        <w:ind w:firstLine="800" w:firstLineChars="250"/>
        <w:rPr>
          <w:rFonts w:ascii="仿宋_GB2312" w:hAnsi="楷体"/>
          <w:szCs w:val="32"/>
        </w:rPr>
      </w:pPr>
      <w:r>
        <w:rPr>
          <w:rFonts w:hint="eastAsia" w:ascii="仿宋_GB2312" w:hAnsi="楷体"/>
          <w:szCs w:val="32"/>
        </w:rPr>
        <w:t>（2）效果目标。按照国家当期政策付本或付息。</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ind w:firstLine="640" w:firstLineChars="200"/>
        <w:rPr>
          <w:rFonts w:hint="eastAsia" w:eastAsia="仿宋_GB2312"/>
          <w:sz w:val="32"/>
          <w:szCs w:val="21"/>
          <w:shd w:val="clear" w:color="auto" w:fill="FFFFFF"/>
          <w:lang w:eastAsia="zh-CN"/>
        </w:rPr>
      </w:pPr>
      <w:r>
        <w:rPr>
          <w:rFonts w:hint="eastAsia" w:ascii="仿宋_GB2312" w:hAnsi="楷体"/>
          <w:szCs w:val="32"/>
        </w:rPr>
        <w:t>（一）</w:t>
      </w:r>
      <w:r>
        <w:rPr>
          <w:rFonts w:hint="eastAsia" w:eastAsia="仿宋_GB2312"/>
          <w:sz w:val="32"/>
          <w:szCs w:val="21"/>
          <w:shd w:val="clear" w:color="auto" w:fill="FFFFFF"/>
        </w:rPr>
        <w:t>经济效益指标</w:t>
      </w:r>
      <w:r>
        <w:rPr>
          <w:rFonts w:hint="eastAsia" w:eastAsia="仿宋_GB2312"/>
          <w:sz w:val="32"/>
          <w:szCs w:val="21"/>
          <w:shd w:val="clear" w:color="auto" w:fill="FFFFFF"/>
          <w:lang w:eastAsia="zh-CN"/>
        </w:rPr>
        <w:t>：</w:t>
      </w:r>
      <w:r>
        <w:rPr>
          <w:rFonts w:hint="eastAsia" w:eastAsia="仿宋_GB2312"/>
          <w:sz w:val="32"/>
          <w:szCs w:val="21"/>
          <w:shd w:val="clear" w:color="auto" w:fill="FFFFFF"/>
        </w:rPr>
        <w:t>根据国家保护价收购农民余粮政策增加种粮农户收入</w:t>
      </w:r>
      <w:r>
        <w:rPr>
          <w:rFonts w:hint="eastAsia" w:eastAsia="仿宋_GB2312"/>
          <w:sz w:val="32"/>
          <w:szCs w:val="21"/>
          <w:shd w:val="clear" w:color="auto" w:fill="FFFFFF"/>
          <w:lang w:eastAsia="zh-CN"/>
        </w:rPr>
        <w:t>；</w:t>
      </w:r>
    </w:p>
    <w:p>
      <w:pPr>
        <w:ind w:firstLine="640" w:firstLineChars="200"/>
        <w:rPr>
          <w:rFonts w:hint="eastAsia" w:eastAsia="仿宋_GB2312"/>
          <w:sz w:val="32"/>
          <w:szCs w:val="21"/>
          <w:shd w:val="clear" w:color="auto" w:fill="FFFFFF"/>
          <w:lang w:eastAsia="zh-CN"/>
        </w:rPr>
      </w:pPr>
      <w:r>
        <w:rPr>
          <w:rFonts w:hint="eastAsia" w:ascii="仿宋_GB2312" w:hAnsi="楷体"/>
          <w:szCs w:val="32"/>
        </w:rPr>
        <w:t>（二）</w:t>
      </w:r>
      <w:r>
        <w:rPr>
          <w:rFonts w:hint="eastAsia" w:eastAsia="仿宋_GB2312"/>
          <w:sz w:val="32"/>
          <w:szCs w:val="21"/>
          <w:shd w:val="clear" w:color="auto" w:fill="FFFFFF"/>
          <w:lang w:eastAsia="zh-CN"/>
        </w:rPr>
        <w:t>社会效益指标：通过保护价收购余粮，提高农民种粮积极性，保障国家粮食安全；</w:t>
      </w:r>
    </w:p>
    <w:p>
      <w:pPr>
        <w:ind w:firstLine="640" w:firstLineChars="200"/>
        <w:rPr>
          <w:rFonts w:hint="eastAsia" w:eastAsia="仿宋_GB2312"/>
          <w:sz w:val="32"/>
          <w:szCs w:val="21"/>
          <w:shd w:val="clear" w:color="auto" w:fill="FFFFFF"/>
          <w:lang w:eastAsia="zh-CN"/>
        </w:rPr>
      </w:pPr>
      <w:r>
        <w:rPr>
          <w:rFonts w:hint="eastAsia"/>
          <w:sz w:val="32"/>
          <w:szCs w:val="21"/>
          <w:shd w:val="clear" w:color="auto" w:fill="FFFFFF"/>
          <w:lang w:eastAsia="zh-CN"/>
        </w:rPr>
        <w:t>（三）</w:t>
      </w:r>
      <w:r>
        <w:rPr>
          <w:rFonts w:hint="eastAsia" w:eastAsia="仿宋_GB2312"/>
          <w:sz w:val="32"/>
          <w:szCs w:val="21"/>
          <w:shd w:val="clear" w:color="auto" w:fill="FFFFFF"/>
          <w:lang w:eastAsia="zh-CN"/>
        </w:rPr>
        <w:t>可持续影响指标：根据国家现行粮食收购政策，适时组织实施。</w:t>
      </w:r>
    </w:p>
    <w:p>
      <w:pPr>
        <w:topLinePunct/>
        <w:spacing w:line="540" w:lineRule="exact"/>
        <w:ind w:firstLine="800" w:firstLineChars="250"/>
        <w:rPr>
          <w:rFonts w:ascii="黑体" w:hAnsi="黑体" w:eastAsia="黑体"/>
          <w:szCs w:val="32"/>
        </w:rPr>
      </w:pPr>
      <w:r>
        <w:rPr>
          <w:rFonts w:hint="eastAsia" w:ascii="黑体" w:hAnsi="黑体" w:eastAsia="黑体"/>
          <w:szCs w:val="32"/>
        </w:rPr>
        <w:t>三、评价结论</w:t>
      </w:r>
    </w:p>
    <w:p>
      <w:pPr>
        <w:topLinePunct/>
        <w:spacing w:line="540" w:lineRule="exact"/>
        <w:ind w:firstLine="800" w:firstLineChars="250"/>
        <w:rPr>
          <w:rFonts w:hint="eastAsia" w:ascii="仿宋_GB2312" w:hAnsi="仿宋"/>
          <w:szCs w:val="32"/>
        </w:rPr>
      </w:pPr>
      <w:r>
        <w:rPr>
          <w:rFonts w:hint="eastAsia" w:ascii="仿宋_GB2312" w:hAnsi="仿宋"/>
          <w:szCs w:val="32"/>
        </w:rPr>
        <w:t>（一）评价结果。</w:t>
      </w:r>
    </w:p>
    <w:p>
      <w:pPr>
        <w:ind w:firstLine="640" w:firstLineChars="200"/>
        <w:rPr>
          <w:rFonts w:hint="eastAsia" w:ascii="仿宋_GB2312" w:hAnsi="仿宋"/>
          <w:szCs w:val="32"/>
        </w:rPr>
      </w:pPr>
      <w:r>
        <w:rPr>
          <w:rFonts w:hint="eastAsia" w:eastAsia="仿宋_GB2312"/>
          <w:sz w:val="32"/>
          <w:szCs w:val="21"/>
          <w:shd w:val="clear" w:color="auto" w:fill="FFFFFF"/>
        </w:rPr>
        <w:t>按保护价敞开收购农民余粮、粮食收储企业实行顺价销售、收购资金封闭运行三项政策和加快国有粮食企业自身改革的“三项政策一项改革”是粮食流通体制改革的重点，而按保护价敞开收购农民余粮是贯彻执行三项政策的基础，对促进我国粮食生产的持续稳定发展、切实保护农民利益，促进农民增收，</w:t>
      </w:r>
      <w:r>
        <w:rPr>
          <w:rFonts w:hint="eastAsia" w:eastAsia="仿宋_GB2312"/>
          <w:sz w:val="32"/>
          <w:szCs w:val="32"/>
        </w:rPr>
        <w:t>保障国家粮食安全起到了积极作用。</w:t>
      </w:r>
    </w:p>
    <w:p>
      <w:pPr>
        <w:numPr>
          <w:ilvl w:val="0"/>
          <w:numId w:val="2"/>
        </w:numPr>
        <w:ind w:firstLine="640" w:firstLineChars="200"/>
        <w:rPr>
          <w:rFonts w:hint="eastAsia" w:ascii="仿宋_GB2312" w:hAnsi="仿宋"/>
          <w:szCs w:val="32"/>
        </w:rPr>
      </w:pPr>
      <w:r>
        <w:rPr>
          <w:rFonts w:hint="eastAsia" w:ascii="仿宋_GB2312" w:hAnsi="仿宋"/>
          <w:szCs w:val="32"/>
        </w:rPr>
        <w:t>主要绩效。</w:t>
      </w:r>
    </w:p>
    <w:p>
      <w:pPr>
        <w:numPr>
          <w:ilvl w:val="0"/>
          <w:numId w:val="0"/>
        </w:numPr>
        <w:ind w:firstLine="640" w:firstLineChars="200"/>
        <w:rPr>
          <w:rFonts w:ascii="仿宋_GB2312" w:hAnsi="仿宋"/>
          <w:szCs w:val="32"/>
        </w:rPr>
      </w:pPr>
      <w:r>
        <w:rPr>
          <w:rFonts w:hint="eastAsia" w:eastAsia="仿宋_GB2312"/>
          <w:sz w:val="32"/>
          <w:szCs w:val="21"/>
          <w:shd w:val="clear" w:color="auto" w:fill="FFFFFF"/>
        </w:rPr>
        <w:t>促进我国粮食生产持续稳定发展</w:t>
      </w:r>
      <w:r>
        <w:rPr>
          <w:rFonts w:hint="eastAsia"/>
          <w:sz w:val="32"/>
          <w:szCs w:val="21"/>
          <w:shd w:val="clear" w:color="auto" w:fill="FFFFFF"/>
          <w:lang w:eastAsia="zh-CN"/>
        </w:rPr>
        <w:t>，增加粮户收入；</w:t>
      </w:r>
      <w:r>
        <w:rPr>
          <w:rFonts w:hint="eastAsia" w:eastAsia="仿宋_GB2312"/>
          <w:sz w:val="32"/>
          <w:szCs w:val="21"/>
          <w:shd w:val="clear" w:color="auto" w:fill="FFFFFF"/>
        </w:rPr>
        <w:t>切实保护农民利益，</w:t>
      </w:r>
      <w:r>
        <w:rPr>
          <w:rFonts w:hint="eastAsia"/>
          <w:sz w:val="32"/>
          <w:szCs w:val="21"/>
          <w:shd w:val="clear" w:color="auto" w:fill="FFFFFF"/>
          <w:lang w:eastAsia="zh-CN"/>
        </w:rPr>
        <w:t>提高农民种粮积极性，</w:t>
      </w:r>
      <w:r>
        <w:rPr>
          <w:rFonts w:hint="eastAsia" w:eastAsia="仿宋_GB2312"/>
          <w:sz w:val="32"/>
          <w:szCs w:val="21"/>
          <w:shd w:val="clear" w:color="auto" w:fill="FFFFFF"/>
        </w:rPr>
        <w:t>促进农民增收</w:t>
      </w:r>
      <w:r>
        <w:rPr>
          <w:rFonts w:hint="eastAsia"/>
          <w:sz w:val="32"/>
          <w:szCs w:val="21"/>
          <w:shd w:val="clear" w:color="auto" w:fill="FFFFFF"/>
          <w:lang w:eastAsia="zh-CN"/>
        </w:rPr>
        <w:t>；</w:t>
      </w:r>
      <w:r>
        <w:rPr>
          <w:rFonts w:hint="eastAsia" w:eastAsia="仿宋_GB2312"/>
          <w:sz w:val="32"/>
          <w:szCs w:val="32"/>
        </w:rPr>
        <w:t>保障国家粮食安全。</w:t>
      </w:r>
    </w:p>
    <w:p>
      <w:pPr>
        <w:ind w:firstLine="640" w:firstLineChars="200"/>
        <w:rPr>
          <w:rFonts w:hint="eastAsia" w:ascii="黑体" w:hAnsi="黑体" w:eastAsia="黑体"/>
          <w:szCs w:val="32"/>
        </w:rPr>
      </w:pPr>
      <w:r>
        <w:rPr>
          <w:rFonts w:hint="eastAsia" w:ascii="黑体" w:hAnsi="黑体" w:eastAsia="黑体"/>
          <w:szCs w:val="32"/>
        </w:rPr>
        <w:t>四、成本效益分析。</w:t>
      </w:r>
    </w:p>
    <w:p>
      <w:pPr>
        <w:ind w:firstLine="640" w:firstLineChars="200"/>
        <w:rPr>
          <w:rFonts w:ascii="黑体" w:hAnsi="黑体" w:eastAsia="黑体"/>
          <w:szCs w:val="32"/>
        </w:rPr>
      </w:pPr>
      <w:r>
        <w:rPr>
          <w:rFonts w:hint="eastAsia" w:cs="仿宋_GB2312"/>
        </w:rPr>
        <w:t>实施粮食政策性财务挂账，从政策的出台到亏损数据的认定都有一系列国家相关政策作为依据。我局作为行政主体认真做好政策的执行工作。根据《昆明市人民政府关于对全市国有粮食购销企业粮食财务挂账清理认定相关文件的批复》同意将县区粮食企业政策性粮食财务挂账占用农发行贷款本金剥离到企业隶属粮食行政管理部门集中管理，贷款利息按现行有关政策办理。</w:t>
      </w:r>
      <w:r>
        <w:rPr>
          <w:rFonts w:hint="eastAsia" w:eastAsia="仿宋_GB2312"/>
          <w:sz w:val="32"/>
          <w:szCs w:val="32"/>
        </w:rPr>
        <w:t>财政列入年度预算安排，按时足额拨付</w:t>
      </w:r>
      <w:r>
        <w:rPr>
          <w:rFonts w:hint="eastAsia" w:eastAsia="仿宋_GB2312"/>
          <w:sz w:val="32"/>
          <w:szCs w:val="32"/>
          <w:lang w:eastAsia="zh-CN"/>
        </w:rPr>
        <w:t>。</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hint="eastAsia" w:ascii="仿宋_GB2312" w:hAnsi="楷体"/>
          <w:szCs w:val="32"/>
        </w:rPr>
      </w:pPr>
      <w:r>
        <w:rPr>
          <w:rFonts w:hint="eastAsia" w:ascii="仿宋_GB2312" w:hAnsi="楷体"/>
          <w:szCs w:val="32"/>
        </w:rPr>
        <w:t>（一）主要经验及做法</w:t>
      </w:r>
    </w:p>
    <w:p>
      <w:pPr>
        <w:topLinePunct/>
        <w:ind w:firstLine="640" w:firstLineChars="200"/>
      </w:pPr>
      <w:r>
        <w:t>1.</w:t>
      </w:r>
      <w:r>
        <w:rPr>
          <w:rFonts w:hint="eastAsia" w:cs="仿宋_GB2312"/>
        </w:rPr>
        <w:t>统一安排部署，加强组织领导。成立领导小组，切实加强组织领导，认真履行工作职责，严格落实责任，对项目实施和进展情况进行督查。</w:t>
      </w:r>
    </w:p>
    <w:p>
      <w:pPr>
        <w:topLinePunct/>
        <w:ind w:firstLine="640" w:firstLineChars="200"/>
        <w:rPr>
          <w:rFonts w:hint="eastAsia" w:ascii="仿宋_GB2312" w:hAnsi="楷体"/>
          <w:szCs w:val="32"/>
        </w:rPr>
      </w:pPr>
      <w:r>
        <w:rPr>
          <w:rFonts w:ascii="仿宋_GB2312" w:hAnsi="楷体" w:cs="仿宋_GB2312"/>
        </w:rPr>
        <w:t>2.</w:t>
      </w:r>
      <w:r>
        <w:rPr>
          <w:rFonts w:hint="eastAsia" w:ascii="仿宋_GB2312" w:hAnsi="楷体" w:cs="仿宋_GB2312"/>
        </w:rPr>
        <w:t>遵守规定，规范管理</w:t>
      </w:r>
      <w:r>
        <w:rPr>
          <w:rFonts w:hint="eastAsia" w:ascii="仿宋_GB2312" w:hAnsi="楷体" w:cs="仿宋_GB2312"/>
          <w:lang w:eastAsia="zh-CN"/>
        </w:rPr>
        <w:t>。</w:t>
      </w:r>
      <w:r>
        <w:rPr>
          <w:rFonts w:hint="eastAsia" w:ascii="仿宋_GB2312" w:hAnsi="楷体" w:cs="仿宋_GB2312"/>
        </w:rPr>
        <w:t>根据《昆明市人民政府关于对全市国有粮食购销企业粮食财务挂账清理认定相关文件的批复》</w:t>
      </w:r>
      <w:r>
        <w:rPr>
          <w:rFonts w:hint="eastAsia" w:ascii="仿宋_GB2312" w:hAnsi="楷体" w:cs="仿宋_GB2312"/>
          <w:lang w:eastAsia="zh-CN"/>
        </w:rPr>
        <w:t>，</w:t>
      </w:r>
      <w:r>
        <w:rPr>
          <w:rFonts w:hint="eastAsia" w:ascii="仿宋_GB2312" w:hAnsi="楷体" w:cs="仿宋_GB2312"/>
        </w:rPr>
        <w:t>将县区粮食企业政策性粮食财务挂账占用农发行贷款本金剥离到企业隶属粮食行政管理部门集中管理，贷款利息按现行有关政策办理</w:t>
      </w:r>
      <w:r>
        <w:rPr>
          <w:rFonts w:hint="eastAsia" w:ascii="仿宋_GB2312" w:hAnsi="楷体" w:cs="仿宋_GB2312"/>
          <w:lang w:eastAsia="zh-CN"/>
        </w:rPr>
        <w:t>。做好规范执行工作。</w:t>
      </w:r>
    </w:p>
    <w:p>
      <w:pPr>
        <w:topLinePunct/>
        <w:spacing w:line="540" w:lineRule="exact"/>
        <w:ind w:firstLine="800" w:firstLineChars="250"/>
        <w:rPr>
          <w:rFonts w:hint="eastAsia" w:ascii="仿宋_GB2312" w:hAnsi="楷体"/>
          <w:szCs w:val="32"/>
        </w:rPr>
      </w:pPr>
      <w:r>
        <w:rPr>
          <w:rFonts w:hint="eastAsia" w:ascii="仿宋_GB2312" w:hAnsi="楷体"/>
          <w:szCs w:val="32"/>
        </w:rPr>
        <w:t>（二）存在的问题</w:t>
      </w:r>
    </w:p>
    <w:p>
      <w:pPr>
        <w:topLinePunct/>
        <w:spacing w:line="540" w:lineRule="exact"/>
        <w:ind w:firstLine="800" w:firstLineChars="250"/>
        <w:rPr>
          <w:rFonts w:hint="eastAsia" w:ascii="仿宋_GB2312" w:hAnsi="楷体"/>
          <w:szCs w:val="32"/>
        </w:rPr>
      </w:pPr>
      <w:r>
        <w:rPr>
          <w:rFonts w:hint="eastAsia" w:hAnsi="仿宋" w:cs="仿宋_GB2312"/>
        </w:rPr>
        <w:t>电脑、打印机等办公设备未配置。</w:t>
      </w:r>
    </w:p>
    <w:p>
      <w:pPr>
        <w:topLinePunct/>
        <w:spacing w:line="540" w:lineRule="exact"/>
        <w:ind w:firstLine="800" w:firstLineChars="250"/>
        <w:rPr>
          <w:rFonts w:hint="eastAsia" w:ascii="仿宋_GB2312" w:hAnsi="楷体"/>
          <w:szCs w:val="32"/>
        </w:rPr>
      </w:pPr>
      <w:r>
        <w:rPr>
          <w:rFonts w:hint="eastAsia" w:ascii="仿宋_GB2312" w:hAnsi="楷体"/>
          <w:szCs w:val="32"/>
        </w:rPr>
        <w:t>（三）建议和改进措施</w:t>
      </w:r>
    </w:p>
    <w:p>
      <w:pPr>
        <w:topLinePunct/>
        <w:spacing w:line="540" w:lineRule="exact"/>
        <w:ind w:firstLine="800" w:firstLineChars="250"/>
        <w:rPr>
          <w:rFonts w:hint="eastAsia" w:ascii="仿宋_GB2312" w:hAnsi="楷体"/>
          <w:szCs w:val="32"/>
        </w:rPr>
      </w:pPr>
      <w:r>
        <w:rPr>
          <w:rFonts w:hint="eastAsia" w:ascii="仿宋_GB2312" w:hAnsi="楷体" w:cs="仿宋_GB2312"/>
        </w:rPr>
        <w:t>筹措资金，配齐</w:t>
      </w:r>
      <w:r>
        <w:rPr>
          <w:rFonts w:hint="eastAsia" w:hAnsi="仿宋" w:cs="仿宋_GB2312"/>
        </w:rPr>
        <w:t>电脑、打印机及相关办公设备。</w:t>
      </w:r>
    </w:p>
    <w:p/>
    <w:p/>
    <w:p/>
    <w:p/>
    <w:p/>
    <w:p/>
    <w:p/>
    <w:p/>
    <w:p/>
    <w:p/>
    <w:p/>
    <w:p/>
    <w:p/>
    <w:p>
      <w:pPr>
        <w:rPr>
          <w:sz w:val="15"/>
          <w:szCs w:val="15"/>
        </w:rPr>
      </w:pPr>
    </w:p>
    <w:p>
      <w:pPr>
        <w:rPr>
          <w:sz w:val="21"/>
          <w:szCs w:val="21"/>
        </w:rPr>
      </w:pP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19</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97</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016DF2"/>
    <w:multiLevelType w:val="singleLevel"/>
    <w:tmpl w:val="BC016DF2"/>
    <w:lvl w:ilvl="0" w:tentative="0">
      <w:start w:val="2"/>
      <w:numFmt w:val="chineseCounting"/>
      <w:suff w:val="nothing"/>
      <w:lvlText w:val="（%1）"/>
      <w:lvlJc w:val="left"/>
      <w:rPr>
        <w:rFonts w:hint="eastAsia"/>
      </w:rPr>
    </w:lvl>
  </w:abstractNum>
  <w:abstractNum w:abstractNumId="1">
    <w:nsid w:val="0C98EEE0"/>
    <w:multiLevelType w:val="singleLevel"/>
    <w:tmpl w:val="0C98EEE0"/>
    <w:lvl w:ilvl="0" w:tentative="0">
      <w:start w:val="3"/>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A3C5531"/>
    <w:rsid w:val="23091391"/>
    <w:rsid w:val="28C8317C"/>
    <w:rsid w:val="2E4011A3"/>
    <w:rsid w:val="3695288A"/>
    <w:rsid w:val="51925E6F"/>
    <w:rsid w:val="5C903A93"/>
    <w:rsid w:val="5F9B5626"/>
    <w:rsid w:val="789D7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6</TotalTime>
  <ScaleCrop>false</ScaleCrop>
  <LinksUpToDate>false</LinksUpToDate>
  <CharactersWithSpaces>2746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dcterms:modified xsi:type="dcterms:W3CDTF">2021-04-09T01:13:38Z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