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color w:val="auto"/>
          <w:sz w:val="44"/>
          <w:szCs w:val="44"/>
          <w:lang w:eastAsia="zh-CN"/>
        </w:rPr>
      </w:pPr>
      <w:bookmarkStart w:id="0" w:name="_GoBack"/>
      <w:bookmarkEnd w:id="0"/>
      <w:r>
        <w:rPr>
          <w:rFonts w:hint="eastAsia" w:ascii="方正小标宋简体" w:hAnsi="方正小标宋简体" w:eastAsia="方正小标宋简体" w:cs="方正小标宋简体"/>
          <w:b/>
          <w:bCs/>
          <w:color w:val="auto"/>
          <w:sz w:val="44"/>
          <w:szCs w:val="44"/>
          <w:lang w:eastAsia="zh-CN"/>
        </w:rPr>
        <w:t>富民县科学技术和工业信息化局</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color w:val="auto"/>
          <w:sz w:val="44"/>
          <w:szCs w:val="44"/>
          <w:lang w:eastAsia="zh-CN"/>
        </w:rPr>
      </w:pPr>
      <w:r>
        <w:rPr>
          <w:rFonts w:hint="eastAsia" w:ascii="方正小标宋简体" w:hAnsi="方正小标宋简体" w:eastAsia="方正小标宋简体" w:cs="方正小标宋简体"/>
          <w:b/>
          <w:bCs/>
          <w:color w:val="auto"/>
          <w:sz w:val="44"/>
          <w:szCs w:val="44"/>
        </w:rPr>
        <w:t>201</w:t>
      </w:r>
      <w:r>
        <w:rPr>
          <w:rFonts w:hint="eastAsia" w:ascii="方正小标宋简体" w:hAnsi="方正小标宋简体" w:eastAsia="方正小标宋简体" w:cs="方正小标宋简体"/>
          <w:b/>
          <w:bCs/>
          <w:color w:val="auto"/>
          <w:sz w:val="44"/>
          <w:szCs w:val="44"/>
          <w:lang w:val="en-US" w:eastAsia="zh-CN"/>
        </w:rPr>
        <w:t>9</w:t>
      </w:r>
      <w:r>
        <w:rPr>
          <w:rFonts w:hint="eastAsia" w:ascii="方正小标宋简体" w:hAnsi="方正小标宋简体" w:eastAsia="方正小标宋简体" w:cs="方正小标宋简体"/>
          <w:b/>
          <w:bCs/>
          <w:color w:val="auto"/>
          <w:sz w:val="44"/>
          <w:szCs w:val="44"/>
        </w:rPr>
        <w:t>年</w:t>
      </w:r>
      <w:r>
        <w:rPr>
          <w:rFonts w:hint="eastAsia" w:ascii="方正小标宋简体" w:hAnsi="方正小标宋简体" w:eastAsia="方正小标宋简体" w:cs="方正小标宋简体"/>
          <w:b/>
          <w:bCs/>
          <w:color w:val="auto"/>
          <w:sz w:val="44"/>
          <w:szCs w:val="44"/>
          <w:lang w:eastAsia="zh-CN"/>
        </w:rPr>
        <w:t>省级商贸进出口专项</w:t>
      </w:r>
      <w:r>
        <w:rPr>
          <w:rFonts w:hint="eastAsia" w:ascii="方正小标宋简体" w:hAnsi="方正小标宋简体" w:eastAsia="方正小标宋简体" w:cs="方正小标宋简体"/>
          <w:b/>
          <w:bCs/>
          <w:color w:val="auto"/>
          <w:sz w:val="44"/>
          <w:szCs w:val="44"/>
        </w:rPr>
        <w:t>资金</w:t>
      </w:r>
      <w:r>
        <w:rPr>
          <w:rFonts w:hint="eastAsia" w:ascii="方正小标宋简体" w:hAnsi="方正小标宋简体" w:eastAsia="方正小标宋简体" w:cs="方正小标宋简体"/>
          <w:b/>
          <w:bCs/>
          <w:color w:val="auto"/>
          <w:sz w:val="44"/>
          <w:szCs w:val="44"/>
          <w:lang w:eastAsia="zh-CN"/>
        </w:rPr>
        <w:t>项目支出</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color w:val="auto"/>
          <w:sz w:val="44"/>
          <w:szCs w:val="44"/>
        </w:rPr>
      </w:pPr>
      <w:r>
        <w:rPr>
          <w:rFonts w:hint="eastAsia" w:ascii="方正小标宋简体" w:hAnsi="方正小标宋简体" w:eastAsia="方正小标宋简体" w:cs="方正小标宋简体"/>
          <w:b/>
          <w:bCs/>
          <w:color w:val="auto"/>
          <w:sz w:val="44"/>
          <w:szCs w:val="44"/>
        </w:rPr>
        <w:t>绩效评价报告</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color w:val="auto"/>
          <w:sz w:val="44"/>
          <w:szCs w:val="44"/>
        </w:rPr>
      </w:pP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黑体" w:hAnsi="黑体" w:eastAsia="黑体" w:cs="黑体"/>
          <w:color w:val="auto"/>
          <w:sz w:val="32"/>
          <w:szCs w:val="32"/>
        </w:rPr>
      </w:pPr>
      <w:r>
        <w:rPr>
          <w:rFonts w:hint="eastAsia"/>
          <w:color w:val="auto"/>
          <w:sz w:val="32"/>
          <w:szCs w:val="32"/>
        </w:rPr>
        <w:t xml:space="preserve">  </w:t>
      </w:r>
      <w:r>
        <w:rPr>
          <w:rFonts w:hint="eastAsia" w:ascii="黑体" w:hAnsi="黑体" w:eastAsia="黑体" w:cs="黑体"/>
          <w:color w:val="auto"/>
          <w:sz w:val="32"/>
          <w:szCs w:val="32"/>
        </w:rPr>
        <w:t xml:space="preserve">  一、项目基本情况</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（一）项目概况</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32"/>
        </w:rPr>
        <w:t>1.立项背景及目的。</w:t>
      </w:r>
      <w:r>
        <w:rPr>
          <w:rFonts w:hint="eastAsia" w:ascii="仿宋_GB2312" w:hAnsi="仿宋_GB2312" w:eastAsia="仿宋_GB2312" w:cs="仿宋_GB2312"/>
          <w:color w:val="auto"/>
          <w:sz w:val="32"/>
          <w:szCs w:val="32"/>
          <w:lang w:eastAsia="zh-CN"/>
        </w:rPr>
        <w:t>鼓励企业积极扩大进出口业务，推动传统产业转型升级，促进战略性新兴产业发展。推动全省转方式、调结构，促进云南外贸持续健康发展。</w:t>
      </w:r>
    </w:p>
    <w:p>
      <w:pPr>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rPr>
        <w:t>2.</w:t>
      </w:r>
      <w:r>
        <w:rPr>
          <w:rFonts w:hint="eastAsia" w:ascii="仿宋_GB2312" w:hAnsi="仿宋_GB2312" w:eastAsia="仿宋_GB2312" w:cs="仿宋_GB2312"/>
          <w:color w:val="auto"/>
          <w:kern w:val="0"/>
          <w:sz w:val="32"/>
          <w:szCs w:val="32"/>
        </w:rPr>
        <w:t>项目实施情况。</w:t>
      </w:r>
      <w:r>
        <w:rPr>
          <w:rFonts w:hint="eastAsia" w:ascii="仿宋_GB2312" w:hAnsi="仿宋_GB2312" w:eastAsia="仿宋_GB2312" w:cs="仿宋_GB2312"/>
          <w:color w:val="auto"/>
          <w:sz w:val="32"/>
          <w:szCs w:val="32"/>
        </w:rPr>
        <w:t>按照上级文件精神，我局相关科室组织辖区内开展</w:t>
      </w:r>
      <w:r>
        <w:rPr>
          <w:rFonts w:hint="eastAsia" w:ascii="仿宋_GB2312" w:hAnsi="仿宋_GB2312" w:eastAsia="仿宋_GB2312" w:cs="仿宋_GB2312"/>
          <w:color w:val="auto"/>
          <w:sz w:val="32"/>
          <w:szCs w:val="32"/>
          <w:lang w:eastAsia="zh-CN"/>
        </w:rPr>
        <w:t>进出口业务</w:t>
      </w:r>
      <w:r>
        <w:rPr>
          <w:rFonts w:hint="eastAsia" w:ascii="仿宋_GB2312" w:hAnsi="仿宋_GB2312" w:eastAsia="仿宋_GB2312" w:cs="仿宋_GB2312"/>
          <w:color w:val="auto"/>
          <w:sz w:val="32"/>
          <w:szCs w:val="32"/>
        </w:rPr>
        <w:t>业绩较好的</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户企业——</w:t>
      </w:r>
      <w:r>
        <w:rPr>
          <w:rFonts w:hint="eastAsia" w:ascii="仿宋_GB2312" w:hAnsi="仿宋_GB2312" w:eastAsia="仿宋_GB2312" w:cs="仿宋_GB2312"/>
          <w:color w:val="auto"/>
          <w:sz w:val="32"/>
          <w:szCs w:val="32"/>
          <w:lang w:eastAsia="zh-CN"/>
        </w:rPr>
        <w:t>昆明东昊钛业有限公司、昆明市富民县进出口公司、云南大互通钛业有限公司、云南环际农业科技开发有限公司</w:t>
      </w:r>
      <w:r>
        <w:rPr>
          <w:rFonts w:hint="eastAsia" w:ascii="仿宋_GB2312" w:hAnsi="仿宋_GB2312" w:eastAsia="仿宋_GB2312" w:cs="仿宋_GB2312"/>
          <w:color w:val="auto"/>
          <w:sz w:val="32"/>
          <w:szCs w:val="32"/>
        </w:rPr>
        <w:t>进行申报。经上级审查，</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户企业提供的材料真实有效，符合</w:t>
      </w:r>
      <w:r>
        <w:rPr>
          <w:rFonts w:hint="eastAsia" w:ascii="仿宋_GB2312" w:hAnsi="仿宋_GB2312" w:eastAsia="仿宋_GB2312" w:cs="仿宋_GB2312"/>
          <w:color w:val="auto"/>
          <w:sz w:val="32"/>
          <w:szCs w:val="32"/>
          <w:lang w:eastAsia="zh-CN"/>
        </w:rPr>
        <w:t>省级商贸进出口专项资金</w:t>
      </w:r>
      <w:r>
        <w:rPr>
          <w:rFonts w:hint="eastAsia" w:ascii="仿宋_GB2312" w:hAnsi="仿宋_GB2312" w:eastAsia="仿宋_GB2312" w:cs="仿宋_GB2312"/>
          <w:color w:val="auto"/>
          <w:sz w:val="32"/>
          <w:szCs w:val="32"/>
        </w:rPr>
        <w:t>政策有关规定。</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资金来源及使用情况。</w:t>
      </w:r>
      <w:r>
        <w:rPr>
          <w:rFonts w:hint="eastAsia" w:ascii="仿宋_GB2312" w:hAnsi="仿宋_GB2312" w:eastAsia="仿宋_GB2312" w:cs="仿宋_GB2312"/>
          <w:color w:val="auto"/>
          <w:sz w:val="32"/>
          <w:szCs w:val="32"/>
          <w:lang w:eastAsia="zh-CN"/>
        </w:rPr>
        <w:t>省级商贸进出口专项资金</w:t>
      </w:r>
      <w:r>
        <w:rPr>
          <w:rFonts w:hint="eastAsia" w:ascii="仿宋_GB2312" w:hAnsi="仿宋_GB2312" w:eastAsia="仿宋_GB2312" w:cs="仿宋_GB2312"/>
          <w:color w:val="auto"/>
          <w:sz w:val="32"/>
          <w:szCs w:val="32"/>
        </w:rPr>
        <w:t>，由</w:t>
      </w:r>
      <w:r>
        <w:rPr>
          <w:rFonts w:hint="eastAsia" w:ascii="仿宋_GB2312" w:hAnsi="仿宋_GB2312" w:eastAsia="仿宋_GB2312" w:cs="仿宋_GB2312"/>
          <w:color w:val="auto"/>
          <w:sz w:val="32"/>
          <w:szCs w:val="32"/>
          <w:lang w:eastAsia="zh-CN"/>
        </w:rPr>
        <w:t>省级</w:t>
      </w:r>
      <w:r>
        <w:rPr>
          <w:rFonts w:hint="eastAsia" w:ascii="仿宋_GB2312" w:hAnsi="仿宋_GB2312" w:eastAsia="仿宋_GB2312" w:cs="仿宋_GB2312"/>
          <w:color w:val="auto"/>
          <w:sz w:val="32"/>
          <w:szCs w:val="32"/>
        </w:rPr>
        <w:t>财政统一安排。根据</w:t>
      </w:r>
      <w:r>
        <w:rPr>
          <w:rFonts w:hint="eastAsia" w:ascii="仿宋_GB2312" w:hAnsi="仿宋_GB2312" w:eastAsia="仿宋_GB2312" w:cs="仿宋_GB2312"/>
          <w:color w:val="auto"/>
          <w:sz w:val="32"/>
          <w:szCs w:val="32"/>
          <w:lang w:eastAsia="zh-CN"/>
        </w:rPr>
        <w:t>昆明</w:t>
      </w:r>
      <w:r>
        <w:rPr>
          <w:rFonts w:hint="eastAsia" w:ascii="仿宋_GB2312" w:hAnsi="仿宋_GB2312" w:eastAsia="仿宋_GB2312" w:cs="仿宋_GB2312"/>
          <w:color w:val="auto"/>
          <w:sz w:val="32"/>
          <w:szCs w:val="32"/>
        </w:rPr>
        <w:t>市财政</w:t>
      </w:r>
      <w:r>
        <w:rPr>
          <w:rFonts w:hint="eastAsia" w:ascii="仿宋_GB2312" w:hAnsi="仿宋_GB2312" w:eastAsia="仿宋_GB2312" w:cs="仿宋_GB2312"/>
          <w:color w:val="auto"/>
          <w:sz w:val="32"/>
          <w:szCs w:val="32"/>
          <w:lang w:eastAsia="zh-CN"/>
        </w:rPr>
        <w:t>局《关于下达201</w:t>
      </w:r>
      <w:r>
        <w:rPr>
          <w:rFonts w:hint="eastAsia" w:ascii="仿宋_GB2312" w:hAnsi="仿宋_GB2312" w:eastAsia="仿宋_GB2312" w:cs="仿宋_GB2312"/>
          <w:color w:val="auto"/>
          <w:sz w:val="32"/>
          <w:szCs w:val="32"/>
          <w:lang w:val="en-US" w:eastAsia="zh-CN"/>
        </w:rPr>
        <w:t>9</w:t>
      </w:r>
      <w:r>
        <w:rPr>
          <w:rFonts w:hint="eastAsia" w:ascii="仿宋_GB2312" w:hAnsi="仿宋_GB2312" w:eastAsia="仿宋_GB2312" w:cs="仿宋_GB2312"/>
          <w:color w:val="auto"/>
          <w:sz w:val="32"/>
          <w:szCs w:val="32"/>
          <w:lang w:eastAsia="zh-CN"/>
        </w:rPr>
        <w:t>年省级商贸进出口专项资金</w:t>
      </w:r>
      <w:r>
        <w:rPr>
          <w:rFonts w:hint="eastAsia" w:ascii="仿宋_GB2312" w:hAnsi="仿宋_GB2312" w:eastAsia="仿宋_GB2312" w:cs="仿宋_GB2312"/>
          <w:color w:val="auto"/>
          <w:sz w:val="32"/>
          <w:szCs w:val="32"/>
          <w:lang w:val="en-US" w:eastAsia="zh-CN"/>
        </w:rPr>
        <w:t>的通知</w:t>
      </w:r>
      <w:r>
        <w:rPr>
          <w:rFonts w:hint="eastAsia" w:ascii="仿宋_GB2312" w:hAnsi="仿宋_GB2312" w:eastAsia="仿宋_GB2312" w:cs="仿宋_GB2312"/>
          <w:color w:val="auto"/>
          <w:sz w:val="32"/>
          <w:szCs w:val="32"/>
          <w:lang w:eastAsia="zh-CN"/>
        </w:rPr>
        <w:t>》昆财产业（</w:t>
      </w:r>
      <w:r>
        <w:rPr>
          <w:rFonts w:hint="eastAsia" w:ascii="仿宋_GB2312" w:hAnsi="仿宋_GB2312" w:eastAsia="仿宋_GB2312" w:cs="仿宋_GB2312"/>
          <w:color w:val="auto"/>
          <w:sz w:val="32"/>
          <w:szCs w:val="32"/>
          <w:lang w:val="en-US" w:eastAsia="zh-CN"/>
        </w:rPr>
        <w:t>2020</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15号文件</w:t>
      </w:r>
      <w:r>
        <w:rPr>
          <w:rFonts w:hint="eastAsia" w:ascii="仿宋_GB2312" w:hAnsi="仿宋_GB2312" w:eastAsia="仿宋_GB2312" w:cs="仿宋_GB2312"/>
          <w:color w:val="auto"/>
          <w:sz w:val="32"/>
          <w:szCs w:val="32"/>
        </w:rPr>
        <w:t>精神，</w:t>
      </w:r>
      <w:r>
        <w:rPr>
          <w:rFonts w:hint="eastAsia" w:ascii="仿宋_GB2312" w:hAnsi="仿宋_GB2312" w:eastAsia="仿宋_GB2312" w:cs="仿宋_GB2312"/>
          <w:color w:val="auto"/>
          <w:sz w:val="32"/>
          <w:szCs w:val="32"/>
          <w:lang w:eastAsia="zh-CN"/>
        </w:rPr>
        <w:t>我县</w:t>
      </w:r>
      <w:r>
        <w:rPr>
          <w:rFonts w:hint="eastAsia" w:ascii="仿宋_GB2312" w:hAnsi="仿宋_GB2312" w:eastAsia="仿宋_GB2312" w:cs="仿宋_GB2312"/>
          <w:color w:val="auto"/>
          <w:sz w:val="32"/>
          <w:szCs w:val="32"/>
          <w:lang w:val="en-US" w:eastAsia="zh-CN"/>
        </w:rPr>
        <w:t>5户企业共计获得省级奖励资金74.75万元，其中</w:t>
      </w:r>
      <w:r>
        <w:rPr>
          <w:rFonts w:hint="eastAsia" w:ascii="仿宋_GB2312" w:hAnsi="仿宋_GB2312" w:eastAsia="仿宋_GB2312" w:cs="仿宋_GB2312"/>
          <w:color w:val="auto"/>
          <w:sz w:val="32"/>
          <w:szCs w:val="32"/>
          <w:lang w:eastAsia="zh-CN"/>
        </w:rPr>
        <w:t>昆明东昊钛业有限公司</w:t>
      </w:r>
      <w:r>
        <w:rPr>
          <w:rFonts w:hint="eastAsia" w:ascii="仿宋_GB2312" w:hAnsi="仿宋_GB2312" w:eastAsia="仿宋_GB2312" w:cs="仿宋_GB2312"/>
          <w:color w:val="auto"/>
          <w:sz w:val="32"/>
          <w:szCs w:val="32"/>
          <w:lang w:val="en-US" w:eastAsia="zh-CN"/>
        </w:rPr>
        <w:t>20.21万元</w:t>
      </w:r>
      <w:r>
        <w:rPr>
          <w:rFonts w:hint="eastAsia" w:ascii="仿宋_GB2312" w:hAnsi="仿宋_GB2312" w:eastAsia="仿宋_GB2312" w:cs="仿宋_GB2312"/>
          <w:color w:val="auto"/>
          <w:sz w:val="32"/>
          <w:szCs w:val="32"/>
          <w:lang w:eastAsia="zh-CN"/>
        </w:rPr>
        <w:t>、昆明市富民县进出口公司</w:t>
      </w:r>
      <w:r>
        <w:rPr>
          <w:rFonts w:hint="eastAsia" w:ascii="仿宋_GB2312" w:hAnsi="仿宋_GB2312" w:eastAsia="仿宋_GB2312" w:cs="仿宋_GB2312"/>
          <w:color w:val="auto"/>
          <w:sz w:val="32"/>
          <w:szCs w:val="32"/>
          <w:lang w:val="en-US" w:eastAsia="zh-CN"/>
        </w:rPr>
        <w:t>35.44万元</w:t>
      </w:r>
      <w:r>
        <w:rPr>
          <w:rFonts w:hint="eastAsia" w:ascii="仿宋_GB2312" w:hAnsi="仿宋_GB2312" w:eastAsia="仿宋_GB2312" w:cs="仿宋_GB2312"/>
          <w:color w:val="auto"/>
          <w:sz w:val="32"/>
          <w:szCs w:val="32"/>
          <w:lang w:eastAsia="zh-CN"/>
        </w:rPr>
        <w:t>、云南大互通钛业有限公司</w:t>
      </w:r>
      <w:r>
        <w:rPr>
          <w:rFonts w:hint="eastAsia" w:ascii="仿宋_GB2312" w:hAnsi="仿宋_GB2312" w:eastAsia="仿宋_GB2312" w:cs="仿宋_GB2312"/>
          <w:color w:val="auto"/>
          <w:sz w:val="32"/>
          <w:szCs w:val="32"/>
          <w:lang w:val="en-US" w:eastAsia="zh-CN"/>
        </w:rPr>
        <w:t>11.62万元</w:t>
      </w:r>
      <w:r>
        <w:rPr>
          <w:rFonts w:hint="eastAsia" w:ascii="仿宋_GB2312" w:hAnsi="仿宋_GB2312" w:eastAsia="仿宋_GB2312" w:cs="仿宋_GB2312"/>
          <w:color w:val="auto"/>
          <w:sz w:val="32"/>
          <w:szCs w:val="32"/>
          <w:lang w:eastAsia="zh-CN"/>
        </w:rPr>
        <w:t>、云南环际农业科技开发有限公司</w:t>
      </w:r>
      <w:r>
        <w:rPr>
          <w:rFonts w:hint="eastAsia" w:ascii="仿宋_GB2312" w:hAnsi="仿宋_GB2312" w:eastAsia="仿宋_GB2312" w:cs="仿宋_GB2312"/>
          <w:color w:val="auto"/>
          <w:sz w:val="32"/>
          <w:szCs w:val="32"/>
          <w:lang w:val="en-US" w:eastAsia="zh-CN"/>
        </w:rPr>
        <w:t>7.48万元，</w:t>
      </w:r>
      <w:r>
        <w:rPr>
          <w:rFonts w:hint="eastAsia" w:ascii="仿宋_GB2312" w:hAnsi="仿宋_GB2312" w:eastAsia="仿宋_GB2312" w:cs="仿宋_GB2312"/>
          <w:color w:val="auto"/>
          <w:sz w:val="32"/>
          <w:szCs w:val="32"/>
        </w:rPr>
        <w:t>补助资金到位后，由我局拨付相关企业。</w:t>
      </w:r>
    </w:p>
    <w:p>
      <w:pPr>
        <w:pStyle w:val="4"/>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4.组织及管理情况。</w:t>
      </w:r>
      <w:r>
        <w:rPr>
          <w:rFonts w:hint="eastAsia" w:ascii="仿宋_GB2312" w:hAnsi="仿宋_GB2312" w:eastAsia="仿宋_GB2312" w:cs="仿宋_GB2312"/>
          <w:color w:val="auto"/>
          <w:sz w:val="32"/>
          <w:szCs w:val="32"/>
          <w:lang w:eastAsia="zh-CN"/>
        </w:rPr>
        <w:t>根据昆明市的安排部署，</w:t>
      </w:r>
      <w:r>
        <w:rPr>
          <w:rFonts w:hint="eastAsia" w:ascii="仿宋_GB2312" w:hAnsi="仿宋_GB2312" w:eastAsia="仿宋_GB2312" w:cs="仿宋_GB2312"/>
          <w:color w:val="auto"/>
          <w:sz w:val="32"/>
          <w:szCs w:val="32"/>
        </w:rPr>
        <w:t>我局</w:t>
      </w:r>
      <w:r>
        <w:rPr>
          <w:rFonts w:hint="eastAsia" w:ascii="仿宋_GB2312" w:hAnsi="仿宋_GB2312" w:eastAsia="仿宋_GB2312" w:cs="仿宋_GB2312"/>
          <w:color w:val="auto"/>
          <w:sz w:val="32"/>
          <w:szCs w:val="32"/>
          <w:lang w:eastAsia="zh-CN"/>
        </w:rPr>
        <w:t>依据相关数据，</w:t>
      </w:r>
      <w:r>
        <w:rPr>
          <w:rFonts w:hint="eastAsia" w:ascii="仿宋_GB2312" w:hAnsi="仿宋_GB2312" w:eastAsia="仿宋_GB2312" w:cs="仿宋_GB2312"/>
          <w:color w:val="auto"/>
          <w:sz w:val="32"/>
          <w:szCs w:val="32"/>
        </w:rPr>
        <w:t>认真组织、筛选符合条件的企业，按照项目所需报件的要求，组织相关材料，会同县财政局共同出具初审意见后，向上级申报。</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（二）绩效目标</w:t>
      </w:r>
    </w:p>
    <w:p>
      <w:pPr>
        <w:pStyle w:val="4"/>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1.总目标。</w:t>
      </w:r>
      <w:r>
        <w:rPr>
          <w:rFonts w:hint="eastAsia" w:ascii="仿宋_GB2312" w:hAnsi="仿宋_GB2312" w:eastAsia="仿宋_GB2312" w:cs="仿宋_GB2312"/>
          <w:color w:val="auto"/>
          <w:sz w:val="32"/>
          <w:szCs w:val="32"/>
          <w:lang w:eastAsia="zh-CN"/>
        </w:rPr>
        <w:t>促进外贸增长，鼓励企业积极开拓国际市场。</w:t>
      </w:r>
    </w:p>
    <w:p>
      <w:pPr>
        <w:pStyle w:val="4"/>
        <w:keepNext w:val="0"/>
        <w:keepLines w:val="0"/>
        <w:pageBreakBefore w:val="0"/>
        <w:widowControl w:val="0"/>
        <w:kinsoku/>
        <w:wordWrap/>
        <w:overflowPunct/>
        <w:topLinePunct w:val="0"/>
        <w:autoSpaceDE/>
        <w:autoSpaceDN/>
        <w:bidi w:val="0"/>
        <w:adjustRightInd/>
        <w:snapToGrid/>
        <w:spacing w:line="570" w:lineRule="exact"/>
        <w:ind w:firstLine="736" w:firstLineChars="23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2.年度目标。</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eastAsia="仿宋_GB2312"/>
          <w:color w:val="C00000"/>
          <w:sz w:val="32"/>
          <w:szCs w:val="32"/>
        </w:rPr>
      </w:pPr>
      <w:r>
        <w:rPr>
          <w:rFonts w:hint="eastAsia" w:ascii="仿宋_GB2312" w:hAnsi="仿宋_GB2312" w:eastAsia="仿宋_GB2312" w:cs="仿宋_GB2312"/>
          <w:color w:val="auto"/>
          <w:sz w:val="32"/>
          <w:szCs w:val="32"/>
        </w:rPr>
        <w:t>（1）产出目标</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4家企业</w:t>
      </w:r>
      <w:r>
        <w:rPr>
          <w:rFonts w:hint="eastAsia" w:ascii="仿宋_GB2312" w:hAnsi="仿宋_GB2312" w:eastAsia="仿宋_GB2312" w:cs="仿宋_GB2312"/>
          <w:color w:val="auto"/>
          <w:sz w:val="32"/>
          <w:szCs w:val="32"/>
          <w:lang w:eastAsia="zh-CN"/>
        </w:rPr>
        <w:t>业务</w:t>
      </w:r>
      <w:r>
        <w:rPr>
          <w:rFonts w:hint="eastAsia" w:ascii="仿宋_GB2312" w:hAnsi="仿宋_GB2312" w:eastAsia="仿宋_GB2312" w:cs="仿宋_GB2312"/>
          <w:color w:val="auto"/>
          <w:sz w:val="32"/>
          <w:szCs w:val="32"/>
        </w:rPr>
        <w:t>业绩较好</w:t>
      </w:r>
      <w:r>
        <w:rPr>
          <w:rFonts w:hint="eastAsia" w:ascii="仿宋_GB2312" w:hAnsi="仿宋_GB2312" w:eastAsia="仿宋_GB2312" w:cs="仿宋_GB2312"/>
          <w:color w:val="auto"/>
          <w:sz w:val="32"/>
          <w:szCs w:val="32"/>
          <w:lang w:val="en-US" w:eastAsia="zh-CN"/>
        </w:rPr>
        <w:t>,</w:t>
      </w:r>
      <w:r>
        <w:rPr>
          <w:rFonts w:hint="eastAsia" w:ascii="仿宋_GB2312" w:eastAsia="仿宋_GB2312"/>
          <w:color w:val="auto"/>
          <w:sz w:val="32"/>
          <w:szCs w:val="32"/>
        </w:rPr>
        <w:t>圆满完成上级下达的年度任务</w:t>
      </w:r>
      <w:r>
        <w:rPr>
          <w:rFonts w:hint="eastAsia" w:ascii="仿宋_GB2312" w:hAnsi="仿宋_GB2312" w:eastAsia="仿宋_GB2312" w:cs="仿宋_GB2312"/>
          <w:color w:val="auto"/>
          <w:sz w:val="32"/>
          <w:szCs w:val="32"/>
          <w:lang w:val="en-US" w:eastAsia="zh-CN"/>
        </w:rPr>
        <w:t>。</w:t>
      </w:r>
    </w:p>
    <w:p>
      <w:pPr>
        <w:pStyle w:val="4"/>
        <w:keepNext w:val="0"/>
        <w:keepLines w:val="0"/>
        <w:pageBreakBefore w:val="0"/>
        <w:widowControl w:val="0"/>
        <w:kinsoku/>
        <w:wordWrap/>
        <w:overflowPunct/>
        <w:topLinePunct w:val="0"/>
        <w:autoSpaceDE/>
        <w:autoSpaceDN/>
        <w:bidi w:val="0"/>
        <w:adjustRightInd/>
        <w:snapToGrid/>
        <w:spacing w:line="570" w:lineRule="exact"/>
        <w:ind w:firstLine="736" w:firstLineChars="23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（2）效果目标</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4家企业扩大了国际市场销售渠道，稳定了海外客户。</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color w:val="auto"/>
          <w:kern w:val="0"/>
          <w:sz w:val="32"/>
          <w:szCs w:val="32"/>
        </w:rPr>
      </w:pPr>
      <w:r>
        <w:rPr>
          <w:rFonts w:hint="eastAsia" w:ascii="黑体" w:hAnsi="黑体" w:eastAsia="黑体" w:cs="黑体"/>
          <w:color w:val="auto"/>
          <w:kern w:val="0"/>
          <w:sz w:val="32"/>
          <w:szCs w:val="32"/>
        </w:rPr>
        <w:t>二、绩效评价工作情况</w:t>
      </w:r>
    </w:p>
    <w:p>
      <w:pPr>
        <w:pStyle w:val="4"/>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kern w:val="0"/>
          <w:sz w:val="32"/>
          <w:szCs w:val="32"/>
        </w:rPr>
        <w:t>（一）</w:t>
      </w:r>
      <w:r>
        <w:rPr>
          <w:rFonts w:hint="eastAsia" w:ascii="仿宋_GB2312" w:hAnsi="仿宋_GB2312" w:eastAsia="仿宋_GB2312" w:cs="仿宋_GB2312"/>
          <w:color w:val="auto"/>
          <w:kern w:val="0"/>
          <w:sz w:val="32"/>
          <w:szCs w:val="32"/>
          <w:lang w:eastAsia="zh-CN"/>
        </w:rPr>
        <w:t>主要内容：</w:t>
      </w:r>
      <w:r>
        <w:rPr>
          <w:rFonts w:hint="eastAsia" w:ascii="仿宋_GB2312" w:hAnsi="仿宋_GB2312" w:eastAsia="仿宋_GB2312" w:cs="仿宋_GB2312"/>
          <w:color w:val="auto"/>
          <w:kern w:val="0"/>
          <w:sz w:val="32"/>
          <w:szCs w:val="32"/>
        </w:rPr>
        <w:t>该项目从申报开始，</w:t>
      </w:r>
      <w:r>
        <w:rPr>
          <w:rFonts w:hint="eastAsia" w:ascii="仿宋_GB2312" w:hAnsi="仿宋_GB2312" w:eastAsia="仿宋_GB2312" w:cs="仿宋_GB2312"/>
          <w:color w:val="auto"/>
          <w:kern w:val="0"/>
          <w:sz w:val="32"/>
          <w:szCs w:val="32"/>
          <w:lang w:eastAsia="zh-CN"/>
        </w:rPr>
        <w:t>外贸出口业绩是根据昆明海关数据测算，</w:t>
      </w:r>
      <w:r>
        <w:rPr>
          <w:rFonts w:hint="eastAsia" w:ascii="仿宋_GB2312" w:hAnsi="仿宋_GB2312" w:eastAsia="仿宋_GB2312" w:cs="仿宋_GB2312"/>
          <w:color w:val="auto"/>
          <w:kern w:val="0"/>
          <w:sz w:val="32"/>
          <w:szCs w:val="32"/>
        </w:rPr>
        <w:t>由我局会同县财政局联合上报上级审核，上级审查后最终确定</w:t>
      </w:r>
      <w:r>
        <w:rPr>
          <w:rFonts w:hint="eastAsia" w:ascii="仿宋_GB2312" w:hAnsi="仿宋_GB2312" w:eastAsia="仿宋_GB2312" w:cs="仿宋_GB2312"/>
          <w:color w:val="auto"/>
          <w:kern w:val="0"/>
          <w:sz w:val="32"/>
          <w:szCs w:val="32"/>
          <w:lang w:eastAsia="zh-CN"/>
        </w:rPr>
        <w:t>所申报项目</w:t>
      </w:r>
      <w:r>
        <w:rPr>
          <w:rFonts w:hint="eastAsia" w:ascii="仿宋_GB2312" w:hAnsi="仿宋_GB2312" w:eastAsia="仿宋_GB2312" w:cs="仿宋_GB2312"/>
          <w:color w:val="auto"/>
          <w:kern w:val="0"/>
          <w:sz w:val="32"/>
          <w:szCs w:val="32"/>
        </w:rPr>
        <w:t>是否合规并给予扶持</w:t>
      </w:r>
      <w:r>
        <w:rPr>
          <w:rFonts w:hint="eastAsia" w:ascii="仿宋_GB2312" w:hAnsi="仿宋_GB2312" w:eastAsia="仿宋_GB2312" w:cs="仿宋_GB2312"/>
          <w:color w:val="auto"/>
          <w:kern w:val="0"/>
          <w:sz w:val="32"/>
          <w:szCs w:val="32"/>
          <w:lang w:eastAsia="zh-CN"/>
        </w:rPr>
        <w:t>奖励</w:t>
      </w:r>
      <w:r>
        <w:rPr>
          <w:rFonts w:hint="eastAsia" w:ascii="仿宋_GB2312" w:hAnsi="仿宋_GB2312" w:eastAsia="仿宋_GB2312" w:cs="仿宋_GB2312"/>
          <w:color w:val="auto"/>
          <w:kern w:val="0"/>
          <w:sz w:val="32"/>
          <w:szCs w:val="32"/>
        </w:rPr>
        <w:t>，整个项目管理过程比较规范。</w:t>
      </w:r>
      <w:r>
        <w:rPr>
          <w:rFonts w:hint="eastAsia" w:ascii="仿宋_GB2312" w:hAnsi="仿宋_GB2312" w:eastAsia="仿宋_GB2312" w:cs="仿宋_GB2312"/>
          <w:color w:val="auto"/>
          <w:sz w:val="32"/>
          <w:szCs w:val="32"/>
        </w:rPr>
        <w:t>产出目标、效果目标均已经实现。</w:t>
      </w:r>
      <w:r>
        <w:rPr>
          <w:rFonts w:hint="eastAsia" w:ascii="仿宋_GB2312" w:hAnsi="仿宋_GB2312" w:eastAsia="仿宋_GB2312" w:cs="仿宋_GB2312"/>
          <w:color w:val="auto"/>
          <w:sz w:val="32"/>
          <w:szCs w:val="32"/>
          <w:lang w:eastAsia="zh-CN"/>
        </w:rPr>
        <w:t>外贸出口</w:t>
      </w:r>
      <w:r>
        <w:rPr>
          <w:rFonts w:hint="eastAsia" w:ascii="仿宋_GB2312" w:hAnsi="仿宋_GB2312" w:eastAsia="仿宋_GB2312" w:cs="仿宋_GB2312"/>
          <w:color w:val="auto"/>
          <w:sz w:val="32"/>
          <w:szCs w:val="32"/>
        </w:rPr>
        <w:t>是</w:t>
      </w:r>
      <w:r>
        <w:rPr>
          <w:rFonts w:hint="eastAsia" w:ascii="仿宋_GB2312" w:hAnsi="仿宋_GB2312" w:eastAsia="仿宋_GB2312" w:cs="仿宋_GB2312"/>
          <w:color w:val="auto"/>
          <w:sz w:val="32"/>
          <w:szCs w:val="32"/>
          <w:lang w:eastAsia="zh-CN"/>
        </w:rPr>
        <w:t>经济发展</w:t>
      </w:r>
      <w:r>
        <w:rPr>
          <w:rFonts w:hint="eastAsia" w:ascii="仿宋_GB2312" w:hAnsi="仿宋_GB2312" w:eastAsia="仿宋_GB2312" w:cs="仿宋_GB2312"/>
          <w:color w:val="auto"/>
          <w:sz w:val="32"/>
          <w:szCs w:val="32"/>
        </w:rPr>
        <w:t xml:space="preserve"> </w:t>
      </w:r>
      <w:r>
        <w:rPr>
          <w:rFonts w:hint="eastAsia" w:ascii="仿宋_GB2312" w:hAnsi="仿宋_GB2312" w:eastAsia="仿宋_GB2312" w:cs="仿宋_GB2312"/>
          <w:color w:val="auto"/>
          <w:sz w:val="32"/>
          <w:szCs w:val="32"/>
          <w:lang w:eastAsia="zh-CN"/>
        </w:rPr>
        <w:t>的</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三驾车</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之一，</w:t>
      </w:r>
      <w:r>
        <w:rPr>
          <w:rFonts w:hint="eastAsia" w:ascii="仿宋_GB2312" w:hAnsi="仿宋_GB2312" w:eastAsia="仿宋_GB2312" w:cs="仿宋_GB2312"/>
          <w:color w:val="auto"/>
          <w:sz w:val="32"/>
          <w:szCs w:val="32"/>
        </w:rPr>
        <w:t>预算编制合理，成本支出真实可靠，财政资金使用效率高，对企业进一步</w:t>
      </w:r>
      <w:r>
        <w:rPr>
          <w:rFonts w:hint="eastAsia" w:ascii="仿宋_GB2312" w:hAnsi="仿宋_GB2312" w:eastAsia="仿宋_GB2312" w:cs="仿宋_GB2312"/>
          <w:color w:val="auto"/>
          <w:sz w:val="32"/>
          <w:szCs w:val="32"/>
          <w:lang w:eastAsia="zh-CN"/>
        </w:rPr>
        <w:t>开拓国际市场</w:t>
      </w:r>
      <w:r>
        <w:rPr>
          <w:rFonts w:hint="eastAsia" w:ascii="仿宋_GB2312" w:hAnsi="仿宋_GB2312" w:eastAsia="仿宋_GB2312" w:cs="仿宋_GB2312"/>
          <w:color w:val="auto"/>
          <w:sz w:val="32"/>
          <w:szCs w:val="32"/>
        </w:rPr>
        <w:t>起到抛砖引玉的作用，效果十分显著。</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auto"/>
          <w:kern w:val="0"/>
          <w:sz w:val="32"/>
          <w:szCs w:val="32"/>
          <w:lang w:eastAsia="zh-CN"/>
        </w:rPr>
      </w:pPr>
      <w:r>
        <w:rPr>
          <w:rFonts w:hint="eastAsia" w:ascii="仿宋_GB2312" w:hAnsi="仿宋_GB2312" w:eastAsia="仿宋_GB2312" w:cs="仿宋_GB2312"/>
          <w:color w:val="auto"/>
          <w:kern w:val="0"/>
          <w:sz w:val="32"/>
          <w:szCs w:val="32"/>
          <w:lang w:eastAsia="zh-CN"/>
        </w:rPr>
        <w:t>（二）绩效评价原则、评价方法</w:t>
      </w:r>
    </w:p>
    <w:p>
      <w:pPr>
        <w:pStyle w:val="4"/>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1.绩效评价原则。按照上级部门的规定和要求，该项目绩效评价遵循科学规范、公开公正的原则。</w:t>
      </w:r>
      <w:r>
        <w:rPr>
          <w:rFonts w:hint="eastAsia" w:ascii="仿宋_GB2312" w:hAnsi="仿宋_GB2312" w:eastAsia="仿宋_GB2312" w:cs="仿宋_GB2312"/>
          <w:color w:val="auto"/>
          <w:sz w:val="32"/>
          <w:szCs w:val="32"/>
        </w:rPr>
        <w:t>在科工信局项目绩效跟踪工作领导小组的统一部署下，由商务科负责该项目绩效跟踪。</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2.绩效评价方法。评价方法科学、合理、实用。相关数据由昆明海关提供，真实有效。</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color w:val="auto"/>
          <w:kern w:val="0"/>
          <w:sz w:val="32"/>
          <w:szCs w:val="32"/>
          <w:lang w:val="en-US" w:eastAsia="zh-CN"/>
        </w:rPr>
      </w:pPr>
      <w:r>
        <w:rPr>
          <w:rFonts w:hint="eastAsia" w:ascii="黑体" w:hAnsi="黑体" w:eastAsia="黑体" w:cs="黑体"/>
          <w:color w:val="auto"/>
          <w:kern w:val="0"/>
          <w:sz w:val="32"/>
          <w:szCs w:val="32"/>
          <w:lang w:val="en-US" w:eastAsia="zh-CN"/>
        </w:rPr>
        <w:t>三、评价结论</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auto"/>
          <w:kern w:val="0"/>
          <w:sz w:val="32"/>
          <w:szCs w:val="32"/>
          <w:lang w:val="en-US" w:eastAsia="zh-CN"/>
        </w:rPr>
      </w:pPr>
      <w:r>
        <w:rPr>
          <w:rFonts w:hint="eastAsia" w:ascii="仿宋_GB2312" w:hAnsi="仿宋_GB2312" w:eastAsia="仿宋_GB2312" w:cs="仿宋_GB2312"/>
          <w:color w:val="auto"/>
          <w:kern w:val="0"/>
          <w:sz w:val="32"/>
          <w:szCs w:val="32"/>
          <w:lang w:val="en-US" w:eastAsia="zh-CN"/>
        </w:rPr>
        <w:t>（一）评价结果。该项目为事后项目，4家企业开展进出口贸易成效显著，拓宽了国际市场销售渠道。</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lang w:val="en-US" w:eastAsia="zh-CN"/>
        </w:rPr>
        <w:t>（二）主要绩效。</w:t>
      </w:r>
      <w:r>
        <w:rPr>
          <w:rFonts w:hint="eastAsia" w:ascii="仿宋_GB2312" w:hAnsi="仿宋_GB2312" w:eastAsia="仿宋_GB2312" w:cs="仿宋_GB2312"/>
          <w:color w:val="auto"/>
          <w:sz w:val="32"/>
          <w:szCs w:val="32"/>
          <w:lang w:eastAsia="zh-CN"/>
        </w:rPr>
        <w:t>昆明东昊钛业有限公司（商贸）、昆明市富民县进出口公司（商贸）、昆明市富民县进出口公司（双百）、云南大互通钛业有限公司（商贸）、云南环际农业科技开发有限公司（商贸）共</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rPr>
        <w:t>户企业</w:t>
      </w:r>
      <w:r>
        <w:rPr>
          <w:rFonts w:hint="eastAsia" w:ascii="仿宋_GB2312" w:hAnsi="仿宋_GB2312" w:eastAsia="仿宋_GB2312" w:cs="仿宋_GB2312"/>
          <w:color w:val="auto"/>
          <w:sz w:val="32"/>
          <w:szCs w:val="32"/>
          <w:lang w:eastAsia="zh-CN"/>
        </w:rPr>
        <w:t>得到省级商贸进出口专项资金</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以此为契机，</w:t>
      </w:r>
      <w:r>
        <w:rPr>
          <w:rFonts w:hint="eastAsia" w:ascii="仿宋_GB2312" w:hAnsi="仿宋_GB2312" w:eastAsia="仿宋_GB2312" w:cs="仿宋_GB2312"/>
          <w:color w:val="auto"/>
          <w:sz w:val="32"/>
          <w:szCs w:val="32"/>
          <w:lang w:val="en-US" w:eastAsia="zh-CN"/>
        </w:rPr>
        <w:t>4家企业积极开拓国际市场，大力开展跨境贸易。</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四、成本效益分析。</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该项资金全部用于企业国际贸易部，对企业开拓国际市场、扩大对外贸易发挥了积极作用。对企业拓展销售渠道，避免国内竞争发挥至关重要的作用。</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color w:val="auto"/>
          <w:sz w:val="32"/>
          <w:szCs w:val="32"/>
          <w:lang w:eastAsia="zh-CN"/>
        </w:rPr>
      </w:pPr>
      <w:r>
        <w:rPr>
          <w:rFonts w:hint="eastAsia" w:ascii="黑体" w:hAnsi="黑体" w:eastAsia="黑体" w:cs="黑体"/>
          <w:color w:val="auto"/>
          <w:sz w:val="32"/>
          <w:szCs w:val="32"/>
          <w:lang w:eastAsia="zh-CN"/>
        </w:rPr>
        <w:t>五、主要经验及做法、存在的问题和建议</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（一）主要经验及做法。利用财政资金的杠杆和引导作用，鼓励企业积极走出去，开拓国际市场，开展跨境贸易。</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（二）存在的问题。财政补助资金要求较高，受惠企业有限。</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eastAsia="zh-CN"/>
        </w:rPr>
        <w:t>（三）建议和改进措施。认准方向，降低门槛，特别是农产品出口方面应该给以倾斜。</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_GB2312" w:hAnsi="仿宋_GB2312" w:eastAsia="仿宋_GB2312" w:cs="仿宋_GB2312"/>
          <w:color w:val="auto"/>
          <w:sz w:val="32"/>
          <w:szCs w:val="32"/>
        </w:rPr>
      </w:pPr>
    </w:p>
    <w:tbl>
      <w:tblPr>
        <w:tblStyle w:val="2"/>
        <w:tblW w:w="9174" w:type="dxa"/>
        <w:jc w:val="center"/>
        <w:tblInd w:w="0" w:type="dxa"/>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Layout w:type="fixed"/>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Layout w:type="fixed"/>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default"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Theme="minorEastAsia"/>
                <w:sz w:val="18"/>
                <w:szCs w:val="18"/>
                <w:lang w:val="en-US" w:eastAsia="zh-CN"/>
              </w:rPr>
            </w:pPr>
            <w:r>
              <w:rPr>
                <w:rFonts w:hint="eastAsia" w:ascii="仿宋_GB2312"/>
                <w:sz w:val="18"/>
                <w:szCs w:val="18"/>
                <w:lang w:val="en-US" w:eastAsia="zh-CN"/>
              </w:rPr>
              <w:t>18</w:t>
            </w:r>
          </w:p>
        </w:tc>
        <w:tc>
          <w:tcPr>
            <w:tcW w:w="2268" w:type="dxa"/>
            <w:vAlign w:val="center"/>
          </w:tcPr>
          <w:p>
            <w:pPr>
              <w:spacing w:line="240" w:lineRule="exact"/>
              <w:rPr>
                <w:rFonts w:hint="default" w:ascii="仿宋_GB2312"/>
                <w:sz w:val="15"/>
                <w:szCs w:val="15"/>
                <w:lang w:val="en-US"/>
              </w:rPr>
            </w:pP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default" w:ascii="仿宋_GB2312" w:eastAsiaTheme="minorEastAsia"/>
                <w:sz w:val="18"/>
                <w:szCs w:val="18"/>
                <w:lang w:val="en-US" w:eastAsia="zh-CN"/>
              </w:rPr>
            </w:pPr>
            <w:r>
              <w:rPr>
                <w:rFonts w:hint="eastAsia" w:ascii="仿宋_GB2312"/>
                <w:sz w:val="18"/>
                <w:szCs w:val="18"/>
                <w:lang w:val="en-US" w:eastAsia="zh-CN"/>
              </w:rPr>
              <w:t>4</w:t>
            </w:r>
          </w:p>
        </w:tc>
        <w:tc>
          <w:tcPr>
            <w:tcW w:w="2268" w:type="dxa"/>
            <w:vAlign w:val="center"/>
          </w:tcPr>
          <w:p>
            <w:pPr>
              <w:tabs>
                <w:tab w:val="left" w:pos="2604"/>
              </w:tabs>
              <w:spacing w:line="240" w:lineRule="exact"/>
              <w:rPr>
                <w:rFonts w:hint="default" w:ascii="仿宋_GB2312"/>
                <w:sz w:val="15"/>
                <w:szCs w:val="15"/>
                <w:lang w:val="en-US"/>
              </w:rPr>
            </w:pP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Theme="minorEastAsia"/>
                <w:sz w:val="18"/>
                <w:szCs w:val="18"/>
                <w:lang w:val="en-US" w:eastAsia="zh-CN"/>
              </w:rPr>
            </w:pPr>
            <w:r>
              <w:rPr>
                <w:rFonts w:hint="eastAsia" w:ascii="仿宋_GB2312"/>
                <w:sz w:val="18"/>
                <w:szCs w:val="18"/>
                <w:lang w:val="en-US" w:eastAsia="zh-CN"/>
              </w:rPr>
              <w:t>97</w:t>
            </w:r>
          </w:p>
        </w:tc>
        <w:tc>
          <w:tcPr>
            <w:tcW w:w="5763" w:type="dxa"/>
            <w:gridSpan w:val="3"/>
            <w:vAlign w:val="center"/>
          </w:tcPr>
          <w:p>
            <w:pPr>
              <w:spacing w:line="240" w:lineRule="exact"/>
              <w:jc w:val="left"/>
              <w:rPr>
                <w:sz w:val="18"/>
                <w:szCs w:val="18"/>
              </w:rPr>
            </w:pPr>
            <w:r>
              <w:rPr>
                <w:rFonts w:hint="eastAsia" w:ascii="仿宋_GB2312"/>
                <w:sz w:val="18"/>
                <w:szCs w:val="18"/>
              </w:rPr>
              <w:t>评价等次：实际得分（S）≥90,优秀；90＞S≥80,良好；80＞S≥60,合格；S＜60，不合格。</w:t>
            </w:r>
          </w:p>
        </w:tc>
      </w:tr>
    </w:tbl>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_GB2312" w:hAnsi="仿宋_GB2312" w:eastAsia="仿宋_GB2312" w:cs="仿宋_GB2312"/>
          <w:color w:val="auto"/>
          <w:sz w:val="32"/>
          <w:szCs w:val="32"/>
        </w:rPr>
      </w:pPr>
    </w:p>
    <w:sectPr>
      <w:pgSz w:w="11906" w:h="16838"/>
      <w:pgMar w:top="2098" w:right="1587"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w:panose1 w:val="020F0502020204030204"/>
    <w:charset w:val="00"/>
    <w:family w:val="swiss"/>
    <w:pitch w:val="default"/>
    <w:sig w:usb0="00000000" w:usb1="00000000" w:usb2="00000001" w:usb3="00000000" w:csb0="0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Lucida Sans">
    <w:panose1 w:val="020B0602030504020204"/>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88E"/>
    <w:rsid w:val="000E7504"/>
    <w:rsid w:val="000F3C49"/>
    <w:rsid w:val="00165FB6"/>
    <w:rsid w:val="00293022"/>
    <w:rsid w:val="002C7601"/>
    <w:rsid w:val="003C7E22"/>
    <w:rsid w:val="004C18F0"/>
    <w:rsid w:val="004D05CB"/>
    <w:rsid w:val="00555529"/>
    <w:rsid w:val="00587423"/>
    <w:rsid w:val="00625294"/>
    <w:rsid w:val="007209BD"/>
    <w:rsid w:val="00731461"/>
    <w:rsid w:val="00810C5C"/>
    <w:rsid w:val="009C3018"/>
    <w:rsid w:val="00C50AB1"/>
    <w:rsid w:val="00CC45F1"/>
    <w:rsid w:val="00E1179F"/>
    <w:rsid w:val="00EB588E"/>
    <w:rsid w:val="00F931CC"/>
    <w:rsid w:val="01743CE9"/>
    <w:rsid w:val="034702EB"/>
    <w:rsid w:val="05F2519B"/>
    <w:rsid w:val="06757B1A"/>
    <w:rsid w:val="0A110419"/>
    <w:rsid w:val="0A150E13"/>
    <w:rsid w:val="0A9C3DDA"/>
    <w:rsid w:val="0B78464D"/>
    <w:rsid w:val="0DEC76DE"/>
    <w:rsid w:val="11A21612"/>
    <w:rsid w:val="11F77651"/>
    <w:rsid w:val="17BE045C"/>
    <w:rsid w:val="18C5080A"/>
    <w:rsid w:val="1A2569FF"/>
    <w:rsid w:val="1AE06DC5"/>
    <w:rsid w:val="20F05C8E"/>
    <w:rsid w:val="22CF64A4"/>
    <w:rsid w:val="22F810F4"/>
    <w:rsid w:val="27A445C6"/>
    <w:rsid w:val="293D49B7"/>
    <w:rsid w:val="2C08240F"/>
    <w:rsid w:val="2E0D577F"/>
    <w:rsid w:val="2F233B79"/>
    <w:rsid w:val="2F596F1A"/>
    <w:rsid w:val="315E7D50"/>
    <w:rsid w:val="34100C4D"/>
    <w:rsid w:val="34EA0072"/>
    <w:rsid w:val="39102D60"/>
    <w:rsid w:val="39154024"/>
    <w:rsid w:val="3A3F60DA"/>
    <w:rsid w:val="3C6B1304"/>
    <w:rsid w:val="4180158D"/>
    <w:rsid w:val="429B0B98"/>
    <w:rsid w:val="42A33458"/>
    <w:rsid w:val="42DB1B0B"/>
    <w:rsid w:val="445E65AC"/>
    <w:rsid w:val="4E781438"/>
    <w:rsid w:val="524720DE"/>
    <w:rsid w:val="5307413A"/>
    <w:rsid w:val="5663250B"/>
    <w:rsid w:val="567377D4"/>
    <w:rsid w:val="5A260FA7"/>
    <w:rsid w:val="5BB35C8A"/>
    <w:rsid w:val="5BD2415D"/>
    <w:rsid w:val="5DD06984"/>
    <w:rsid w:val="607C2AF6"/>
    <w:rsid w:val="60CB06FF"/>
    <w:rsid w:val="6482060F"/>
    <w:rsid w:val="663A152D"/>
    <w:rsid w:val="6BFE1DFF"/>
    <w:rsid w:val="6CA12669"/>
    <w:rsid w:val="716041A4"/>
    <w:rsid w:val="77153833"/>
    <w:rsid w:val="77EE5C88"/>
    <w:rsid w:val="79937422"/>
    <w:rsid w:val="7C0A18A3"/>
    <w:rsid w:val="7C1D7D2E"/>
    <w:rsid w:val="7C3E5C12"/>
    <w:rsid w:val="7CE325EC"/>
    <w:rsid w:val="7F2535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 w:type="paragraph" w:customStyle="1" w:styleId="4">
    <w:name w:val="List Paragraph"/>
    <w:basedOn w:val="1"/>
    <w:qFormat/>
    <w:uiPriority w:val="0"/>
    <w:pPr>
      <w:ind w:firstLine="420" w:firstLineChars="200"/>
    </w:pPr>
    <w:rPr>
      <w:rFonts w:ascii="Calibri" w:hAnsi="Calibri" w:eastAsia="宋体" w:cs="Times New Roman"/>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2</Pages>
  <Words>137</Words>
  <Characters>787</Characters>
  <Lines>6</Lines>
  <Paragraphs>1</Paragraphs>
  <TotalTime>3</TotalTime>
  <ScaleCrop>false</ScaleCrop>
  <LinksUpToDate>false</LinksUpToDate>
  <CharactersWithSpaces>923</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2019-05-13T06:31:00Z</dcterms:created>
  <dc:creator>Micorosoft</dc:creator>
  <cp:lastModifiedBy>Administrator</cp:lastModifiedBy>
  <dcterms:modified xsi:type="dcterms:W3CDTF">2021-03-30T02:43:36Z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