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b/>
          <w:bCs/>
          <w:sz w:val="44"/>
          <w:szCs w:val="44"/>
          <w:lang w:eastAsia="zh-CN"/>
        </w:rPr>
      </w:pPr>
      <w:bookmarkStart w:id="0" w:name="_GoBack"/>
      <w:bookmarkEnd w:id="0"/>
      <w:r>
        <w:rPr>
          <w:rFonts w:hint="eastAsia" w:ascii="方正小标宋简体" w:hAnsi="方正小标宋简体" w:eastAsia="方正小标宋简体" w:cs="方正小标宋简体"/>
          <w:b/>
          <w:bCs/>
          <w:sz w:val="44"/>
          <w:szCs w:val="44"/>
          <w:lang w:eastAsia="zh-CN"/>
        </w:rPr>
        <w:t>富民县科学技术和工业信息化局</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201</w:t>
      </w:r>
      <w:r>
        <w:rPr>
          <w:rFonts w:hint="eastAsia" w:ascii="方正小标宋简体" w:hAnsi="方正小标宋简体" w:eastAsia="方正小标宋简体" w:cs="方正小标宋简体"/>
          <w:b/>
          <w:bCs/>
          <w:sz w:val="44"/>
          <w:szCs w:val="44"/>
          <w:lang w:val="en-US" w:eastAsia="zh-CN"/>
        </w:rPr>
        <w:t>9-2020</w:t>
      </w:r>
      <w:r>
        <w:rPr>
          <w:rFonts w:hint="eastAsia" w:ascii="方正小标宋简体" w:hAnsi="方正小标宋简体" w:eastAsia="方正小标宋简体" w:cs="方正小标宋简体"/>
          <w:b/>
          <w:bCs/>
          <w:sz w:val="44"/>
          <w:szCs w:val="44"/>
        </w:rPr>
        <w:t>年</w:t>
      </w:r>
      <w:r>
        <w:rPr>
          <w:rFonts w:hint="eastAsia" w:ascii="方正小标宋简体" w:hAnsi="方正小标宋简体" w:eastAsia="方正小标宋简体" w:cs="方正小标宋简体"/>
          <w:b/>
          <w:bCs/>
          <w:sz w:val="44"/>
          <w:szCs w:val="44"/>
          <w:lang w:eastAsia="zh-CN"/>
        </w:rPr>
        <w:t>度内贸流通统计监测工作经费项目支出</w:t>
      </w:r>
      <w:r>
        <w:rPr>
          <w:rFonts w:hint="eastAsia" w:ascii="方正小标宋简体" w:hAnsi="方正小标宋简体" w:eastAsia="方正小标宋简体" w:cs="方正小标宋简体"/>
          <w:b/>
          <w:bCs/>
          <w:sz w:val="44"/>
          <w:szCs w:val="44"/>
        </w:rPr>
        <w:t>绩效评价报告</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b/>
          <w:bCs/>
          <w:sz w:val="44"/>
          <w:szCs w:val="44"/>
        </w:rPr>
      </w:pP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黑体" w:hAnsi="黑体" w:eastAsia="黑体" w:cs="黑体"/>
          <w:sz w:val="32"/>
          <w:szCs w:val="32"/>
        </w:rPr>
      </w:pPr>
      <w:r>
        <w:rPr>
          <w:rFonts w:hint="eastAsia"/>
          <w:sz w:val="32"/>
          <w:szCs w:val="32"/>
        </w:rPr>
        <w:t xml:space="preserve">  </w:t>
      </w:r>
      <w:r>
        <w:rPr>
          <w:rFonts w:hint="eastAsia" w:ascii="黑体" w:hAnsi="黑体" w:eastAsia="黑体" w:cs="黑体"/>
          <w:sz w:val="32"/>
          <w:szCs w:val="32"/>
        </w:rPr>
        <w:t xml:space="preserve">  一、项目基本情况</w:t>
      </w:r>
    </w:p>
    <w:p>
      <w:pPr>
        <w:pStyle w:val="4"/>
        <w:keepNext w:val="0"/>
        <w:keepLines w:val="0"/>
        <w:pageBreakBefore w:val="0"/>
        <w:widowControl w:val="0"/>
        <w:kinsoku/>
        <w:wordWrap/>
        <w:overflowPunct/>
        <w:topLinePunct w:val="0"/>
        <w:autoSpaceDE/>
        <w:autoSpaceDN/>
        <w:bidi w:val="0"/>
        <w:adjustRightInd/>
        <w:snapToGrid/>
        <w:spacing w:line="570" w:lineRule="exact"/>
        <w:ind w:firstLine="419" w:firstLineChars="131"/>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（一）项目概况</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1.立项背景及目的。设立内贸流通统计监测工作经费，对市场监测工作具有重要意义。该项资金用于对参与流通领域统计监测数据上报企业的指导，给予行业主管部门一定的经费补助</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rPr>
        <w:t>2.项目实施情况。经我局督促、指导，相关企业按时上报各种统计监测报表、资料，为上级制定政策提供依据</w:t>
      </w:r>
      <w:r>
        <w:rPr>
          <w:rFonts w:hint="eastAsia" w:ascii="仿宋_GB2312" w:hAnsi="仿宋_GB2312" w:eastAsia="仿宋_GB2312" w:cs="仿宋_GB2312"/>
          <w:sz w:val="32"/>
          <w:szCs w:val="32"/>
        </w:rPr>
        <w:t>。</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资金来源及使用情况。内贸流通统计监测工作经费，对市场监测工作具有重要意义。该项资金由上级财政安排，用于对参与流通领域统计监测数据上报企业的指导、督促，对行业主管部门给予经费补助。资金到位后，我局按照资金管理规定，专项用于统计监测工作。</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4.组织及管理情况。我局认真做好相关企业内贸统计数据上报日常管理工作，资金到位后，按照资金管理规定，专项用于统计监测工作，弥补工作经费不足。</w:t>
      </w:r>
    </w:p>
    <w:p>
      <w:pPr>
        <w:pStyle w:val="4"/>
        <w:keepNext w:val="0"/>
        <w:keepLines w:val="0"/>
        <w:pageBreakBefore w:val="0"/>
        <w:widowControl w:val="0"/>
        <w:kinsoku/>
        <w:wordWrap/>
        <w:overflowPunct/>
        <w:topLinePunct w:val="0"/>
        <w:autoSpaceDE/>
        <w:autoSpaceDN/>
        <w:bidi w:val="0"/>
        <w:adjustRightInd/>
        <w:snapToGrid/>
        <w:spacing w:line="570" w:lineRule="exact"/>
        <w:ind w:firstLine="419" w:firstLineChars="131"/>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（二）绩效目标</w:t>
      </w:r>
    </w:p>
    <w:p>
      <w:pPr>
        <w:pStyle w:val="4"/>
        <w:keepNext w:val="0"/>
        <w:keepLines w:val="0"/>
        <w:pageBreakBefore w:val="0"/>
        <w:widowControl w:val="0"/>
        <w:kinsoku/>
        <w:wordWrap/>
        <w:overflowPunct/>
        <w:topLinePunct w:val="0"/>
        <w:autoSpaceDE/>
        <w:autoSpaceDN/>
        <w:bidi w:val="0"/>
        <w:adjustRightInd/>
        <w:snapToGrid/>
        <w:spacing w:line="570" w:lineRule="exact"/>
        <w:ind w:firstLine="419" w:firstLineChars="131"/>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1.总目标。完成上级安排的各项内贸统计监测任务。</w:t>
      </w:r>
    </w:p>
    <w:p>
      <w:pPr>
        <w:pStyle w:val="4"/>
        <w:keepNext w:val="0"/>
        <w:keepLines w:val="0"/>
        <w:pageBreakBefore w:val="0"/>
        <w:widowControl w:val="0"/>
        <w:kinsoku/>
        <w:wordWrap/>
        <w:overflowPunct/>
        <w:topLinePunct w:val="0"/>
        <w:autoSpaceDE/>
        <w:autoSpaceDN/>
        <w:bidi w:val="0"/>
        <w:adjustRightInd/>
        <w:snapToGrid/>
        <w:spacing w:line="570" w:lineRule="exact"/>
        <w:ind w:firstLine="419" w:firstLineChars="131"/>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2.年度目标。</w:t>
      </w:r>
    </w:p>
    <w:p>
      <w:pPr>
        <w:pStyle w:val="4"/>
        <w:keepNext w:val="0"/>
        <w:keepLines w:val="0"/>
        <w:pageBreakBefore w:val="0"/>
        <w:widowControl w:val="0"/>
        <w:kinsoku/>
        <w:wordWrap/>
        <w:overflowPunct/>
        <w:topLinePunct w:val="0"/>
        <w:autoSpaceDE/>
        <w:autoSpaceDN/>
        <w:bidi w:val="0"/>
        <w:adjustRightInd/>
        <w:snapToGrid/>
        <w:spacing w:line="570" w:lineRule="exact"/>
        <w:ind w:firstLine="419" w:firstLineChars="131"/>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（1）产出目标</w:t>
      </w:r>
      <w:r>
        <w:rPr>
          <w:rFonts w:hint="eastAsia" w:ascii="仿宋_GB2312" w:hAnsi="仿宋_GB2312" w:eastAsia="仿宋_GB2312" w:cs="仿宋_GB2312"/>
          <w:sz w:val="32"/>
          <w:szCs w:val="32"/>
          <w:lang w:eastAsia="zh-CN"/>
        </w:rPr>
        <w:t>。按照要求圆满完成了上级安排的各项内贸统计监测任务。</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（2）效果目标</w:t>
      </w:r>
      <w:r>
        <w:rPr>
          <w:rFonts w:hint="eastAsia" w:ascii="仿宋_GB2312" w:hAnsi="仿宋_GB2312" w:eastAsia="仿宋_GB2312" w:cs="仿宋_GB2312"/>
          <w:sz w:val="32"/>
          <w:szCs w:val="32"/>
          <w:lang w:eastAsia="zh-CN"/>
        </w:rPr>
        <w:t>。完成了上级安排的各项内贸统计监测任务。获得上级内贸流通统计监测工作经费0</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万元，有益于做好统计监测相关工作。</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color w:val="000000"/>
          <w:kern w:val="0"/>
          <w:sz w:val="32"/>
          <w:szCs w:val="32"/>
        </w:rPr>
      </w:pPr>
      <w:r>
        <w:rPr>
          <w:rFonts w:hint="eastAsia" w:ascii="黑体" w:hAnsi="黑体" w:eastAsia="黑体" w:cs="黑体"/>
          <w:color w:val="000000"/>
          <w:kern w:val="0"/>
          <w:sz w:val="32"/>
          <w:szCs w:val="32"/>
        </w:rPr>
        <w:t>二、绩效评价工作情况</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rPr>
      </w:pPr>
      <w:r>
        <w:rPr>
          <w:rFonts w:hint="eastAsia" w:ascii="仿宋_GB2312" w:hAnsi="仿宋_GB2312" w:eastAsia="仿宋_GB2312" w:cs="仿宋_GB2312"/>
          <w:color w:val="000000"/>
          <w:kern w:val="0"/>
          <w:sz w:val="32"/>
          <w:szCs w:val="32"/>
        </w:rPr>
        <w:t>（一）</w:t>
      </w:r>
      <w:r>
        <w:rPr>
          <w:rFonts w:hint="eastAsia" w:ascii="仿宋_GB2312" w:hAnsi="仿宋_GB2312" w:eastAsia="仿宋_GB2312" w:cs="仿宋_GB2312"/>
          <w:color w:val="000000"/>
          <w:kern w:val="0"/>
          <w:sz w:val="32"/>
          <w:szCs w:val="32"/>
          <w:lang w:eastAsia="zh-CN"/>
        </w:rPr>
        <w:t>主要内容：内贸统计监测工作由昆明市商务局委托中介机构组织实施。项目在实施过程中，样本企业付出了巨大的努力，运作规范，较好完成了产出目标，实现经济效益、社会效益双丰收的效果。行业主管部门负责指导、督促辖区内样本企业按时按质按量完成统计监测数据采集、整理、上报相关工作。其中有日报、周报、旬报、月报、季度报、半年报、年报等，工作任务较为繁重，需要安排专人负责指导协调。项目设置合理，项目实施的成本支出真实，控制有效。该资金扶持项目，主要用于对参与内贸统计监测工作的还有主管部门给予经费补助。达到了预期的效果，充分调动了行业主管部门工作积极性。</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（二）绩效评价原则、评价方法</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1.绩效评价原则。该项目绩效评价的原则科学规范，对项目达到的效果有严格、合理的界定；采用数据真实可靠，项目申报程序、评审体系公开公正，绩效关联度高。</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2.绩效评价方法。采用的绩效评价方法科学合理，指标评价体系健全，数据采集、指标设定具有普遍性、代表性和科学性。</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三、评价结论</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（一）评价结果。市级内贸流通统计监测工作经费，设置科学合理，对行业主管部门认真做好统计监测工作提供了经费保障，财政资金杠杆作用显著，真正起到了抛砖引玉的效果。</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rPr>
        <w:t>（二）主要绩效。行业主管部门负责指导、督促辖区内样本企业按时按质按量完成统计监测数据采集、整理、上报相关工作。其中有日报、周报、旬报、月报、季度报、半年报、年报等，工作任务较为繁重，需要安排专人负责指导协调。项目设置合理，项目实施的成本支出真实，控制有效。该资金扶持项目，主要用于对参与内贸统计监测工作的行业主管部门给予经费补助。达到了预期的效果，充分调动了行业主管部门工作积极性。</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四、成本效益分析。</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我局安排专人认真指导、督促辖区内样本企业按时按质按量完成统计监测数据采集、整理、上报相关工作。其中有日报、周报、旬报、月报、季度报、半年报、年报等，工作任务较为繁重，需要指导协调。项目设置合理，项目实施的成本支出真实，控制有效。该资金扶持项目，主要用于对参与内贸统计监测工作的还有主管部门给予经费补助。达到了预期的效果，充分调动了行业主管部门工作积极性。</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五、主要经验及做法、存在的问题和建议</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（一）主要经验及做法。严格按照上级要求认真研究、筛选，组织、推荐符合条件的相关企业积极参与内贸流通统计监测工作，获得的工作经费主要用于对相关企业的指导和协调工作。</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（二）存在的问题。我县商贸业体量小，符合上级要求参与统计监测工作的企业少。</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（三）建议和改进措施。建议加大商贸业扶持力度，我局将按照上级要求，督促项目实施单位专款专用，确保财政资金安全、高效运行。</w:t>
      </w: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tbl>
      <w:tblPr>
        <w:tblStyle w:val="2"/>
        <w:tblW w:w="9174" w:type="dxa"/>
        <w:jc w:val="center"/>
        <w:tblInd w:w="0" w:type="dxa"/>
        <w:tblLayout w:type="fixed"/>
        <w:tblCellMar>
          <w:top w:w="0" w:type="dxa"/>
          <w:left w:w="28" w:type="dxa"/>
          <w:bottom w:w="0" w:type="dxa"/>
          <w:right w:w="28" w:type="dxa"/>
        </w:tblCellMar>
      </w:tblPr>
      <w:tblGrid>
        <w:gridCol w:w="476"/>
        <w:gridCol w:w="640"/>
        <w:gridCol w:w="1173"/>
        <w:gridCol w:w="570"/>
        <w:gridCol w:w="552"/>
        <w:gridCol w:w="2268"/>
        <w:gridCol w:w="2126"/>
        <w:gridCol w:w="1369"/>
      </w:tblGrid>
      <w:tr>
        <w:tblPrEx>
          <w:tblLayout w:type="fixed"/>
          <w:tblCellMar>
            <w:top w:w="0" w:type="dxa"/>
            <w:left w:w="28" w:type="dxa"/>
            <w:bottom w:w="0" w:type="dxa"/>
            <w:right w:w="28" w:type="dxa"/>
          </w:tblCellMar>
        </w:tblPrEx>
        <w:trPr>
          <w:tblHeader/>
          <w:jc w:val="center"/>
        </w:trPr>
        <w:tc>
          <w:tcPr>
            <w:tcW w:w="9174" w:type="dxa"/>
            <w:gridSpan w:val="8"/>
            <w:tcBorders>
              <w:bottom w:val="single" w:color="auto" w:sz="4" w:space="0"/>
            </w:tcBorders>
            <w:tcMar>
              <w:top w:w="10" w:type="dxa"/>
              <w:left w:w="10" w:type="dxa"/>
              <w:bottom w:w="0" w:type="dxa"/>
              <w:right w:w="10" w:type="dxa"/>
            </w:tcMar>
            <w:vAlign w:val="center"/>
          </w:tcPr>
          <w:p>
            <w:pPr>
              <w:spacing w:afterLines="50"/>
              <w:jc w:val="center"/>
              <w:rPr>
                <w:rFonts w:ascii="黑体" w:eastAsia="黑体"/>
                <w:bCs/>
                <w:sz w:val="36"/>
                <w:szCs w:val="36"/>
              </w:rPr>
            </w:pPr>
            <w:r>
              <w:rPr>
                <w:rFonts w:ascii="黑体" w:eastAsia="黑体"/>
                <w:bCs/>
                <w:sz w:val="36"/>
                <w:szCs w:val="36"/>
              </w:rPr>
              <w:t>20</w:t>
            </w:r>
            <w:r>
              <w:rPr>
                <w:rFonts w:hint="eastAsia" w:ascii="黑体" w:eastAsia="黑体"/>
                <w:bCs/>
                <w:sz w:val="36"/>
                <w:szCs w:val="36"/>
              </w:rPr>
              <w:t>20年项目支出绩效自评指标评分表</w:t>
            </w:r>
          </w:p>
          <w:p>
            <w:pPr>
              <w:spacing w:afterLines="50"/>
              <w:jc w:val="center"/>
              <w:rPr>
                <w:rFonts w:ascii="黑体" w:eastAsia="黑体"/>
                <w:b/>
                <w:bCs/>
                <w:sz w:val="18"/>
                <w:szCs w:val="18"/>
              </w:rPr>
            </w:pPr>
          </w:p>
        </w:tc>
      </w:tr>
      <w:tr>
        <w:tblPrEx>
          <w:tblLayout w:type="fixed"/>
          <w:tblCellMar>
            <w:top w:w="0" w:type="dxa"/>
            <w:left w:w="28" w:type="dxa"/>
            <w:bottom w:w="0" w:type="dxa"/>
            <w:right w:w="28" w:type="dxa"/>
          </w:tblCellMar>
        </w:tblPrEx>
        <w:trPr>
          <w:trHeight w:val="703" w:hRule="atLeast"/>
          <w:tblHeader/>
          <w:jc w:val="center"/>
        </w:trPr>
        <w:tc>
          <w:tcPr>
            <w:tcW w:w="47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一级</w:t>
            </w:r>
            <w:r>
              <w:rPr>
                <w:bCs/>
                <w:sz w:val="21"/>
                <w:szCs w:val="21"/>
              </w:rPr>
              <w:br w:type="textWrapping"/>
            </w:r>
            <w:r>
              <w:rPr>
                <w:rFonts w:hint="eastAsia"/>
                <w:bCs/>
                <w:sz w:val="21"/>
                <w:szCs w:val="21"/>
              </w:rPr>
              <w:t>指标</w:t>
            </w:r>
          </w:p>
        </w:tc>
        <w:tc>
          <w:tcPr>
            <w:tcW w:w="64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二级</w:t>
            </w:r>
          </w:p>
          <w:p>
            <w:pPr>
              <w:jc w:val="center"/>
              <w:rPr>
                <w:bCs/>
                <w:sz w:val="21"/>
                <w:szCs w:val="21"/>
              </w:rPr>
            </w:pPr>
            <w:r>
              <w:rPr>
                <w:rFonts w:hint="eastAsia"/>
                <w:bCs/>
                <w:sz w:val="21"/>
                <w:szCs w:val="21"/>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三级</w:t>
            </w:r>
          </w:p>
          <w:p>
            <w:pPr>
              <w:jc w:val="center"/>
              <w:rPr>
                <w:bCs/>
                <w:sz w:val="21"/>
                <w:szCs w:val="21"/>
              </w:rPr>
            </w:pPr>
            <w:r>
              <w:rPr>
                <w:rFonts w:hint="eastAsia"/>
                <w:bCs/>
                <w:sz w:val="21"/>
                <w:szCs w:val="21"/>
              </w:rPr>
              <w:t>指标</w:t>
            </w:r>
          </w:p>
        </w:tc>
        <w:tc>
          <w:tcPr>
            <w:tcW w:w="57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分值</w:t>
            </w:r>
          </w:p>
        </w:tc>
        <w:tc>
          <w:tcPr>
            <w:tcW w:w="55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得分</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bCs/>
                <w:sz w:val="21"/>
                <w:szCs w:val="21"/>
              </w:rPr>
            </w:pPr>
            <w:r>
              <w:rPr>
                <w:rFonts w:hint="eastAsia"/>
                <w:bCs/>
                <w:sz w:val="21"/>
                <w:szCs w:val="21"/>
              </w:rPr>
              <w:t>指标解释</w:t>
            </w:r>
          </w:p>
        </w:tc>
        <w:tc>
          <w:tcPr>
            <w:tcW w:w="2126"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指标评分细则</w:t>
            </w:r>
          </w:p>
        </w:tc>
        <w:tc>
          <w:tcPr>
            <w:tcW w:w="1369" w:type="dxa"/>
            <w:tcBorders>
              <w:top w:val="single" w:color="auto" w:sz="4" w:space="0"/>
              <w:left w:val="nil"/>
              <w:bottom w:val="single" w:color="auto" w:sz="4" w:space="0"/>
              <w:right w:val="single" w:color="auto" w:sz="4" w:space="0"/>
            </w:tcBorders>
            <w:vAlign w:val="center"/>
          </w:tcPr>
          <w:p>
            <w:pPr>
              <w:jc w:val="center"/>
              <w:rPr>
                <w:bCs/>
                <w:sz w:val="21"/>
                <w:szCs w:val="21"/>
              </w:rPr>
            </w:pPr>
            <w:r>
              <w:rPr>
                <w:rFonts w:hint="eastAsia"/>
                <w:bCs/>
                <w:sz w:val="21"/>
                <w:szCs w:val="21"/>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0" w:hRule="atLeast"/>
          <w:jc w:val="center"/>
        </w:trPr>
        <w:tc>
          <w:tcPr>
            <w:tcW w:w="476" w:type="dxa"/>
            <w:vMerge w:val="restart"/>
            <w:textDirection w:val="tbRlV"/>
            <w:vAlign w:val="bottom"/>
          </w:tcPr>
          <w:p>
            <w:pPr>
              <w:spacing w:line="240" w:lineRule="exact"/>
              <w:ind w:left="113" w:right="113"/>
              <w:jc w:val="center"/>
              <w:rPr>
                <w:rFonts w:ascii="仿宋_GB2312"/>
                <w:sz w:val="15"/>
                <w:szCs w:val="15"/>
              </w:rPr>
            </w:pPr>
            <w:r>
              <w:rPr>
                <w:rFonts w:hint="eastAsia" w:ascii="仿宋_GB2312"/>
                <w:sz w:val="15"/>
                <w:szCs w:val="15"/>
              </w:rPr>
              <w:t>一、项目决策（20分）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1项目立项(10)</w:t>
            </w:r>
          </w:p>
        </w:tc>
        <w:tc>
          <w:tcPr>
            <w:tcW w:w="1173" w:type="dxa"/>
            <w:vAlign w:val="center"/>
          </w:tcPr>
          <w:p>
            <w:pPr>
              <w:spacing w:line="240" w:lineRule="exact"/>
              <w:rPr>
                <w:rFonts w:ascii="仿宋_GB2312"/>
                <w:sz w:val="15"/>
                <w:szCs w:val="15"/>
              </w:rPr>
            </w:pPr>
            <w:r>
              <w:rPr>
                <w:rFonts w:hint="eastAsia" w:ascii="仿宋_GB2312"/>
                <w:sz w:val="15"/>
                <w:szCs w:val="15"/>
              </w:rPr>
              <w:t>1.与部门中长期规划目标适应性。</w:t>
            </w:r>
          </w:p>
        </w:tc>
        <w:tc>
          <w:tcPr>
            <w:tcW w:w="570" w:type="dxa"/>
            <w:vAlign w:val="center"/>
          </w:tcPr>
          <w:p>
            <w:pPr>
              <w:spacing w:line="240" w:lineRule="exact"/>
              <w:jc w:val="center"/>
              <w:rPr>
                <w:rFonts w:ascii="仿宋_GB2312"/>
                <w:sz w:val="18"/>
                <w:szCs w:val="18"/>
              </w:rPr>
            </w:pPr>
            <w:r>
              <w:rPr>
                <w:rFonts w:hint="eastAsia" w:ascii="仿宋_GB2312"/>
                <w:sz w:val="18"/>
                <w:szCs w:val="18"/>
              </w:rPr>
              <w:t>4</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4</w:t>
            </w:r>
          </w:p>
        </w:tc>
        <w:tc>
          <w:tcPr>
            <w:tcW w:w="2268" w:type="dxa"/>
            <w:vAlign w:val="center"/>
          </w:tcPr>
          <w:p>
            <w:pPr>
              <w:spacing w:line="240" w:lineRule="exact"/>
              <w:rPr>
                <w:rFonts w:ascii="仿宋_GB2312"/>
                <w:sz w:val="15"/>
                <w:szCs w:val="15"/>
              </w:rPr>
            </w:pPr>
            <w:r>
              <w:rPr>
                <w:rFonts w:hint="eastAsia" w:ascii="仿宋_GB2312"/>
                <w:sz w:val="15"/>
                <w:szCs w:val="15"/>
              </w:rPr>
              <w:t>考察项目与部门中长期目标是否匹配。</w:t>
            </w:r>
          </w:p>
        </w:tc>
        <w:tc>
          <w:tcPr>
            <w:tcW w:w="2126" w:type="dxa"/>
            <w:vAlign w:val="center"/>
          </w:tcPr>
          <w:p>
            <w:pPr>
              <w:spacing w:line="240" w:lineRule="exact"/>
              <w:rPr>
                <w:rFonts w:ascii="仿宋_GB2312"/>
                <w:sz w:val="15"/>
                <w:szCs w:val="15"/>
              </w:rPr>
            </w:pPr>
            <w:r>
              <w:rPr>
                <w:rFonts w:hint="eastAsia" w:ascii="仿宋_GB2312"/>
                <w:sz w:val="15"/>
                <w:szCs w:val="15"/>
              </w:rPr>
              <w:t>①部门年度工作目标是否明确设定，得2分；②年度工作目标与部门中长期规划目标一致，得2分。</w:t>
            </w:r>
          </w:p>
        </w:tc>
        <w:tc>
          <w:tcPr>
            <w:tcW w:w="1369" w:type="dxa"/>
            <w:vAlign w:val="center"/>
          </w:tcPr>
          <w:p>
            <w:pPr>
              <w:spacing w:line="240" w:lineRule="exact"/>
              <w:rPr>
                <w:rFonts w:ascii="仿宋_GB2312"/>
                <w:sz w:val="15"/>
                <w:szCs w:val="15"/>
              </w:rPr>
            </w:pPr>
            <w:r>
              <w:rPr>
                <w:rFonts w:hint="eastAsia" w:ascii="仿宋_GB2312"/>
                <w:sz w:val="15"/>
                <w:szCs w:val="15"/>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2.立项依据充分性。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考察项目是否符合政府相关发展规划和政府决策</w:t>
            </w:r>
          </w:p>
        </w:tc>
        <w:tc>
          <w:tcPr>
            <w:tcW w:w="2126" w:type="dxa"/>
            <w:vAlign w:val="center"/>
          </w:tcPr>
          <w:p>
            <w:pPr>
              <w:spacing w:line="240" w:lineRule="exact"/>
              <w:rPr>
                <w:rFonts w:ascii="仿宋_GB2312"/>
                <w:sz w:val="15"/>
                <w:szCs w:val="15"/>
              </w:rPr>
            </w:pPr>
            <w:r>
              <w:rPr>
                <w:rFonts w:hint="eastAsia" w:ascii="仿宋_GB2312"/>
                <w:sz w:val="15"/>
                <w:szCs w:val="15"/>
              </w:rPr>
              <w:t>符合，得满分；不符合，不得分。</w:t>
            </w:r>
          </w:p>
        </w:tc>
        <w:tc>
          <w:tcPr>
            <w:tcW w:w="1369" w:type="dxa"/>
            <w:vAlign w:val="center"/>
          </w:tcPr>
          <w:p>
            <w:pPr>
              <w:spacing w:line="240" w:lineRule="exact"/>
              <w:rPr>
                <w:rFonts w:ascii="仿宋_GB2312"/>
                <w:sz w:val="15"/>
                <w:szCs w:val="15"/>
              </w:rPr>
            </w:pPr>
            <w:r>
              <w:rPr>
                <w:rFonts w:hint="eastAsia" w:ascii="仿宋_GB2312"/>
                <w:sz w:val="15"/>
                <w:szCs w:val="15"/>
              </w:rPr>
              <w:t>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3.项目立项规范性。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考察项目是否与部门职责密切相关。</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2项目目标(10)</w:t>
            </w:r>
          </w:p>
        </w:tc>
        <w:tc>
          <w:tcPr>
            <w:tcW w:w="1173" w:type="dxa"/>
            <w:vAlign w:val="center"/>
          </w:tcPr>
          <w:p>
            <w:pPr>
              <w:spacing w:line="240" w:lineRule="exact"/>
              <w:rPr>
                <w:rFonts w:ascii="仿宋_GB2312"/>
                <w:sz w:val="15"/>
                <w:szCs w:val="15"/>
              </w:rPr>
            </w:pPr>
            <w:r>
              <w:rPr>
                <w:rFonts w:hint="eastAsia" w:ascii="仿宋_GB2312"/>
                <w:sz w:val="15"/>
                <w:szCs w:val="15"/>
              </w:rPr>
              <w:t>1.绩效目标设定的合理性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default"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考察设定的绩效目标是是否与事业发展规划相关；是否完整地反应预期产出和效果；是否与年度预算相匹配。</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2.绩效指标设定的明确性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考察是否将绩效目标细化分解为清晰、可衡量的绩效指标；是否与年度工作任务相对应。</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restart"/>
            <w:textDirection w:val="tbRlV"/>
          </w:tcPr>
          <w:p>
            <w:pPr>
              <w:spacing w:line="240" w:lineRule="exact"/>
              <w:ind w:left="113" w:right="113"/>
              <w:jc w:val="center"/>
              <w:rPr>
                <w:rFonts w:ascii="仿宋_GB2312"/>
                <w:sz w:val="18"/>
                <w:szCs w:val="18"/>
              </w:rPr>
            </w:pPr>
            <w:r>
              <w:rPr>
                <w:rFonts w:hint="eastAsia" w:ascii="仿宋_GB2312"/>
                <w:sz w:val="18"/>
                <w:szCs w:val="18"/>
              </w:rPr>
              <w:t>二、项目管理（20分）</w:t>
            </w:r>
          </w:p>
        </w:tc>
        <w:tc>
          <w:tcPr>
            <w:tcW w:w="640" w:type="dxa"/>
            <w:vMerge w:val="restart"/>
            <w:vAlign w:val="center"/>
          </w:tcPr>
          <w:p>
            <w:pPr>
              <w:spacing w:line="240" w:lineRule="exact"/>
              <w:rPr>
                <w:rFonts w:ascii="仿宋_GB2312"/>
                <w:sz w:val="18"/>
                <w:szCs w:val="18"/>
              </w:rPr>
            </w:pPr>
            <w:r>
              <w:rPr>
                <w:rFonts w:hint="eastAsia" w:ascii="仿宋_GB2312"/>
                <w:sz w:val="15"/>
                <w:szCs w:val="15"/>
              </w:rPr>
              <w:t>1投入管理（4）</w:t>
            </w:r>
          </w:p>
        </w:tc>
        <w:tc>
          <w:tcPr>
            <w:tcW w:w="1173" w:type="dxa"/>
            <w:vAlign w:val="center"/>
          </w:tcPr>
          <w:p>
            <w:pPr>
              <w:spacing w:line="240" w:lineRule="exact"/>
              <w:rPr>
                <w:rFonts w:ascii="仿宋_GB2312"/>
                <w:sz w:val="15"/>
                <w:szCs w:val="15"/>
              </w:rPr>
            </w:pPr>
            <w:r>
              <w:rPr>
                <w:rFonts w:hint="eastAsia" w:ascii="仿宋_GB2312"/>
                <w:sz w:val="15"/>
                <w:szCs w:val="15"/>
              </w:rPr>
              <w:t>1.预算编制合理性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考察预算编制是否充分、合理，预计项目支出是否完整反应。</w:t>
            </w:r>
          </w:p>
        </w:tc>
        <w:tc>
          <w:tcPr>
            <w:tcW w:w="2126" w:type="dxa"/>
            <w:vAlign w:val="center"/>
          </w:tcPr>
          <w:p>
            <w:pPr>
              <w:spacing w:line="240" w:lineRule="exact"/>
              <w:rPr>
                <w:rFonts w:ascii="仿宋_GB2312"/>
                <w:sz w:val="15"/>
                <w:szCs w:val="15"/>
              </w:rPr>
            </w:pPr>
            <w:r>
              <w:rPr>
                <w:rFonts w:hint="eastAsia" w:ascii="仿宋_GB2312"/>
                <w:sz w:val="15"/>
                <w:szCs w:val="15"/>
              </w:rPr>
              <w:t>合理得满分；存在一项不合理，扣0.5分，扣完为止。</w:t>
            </w:r>
          </w:p>
        </w:tc>
        <w:tc>
          <w:tcPr>
            <w:tcW w:w="1369" w:type="dxa"/>
            <w:vAlign w:val="center"/>
          </w:tcPr>
          <w:p>
            <w:pPr>
              <w:spacing w:line="240" w:lineRule="exact"/>
              <w:rPr>
                <w:rFonts w:ascii="仿宋_GB2312"/>
                <w:sz w:val="15"/>
                <w:szCs w:val="15"/>
              </w:rPr>
            </w:pPr>
            <w:r>
              <w:rPr>
                <w:rFonts w:hint="eastAsia" w:ascii="仿宋_GB2312"/>
                <w:sz w:val="15"/>
                <w:szCs w:val="15"/>
              </w:rPr>
              <w:t>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2.预算执行率</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考察项目预算执行的进度。预算执行率=实际支出金额/项目预算金额×100%</w:t>
            </w:r>
          </w:p>
        </w:tc>
        <w:tc>
          <w:tcPr>
            <w:tcW w:w="2126" w:type="dxa"/>
            <w:vAlign w:val="center"/>
          </w:tcPr>
          <w:p>
            <w:pPr>
              <w:spacing w:line="240" w:lineRule="exact"/>
              <w:rPr>
                <w:rFonts w:ascii="仿宋_GB2312"/>
                <w:sz w:val="15"/>
                <w:szCs w:val="15"/>
              </w:rPr>
            </w:pPr>
            <w:r>
              <w:rPr>
                <w:rFonts w:hint="eastAsia" w:ascii="仿宋_GB2312"/>
                <w:sz w:val="15"/>
                <w:szCs w:val="15"/>
              </w:rPr>
              <w:t>预算执行率95%以上，得满分；低于95%，每下降1%扣权重的1%；预算执行率60%以下，不计分。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sz w:val="15"/>
                <w:szCs w:val="15"/>
              </w:rPr>
            </w:pPr>
            <w:r>
              <w:rPr>
                <w:rFonts w:hint="eastAsia" w:ascii="仿宋_GB2312"/>
                <w:sz w:val="15"/>
                <w:szCs w:val="15"/>
              </w:rPr>
              <w:t>2.财务管理（6）</w:t>
            </w:r>
          </w:p>
        </w:tc>
        <w:tc>
          <w:tcPr>
            <w:tcW w:w="1173" w:type="dxa"/>
            <w:vAlign w:val="center"/>
          </w:tcPr>
          <w:p>
            <w:pPr>
              <w:spacing w:line="240" w:lineRule="exact"/>
              <w:rPr>
                <w:rFonts w:ascii="仿宋_GB2312"/>
                <w:sz w:val="15"/>
                <w:szCs w:val="15"/>
              </w:rPr>
            </w:pPr>
            <w:r>
              <w:rPr>
                <w:rFonts w:hint="eastAsia" w:ascii="仿宋_GB2312"/>
                <w:sz w:val="15"/>
                <w:szCs w:val="15"/>
              </w:rPr>
              <w:t>1.资金使用情况</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考察项目资金使用是否符合预算批复的用途，是否存在截留、挤占、挪用、虚列支出等情况。</w:t>
            </w:r>
          </w:p>
        </w:tc>
        <w:tc>
          <w:tcPr>
            <w:tcW w:w="2126" w:type="dxa"/>
            <w:vAlign w:val="center"/>
          </w:tcPr>
          <w:p>
            <w:pPr>
              <w:spacing w:line="240" w:lineRule="exact"/>
              <w:rPr>
                <w:rFonts w:ascii="仿宋_GB2312"/>
                <w:sz w:val="15"/>
                <w:szCs w:val="15"/>
              </w:rPr>
            </w:pPr>
            <w:r>
              <w:rPr>
                <w:rFonts w:hint="eastAsia" w:ascii="仿宋_GB2312"/>
                <w:sz w:val="15"/>
                <w:szCs w:val="15"/>
              </w:rPr>
              <w:t>合规，得满分；存在一项不合规，扣1分，扣完为止。</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2.财务管理制度健全性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考察项目的财务制度是否健全、完善、有效。</w:t>
            </w:r>
          </w:p>
        </w:tc>
        <w:tc>
          <w:tcPr>
            <w:tcW w:w="2126" w:type="dxa"/>
            <w:vAlign w:val="center"/>
          </w:tcPr>
          <w:p>
            <w:pPr>
              <w:spacing w:line="240" w:lineRule="exact"/>
              <w:rPr>
                <w:rFonts w:ascii="仿宋_GB2312"/>
                <w:sz w:val="15"/>
                <w:szCs w:val="15"/>
              </w:rPr>
            </w:pPr>
            <w:r>
              <w:rPr>
                <w:rFonts w:hint="eastAsia" w:ascii="仿宋_GB2312"/>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pPr>
              <w:spacing w:line="240" w:lineRule="exact"/>
              <w:rPr>
                <w:rFonts w:ascii="仿宋_GB2312"/>
                <w:sz w:val="15"/>
                <w:szCs w:val="15"/>
              </w:rPr>
            </w:pPr>
            <w:r>
              <w:rPr>
                <w:rFonts w:hint="eastAsia" w:ascii="仿宋_GB2312"/>
                <w:sz w:val="15"/>
                <w:szCs w:val="15"/>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3.项目实施（10）</w:t>
            </w:r>
          </w:p>
        </w:tc>
        <w:tc>
          <w:tcPr>
            <w:tcW w:w="1173" w:type="dxa"/>
            <w:vAlign w:val="center"/>
          </w:tcPr>
          <w:p>
            <w:pPr>
              <w:spacing w:line="240" w:lineRule="exact"/>
              <w:rPr>
                <w:rFonts w:ascii="仿宋_GB2312"/>
                <w:sz w:val="15"/>
                <w:szCs w:val="15"/>
              </w:rPr>
            </w:pPr>
            <w:r>
              <w:rPr>
                <w:rFonts w:hint="eastAsia" w:ascii="仿宋_GB2312"/>
                <w:sz w:val="15"/>
                <w:szCs w:val="15"/>
              </w:rPr>
              <w:t>1.项目管理制度健全性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项目实施单位为保障项目顺利实施制订的与项目直接相关的业务管理制度是否健全、完善和有效。</w:t>
            </w:r>
          </w:p>
        </w:tc>
        <w:tc>
          <w:tcPr>
            <w:tcW w:w="2126" w:type="dxa"/>
            <w:vAlign w:val="center"/>
          </w:tcPr>
          <w:p>
            <w:pPr>
              <w:spacing w:line="240" w:lineRule="exact"/>
              <w:rPr>
                <w:rFonts w:ascii="仿宋_GB2312"/>
                <w:sz w:val="15"/>
                <w:szCs w:val="15"/>
              </w:rPr>
            </w:pPr>
            <w:r>
              <w:rPr>
                <w:rFonts w:hint="eastAsia" w:ascii="仿宋_GB2312"/>
                <w:sz w:val="15"/>
                <w:szCs w:val="15"/>
              </w:rPr>
              <w:t>制订制度或采取措施，得满分；制度不完善或措施不明确，得权重的60%；没有相关制度或措施，不得分。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sz w:val="18"/>
                <w:szCs w:val="18"/>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2.项目管理制度执行有效性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考察项目实施单位制订的管理制度是否有效执行。</w:t>
            </w:r>
          </w:p>
        </w:tc>
        <w:tc>
          <w:tcPr>
            <w:tcW w:w="2126" w:type="dxa"/>
            <w:vAlign w:val="center"/>
          </w:tcPr>
          <w:p>
            <w:pPr>
              <w:spacing w:line="240" w:lineRule="exact"/>
              <w:rPr>
                <w:rFonts w:ascii="仿宋_GB2312"/>
                <w:sz w:val="15"/>
                <w:szCs w:val="15"/>
              </w:rPr>
            </w:pPr>
            <w:r>
              <w:rPr>
                <w:rFonts w:hint="eastAsia" w:ascii="仿宋_GB2312"/>
                <w:sz w:val="15"/>
                <w:szCs w:val="15"/>
              </w:rPr>
              <w:t>有效执行，得满分；部分执行，得权重的60%；未执行，不得分。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476" w:type="dxa"/>
            <w:vMerge w:val="restart"/>
            <w:textDirection w:val="tbRlV"/>
            <w:vAlign w:val="center"/>
          </w:tcPr>
          <w:p>
            <w:pPr>
              <w:spacing w:line="240" w:lineRule="exact"/>
              <w:ind w:left="113" w:right="113"/>
              <w:jc w:val="center"/>
              <w:rPr>
                <w:rFonts w:ascii="仿宋_GB2312"/>
                <w:sz w:val="18"/>
                <w:szCs w:val="18"/>
              </w:rPr>
            </w:pPr>
            <w:r>
              <w:rPr>
                <w:rFonts w:hint="eastAsia" w:ascii="仿宋_GB2312"/>
                <w:sz w:val="18"/>
                <w:szCs w:val="18"/>
              </w:rPr>
              <w:t>三、项目绩效（60分）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1.项目产出（30分</w:t>
            </w:r>
          </w:p>
        </w:tc>
        <w:tc>
          <w:tcPr>
            <w:tcW w:w="1173" w:type="dxa"/>
            <w:vAlign w:val="center"/>
          </w:tcPr>
          <w:p>
            <w:pPr>
              <w:spacing w:line="240" w:lineRule="exact"/>
              <w:rPr>
                <w:rFonts w:ascii="仿宋_GB2312"/>
                <w:sz w:val="15"/>
                <w:szCs w:val="15"/>
              </w:rPr>
            </w:pPr>
            <w:r>
              <w:rPr>
                <w:rFonts w:hint="eastAsia" w:ascii="仿宋_GB2312"/>
                <w:sz w:val="15"/>
                <w:szCs w:val="15"/>
              </w:rPr>
              <w:t>1.数量指标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根据该项目实际，考察产出数量的实际完成情况。</w:t>
            </w:r>
          </w:p>
        </w:tc>
        <w:tc>
          <w:tcPr>
            <w:tcW w:w="2126" w:type="dxa"/>
            <w:vAlign w:val="center"/>
          </w:tcPr>
          <w:p>
            <w:pPr>
              <w:spacing w:line="240" w:lineRule="exact"/>
              <w:rPr>
                <w:rFonts w:ascii="仿宋_GB2312"/>
                <w:sz w:val="15"/>
                <w:szCs w:val="15"/>
              </w:rPr>
            </w:pPr>
            <w:r>
              <w:rPr>
                <w:rFonts w:hint="eastAsia" w:ascii="仿宋_GB2312"/>
                <w:sz w:val="15"/>
                <w:szCs w:val="15"/>
              </w:rPr>
              <w:t>对照绩效目标，按实际产出数量和计划产出数计算得分。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5"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2.质量指标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根据该项目实际，考察项目质量应达到的行业标准。</w:t>
            </w:r>
          </w:p>
        </w:tc>
        <w:tc>
          <w:tcPr>
            <w:tcW w:w="2126" w:type="dxa"/>
            <w:vAlign w:val="center"/>
          </w:tcPr>
          <w:p>
            <w:pPr>
              <w:spacing w:line="240" w:lineRule="exact"/>
              <w:rPr>
                <w:rFonts w:ascii="仿宋_GB2312"/>
                <w:sz w:val="15"/>
                <w:szCs w:val="15"/>
              </w:rPr>
            </w:pPr>
            <w:r>
              <w:rPr>
                <w:rFonts w:hint="eastAsia" w:ascii="仿宋_GB2312"/>
                <w:sz w:val="15"/>
                <w:szCs w:val="15"/>
              </w:rPr>
              <w:t>对照绩效目标、行业标准计算得分。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3.时效指标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根据该项目实际，考察项目的实际完成时间。</w:t>
            </w:r>
          </w:p>
        </w:tc>
        <w:tc>
          <w:tcPr>
            <w:tcW w:w="2126" w:type="dxa"/>
            <w:vAlign w:val="center"/>
          </w:tcPr>
          <w:p>
            <w:pPr>
              <w:spacing w:line="240" w:lineRule="exact"/>
              <w:rPr>
                <w:rFonts w:ascii="仿宋_GB2312"/>
                <w:sz w:val="15"/>
                <w:szCs w:val="15"/>
              </w:rPr>
            </w:pPr>
            <w:r>
              <w:rPr>
                <w:rFonts w:hint="eastAsia" w:ascii="仿宋_GB2312"/>
                <w:sz w:val="15"/>
                <w:szCs w:val="15"/>
              </w:rPr>
              <w:t>对照绩效目标、按项目的实际完成时间和计划完成时间计算得分。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4.成本指标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根据该项目实际，考察项目总成本和单项成本。</w:t>
            </w:r>
          </w:p>
        </w:tc>
        <w:tc>
          <w:tcPr>
            <w:tcW w:w="2126" w:type="dxa"/>
            <w:vAlign w:val="center"/>
          </w:tcPr>
          <w:p>
            <w:pPr>
              <w:spacing w:line="240" w:lineRule="exact"/>
              <w:rPr>
                <w:rFonts w:ascii="仿宋_GB2312"/>
                <w:sz w:val="15"/>
                <w:szCs w:val="15"/>
              </w:rPr>
            </w:pPr>
            <w:r>
              <w:rPr>
                <w:rFonts w:hint="eastAsia" w:ascii="仿宋_GB2312"/>
                <w:sz w:val="15"/>
                <w:szCs w:val="15"/>
              </w:rPr>
              <w:t>照绩效目标、按项目的实际成本和计划成本计算得分。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2.项目效益（30分）</w:t>
            </w:r>
          </w:p>
        </w:tc>
        <w:tc>
          <w:tcPr>
            <w:tcW w:w="1173" w:type="dxa"/>
            <w:vAlign w:val="center"/>
          </w:tcPr>
          <w:p>
            <w:pPr>
              <w:spacing w:line="240" w:lineRule="exact"/>
              <w:rPr>
                <w:rFonts w:ascii="仿宋_GB2312"/>
                <w:sz w:val="15"/>
                <w:szCs w:val="15"/>
              </w:rPr>
            </w:pPr>
            <w:r>
              <w:rPr>
                <w:rFonts w:hint="eastAsia" w:ascii="仿宋_GB2312"/>
                <w:sz w:val="15"/>
                <w:szCs w:val="15"/>
              </w:rPr>
              <w:t>1.经济效益</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jc w:val="center"/>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根据项目实际，考察项目所产生的直接或间接的经济效益。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对照绩效目标，按经济效益实现程度计算得分。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2.社会效益</w:t>
            </w:r>
          </w:p>
        </w:tc>
        <w:tc>
          <w:tcPr>
            <w:tcW w:w="570" w:type="dxa"/>
            <w:vAlign w:val="center"/>
          </w:tcPr>
          <w:p>
            <w:pPr>
              <w:spacing w:line="240" w:lineRule="exact"/>
              <w:jc w:val="center"/>
              <w:rPr>
                <w:rFonts w:ascii="仿宋_GB2312"/>
                <w:sz w:val="18"/>
                <w:szCs w:val="18"/>
              </w:rPr>
            </w:pPr>
            <w:r>
              <w:rPr>
                <w:rFonts w:hint="eastAsia" w:ascii="仿宋_GB2312"/>
                <w:sz w:val="18"/>
                <w:szCs w:val="18"/>
              </w:rPr>
              <w:t>20</w:t>
            </w:r>
          </w:p>
        </w:tc>
        <w:tc>
          <w:tcPr>
            <w:tcW w:w="552" w:type="dxa"/>
            <w:vAlign w:val="center"/>
          </w:tcPr>
          <w:p>
            <w:pPr>
              <w:spacing w:line="240" w:lineRule="exact"/>
              <w:jc w:val="center"/>
              <w:rPr>
                <w:rFonts w:hint="default" w:ascii="仿宋_GB2312" w:eastAsiaTheme="minorEastAsia"/>
                <w:sz w:val="18"/>
                <w:szCs w:val="18"/>
                <w:lang w:val="en-US" w:eastAsia="zh-CN"/>
              </w:rPr>
            </w:pPr>
            <w:r>
              <w:rPr>
                <w:rFonts w:hint="eastAsia" w:ascii="仿宋_GB2312"/>
                <w:sz w:val="18"/>
                <w:szCs w:val="18"/>
                <w:lang w:val="en-US" w:eastAsia="zh-CN"/>
              </w:rPr>
              <w:t>19</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根据项目实际，考察项目所产生的社会效益效益。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对照绩效目标，按社会效益实现程度计算得分。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3.生态效益</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jc w:val="center"/>
              <w:rPr>
                <w:rFonts w:hint="eastAsia" w:ascii="仿宋_GB2312" w:eastAsiaTheme="minorEastAsia"/>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根据项目实际，考察项目所产生的直接或间接的生态效益。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对照绩效目标，按生态效益实现程度计算得分。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4.服务对象满意度</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jc w:val="center"/>
              <w:rPr>
                <w:rFonts w:hint="eastAsia" w:ascii="仿宋_GB2312" w:eastAsiaTheme="minorEastAsia"/>
                <w:sz w:val="18"/>
                <w:szCs w:val="18"/>
                <w:lang w:val="en-US" w:eastAsia="zh-CN"/>
              </w:rPr>
            </w:pPr>
            <w:r>
              <w:rPr>
                <w:rFonts w:hint="eastAsia" w:ascii="仿宋_GB2312"/>
                <w:sz w:val="18"/>
                <w:szCs w:val="18"/>
                <w:lang w:val="en-US" w:eastAsia="zh-CN"/>
              </w:rPr>
              <w:t>4</w:t>
            </w:r>
          </w:p>
        </w:tc>
        <w:tc>
          <w:tcPr>
            <w:tcW w:w="2268" w:type="dxa"/>
            <w:vAlign w:val="center"/>
          </w:tcPr>
          <w:p>
            <w:pPr>
              <w:tabs>
                <w:tab w:val="left" w:pos="2604"/>
              </w:tabs>
              <w:spacing w:line="240" w:lineRule="exact"/>
              <w:rPr>
                <w:rFonts w:ascii="仿宋_GB2312"/>
                <w:sz w:val="15"/>
                <w:szCs w:val="15"/>
              </w:rPr>
            </w:pPr>
            <w:r>
              <w:rPr>
                <w:rFonts w:hint="eastAsia" w:ascii="仿宋_GB2312"/>
                <w:sz w:val="15"/>
                <w:szCs w:val="15"/>
              </w:rPr>
              <w:t>服务对象对项目实施的满意程度。</w:t>
            </w:r>
          </w:p>
        </w:tc>
        <w:tc>
          <w:tcPr>
            <w:tcW w:w="2126" w:type="dxa"/>
            <w:vAlign w:val="center"/>
          </w:tcPr>
          <w:p>
            <w:pPr>
              <w:spacing w:line="240" w:lineRule="exact"/>
              <w:rPr>
                <w:rFonts w:ascii="仿宋_GB2312"/>
                <w:sz w:val="15"/>
                <w:szCs w:val="15"/>
              </w:rPr>
            </w:pPr>
            <w:r>
              <w:rPr>
                <w:rFonts w:hint="eastAsia" w:ascii="仿宋_GB2312" w:hAnsi="宋体" w:cs="宋体"/>
                <w:kern w:val="0"/>
                <w:sz w:val="15"/>
                <w:szCs w:val="15"/>
              </w:rPr>
              <w:t>按收集到的服务对象的满意率计算得分。</w:t>
            </w:r>
          </w:p>
        </w:tc>
        <w:tc>
          <w:tcPr>
            <w:tcW w:w="1369" w:type="dxa"/>
            <w:vAlign w:val="center"/>
          </w:tcPr>
          <w:p>
            <w:pPr>
              <w:spacing w:line="240" w:lineRule="exact"/>
              <w:rPr>
                <w:rFonts w:ascii="仿宋_GB2312"/>
                <w:sz w:val="15"/>
                <w:szCs w:val="15"/>
              </w:rPr>
            </w:pPr>
            <w:r>
              <w:rPr>
                <w:rFonts w:hint="eastAsia" w:ascii="仿宋_GB2312"/>
                <w:sz w:val="15"/>
                <w:szCs w:val="15"/>
              </w:rPr>
              <w:t>问卷调查、访谈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2289" w:type="dxa"/>
            <w:gridSpan w:val="3"/>
            <w:vAlign w:val="center"/>
          </w:tcPr>
          <w:p>
            <w:pPr>
              <w:spacing w:line="240" w:lineRule="exact"/>
              <w:jc w:val="center"/>
              <w:rPr>
                <w:rFonts w:ascii="仿宋_GB2312"/>
                <w:b/>
                <w:sz w:val="18"/>
                <w:szCs w:val="18"/>
              </w:rPr>
            </w:pPr>
            <w:r>
              <w:rPr>
                <w:rFonts w:hint="eastAsia" w:ascii="仿宋_GB2312"/>
                <w:b/>
                <w:sz w:val="18"/>
                <w:szCs w:val="18"/>
              </w:rPr>
              <w:t>合  计</w:t>
            </w:r>
          </w:p>
        </w:tc>
        <w:tc>
          <w:tcPr>
            <w:tcW w:w="570" w:type="dxa"/>
            <w:vAlign w:val="center"/>
          </w:tcPr>
          <w:p>
            <w:pPr>
              <w:spacing w:line="240" w:lineRule="exact"/>
              <w:jc w:val="center"/>
              <w:rPr>
                <w:rFonts w:ascii="仿宋_GB2312"/>
                <w:sz w:val="18"/>
                <w:szCs w:val="18"/>
              </w:rPr>
            </w:pPr>
            <w:r>
              <w:rPr>
                <w:rFonts w:hint="eastAsia" w:ascii="仿宋_GB2312"/>
                <w:sz w:val="18"/>
                <w:szCs w:val="18"/>
              </w:rPr>
              <w:t>100</w:t>
            </w:r>
          </w:p>
        </w:tc>
        <w:tc>
          <w:tcPr>
            <w:tcW w:w="552" w:type="dxa"/>
            <w:vAlign w:val="center"/>
          </w:tcPr>
          <w:p>
            <w:pPr>
              <w:spacing w:line="240" w:lineRule="exact"/>
              <w:jc w:val="center"/>
              <w:rPr>
                <w:rFonts w:hint="default" w:ascii="仿宋_GB2312" w:eastAsiaTheme="minorEastAsia"/>
                <w:sz w:val="18"/>
                <w:szCs w:val="18"/>
                <w:lang w:val="en-US" w:eastAsia="zh-CN"/>
              </w:rPr>
            </w:pPr>
            <w:r>
              <w:rPr>
                <w:rFonts w:hint="eastAsia" w:ascii="仿宋_GB2312"/>
                <w:sz w:val="18"/>
                <w:szCs w:val="18"/>
                <w:lang w:val="en-US" w:eastAsia="zh-CN"/>
              </w:rPr>
              <w:t>98</w:t>
            </w:r>
          </w:p>
        </w:tc>
        <w:tc>
          <w:tcPr>
            <w:tcW w:w="5763" w:type="dxa"/>
            <w:gridSpan w:val="3"/>
            <w:vAlign w:val="center"/>
          </w:tcPr>
          <w:p>
            <w:pPr>
              <w:spacing w:line="240" w:lineRule="exact"/>
              <w:jc w:val="left"/>
              <w:rPr>
                <w:sz w:val="18"/>
                <w:szCs w:val="18"/>
              </w:rPr>
            </w:pPr>
            <w:r>
              <w:rPr>
                <w:rFonts w:hint="eastAsia" w:ascii="仿宋_GB2312"/>
                <w:sz w:val="18"/>
                <w:szCs w:val="18"/>
              </w:rPr>
              <w:t>评价等次：实际得分（S）≥90,优秀；90＞S≥80,良好；80＞S≥60,合格；S＜60，不合格。</w:t>
            </w:r>
          </w:p>
        </w:tc>
      </w:tr>
    </w:tbl>
    <w:p>
      <w:pPr>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w:panose1 w:val="020F0502020204030204"/>
    <w:charset w:val="00"/>
    <w:family w:val="swiss"/>
    <w:pitch w:val="default"/>
    <w:sig w:usb0="00000000" w:usb1="00000000" w:usb2="00000001" w:usb3="00000000" w:csb0="0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Lucida Sans">
    <w:panose1 w:val="020B0602030504020204"/>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88E"/>
    <w:rsid w:val="000E7504"/>
    <w:rsid w:val="000F3C49"/>
    <w:rsid w:val="00165FB6"/>
    <w:rsid w:val="00293022"/>
    <w:rsid w:val="002C7601"/>
    <w:rsid w:val="003C7E22"/>
    <w:rsid w:val="004D05CB"/>
    <w:rsid w:val="00555529"/>
    <w:rsid w:val="00587423"/>
    <w:rsid w:val="00625294"/>
    <w:rsid w:val="007209BD"/>
    <w:rsid w:val="00731461"/>
    <w:rsid w:val="00810C5C"/>
    <w:rsid w:val="009C3018"/>
    <w:rsid w:val="00C50AB1"/>
    <w:rsid w:val="00CC45F1"/>
    <w:rsid w:val="00E1179F"/>
    <w:rsid w:val="00EB588E"/>
    <w:rsid w:val="00F931CC"/>
    <w:rsid w:val="01743CE9"/>
    <w:rsid w:val="01FD5AB1"/>
    <w:rsid w:val="0A110419"/>
    <w:rsid w:val="14183A14"/>
    <w:rsid w:val="17BE045C"/>
    <w:rsid w:val="1A2569FF"/>
    <w:rsid w:val="1AE06DC5"/>
    <w:rsid w:val="20F05C8E"/>
    <w:rsid w:val="27A445C6"/>
    <w:rsid w:val="2ADA7EE5"/>
    <w:rsid w:val="2C08240F"/>
    <w:rsid w:val="2E033671"/>
    <w:rsid w:val="2F596F1A"/>
    <w:rsid w:val="315E7D50"/>
    <w:rsid w:val="34100C4D"/>
    <w:rsid w:val="34EA0072"/>
    <w:rsid w:val="3C6B1304"/>
    <w:rsid w:val="4180158D"/>
    <w:rsid w:val="429B0B98"/>
    <w:rsid w:val="42A33458"/>
    <w:rsid w:val="42DB1B0B"/>
    <w:rsid w:val="445E65AC"/>
    <w:rsid w:val="4E781438"/>
    <w:rsid w:val="551D36D3"/>
    <w:rsid w:val="5663250B"/>
    <w:rsid w:val="5BB35C8A"/>
    <w:rsid w:val="5BD2415D"/>
    <w:rsid w:val="5CD50A2F"/>
    <w:rsid w:val="5DD06984"/>
    <w:rsid w:val="60CB06FF"/>
    <w:rsid w:val="663A152D"/>
    <w:rsid w:val="6BFE1DFF"/>
    <w:rsid w:val="70B74FA8"/>
    <w:rsid w:val="716041A4"/>
    <w:rsid w:val="76F36507"/>
    <w:rsid w:val="77EE5C88"/>
    <w:rsid w:val="7C0A18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Layout w:type="fixed"/>
      <w:tblCellMar>
        <w:top w:w="0" w:type="dxa"/>
        <w:left w:w="108" w:type="dxa"/>
        <w:bottom w:w="0" w:type="dxa"/>
        <w:right w:w="108" w:type="dxa"/>
      </w:tblCellMar>
    </w:tblPr>
  </w:style>
  <w:style w:type="paragraph" w:customStyle="1" w:styleId="4">
    <w:name w:val="List Paragraph"/>
    <w:basedOn w:val="1"/>
    <w:qFormat/>
    <w:uiPriority w:val="0"/>
    <w:pPr>
      <w:ind w:firstLine="420" w:firstLineChars="200"/>
    </w:pPr>
    <w:rPr>
      <w:rFonts w:ascii="Calibri" w:hAnsi="Calibri" w:eastAsia="宋体" w:cs="Times New Roman"/>
      <w:szCs w:val="21"/>
    </w:rPr>
  </w:style>
  <w:style w:type="paragraph" w:customStyle="1" w:styleId="5">
    <w:name w:val="列出段落1"/>
    <w:basedOn w:val="1"/>
    <w:qFormat/>
    <w:uiPriority w:val="34"/>
    <w:pPr>
      <w:ind w:firstLine="420" w:firstLineChars="200"/>
    </w:pPr>
    <w:rPr>
      <w:rFonts w:asciiTheme="minorHAnsi" w:hAnsiTheme="minorHAnsi" w:eastAsiaTheme="minorEastAsia" w:cstheme="minorBidi"/>
      <w:sz w:val="21"/>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Micorosoft</Company>
  <Pages>2</Pages>
  <Words>137</Words>
  <Characters>787</Characters>
  <Lines>6</Lines>
  <Paragraphs>1</Paragraphs>
  <TotalTime>0</TotalTime>
  <ScaleCrop>false</ScaleCrop>
  <LinksUpToDate>false</LinksUpToDate>
  <CharactersWithSpaces>923</CharactersWithSpaces>
  <Application>WPS Office_11.1.0.8612_F1E327BC-269C-435d-A152-05C5408002CA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2019-05-13T06:31:00Z</dcterms:created>
  <dc:creator>Micorosoft</dc:creator>
  <cp:lastModifiedBy>Administrator</cp:lastModifiedBy>
  <dcterms:modified xsi:type="dcterms:W3CDTF">2021-03-30T01:45:56Z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