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autoSpaceDE/>
        <w:autoSpaceDN/>
        <w:bidi w:val="0"/>
        <w:adjustRightInd/>
        <w:snapToGrid/>
        <w:spacing w:line="570" w:lineRule="exact"/>
        <w:jc w:val="center"/>
        <w:textAlignment w:val="auto"/>
        <w:rPr>
          <w:rFonts w:hint="eastAsia" w:ascii="方正小标宋简体" w:hAnsi="黑体" w:eastAsia="方正小标宋简体"/>
          <w:spacing w:val="-20"/>
          <w:sz w:val="44"/>
          <w:szCs w:val="44"/>
          <w:lang w:val="en-US" w:eastAsia="zh-CN"/>
        </w:rPr>
      </w:pPr>
      <w:bookmarkStart w:id="0" w:name="_GoBack"/>
      <w:bookmarkEnd w:id="0"/>
      <w:r>
        <w:rPr>
          <w:rFonts w:hint="eastAsia" w:ascii="方正小标宋简体" w:hAnsi="黑体" w:eastAsia="方正小标宋简体"/>
          <w:spacing w:val="-20"/>
          <w:sz w:val="44"/>
          <w:szCs w:val="44"/>
          <w:lang w:val="en-US" w:eastAsia="zh-CN"/>
        </w:rPr>
        <w:t>富民县科学技术和工业信息化局</w:t>
      </w:r>
    </w:p>
    <w:p>
      <w:pPr>
        <w:keepNext w:val="0"/>
        <w:keepLines w:val="0"/>
        <w:pageBreakBefore w:val="0"/>
        <w:widowControl w:val="0"/>
        <w:kinsoku/>
        <w:wordWrap/>
        <w:overflowPunct/>
        <w:autoSpaceDE/>
        <w:autoSpaceDN/>
        <w:bidi w:val="0"/>
        <w:adjustRightInd/>
        <w:snapToGrid/>
        <w:spacing w:line="570" w:lineRule="exact"/>
        <w:jc w:val="center"/>
        <w:textAlignment w:val="auto"/>
        <w:rPr>
          <w:rFonts w:hint="eastAsia" w:ascii="方正小标宋简体" w:hAnsi="黑体" w:eastAsia="方正小标宋简体"/>
          <w:spacing w:val="-20"/>
          <w:sz w:val="44"/>
          <w:szCs w:val="44"/>
          <w:lang w:val="en-US" w:eastAsia="zh-CN"/>
        </w:rPr>
      </w:pPr>
      <w:r>
        <w:rPr>
          <w:rFonts w:hint="eastAsia" w:ascii="方正小标宋简体" w:hAnsi="黑体" w:eastAsia="方正小标宋简体"/>
          <w:spacing w:val="-20"/>
          <w:sz w:val="44"/>
          <w:szCs w:val="44"/>
          <w:lang w:val="en-US" w:eastAsia="zh-CN"/>
        </w:rPr>
        <w:t>2018年流通领域现代供应链体系建设试点项目</w:t>
      </w:r>
    </w:p>
    <w:p>
      <w:pPr>
        <w:keepNext w:val="0"/>
        <w:keepLines w:val="0"/>
        <w:pageBreakBefore w:val="0"/>
        <w:widowControl w:val="0"/>
        <w:kinsoku/>
        <w:wordWrap/>
        <w:overflowPunct/>
        <w:autoSpaceDE/>
        <w:autoSpaceDN/>
        <w:bidi w:val="0"/>
        <w:adjustRightInd/>
        <w:snapToGrid/>
        <w:spacing w:line="570" w:lineRule="exact"/>
        <w:jc w:val="center"/>
        <w:textAlignment w:val="auto"/>
        <w:rPr>
          <w:rFonts w:ascii="方正小标宋简体" w:eastAsia="方正小标宋简体"/>
          <w:sz w:val="44"/>
          <w:szCs w:val="44"/>
        </w:rPr>
      </w:pPr>
      <w:r>
        <w:rPr>
          <w:rFonts w:hint="eastAsia" w:ascii="方正小标宋简体" w:hAnsi="黑体" w:eastAsia="方正小标宋简体"/>
          <w:spacing w:val="-20"/>
          <w:sz w:val="44"/>
          <w:szCs w:val="44"/>
          <w:lang w:val="en-US" w:eastAsia="zh-CN"/>
        </w:rPr>
        <w:t>资金</w:t>
      </w:r>
      <w:r>
        <w:rPr>
          <w:rFonts w:hint="eastAsia" w:ascii="方正小标宋简体" w:eastAsia="方正小标宋简体"/>
          <w:sz w:val="44"/>
          <w:szCs w:val="44"/>
        </w:rPr>
        <w:t>支出绩效评价报告</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hint="eastAsia" w:ascii="黑体" w:eastAsia="黑体"/>
          <w:szCs w:val="32"/>
          <w:lang w:eastAsia="zh-CN"/>
        </w:rPr>
      </w:pP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黑体" w:eastAsia="黑体"/>
          <w:szCs w:val="32"/>
        </w:rPr>
      </w:pPr>
      <w:r>
        <w:rPr>
          <w:rFonts w:hint="eastAsia" w:ascii="黑体" w:eastAsia="黑体"/>
          <w:szCs w:val="32"/>
        </w:rPr>
        <w:t>一、项目基本情况</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hint="eastAsia" w:ascii="仿宋_GB2312" w:hAnsi="楷体"/>
          <w:szCs w:val="32"/>
        </w:rPr>
      </w:pPr>
      <w:r>
        <w:rPr>
          <w:rFonts w:hint="eastAsia" w:ascii="仿宋_GB2312" w:hAnsi="楷体"/>
          <w:szCs w:val="32"/>
        </w:rPr>
        <w:t>（一）项目概况。</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hint="eastAsia" w:ascii="仿宋_GB2312" w:hAnsi="楷体"/>
          <w:szCs w:val="32"/>
        </w:rPr>
      </w:pPr>
      <w:r>
        <w:rPr>
          <w:rFonts w:hint="eastAsia" w:ascii="仿宋_GB2312" w:hAnsi="楷体"/>
          <w:szCs w:val="32"/>
        </w:rPr>
        <w:t>1.立项背景及目的。2019年，富民县有1户企业——云南三江并流</w:t>
      </w:r>
      <w:r>
        <w:rPr>
          <w:rFonts w:hint="eastAsia" w:ascii="仿宋_GB2312" w:hAnsi="楷体"/>
          <w:szCs w:val="32"/>
          <w:lang w:eastAsia="zh-CN"/>
        </w:rPr>
        <w:t>农业科技</w:t>
      </w:r>
      <w:r>
        <w:rPr>
          <w:rFonts w:hint="eastAsia" w:ascii="仿宋_GB2312" w:hAnsi="楷体"/>
          <w:szCs w:val="32"/>
        </w:rPr>
        <w:t>股份有限公司参与昆明市流通领域现代供应链体系建设</w:t>
      </w:r>
      <w:r>
        <w:rPr>
          <w:rFonts w:hint="eastAsia" w:ascii="仿宋_GB2312" w:hAnsi="楷体"/>
          <w:szCs w:val="32"/>
          <w:lang w:eastAsia="zh-CN"/>
        </w:rPr>
        <w:t>试点</w:t>
      </w:r>
      <w:r>
        <w:rPr>
          <w:rFonts w:hint="eastAsia" w:ascii="仿宋_GB2312" w:hAnsi="楷体"/>
          <w:szCs w:val="32"/>
        </w:rPr>
        <w:t>项目申报</w:t>
      </w:r>
      <w:r>
        <w:rPr>
          <w:rFonts w:hint="eastAsia" w:ascii="仿宋_GB2312" w:hAnsi="楷体"/>
          <w:szCs w:val="32"/>
          <w:lang w:eastAsia="zh-CN"/>
        </w:rPr>
        <w:t>，</w:t>
      </w:r>
      <w:r>
        <w:rPr>
          <w:rFonts w:hint="eastAsia" w:ascii="仿宋_GB2312" w:hAnsi="楷体"/>
          <w:szCs w:val="32"/>
        </w:rPr>
        <w:t>获得</w:t>
      </w:r>
      <w:r>
        <w:rPr>
          <w:rFonts w:hint="eastAsia" w:ascii="仿宋_GB2312" w:hAnsi="楷体"/>
          <w:szCs w:val="32"/>
          <w:lang w:eastAsia="zh-CN"/>
        </w:rPr>
        <w:t>成功，成为</w:t>
      </w:r>
      <w:r>
        <w:rPr>
          <w:rFonts w:hint="eastAsia" w:ascii="仿宋_GB2312" w:hAnsi="楷体"/>
          <w:szCs w:val="32"/>
        </w:rPr>
        <w:t>昆明市</w:t>
      </w:r>
      <w:r>
        <w:rPr>
          <w:rFonts w:hint="eastAsia" w:ascii="仿宋_GB2312" w:hAnsi="楷体"/>
          <w:szCs w:val="32"/>
          <w:lang w:eastAsia="zh-CN"/>
        </w:rPr>
        <w:t>高原特色</w:t>
      </w:r>
      <w:r>
        <w:rPr>
          <w:rFonts w:hint="eastAsia" w:ascii="仿宋_GB2312" w:hAnsi="楷体"/>
          <w:szCs w:val="32"/>
        </w:rPr>
        <w:t>农产品</w:t>
      </w:r>
      <w:r>
        <w:rPr>
          <w:rFonts w:hint="eastAsia" w:ascii="仿宋_GB2312" w:hAnsi="楷体"/>
          <w:szCs w:val="32"/>
          <w:lang w:eastAsia="zh-CN"/>
        </w:rPr>
        <w:t>农业</w:t>
      </w:r>
      <w:r>
        <w:rPr>
          <w:rFonts w:hint="eastAsia" w:ascii="仿宋_GB2312" w:hAnsi="楷体"/>
          <w:szCs w:val="32"/>
        </w:rPr>
        <w:t>供应链</w:t>
      </w:r>
      <w:r>
        <w:rPr>
          <w:rFonts w:hint="eastAsia" w:ascii="仿宋_GB2312" w:hAnsi="楷体"/>
          <w:szCs w:val="32"/>
          <w:lang w:eastAsia="zh-CN"/>
        </w:rPr>
        <w:t>中的一员</w:t>
      </w:r>
      <w:r>
        <w:rPr>
          <w:rFonts w:hint="eastAsia" w:ascii="仿宋_GB2312" w:hAnsi="楷体"/>
          <w:szCs w:val="32"/>
        </w:rPr>
        <w:t>。</w:t>
      </w:r>
      <w:r>
        <w:rPr>
          <w:rFonts w:hint="eastAsia" w:ascii="仿宋_GB2312" w:hAnsi="楷体"/>
          <w:szCs w:val="32"/>
          <w:lang w:eastAsia="zh-CN"/>
        </w:rPr>
        <w:t>目的是夯实供应链发展基础，提升昆明市</w:t>
      </w:r>
      <w:r>
        <w:rPr>
          <w:rFonts w:hint="eastAsia" w:ascii="仿宋_GB2312" w:hAnsi="楷体"/>
          <w:szCs w:val="32"/>
        </w:rPr>
        <w:t>流通领域现代供应链</w:t>
      </w:r>
      <w:r>
        <w:rPr>
          <w:rFonts w:hint="eastAsia" w:ascii="仿宋_GB2312" w:hAnsi="楷体"/>
          <w:szCs w:val="32"/>
          <w:lang w:eastAsia="zh-CN"/>
        </w:rPr>
        <w:t>标准化、智能化、协同化、绿色化水平，提高流通供应链上下游协同效率，助力产业转型优化升级，推进流通领域供给侧结构性改革，培育一批具有示范带头作用的流通领域供应链示范企业，增强示范企业供应链竞争力，提升昆明市供应链创新水平。</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2.项目实施情况。经我局推荐，云南三江并流</w:t>
      </w:r>
      <w:r>
        <w:rPr>
          <w:rFonts w:hint="eastAsia" w:ascii="仿宋_GB2312" w:hAnsi="楷体"/>
          <w:szCs w:val="32"/>
          <w:lang w:eastAsia="zh-CN"/>
        </w:rPr>
        <w:t>农业科技</w:t>
      </w:r>
      <w:r>
        <w:rPr>
          <w:rFonts w:hint="eastAsia" w:ascii="仿宋_GB2312" w:hAnsi="楷体"/>
          <w:szCs w:val="32"/>
        </w:rPr>
        <w:t>股份有限公司参与昆明市流通领域现代供应链体系建设</w:t>
      </w:r>
      <w:r>
        <w:rPr>
          <w:rFonts w:hint="eastAsia" w:ascii="仿宋_GB2312" w:hAnsi="楷体"/>
          <w:szCs w:val="32"/>
          <w:lang w:eastAsia="zh-CN"/>
        </w:rPr>
        <w:t>试点</w:t>
      </w:r>
      <w:r>
        <w:rPr>
          <w:rFonts w:hint="eastAsia" w:ascii="仿宋_GB2312" w:hAnsi="楷体"/>
          <w:szCs w:val="32"/>
        </w:rPr>
        <w:t>项目申报工作。该项目由昆明市商务局组织实施</w:t>
      </w:r>
      <w:r>
        <w:rPr>
          <w:rFonts w:hint="eastAsia" w:ascii="仿宋_GB2312" w:hAnsi="楷体"/>
          <w:szCs w:val="32"/>
          <w:lang w:eastAsia="zh-CN"/>
        </w:rPr>
        <w:t>，</w:t>
      </w:r>
      <w:r>
        <w:rPr>
          <w:rFonts w:hint="eastAsia" w:ascii="仿宋_GB2312" w:hAnsi="楷体"/>
          <w:szCs w:val="32"/>
        </w:rPr>
        <w:t>成为昆明市</w:t>
      </w:r>
      <w:r>
        <w:rPr>
          <w:rFonts w:hint="eastAsia" w:ascii="仿宋_GB2312" w:hAnsi="楷体"/>
          <w:szCs w:val="32"/>
          <w:lang w:eastAsia="zh-CN"/>
        </w:rPr>
        <w:t>高原特色</w:t>
      </w:r>
      <w:r>
        <w:rPr>
          <w:rFonts w:hint="eastAsia" w:ascii="仿宋_GB2312" w:hAnsi="楷体"/>
          <w:szCs w:val="32"/>
        </w:rPr>
        <w:t>农产品</w:t>
      </w:r>
      <w:r>
        <w:rPr>
          <w:rFonts w:hint="eastAsia" w:ascii="仿宋_GB2312" w:hAnsi="楷体"/>
          <w:szCs w:val="32"/>
          <w:lang w:eastAsia="zh-CN"/>
        </w:rPr>
        <w:t>农业</w:t>
      </w:r>
      <w:r>
        <w:rPr>
          <w:rFonts w:hint="eastAsia" w:ascii="仿宋_GB2312" w:hAnsi="楷体"/>
          <w:szCs w:val="32"/>
        </w:rPr>
        <w:t>供应链链条企业。按照上级扶持政策要求，对企业给以资金补助。</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hint="eastAsia" w:ascii="仿宋_GB2312" w:hAnsi="楷体" w:eastAsia="仿宋_GB2312"/>
          <w:szCs w:val="32"/>
          <w:lang w:eastAsia="zh-CN"/>
        </w:rPr>
      </w:pPr>
      <w:r>
        <w:rPr>
          <w:rFonts w:hint="eastAsia" w:ascii="仿宋_GB2312" w:hAnsi="楷体"/>
          <w:szCs w:val="32"/>
        </w:rPr>
        <w:t>3.资金来源及使用情况。流通领域现代供应链建设</w:t>
      </w:r>
      <w:r>
        <w:rPr>
          <w:rFonts w:hint="eastAsia" w:ascii="仿宋_GB2312" w:hAnsi="楷体"/>
          <w:szCs w:val="32"/>
          <w:lang w:eastAsia="zh-CN"/>
        </w:rPr>
        <w:t>试点</w:t>
      </w:r>
      <w:r>
        <w:rPr>
          <w:rFonts w:hint="eastAsia" w:ascii="仿宋_GB2312" w:hAnsi="楷体"/>
          <w:szCs w:val="32"/>
        </w:rPr>
        <w:t>项目</w:t>
      </w:r>
      <w:r>
        <w:rPr>
          <w:rFonts w:hint="eastAsia" w:ascii="仿宋_GB2312" w:hAnsi="楷体"/>
          <w:szCs w:val="32"/>
          <w:lang w:eastAsia="zh-CN"/>
        </w:rPr>
        <w:t>专项</w:t>
      </w:r>
      <w:r>
        <w:rPr>
          <w:rFonts w:hint="eastAsia" w:ascii="仿宋_GB2312" w:hAnsi="楷体"/>
          <w:szCs w:val="32"/>
        </w:rPr>
        <w:t>资金，主要用于对本市进入供应链体系中的链条企业给予奖励。</w:t>
      </w:r>
      <w:r>
        <w:rPr>
          <w:rFonts w:hint="eastAsia" w:ascii="仿宋_GB2312" w:hAnsi="仿宋_GB2312" w:eastAsia="仿宋_GB2312" w:cs="仿宋_GB2312"/>
          <w:color w:val="auto"/>
          <w:sz w:val="32"/>
          <w:szCs w:val="32"/>
        </w:rPr>
        <w:t>补助资金到位后，由我局拨付相关企业</w:t>
      </w:r>
      <w:r>
        <w:rPr>
          <w:rFonts w:hint="eastAsia" w:ascii="仿宋_GB2312" w:hAnsi="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left"/>
        <w:textAlignment w:val="auto"/>
        <w:rPr>
          <w:rFonts w:ascii="仿宋_GB2312" w:hAnsi="楷体"/>
          <w:szCs w:val="32"/>
        </w:rPr>
      </w:pPr>
      <w:r>
        <w:rPr>
          <w:rFonts w:hint="eastAsia" w:ascii="仿宋_GB2312" w:hAnsi="楷体"/>
          <w:szCs w:val="32"/>
        </w:rPr>
        <w:t>4.组织及管理情况。该项目由昆明市商务局组织实施，我局配合并参与相关工作，</w:t>
      </w:r>
      <w:r>
        <w:rPr>
          <w:rFonts w:hint="eastAsia" w:ascii="仿宋_GB2312" w:hAnsi="仿宋_GB2312" w:eastAsia="仿宋_GB2312" w:cs="仿宋_GB2312"/>
          <w:sz w:val="32"/>
          <w:szCs w:val="32"/>
          <w:lang w:eastAsia="zh-CN"/>
        </w:rPr>
        <w:t>我局</w:t>
      </w:r>
      <w:r>
        <w:rPr>
          <w:rFonts w:hint="eastAsia" w:ascii="仿宋_GB2312" w:eastAsia="仿宋_GB2312"/>
          <w:sz w:val="32"/>
          <w:szCs w:val="32"/>
        </w:rPr>
        <w:t>工作人员及时掌握资金管理和使用情况，加强对资金使用的监督，为政策评价及政策调整提供依据，确保工作目标全面实现</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（二）绩效目标。</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1.总目标。建成昆明市流通领域现代供应链体系建设</w:t>
      </w:r>
      <w:r>
        <w:rPr>
          <w:rFonts w:hint="eastAsia" w:ascii="仿宋_GB2312" w:hAnsi="楷体"/>
          <w:szCs w:val="32"/>
          <w:lang w:eastAsia="zh-CN"/>
        </w:rPr>
        <w:t>试点</w:t>
      </w:r>
      <w:r>
        <w:rPr>
          <w:rFonts w:hint="eastAsia" w:ascii="仿宋_GB2312" w:hAnsi="楷体"/>
          <w:szCs w:val="32"/>
        </w:rPr>
        <w:t>项目并通过上级验收。</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2.年度目标。</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（1）产出目标。昆明市流通领域现代供应链体系建设</w:t>
      </w:r>
      <w:r>
        <w:rPr>
          <w:rFonts w:hint="eastAsia" w:ascii="仿宋_GB2312" w:hAnsi="楷体"/>
          <w:szCs w:val="32"/>
          <w:lang w:eastAsia="zh-CN"/>
        </w:rPr>
        <w:t>试点</w:t>
      </w:r>
      <w:r>
        <w:rPr>
          <w:rFonts w:hint="eastAsia" w:ascii="仿宋_GB2312" w:hAnsi="楷体"/>
          <w:szCs w:val="32"/>
        </w:rPr>
        <w:t>项目已经建成，并通过上级验收。</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（2）效果目标。云南三江并流</w:t>
      </w:r>
      <w:r>
        <w:rPr>
          <w:rFonts w:hint="eastAsia" w:ascii="仿宋_GB2312" w:hAnsi="楷体"/>
          <w:szCs w:val="32"/>
          <w:lang w:eastAsia="zh-CN"/>
        </w:rPr>
        <w:t>农业科技</w:t>
      </w:r>
      <w:r>
        <w:rPr>
          <w:rFonts w:hint="eastAsia" w:ascii="仿宋_GB2312" w:hAnsi="楷体"/>
          <w:szCs w:val="32"/>
        </w:rPr>
        <w:t>股份有限公司参与昆明市流通领域现代供应链体系建设</w:t>
      </w:r>
      <w:r>
        <w:rPr>
          <w:rFonts w:hint="eastAsia" w:ascii="仿宋_GB2312" w:hAnsi="楷体"/>
          <w:szCs w:val="32"/>
          <w:lang w:eastAsia="zh-CN"/>
        </w:rPr>
        <w:t>试点</w:t>
      </w:r>
      <w:r>
        <w:rPr>
          <w:rFonts w:hint="eastAsia" w:ascii="仿宋_GB2312" w:hAnsi="楷体"/>
          <w:szCs w:val="32"/>
        </w:rPr>
        <w:t>项目申报获得</w:t>
      </w:r>
      <w:r>
        <w:rPr>
          <w:rFonts w:hint="eastAsia" w:ascii="仿宋_GB2312" w:hAnsi="楷体"/>
          <w:szCs w:val="32"/>
          <w:lang w:eastAsia="zh-CN"/>
        </w:rPr>
        <w:t>成功，成为</w:t>
      </w:r>
      <w:r>
        <w:rPr>
          <w:rFonts w:hint="eastAsia" w:ascii="仿宋_GB2312" w:hAnsi="楷体"/>
          <w:szCs w:val="32"/>
        </w:rPr>
        <w:t>昆明市</w:t>
      </w:r>
      <w:r>
        <w:rPr>
          <w:rFonts w:hint="eastAsia" w:ascii="仿宋_GB2312" w:hAnsi="楷体"/>
          <w:szCs w:val="32"/>
          <w:lang w:eastAsia="zh-CN"/>
        </w:rPr>
        <w:t>高原特色</w:t>
      </w:r>
      <w:r>
        <w:rPr>
          <w:rFonts w:hint="eastAsia" w:ascii="仿宋_GB2312" w:hAnsi="楷体"/>
          <w:szCs w:val="32"/>
        </w:rPr>
        <w:t>农产品</w:t>
      </w:r>
      <w:r>
        <w:rPr>
          <w:rFonts w:hint="eastAsia" w:ascii="仿宋_GB2312" w:hAnsi="楷体"/>
          <w:szCs w:val="32"/>
          <w:lang w:eastAsia="zh-CN"/>
        </w:rPr>
        <w:t>农业</w:t>
      </w:r>
      <w:r>
        <w:rPr>
          <w:rFonts w:hint="eastAsia" w:ascii="仿宋_GB2312" w:hAnsi="楷体"/>
          <w:szCs w:val="32"/>
        </w:rPr>
        <w:t>供应链</w:t>
      </w:r>
      <w:r>
        <w:rPr>
          <w:rFonts w:hint="eastAsia" w:ascii="仿宋_GB2312" w:hAnsi="楷体"/>
          <w:szCs w:val="32"/>
          <w:lang w:eastAsia="zh-CN"/>
        </w:rPr>
        <w:t>中的链条企业。</w:t>
      </w:r>
      <w:r>
        <w:rPr>
          <w:rFonts w:hint="eastAsia" w:ascii="仿宋_GB2312" w:hAnsi="楷体"/>
          <w:szCs w:val="32"/>
        </w:rPr>
        <w:t>企业既获得了较好的经济效益，又获得很好的社会效益，稳定了就业岗位。</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黑体" w:hAnsi="黑体" w:eastAsia="黑体"/>
          <w:szCs w:val="32"/>
        </w:rPr>
      </w:pPr>
      <w:r>
        <w:rPr>
          <w:rFonts w:hint="eastAsia" w:ascii="黑体" w:hAnsi="黑体" w:eastAsia="黑体"/>
          <w:szCs w:val="32"/>
        </w:rPr>
        <w:t>二、绩效评价工作情况</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 w:val="24"/>
          <w:szCs w:val="24"/>
        </w:rPr>
      </w:pPr>
      <w:r>
        <w:rPr>
          <w:rFonts w:hint="eastAsia" w:ascii="仿宋_GB2312" w:hAnsi="楷体"/>
          <w:szCs w:val="32"/>
        </w:rPr>
        <w:t>（一）阐述的主要内容：</w:t>
      </w:r>
      <w:r>
        <w:rPr>
          <w:rFonts w:ascii="仿宋_GB2312" w:hAnsi="楷体"/>
          <w:sz w:val="24"/>
          <w:szCs w:val="24"/>
        </w:rPr>
        <w:t xml:space="preserve"> </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该项目由昆明市商务局直接组织实施。项目在实施过程中相关企业付出了巨大的努力，运作规范，较好完成了产出目标，实现经济效益、社会效益双丰收的效果。鼓励、引导企业参与流通领域现代供应链体系建设，可以促进企业提高服务质量，扩大经营规模，拉动地方经济增长。项目设置合理，对企业做大做强具有引导、激励作用。补助资金安排、项目实施的成本支出真实，控制有效。该资金扶持项目，主要用于对参与现代供应链体系建设的企业给予奖励。达到了预期的效果，对企业发挥了积极的引领作用。</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（二）绩效评价原则、评价方法</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 w:val="24"/>
          <w:szCs w:val="24"/>
        </w:rPr>
      </w:pPr>
      <w:r>
        <w:rPr>
          <w:rFonts w:hint="eastAsia" w:ascii="仿宋_GB2312" w:hAnsi="楷体"/>
          <w:szCs w:val="32"/>
        </w:rPr>
        <w:t>1.绩效评价原则。</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该项目绩效评价的原则科学规范，对项目达到的效果有严格、合理的界定；采用数据真实可靠，项目申报程序、评审体系公开公正，绩效关联度高。</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 w:val="24"/>
          <w:szCs w:val="24"/>
        </w:rPr>
      </w:pPr>
      <w:r>
        <w:rPr>
          <w:rFonts w:hint="eastAsia" w:ascii="仿宋_GB2312" w:hAnsi="楷体"/>
          <w:szCs w:val="32"/>
        </w:rPr>
        <w:t>2.绩效评价方法。</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采用的绩效评价方法科学合理，指标评价体系健全，数据采集、指标设定具有普遍性、代表性和科学性。</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黑体" w:hAnsi="黑体" w:eastAsia="黑体"/>
          <w:szCs w:val="32"/>
        </w:rPr>
      </w:pPr>
      <w:r>
        <w:rPr>
          <w:rFonts w:hint="eastAsia" w:ascii="黑体" w:hAnsi="黑体" w:eastAsia="黑体"/>
          <w:szCs w:val="32"/>
        </w:rPr>
        <w:t>三、评价结论</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仿宋"/>
          <w:szCs w:val="32"/>
        </w:rPr>
        <w:t>（一）评价结果。</w:t>
      </w:r>
      <w:r>
        <w:rPr>
          <w:rFonts w:hint="eastAsia" w:ascii="仿宋_GB2312" w:hAnsi="楷体"/>
          <w:szCs w:val="32"/>
        </w:rPr>
        <w:t>昆明市流通领域现代供应链体系建设</w:t>
      </w:r>
      <w:r>
        <w:rPr>
          <w:rFonts w:hint="eastAsia" w:ascii="仿宋_GB2312" w:hAnsi="楷体"/>
          <w:szCs w:val="32"/>
          <w:lang w:eastAsia="zh-CN"/>
        </w:rPr>
        <w:t>试点</w:t>
      </w:r>
      <w:r>
        <w:rPr>
          <w:rFonts w:hint="eastAsia" w:ascii="仿宋_GB2312" w:hAnsi="楷体"/>
          <w:szCs w:val="32"/>
        </w:rPr>
        <w:t>项目专项资金，设置科学合理，对流通领域上下游关联的企业支持引导作用大，财政资金杠杆作用显著，真正起到了抛砖引玉的效果。</w:t>
      </w:r>
    </w:p>
    <w:p>
      <w:pPr>
        <w:keepNext w:val="0"/>
        <w:keepLines w:val="0"/>
        <w:pageBreakBefore w:val="0"/>
        <w:widowControl w:val="0"/>
        <w:kinsoku/>
        <w:wordWrap/>
        <w:overflowPunct/>
        <w:autoSpaceDE/>
        <w:autoSpaceDN/>
        <w:bidi w:val="0"/>
        <w:adjustRightInd/>
        <w:snapToGrid/>
        <w:spacing w:line="570" w:lineRule="exact"/>
        <w:ind w:firstLine="640" w:firstLineChars="200"/>
        <w:textAlignment w:val="auto"/>
        <w:rPr>
          <w:rFonts w:ascii="仿宋_GB2312" w:hAnsi="华文宋体"/>
          <w:szCs w:val="32"/>
        </w:rPr>
      </w:pPr>
      <w:r>
        <w:rPr>
          <w:rFonts w:hint="eastAsia" w:ascii="仿宋_GB2312" w:hAnsi="仿宋"/>
          <w:szCs w:val="32"/>
        </w:rPr>
        <w:t>（二）主要绩效。</w:t>
      </w:r>
      <w:r>
        <w:rPr>
          <w:rFonts w:hint="eastAsia" w:ascii="仿宋_GB2312" w:hAnsi="华文宋体"/>
          <w:szCs w:val="32"/>
        </w:rPr>
        <w:t>一是通过流通领域现代供应链建设实现了农产品统一采购、统一物流、统一系统。二是通过流通领域现代供应链建设推动了链条企业综合成本降低；三是通过流通领域现代供应链建设推动了农产品食品安全体系建设；四是通过流通领域现代供应链建设推动了农产品全产业链的建设；五是通过流通领域现代供应链建设推动了绿色化物流。</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仿宋"/>
          <w:sz w:val="24"/>
          <w:szCs w:val="24"/>
        </w:rPr>
      </w:pPr>
      <w:r>
        <w:rPr>
          <w:rFonts w:hint="eastAsia" w:ascii="黑体" w:hAnsi="黑体" w:eastAsia="黑体"/>
          <w:szCs w:val="32"/>
        </w:rPr>
        <w:t>四、成本效益分析。</w:t>
      </w:r>
    </w:p>
    <w:p>
      <w:pPr>
        <w:keepNext w:val="0"/>
        <w:keepLines w:val="0"/>
        <w:pageBreakBefore w:val="0"/>
        <w:widowControl w:val="0"/>
        <w:kinsoku/>
        <w:wordWrap/>
        <w:overflowPunct/>
        <w:autoSpaceDE/>
        <w:autoSpaceDN/>
        <w:bidi w:val="0"/>
        <w:adjustRightInd/>
        <w:snapToGrid/>
        <w:spacing w:line="570" w:lineRule="exact"/>
        <w:ind w:firstLine="640" w:firstLineChars="200"/>
        <w:textAlignment w:val="auto"/>
        <w:rPr>
          <w:rFonts w:ascii="仿宋_GB2312" w:hAnsi="楷体"/>
          <w:szCs w:val="32"/>
        </w:rPr>
      </w:pPr>
      <w:r>
        <w:rPr>
          <w:rFonts w:hint="eastAsia" w:ascii="仿宋_GB2312" w:hAnsi="华文宋体"/>
          <w:szCs w:val="32"/>
        </w:rPr>
        <w:t>在供应链推进过程中，链条企业规模化集采集运，实现了所有采购的品类集中在上游仓库，通过供应链信息平台有效、合理的进行城市配送，使得所有企业在链条上联动；通过供应链的建设，实现了所有上下游企业通过供应链平台进行交易，减少了农产品交易的中间环节，实现了各家企业物流、人工成本的降低，提高了企业的自身收益；通过流通领域现代供应链建设推动、响应了省政府“三张牌”中“绿色食品牌”建设方向。为规范云南高原特色农产品流通过程、提高高原特色农产品质量，及巩固供应链下一步建设做出政策支撑。</w:t>
      </w:r>
      <w:r>
        <w:rPr>
          <w:rFonts w:hint="eastAsia" w:ascii="仿宋_GB2312" w:hAnsi="楷体"/>
          <w:szCs w:val="32"/>
        </w:rPr>
        <w:t>对支持商贸业和关联产业做大做强具有重要意义。该项资金用于对供应链链条企业，对发展成绩突出、贡献较大的企业给予扶持奖励。</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黑体" w:hAnsi="黑体" w:eastAsia="黑体"/>
          <w:szCs w:val="32"/>
        </w:rPr>
      </w:pPr>
      <w:r>
        <w:rPr>
          <w:rFonts w:hint="eastAsia" w:ascii="黑体" w:hAnsi="黑体" w:eastAsia="黑体"/>
          <w:szCs w:val="32"/>
        </w:rPr>
        <w:t>五、主要经验及做法、存在的问题和建议</w:t>
      </w:r>
    </w:p>
    <w:p>
      <w:pPr>
        <w:keepNext w:val="0"/>
        <w:keepLines w:val="0"/>
        <w:pageBreakBefore w:val="0"/>
        <w:widowControl w:val="0"/>
        <w:kinsoku/>
        <w:wordWrap/>
        <w:overflowPunct/>
        <w:topLinePunct/>
        <w:autoSpaceDE/>
        <w:autoSpaceDN/>
        <w:bidi w:val="0"/>
        <w:adjustRightInd/>
        <w:snapToGrid/>
        <w:spacing w:line="570" w:lineRule="exact"/>
        <w:ind w:firstLine="800" w:firstLineChars="250"/>
        <w:textAlignment w:val="auto"/>
        <w:rPr>
          <w:rFonts w:ascii="仿宋_GB2312" w:hAnsi="楷体"/>
          <w:szCs w:val="32"/>
        </w:rPr>
      </w:pPr>
      <w:r>
        <w:rPr>
          <w:rFonts w:hint="eastAsia" w:ascii="仿宋_GB2312" w:hAnsi="楷体"/>
          <w:szCs w:val="32"/>
        </w:rPr>
        <w:t>（一）主要经验及做法。严格按照项目资金申报条件认真研究、筛选，组织、推荐符合条件的相关企业积极申报，所申报的项目经过上级审核并且获得扶持补助资金后，在资金拨付前要对企业生产经营情况进行进一步的了解核查，确认无问题后，提请局党委会或局务会研究讨论，同意拨付后，及时通知相关企业到我局办理资金拨付手续。</w:t>
      </w:r>
    </w:p>
    <w:p>
      <w:pPr>
        <w:pStyle w:val="8"/>
        <w:keepNext w:val="0"/>
        <w:keepLines w:val="0"/>
        <w:pageBreakBefore w:val="0"/>
        <w:widowControl w:val="0"/>
        <w:kinsoku/>
        <w:wordWrap/>
        <w:overflowPunct/>
        <w:autoSpaceDE/>
        <w:autoSpaceDN/>
        <w:bidi w:val="0"/>
        <w:adjustRightInd/>
        <w:snapToGrid/>
        <w:spacing w:line="570" w:lineRule="exact"/>
        <w:ind w:firstLine="640"/>
        <w:textAlignment w:val="auto"/>
        <w:rPr>
          <w:rFonts w:ascii="仿宋_GB2312" w:hAnsi="宋体" w:eastAsia="仿宋_GB2312" w:cs="宋体"/>
          <w:color w:val="000000"/>
          <w:kern w:val="0"/>
          <w:sz w:val="32"/>
          <w:szCs w:val="32"/>
        </w:rPr>
      </w:pPr>
      <w:r>
        <w:rPr>
          <w:rFonts w:hint="eastAsia" w:ascii="仿宋_GB2312" w:hAnsi="楷体"/>
          <w:sz w:val="32"/>
          <w:szCs w:val="32"/>
        </w:rPr>
        <w:t>（二）存在的问题。</w:t>
      </w:r>
      <w:r>
        <w:rPr>
          <w:rFonts w:hint="eastAsia" w:ascii="仿宋_GB2312" w:hAnsi="楷体" w:eastAsia="仿宋_GB2312"/>
          <w:sz w:val="32"/>
          <w:szCs w:val="32"/>
        </w:rPr>
        <w:t>我县商贸业体量小，符合上级扶持奖励条件的企业少，向上争取资金难度大。</w:t>
      </w:r>
    </w:p>
    <w:p>
      <w:pPr>
        <w:pStyle w:val="8"/>
        <w:keepNext w:val="0"/>
        <w:keepLines w:val="0"/>
        <w:pageBreakBefore w:val="0"/>
        <w:widowControl w:val="0"/>
        <w:kinsoku/>
        <w:wordWrap/>
        <w:overflowPunct/>
        <w:autoSpaceDE/>
        <w:autoSpaceDN/>
        <w:bidi w:val="0"/>
        <w:adjustRightInd/>
        <w:snapToGrid/>
        <w:spacing w:line="570" w:lineRule="exact"/>
        <w:ind w:firstLine="640"/>
        <w:textAlignment w:val="auto"/>
        <w:rPr>
          <w:rFonts w:ascii="仿宋_GB2312" w:hAnsi="宋体" w:eastAsia="仿宋_GB2312" w:cs="宋体"/>
          <w:color w:val="000000"/>
          <w:kern w:val="0"/>
          <w:sz w:val="32"/>
          <w:szCs w:val="32"/>
        </w:rPr>
      </w:pPr>
      <w:r>
        <w:rPr>
          <w:rFonts w:hint="eastAsia" w:ascii="仿宋_GB2312" w:hAnsi="楷体"/>
          <w:sz w:val="32"/>
          <w:szCs w:val="32"/>
        </w:rPr>
        <w:t>（三）建议和改进措施。</w:t>
      </w:r>
      <w:r>
        <w:rPr>
          <w:rFonts w:hint="eastAsia" w:ascii="仿宋_GB2312" w:hAnsi="楷体" w:eastAsia="仿宋_GB2312"/>
          <w:sz w:val="32"/>
          <w:szCs w:val="32"/>
        </w:rPr>
        <w:t>建议加大商贸业扶持力度，</w:t>
      </w:r>
      <w:r>
        <w:rPr>
          <w:rFonts w:hint="eastAsia" w:ascii="仿宋_GB2312" w:hAnsi="宋体" w:eastAsia="仿宋_GB2312" w:cs="宋体"/>
          <w:color w:val="000000"/>
          <w:kern w:val="0"/>
          <w:sz w:val="32"/>
          <w:szCs w:val="32"/>
        </w:rPr>
        <w:t>我局将按照上级要求，督促项目实施单位专款专用，确保财政资金安全、高效运行。</w:t>
      </w:r>
    </w:p>
    <w:p>
      <w:pPr>
        <w:topLinePunct/>
        <w:spacing w:line="540" w:lineRule="exact"/>
        <w:ind w:firstLine="800" w:firstLineChars="250"/>
        <w:rPr>
          <w:rFonts w:ascii="仿宋_GB2312" w:hAnsi="楷体"/>
          <w:szCs w:val="32"/>
        </w:rPr>
      </w:pPr>
    </w:p>
    <w:p>
      <w:pPr>
        <w:topLinePunct/>
        <w:spacing w:line="540" w:lineRule="exact"/>
        <w:rPr>
          <w:rFonts w:ascii="仿宋_GB2312" w:hAnsi="楷体"/>
          <w:szCs w:val="32"/>
        </w:rPr>
      </w:pPr>
    </w:p>
    <w:p>
      <w:pPr>
        <w:topLinePunct/>
        <w:spacing w:line="540" w:lineRule="exact"/>
        <w:rPr>
          <w:rFonts w:ascii="仿宋_GB2312" w:hAnsi="楷体"/>
          <w:szCs w:val="32"/>
        </w:rPr>
      </w:pPr>
    </w:p>
    <w:p>
      <w:pPr>
        <w:topLinePunct/>
        <w:spacing w:line="540" w:lineRule="exact"/>
        <w:rPr>
          <w:rFonts w:ascii="仿宋_GB2312" w:hAnsi="楷体"/>
          <w:szCs w:val="32"/>
        </w:rPr>
      </w:pPr>
    </w:p>
    <w:tbl>
      <w:tblPr>
        <w:tblStyle w:val="4"/>
        <w:tblW w:w="9174" w:type="dxa"/>
        <w:jc w:val="center"/>
        <w:tblInd w:w="0" w:type="dxa"/>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Layout w:type="fixed"/>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Layout w:type="fixed"/>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default"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18</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4</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97</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jc w:val="both"/>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sectPr>
      <w:pgSz w:w="11906" w:h="16838"/>
      <w:pgMar w:top="2098" w:right="1587"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altName w:val="楷体_GB2312"/>
    <w:panose1 w:val="02010609060101010101"/>
    <w:charset w:val="86"/>
    <w:family w:val="modern"/>
    <w:pitch w:val="default"/>
    <w:sig w:usb0="00000000" w:usb1="00000000" w:usb2="00000016" w:usb3="00000000" w:csb0="00040001" w:csb1="00000000"/>
  </w:font>
  <w:font w:name="仿宋">
    <w:altName w:val="宋体"/>
    <w:panose1 w:val="02010609060101010101"/>
    <w:charset w:val="86"/>
    <w:family w:val="modern"/>
    <w:pitch w:val="default"/>
    <w:sig w:usb0="00000000" w:usb1="00000000" w:usb2="00000016" w:usb3="00000000" w:csb0="00040001" w:csb1="00000000"/>
  </w:font>
  <w:font w:name="华文宋体">
    <w:altName w:val="宋体"/>
    <w:panose1 w:val="02010600040101010101"/>
    <w:charset w:val="86"/>
    <w:family w:val="auto"/>
    <w:pitch w:val="default"/>
    <w:sig w:usb0="00000000" w:usb1="00000000" w:usb2="00000010" w:usb3="00000000" w:csb0="0004009F" w:csb1="00000000"/>
  </w:font>
  <w:font w:name="Lucida Sans">
    <w:panose1 w:val="020B0602030504020204"/>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657"/>
    <w:rsid w:val="000011DB"/>
    <w:rsid w:val="00016BBE"/>
    <w:rsid w:val="00042973"/>
    <w:rsid w:val="00071B44"/>
    <w:rsid w:val="00076B47"/>
    <w:rsid w:val="00082015"/>
    <w:rsid w:val="00097918"/>
    <w:rsid w:val="000A2E4C"/>
    <w:rsid w:val="000A3297"/>
    <w:rsid w:val="000C528B"/>
    <w:rsid w:val="000D34A9"/>
    <w:rsid w:val="000D37FE"/>
    <w:rsid w:val="000D6550"/>
    <w:rsid w:val="000F023D"/>
    <w:rsid w:val="000F16B4"/>
    <w:rsid w:val="001104B7"/>
    <w:rsid w:val="00110577"/>
    <w:rsid w:val="001232B4"/>
    <w:rsid w:val="00126EB1"/>
    <w:rsid w:val="00127A2F"/>
    <w:rsid w:val="00144A80"/>
    <w:rsid w:val="00175AAC"/>
    <w:rsid w:val="00177EDE"/>
    <w:rsid w:val="00197507"/>
    <w:rsid w:val="001A2571"/>
    <w:rsid w:val="001C5DCB"/>
    <w:rsid w:val="001E16AA"/>
    <w:rsid w:val="001E7EF7"/>
    <w:rsid w:val="001F7E57"/>
    <w:rsid w:val="00202BA9"/>
    <w:rsid w:val="00246DAD"/>
    <w:rsid w:val="00256205"/>
    <w:rsid w:val="0025715A"/>
    <w:rsid w:val="002C1657"/>
    <w:rsid w:val="002D1E50"/>
    <w:rsid w:val="002E3518"/>
    <w:rsid w:val="002E7588"/>
    <w:rsid w:val="002F2618"/>
    <w:rsid w:val="003033E4"/>
    <w:rsid w:val="00330E56"/>
    <w:rsid w:val="00341940"/>
    <w:rsid w:val="00364740"/>
    <w:rsid w:val="003777D5"/>
    <w:rsid w:val="00395EEC"/>
    <w:rsid w:val="003A7CF6"/>
    <w:rsid w:val="003C2470"/>
    <w:rsid w:val="003C4B37"/>
    <w:rsid w:val="003D7DDC"/>
    <w:rsid w:val="003E1CE8"/>
    <w:rsid w:val="00402260"/>
    <w:rsid w:val="004404E8"/>
    <w:rsid w:val="004925EC"/>
    <w:rsid w:val="004D37F4"/>
    <w:rsid w:val="004D79E4"/>
    <w:rsid w:val="004E1CFF"/>
    <w:rsid w:val="00513DE1"/>
    <w:rsid w:val="00514042"/>
    <w:rsid w:val="00514AF8"/>
    <w:rsid w:val="005334C7"/>
    <w:rsid w:val="00542932"/>
    <w:rsid w:val="0054621D"/>
    <w:rsid w:val="00557BBA"/>
    <w:rsid w:val="005800A0"/>
    <w:rsid w:val="0059730F"/>
    <w:rsid w:val="005A1B90"/>
    <w:rsid w:val="005B6DCE"/>
    <w:rsid w:val="005C4EBC"/>
    <w:rsid w:val="006020F2"/>
    <w:rsid w:val="006413D2"/>
    <w:rsid w:val="00683650"/>
    <w:rsid w:val="0068776A"/>
    <w:rsid w:val="006A4483"/>
    <w:rsid w:val="006A5D06"/>
    <w:rsid w:val="006B646E"/>
    <w:rsid w:val="006C69CD"/>
    <w:rsid w:val="006D4FFC"/>
    <w:rsid w:val="006E11EF"/>
    <w:rsid w:val="007363EF"/>
    <w:rsid w:val="00753D46"/>
    <w:rsid w:val="00790833"/>
    <w:rsid w:val="007A2AEE"/>
    <w:rsid w:val="007B15FD"/>
    <w:rsid w:val="007B3931"/>
    <w:rsid w:val="007C02A7"/>
    <w:rsid w:val="007E14F2"/>
    <w:rsid w:val="007F173D"/>
    <w:rsid w:val="008125C3"/>
    <w:rsid w:val="008200F2"/>
    <w:rsid w:val="00825412"/>
    <w:rsid w:val="00840F2A"/>
    <w:rsid w:val="008429E3"/>
    <w:rsid w:val="00856CA0"/>
    <w:rsid w:val="00885F8B"/>
    <w:rsid w:val="00886D40"/>
    <w:rsid w:val="00894909"/>
    <w:rsid w:val="008B6A1C"/>
    <w:rsid w:val="008C67AB"/>
    <w:rsid w:val="008C6C65"/>
    <w:rsid w:val="008D1B0B"/>
    <w:rsid w:val="008D6DE8"/>
    <w:rsid w:val="008E2C49"/>
    <w:rsid w:val="008F138C"/>
    <w:rsid w:val="009073BC"/>
    <w:rsid w:val="00907C08"/>
    <w:rsid w:val="00944CA9"/>
    <w:rsid w:val="00971170"/>
    <w:rsid w:val="00975905"/>
    <w:rsid w:val="00984532"/>
    <w:rsid w:val="00991C6C"/>
    <w:rsid w:val="00993DEC"/>
    <w:rsid w:val="009A651A"/>
    <w:rsid w:val="009A7C71"/>
    <w:rsid w:val="009D4A58"/>
    <w:rsid w:val="009E4F20"/>
    <w:rsid w:val="009E55C2"/>
    <w:rsid w:val="009F4947"/>
    <w:rsid w:val="00A30ABE"/>
    <w:rsid w:val="00A3508F"/>
    <w:rsid w:val="00A4158F"/>
    <w:rsid w:val="00A542DB"/>
    <w:rsid w:val="00A565B5"/>
    <w:rsid w:val="00A70BC2"/>
    <w:rsid w:val="00A70DDA"/>
    <w:rsid w:val="00A7249B"/>
    <w:rsid w:val="00A730D7"/>
    <w:rsid w:val="00A9345F"/>
    <w:rsid w:val="00AB6065"/>
    <w:rsid w:val="00AE1F31"/>
    <w:rsid w:val="00B031D5"/>
    <w:rsid w:val="00B160D5"/>
    <w:rsid w:val="00B26FA1"/>
    <w:rsid w:val="00B27C69"/>
    <w:rsid w:val="00B31D1D"/>
    <w:rsid w:val="00B42A1E"/>
    <w:rsid w:val="00B540B6"/>
    <w:rsid w:val="00B617F4"/>
    <w:rsid w:val="00B7368C"/>
    <w:rsid w:val="00B862A3"/>
    <w:rsid w:val="00B86D3A"/>
    <w:rsid w:val="00B928CB"/>
    <w:rsid w:val="00B93A62"/>
    <w:rsid w:val="00B97DF9"/>
    <w:rsid w:val="00BB1FDA"/>
    <w:rsid w:val="00BC2631"/>
    <w:rsid w:val="00BD385E"/>
    <w:rsid w:val="00C06540"/>
    <w:rsid w:val="00C16131"/>
    <w:rsid w:val="00C32664"/>
    <w:rsid w:val="00C358B4"/>
    <w:rsid w:val="00C4506B"/>
    <w:rsid w:val="00C451E7"/>
    <w:rsid w:val="00C6038E"/>
    <w:rsid w:val="00C62BE5"/>
    <w:rsid w:val="00CA7DE8"/>
    <w:rsid w:val="00CB05D8"/>
    <w:rsid w:val="00CB4443"/>
    <w:rsid w:val="00CC0BDC"/>
    <w:rsid w:val="00CC1F5D"/>
    <w:rsid w:val="00CD38F8"/>
    <w:rsid w:val="00CE5FAD"/>
    <w:rsid w:val="00CF6D07"/>
    <w:rsid w:val="00D263E1"/>
    <w:rsid w:val="00D35E26"/>
    <w:rsid w:val="00D61AE8"/>
    <w:rsid w:val="00D6271F"/>
    <w:rsid w:val="00D82A00"/>
    <w:rsid w:val="00D96A1D"/>
    <w:rsid w:val="00D96B8D"/>
    <w:rsid w:val="00DA414F"/>
    <w:rsid w:val="00DF5C8E"/>
    <w:rsid w:val="00DF6D3B"/>
    <w:rsid w:val="00E07C05"/>
    <w:rsid w:val="00E12EB5"/>
    <w:rsid w:val="00E14DB6"/>
    <w:rsid w:val="00E30C53"/>
    <w:rsid w:val="00E36750"/>
    <w:rsid w:val="00E46C33"/>
    <w:rsid w:val="00E560DB"/>
    <w:rsid w:val="00E6431D"/>
    <w:rsid w:val="00E6617E"/>
    <w:rsid w:val="00E77F13"/>
    <w:rsid w:val="00E92336"/>
    <w:rsid w:val="00EA0572"/>
    <w:rsid w:val="00EA3D4A"/>
    <w:rsid w:val="00EC6BA5"/>
    <w:rsid w:val="00EF279E"/>
    <w:rsid w:val="00F67FB6"/>
    <w:rsid w:val="00FA1C86"/>
    <w:rsid w:val="00FA1DD3"/>
    <w:rsid w:val="00FF23ED"/>
    <w:rsid w:val="00FF7E55"/>
    <w:rsid w:val="0B6F5EE1"/>
    <w:rsid w:val="0C3B4627"/>
    <w:rsid w:val="0CBE6713"/>
    <w:rsid w:val="17B73C9B"/>
    <w:rsid w:val="1C7945D8"/>
    <w:rsid w:val="2C6A578C"/>
    <w:rsid w:val="30ED4A34"/>
    <w:rsid w:val="556F385D"/>
    <w:rsid w:val="63F31C58"/>
    <w:rsid w:val="65F40EF7"/>
    <w:rsid w:val="707102BD"/>
    <w:rsid w:val="754404A4"/>
    <w:rsid w:val="77D30C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kern w:val="2"/>
      <w:sz w:val="18"/>
      <w:szCs w:val="18"/>
    </w:rPr>
  </w:style>
  <w:style w:type="character" w:customStyle="1" w:styleId="7">
    <w:name w:val="页脚 Char"/>
    <w:basedOn w:val="5"/>
    <w:link w:val="2"/>
    <w:semiHidden/>
    <w:qFormat/>
    <w:uiPriority w:val="99"/>
    <w:rPr>
      <w:kern w:val="2"/>
      <w:sz w:val="18"/>
      <w:szCs w:val="18"/>
    </w:rPr>
  </w:style>
  <w:style w:type="paragraph" w:customStyle="1" w:styleId="8">
    <w:name w:val="列出段落1"/>
    <w:basedOn w:val="1"/>
    <w:qFormat/>
    <w:uiPriority w:val="34"/>
    <w:pPr>
      <w:ind w:firstLine="420" w:firstLineChars="200"/>
    </w:pPr>
    <w:rPr>
      <w:rFonts w:asciiTheme="minorHAnsi" w:hAnsiTheme="minorHAnsi" w:eastAsiaTheme="minorEastAsia" w:cstheme="minorBidi"/>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9C36A7-0DA6-4A56-AD91-F46D332D3FC6}">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6</Pages>
  <Words>652</Words>
  <Characters>3719</Characters>
  <Lines>30</Lines>
  <Paragraphs>8</Paragraphs>
  <TotalTime>2</TotalTime>
  <ScaleCrop>false</ScaleCrop>
  <LinksUpToDate>false</LinksUpToDate>
  <CharactersWithSpaces>4363</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2020-04-15T01:29:00Z</dcterms:created>
  <dc:creator>张子明</dc:creator>
  <cp:lastModifiedBy>Administrator</cp:lastModifiedBy>
  <dcterms:modified xsi:type="dcterms:W3CDTF">2021-03-30T01:48:08Z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