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eastAsia="方正小标宋简体"/>
          <w:b/>
          <w:sz w:val="44"/>
          <w:szCs w:val="44"/>
          <w:lang w:eastAsia="zh-CN"/>
        </w:rPr>
      </w:pPr>
      <w:r>
        <w:rPr>
          <w:rFonts w:hint="eastAsia" w:ascii="方正小标宋简体" w:eastAsia="方正小标宋简体"/>
          <w:b/>
          <w:sz w:val="44"/>
          <w:szCs w:val="44"/>
          <w:lang w:eastAsia="zh-CN"/>
        </w:rPr>
        <w:t>富民县科学技术和工业信息化局</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r>
        <w:rPr>
          <w:rFonts w:hint="eastAsia" w:ascii="方正小标宋简体" w:eastAsia="方正小标宋简体"/>
          <w:b/>
          <w:sz w:val="44"/>
          <w:szCs w:val="44"/>
        </w:rPr>
        <w:t>2020年度中央外经贸资金促进外贸稳中提质项目专项资金</w:t>
      </w:r>
      <w:r>
        <w:rPr>
          <w:rFonts w:hint="eastAsia" w:ascii="方正小标宋简体" w:hAnsi="方正小标宋简体" w:eastAsia="方正小标宋简体" w:cs="方正小标宋简体"/>
          <w:b/>
          <w:bCs/>
          <w:sz w:val="44"/>
          <w:szCs w:val="44"/>
          <w:lang w:eastAsia="zh-CN"/>
        </w:rPr>
        <w:t>支出</w:t>
      </w:r>
      <w:r>
        <w:rPr>
          <w:rFonts w:hint="eastAsia" w:ascii="方正小标宋简体" w:hAnsi="方正小标宋简体" w:eastAsia="方正小标宋简体" w:cs="方正小标宋简体"/>
          <w:b/>
          <w:bCs/>
          <w:sz w:val="44"/>
          <w:szCs w:val="44"/>
        </w:rPr>
        <w:t>绩效评价报告</w:t>
      </w:r>
    </w:p>
    <w:p>
      <w:pPr>
        <w:keepNext w:val="0"/>
        <w:keepLines w:val="0"/>
        <w:pageBreakBefore w:val="0"/>
        <w:widowControl w:val="0"/>
        <w:kinsoku/>
        <w:wordWrap/>
        <w:overflowPunct/>
        <w:topLinePunct w:val="0"/>
        <w:autoSpaceDE/>
        <w:autoSpaceDN/>
        <w:bidi w:val="0"/>
        <w:adjustRightInd/>
        <w:snapToGrid/>
        <w:spacing w:line="570" w:lineRule="exact"/>
        <w:jc w:val="center"/>
        <w:textAlignment w:val="auto"/>
        <w:rPr>
          <w:rFonts w:hint="eastAsia" w:ascii="方正小标宋简体" w:hAnsi="方正小标宋简体" w:eastAsia="方正小标宋简体" w:cs="方正小标宋简体"/>
          <w:b/>
          <w:bCs/>
          <w:sz w:val="44"/>
          <w:szCs w:val="44"/>
        </w:rPr>
      </w:pP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黑体" w:hAnsi="黑体" w:eastAsia="黑体" w:cs="黑体"/>
          <w:sz w:val="32"/>
          <w:szCs w:val="32"/>
        </w:rPr>
      </w:pPr>
      <w:r>
        <w:rPr>
          <w:rFonts w:hint="eastAsia"/>
          <w:sz w:val="32"/>
          <w:szCs w:val="32"/>
        </w:rPr>
        <w:t xml:space="preserve">  </w:t>
      </w:r>
      <w:r>
        <w:rPr>
          <w:rFonts w:hint="eastAsia" w:ascii="黑体" w:hAnsi="黑体" w:eastAsia="黑体" w:cs="黑体"/>
          <w:sz w:val="32"/>
          <w:szCs w:val="32"/>
        </w:rPr>
        <w:t xml:space="preserve">  一、项目基本情况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（一）项目概况</w:t>
      </w:r>
    </w:p>
    <w:p>
      <w:pPr>
        <w:ind w:firstLine="640" w:firstLineChars="200"/>
        <w:jc w:val="left"/>
        <w:rPr>
          <w:rFonts w:hint="eastAsia" w:ascii="仿宋_GB2312" w:hAnsi="仿宋_GB2312" w:eastAsia="仿宋_GB2312" w:cs="仿宋_GB2312"/>
          <w:color w:val="000000"/>
          <w:kern w:val="0"/>
          <w:sz w:val="32"/>
          <w:szCs w:val="32"/>
        </w:rPr>
      </w:pPr>
      <w:r>
        <w:rPr>
          <w:rFonts w:hint="eastAsia" w:ascii="仿宋_GB2312" w:hAnsi="仿宋_GB2312" w:eastAsia="仿宋_GB2312" w:cs="仿宋_GB2312"/>
          <w:sz w:val="32"/>
          <w:szCs w:val="32"/>
        </w:rPr>
        <w:t>1.立项背景及目的。</w:t>
      </w:r>
      <w:r>
        <w:rPr>
          <w:rFonts w:hint="eastAsia" w:ascii="仿宋_GB2312" w:eastAsia="仿宋_GB2312"/>
          <w:sz w:val="32"/>
          <w:szCs w:val="32"/>
        </w:rPr>
        <w:t>根据《云南省财政厅关于批复中央外经贸资金促进外贸稳中提质项目的通知》（云财外［2020］8号）《昆明市财政局关于下达2020年外经贸专项资金促进外贸稳中提质等项目专项资金的通知》（昆财产业［2020］246号）文件要求。下达我县2020年中央外经贸资金促进外贸稳中提质项目资金468.5461万元。</w:t>
      </w:r>
      <w:r>
        <w:rPr>
          <w:rFonts w:hint="eastAsia" w:ascii="仿宋_GB2312" w:hAnsi="仿宋_GB2312" w:eastAsia="仿宋_GB2312" w:cs="仿宋_GB2312"/>
          <w:color w:val="000000"/>
          <w:kern w:val="0"/>
          <w:sz w:val="32"/>
          <w:szCs w:val="32"/>
        </w:rPr>
        <w:t>目的就是鼓励企业</w:t>
      </w:r>
      <w:r>
        <w:rPr>
          <w:rFonts w:hint="eastAsia" w:ascii="仿宋_GB2312" w:hAnsi="仿宋_GB2312" w:eastAsia="仿宋_GB2312" w:cs="仿宋_GB2312"/>
          <w:color w:val="000000"/>
          <w:kern w:val="0"/>
          <w:sz w:val="32"/>
          <w:szCs w:val="32"/>
          <w:lang w:eastAsia="zh-CN"/>
        </w:rPr>
        <w:t>积极拓展国际市场</w:t>
      </w:r>
      <w:r>
        <w:rPr>
          <w:rFonts w:hint="eastAsia" w:ascii="仿宋_GB2312" w:hAnsi="仿宋_GB2312" w:eastAsia="仿宋_GB2312" w:cs="仿宋_GB2312"/>
          <w:color w:val="000000"/>
          <w:kern w:val="0"/>
          <w:sz w:val="32"/>
          <w:szCs w:val="32"/>
        </w:rPr>
        <w:t>，促进</w:t>
      </w:r>
      <w:r>
        <w:rPr>
          <w:rFonts w:hint="eastAsia" w:ascii="仿宋_GB2312" w:hAnsi="仿宋_GB2312" w:eastAsia="仿宋_GB2312" w:cs="仿宋_GB2312"/>
          <w:color w:val="000000"/>
          <w:kern w:val="0"/>
          <w:sz w:val="32"/>
          <w:szCs w:val="32"/>
          <w:lang w:eastAsia="zh-CN"/>
        </w:rPr>
        <w:t>外贸</w:t>
      </w:r>
      <w:r>
        <w:rPr>
          <w:rFonts w:hint="eastAsia" w:ascii="仿宋_GB2312" w:hAnsi="仿宋_GB2312" w:eastAsia="仿宋_GB2312" w:cs="仿宋_GB2312"/>
          <w:color w:val="000000"/>
          <w:kern w:val="0"/>
          <w:sz w:val="32"/>
          <w:szCs w:val="32"/>
        </w:rPr>
        <w:t>工作的发展。</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kern w:val="0"/>
          <w:sz w:val="32"/>
          <w:szCs w:val="32"/>
        </w:rPr>
        <w:t>2.项目实施情况。</w:t>
      </w:r>
      <w:r>
        <w:rPr>
          <w:rFonts w:hint="eastAsia" w:ascii="仿宋_GB2312" w:hAnsi="仿宋_GB2312" w:eastAsia="仿宋_GB2312" w:cs="仿宋_GB2312"/>
          <w:sz w:val="32"/>
          <w:szCs w:val="32"/>
        </w:rPr>
        <w:t>按照上级文件精神，我局相关科室组织辖区内开展</w:t>
      </w:r>
      <w:r>
        <w:rPr>
          <w:rFonts w:hint="eastAsia" w:ascii="仿宋_GB2312" w:hAnsi="仿宋_GB2312" w:eastAsia="仿宋_GB2312" w:cs="仿宋_GB2312"/>
          <w:sz w:val="32"/>
          <w:szCs w:val="32"/>
          <w:lang w:eastAsia="zh-CN"/>
        </w:rPr>
        <w:t>进出口业务</w:t>
      </w:r>
      <w:r>
        <w:rPr>
          <w:rFonts w:hint="eastAsia" w:ascii="仿宋_GB2312" w:hAnsi="仿宋_GB2312" w:eastAsia="仿宋_GB2312" w:cs="仿宋_GB2312"/>
          <w:sz w:val="32"/>
          <w:szCs w:val="32"/>
        </w:rPr>
        <w:t>业绩较好的</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户企业——</w:t>
      </w:r>
      <w:r>
        <w:rPr>
          <w:rFonts w:hint="eastAsia" w:ascii="仿宋_GB2312" w:hAnsi="仿宋_GB2312" w:eastAsia="仿宋_GB2312" w:cs="仿宋_GB2312"/>
          <w:color w:val="auto"/>
          <w:sz w:val="32"/>
          <w:szCs w:val="32"/>
          <w:lang w:eastAsia="zh-CN"/>
        </w:rPr>
        <w:t>昆明东昊钛业有限公司、</w:t>
      </w:r>
      <w:r>
        <w:rPr>
          <w:rFonts w:hint="eastAsia" w:ascii="仿宋_GB2312" w:hAnsi="仿宋_GB2312" w:eastAsia="仿宋_GB2312" w:cs="仿宋_GB2312"/>
          <w:sz w:val="32"/>
          <w:szCs w:val="32"/>
          <w:lang w:eastAsia="zh-CN"/>
        </w:rPr>
        <w:t>昆明芬美意香料有限公司、昆明锐意金属材料有限公司、</w:t>
      </w:r>
      <w:r>
        <w:rPr>
          <w:rFonts w:hint="eastAsia" w:ascii="仿宋_GB2312" w:hAnsi="仿宋_GB2312" w:eastAsia="仿宋_GB2312" w:cs="仿宋_GB2312"/>
          <w:color w:val="auto"/>
          <w:sz w:val="32"/>
          <w:szCs w:val="32"/>
          <w:lang w:eastAsia="zh-CN"/>
        </w:rPr>
        <w:t>昆明市富民县进出口公司、云南环际农业科技开发有限公司</w:t>
      </w:r>
      <w:r>
        <w:rPr>
          <w:rFonts w:hint="eastAsia" w:ascii="仿宋_GB2312" w:hAnsi="仿宋_GB2312" w:eastAsia="仿宋_GB2312" w:cs="仿宋_GB2312"/>
          <w:sz w:val="32"/>
          <w:szCs w:val="32"/>
        </w:rPr>
        <w:t>进行申报。经上级审查，企业提供的材料真实有效，符合</w:t>
      </w:r>
      <w:r>
        <w:rPr>
          <w:rFonts w:hint="eastAsia" w:ascii="仿宋_GB2312" w:hAnsi="仿宋_GB2312" w:eastAsia="仿宋_GB2312" w:cs="仿宋_GB2312"/>
          <w:sz w:val="32"/>
          <w:szCs w:val="32"/>
          <w:lang w:eastAsia="zh-CN"/>
        </w:rPr>
        <w:t>中央外经贸</w:t>
      </w:r>
      <w:r>
        <w:rPr>
          <w:rFonts w:hint="eastAsia" w:ascii="仿宋_GB2312" w:hAnsi="仿宋_GB2312" w:eastAsia="仿宋_GB2312" w:cs="仿宋_GB2312"/>
          <w:sz w:val="32"/>
          <w:szCs w:val="32"/>
        </w:rPr>
        <w:t>资金</w:t>
      </w:r>
      <w:r>
        <w:rPr>
          <w:rFonts w:hint="eastAsia" w:ascii="仿宋_GB2312" w:hAnsi="仿宋_GB2312" w:eastAsia="仿宋_GB2312" w:cs="仿宋_GB2312"/>
          <w:sz w:val="32"/>
          <w:szCs w:val="32"/>
          <w:lang w:eastAsia="zh-CN"/>
        </w:rPr>
        <w:t>促进外贸稳中提质项目政策</w:t>
      </w:r>
      <w:r>
        <w:rPr>
          <w:rFonts w:hint="eastAsia" w:ascii="仿宋_GB2312" w:hAnsi="仿宋_GB2312" w:eastAsia="仿宋_GB2312" w:cs="仿宋_GB2312"/>
          <w:sz w:val="32"/>
          <w:szCs w:val="32"/>
        </w:rPr>
        <w:t>有关规定。</w:t>
      </w:r>
    </w:p>
    <w:p>
      <w:pPr>
        <w:ind w:firstLine="640" w:firstLineChars="200"/>
        <w:jc w:val="left"/>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3.资金来源及使用情况。</w:t>
      </w:r>
      <w:r>
        <w:rPr>
          <w:rFonts w:hint="eastAsia" w:ascii="仿宋_GB2312" w:eastAsia="仿宋_GB2312"/>
          <w:sz w:val="32"/>
          <w:szCs w:val="32"/>
        </w:rPr>
        <w:t>2020年中央外经贸资金促进外贸稳中提质项目资金468.5461万元管理及兑付流程规范，资金及时拨付到位。</w:t>
      </w:r>
      <w:r>
        <w:rPr>
          <w:rFonts w:hint="eastAsia" w:ascii="仿宋_GB2312" w:eastAsia="仿宋_GB2312"/>
          <w:sz w:val="32"/>
          <w:szCs w:val="32"/>
          <w:lang w:eastAsia="zh-CN"/>
        </w:rPr>
        <w:t>其中</w:t>
      </w:r>
      <w:r>
        <w:rPr>
          <w:rFonts w:hint="eastAsia" w:ascii="仿宋_GB2312" w:hAnsi="仿宋_GB2312" w:eastAsia="仿宋_GB2312" w:cs="仿宋_GB2312"/>
          <w:color w:val="auto"/>
          <w:sz w:val="32"/>
          <w:szCs w:val="32"/>
          <w:lang w:eastAsia="zh-CN"/>
        </w:rPr>
        <w:t>昆明东昊钛业有限公司</w:t>
      </w:r>
      <w:r>
        <w:rPr>
          <w:rFonts w:hint="eastAsia" w:ascii="仿宋_GB2312" w:hAnsi="仿宋_GB2312" w:eastAsia="仿宋_GB2312" w:cs="仿宋_GB2312"/>
          <w:color w:val="auto"/>
          <w:sz w:val="32"/>
          <w:szCs w:val="32"/>
          <w:lang w:val="en-US" w:eastAsia="zh-CN"/>
        </w:rPr>
        <w:t>6.7371万元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lang w:eastAsia="zh-CN"/>
        </w:rPr>
        <w:t>昆明芬美意香料有限公司</w:t>
      </w:r>
      <w:r>
        <w:rPr>
          <w:rFonts w:hint="eastAsia" w:ascii="仿宋_GB2312" w:hAnsi="仿宋_GB2312" w:eastAsia="仿宋_GB2312" w:cs="仿宋_GB2312"/>
          <w:sz w:val="32"/>
          <w:szCs w:val="32"/>
          <w:lang w:val="en-US" w:eastAsia="zh-CN"/>
        </w:rPr>
        <w:t>420万元</w:t>
      </w:r>
      <w:r>
        <w:rPr>
          <w:rFonts w:hint="eastAsia" w:ascii="仿宋_GB2312" w:hAnsi="仿宋_GB2312" w:eastAsia="仿宋_GB2312" w:cs="仿宋_GB2312"/>
          <w:sz w:val="32"/>
          <w:szCs w:val="32"/>
          <w:lang w:eastAsia="zh-CN"/>
        </w:rPr>
        <w:t>、昆明锐意金属材料有限公司</w:t>
      </w:r>
      <w:r>
        <w:rPr>
          <w:rFonts w:hint="eastAsia" w:ascii="仿宋_GB2312" w:hAnsi="仿宋_GB2312" w:eastAsia="仿宋_GB2312" w:cs="仿宋_GB2312"/>
          <w:sz w:val="32"/>
          <w:szCs w:val="32"/>
          <w:lang w:val="en-US" w:eastAsia="zh-CN"/>
        </w:rPr>
        <w:t>2.205万元</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color w:val="auto"/>
          <w:sz w:val="32"/>
          <w:szCs w:val="32"/>
          <w:lang w:eastAsia="zh-CN"/>
        </w:rPr>
        <w:t>昆明市富民县进出口公司</w:t>
      </w:r>
      <w:r>
        <w:rPr>
          <w:rFonts w:hint="eastAsia" w:ascii="仿宋_GB2312" w:hAnsi="仿宋_GB2312" w:eastAsia="仿宋_GB2312" w:cs="仿宋_GB2312"/>
          <w:color w:val="auto"/>
          <w:sz w:val="32"/>
          <w:szCs w:val="32"/>
          <w:lang w:val="en-US" w:eastAsia="zh-CN"/>
        </w:rPr>
        <w:t>33.8401万元</w:t>
      </w:r>
      <w:r>
        <w:rPr>
          <w:rFonts w:hint="eastAsia" w:ascii="仿宋_GB2312" w:hAnsi="仿宋_GB2312" w:eastAsia="仿宋_GB2312" w:cs="仿宋_GB2312"/>
          <w:color w:val="auto"/>
          <w:sz w:val="32"/>
          <w:szCs w:val="32"/>
          <w:lang w:eastAsia="zh-CN"/>
        </w:rPr>
        <w:t>、云南环际农业科技开发有限公司</w:t>
      </w:r>
      <w:r>
        <w:rPr>
          <w:rFonts w:hint="eastAsia" w:ascii="仿宋_GB2312" w:hAnsi="仿宋_GB2312" w:eastAsia="仿宋_GB2312" w:cs="仿宋_GB2312"/>
          <w:color w:val="auto"/>
          <w:sz w:val="32"/>
          <w:szCs w:val="32"/>
          <w:lang w:val="en-US" w:eastAsia="zh-CN"/>
        </w:rPr>
        <w:t>5.7639万元。</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r>
        <w:rPr>
          <w:rFonts w:hint="eastAsia" w:ascii="仿宋_GB2312" w:hAnsi="仿宋_GB2312" w:eastAsia="仿宋_GB2312" w:cs="仿宋_GB2312"/>
          <w:sz w:val="32"/>
          <w:szCs w:val="32"/>
          <w:lang w:eastAsia="zh-CN"/>
        </w:rPr>
        <w:t>根据昆明市的安排部署，我局</w:t>
      </w:r>
      <w:r>
        <w:rPr>
          <w:rFonts w:hint="eastAsia" w:ascii="仿宋_GB2312" w:eastAsia="仿宋_GB2312"/>
          <w:sz w:val="32"/>
          <w:szCs w:val="32"/>
        </w:rPr>
        <w:t>工作人员及时掌握资金管理和使用情况，加强对资金使用的监督，为政策评价及政策调整提供依据，确保工作目标全面实现</w:t>
      </w:r>
      <w:r>
        <w:rPr>
          <w:rFonts w:hint="eastAsia" w:ascii="仿宋_GB2312" w:hAnsi="仿宋_GB2312" w:eastAsia="仿宋_GB2312" w:cs="仿宋_GB2312"/>
          <w:sz w:val="32"/>
          <w:szCs w:val="32"/>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419" w:firstLineChars="131"/>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（二）绩效目标</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eastAsia="仿宋_GB2312"/>
          <w:sz w:val="32"/>
          <w:szCs w:val="32"/>
        </w:rPr>
      </w:pPr>
      <w:r>
        <w:rPr>
          <w:rFonts w:hint="eastAsia" w:ascii="仿宋_GB2312" w:hAnsi="仿宋_GB2312" w:eastAsia="仿宋_GB2312" w:cs="仿宋_GB2312"/>
          <w:sz w:val="32"/>
          <w:szCs w:val="32"/>
        </w:rPr>
        <w:t>1.总目标。</w:t>
      </w:r>
      <w:r>
        <w:rPr>
          <w:rFonts w:hint="eastAsia" w:ascii="仿宋_GB2312" w:eastAsia="仿宋_GB2312"/>
          <w:sz w:val="32"/>
          <w:szCs w:val="32"/>
        </w:rPr>
        <w:t>2020年中央外经贸资金促进外贸稳中提质项目资金拨付到我局后，我局严格按照企业申报、我局联合财政局进行审核、资金兑付、健全台账等原则，将资金及时全额拨付到企业提供的对公账户内。圆满完成上级下达的年度任务。</w:t>
      </w:r>
    </w:p>
    <w:p>
      <w:pPr>
        <w:pStyle w:val="4"/>
        <w:keepNext w:val="0"/>
        <w:keepLines w:val="0"/>
        <w:pageBreakBefore w:val="0"/>
        <w:widowControl w:val="0"/>
        <w:kinsoku/>
        <w:wordWrap/>
        <w:overflowPunct/>
        <w:topLinePunct w:val="0"/>
        <w:autoSpaceDE/>
        <w:autoSpaceDN/>
        <w:bidi w:val="0"/>
        <w:adjustRightInd/>
        <w:snapToGrid/>
        <w:spacing w:line="570" w:lineRule="exact"/>
        <w:ind w:left="0" w:leftChars="0"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2.年度目标。</w:t>
      </w:r>
    </w:p>
    <w:p>
      <w:pPr>
        <w:ind w:firstLine="640" w:firstLineChars="200"/>
        <w:jc w:val="left"/>
        <w:rPr>
          <w:rFonts w:hint="eastAsia" w:ascii="仿宋_GB2312" w:eastAsia="仿宋_GB2312"/>
          <w:sz w:val="32"/>
          <w:szCs w:val="32"/>
        </w:rPr>
      </w:pPr>
      <w:r>
        <w:rPr>
          <w:rFonts w:hint="eastAsia" w:ascii="仿宋_GB2312" w:hAnsi="仿宋_GB2312" w:eastAsia="仿宋_GB2312" w:cs="仿宋_GB2312"/>
          <w:sz w:val="32"/>
          <w:szCs w:val="32"/>
        </w:rPr>
        <w:t>（1）产出目标</w:t>
      </w:r>
      <w:r>
        <w:rPr>
          <w:rFonts w:hint="eastAsia" w:ascii="仿宋_GB2312" w:hAnsi="仿宋_GB2312" w:eastAsia="仿宋_GB2312" w:cs="仿宋_GB2312"/>
          <w:sz w:val="32"/>
          <w:szCs w:val="32"/>
          <w:lang w:eastAsia="zh-CN"/>
        </w:rPr>
        <w:t>。</w:t>
      </w:r>
      <w:r>
        <w:rPr>
          <w:rFonts w:hint="eastAsia" w:ascii="仿宋_GB2312" w:eastAsia="仿宋_GB2312"/>
          <w:sz w:val="32"/>
          <w:szCs w:val="32"/>
        </w:rPr>
        <w:t>年初预计全年完成外贸进出口总额8000万美元，因受疫情和红梅贸易摩擦等因素影响，全年完成外贸进出口总额6606万美元。</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（2）效果目标</w:t>
      </w:r>
      <w:r>
        <w:rPr>
          <w:rFonts w:hint="eastAsia" w:ascii="仿宋_GB2312" w:hAnsi="仿宋_GB2312" w:eastAsia="仿宋_GB2312" w:cs="仿宋_GB2312"/>
          <w:sz w:val="32"/>
          <w:szCs w:val="32"/>
          <w:lang w:eastAsia="zh-CN"/>
        </w:rPr>
        <w:t>。</w:t>
      </w:r>
      <w:r>
        <w:rPr>
          <w:rFonts w:hint="eastAsia" w:ascii="仿宋_GB2312" w:eastAsia="仿宋_GB2312"/>
          <w:sz w:val="32"/>
          <w:szCs w:val="32"/>
        </w:rPr>
        <w:t>企业经营状况有了较大改善，逐步恢复外贸进出口</w:t>
      </w:r>
      <w:r>
        <w:rPr>
          <w:rFonts w:hint="eastAsia" w:ascii="仿宋_GB2312" w:hAnsi="仿宋_GB2312" w:eastAsia="仿宋_GB2312" w:cs="仿宋_GB2312"/>
          <w:sz w:val="32"/>
          <w:szCs w:val="32"/>
          <w:lang w:val="en-US"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rPr>
      </w:pPr>
      <w:r>
        <w:rPr>
          <w:rFonts w:hint="eastAsia" w:ascii="黑体" w:hAnsi="黑体" w:eastAsia="黑体" w:cs="黑体"/>
          <w:color w:val="000000"/>
          <w:kern w:val="0"/>
          <w:sz w:val="32"/>
          <w:szCs w:val="32"/>
        </w:rPr>
        <w:t>二、绩效评价工作情况</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rPr>
      </w:pPr>
      <w:r>
        <w:rPr>
          <w:rFonts w:hint="eastAsia" w:ascii="仿宋_GB2312" w:hAnsi="仿宋_GB2312" w:eastAsia="仿宋_GB2312" w:cs="仿宋_GB2312"/>
          <w:color w:val="000000"/>
          <w:kern w:val="0"/>
          <w:sz w:val="32"/>
          <w:szCs w:val="32"/>
        </w:rPr>
        <w:t>（一）</w:t>
      </w:r>
      <w:r>
        <w:rPr>
          <w:rFonts w:hint="eastAsia" w:ascii="仿宋_GB2312" w:hAnsi="仿宋_GB2312" w:eastAsia="仿宋_GB2312" w:cs="仿宋_GB2312"/>
          <w:color w:val="000000"/>
          <w:kern w:val="0"/>
          <w:sz w:val="32"/>
          <w:szCs w:val="32"/>
          <w:lang w:eastAsia="zh-CN"/>
        </w:rPr>
        <w:t>主要内容：</w:t>
      </w:r>
      <w:r>
        <w:rPr>
          <w:rFonts w:hint="eastAsia" w:ascii="仿宋_GB2312" w:hAnsi="仿宋_GB2312" w:eastAsia="仿宋_GB2312" w:cs="仿宋_GB2312"/>
          <w:color w:val="000000"/>
          <w:kern w:val="0"/>
          <w:sz w:val="32"/>
          <w:szCs w:val="32"/>
        </w:rPr>
        <w:t>该项目从申报开始，</w:t>
      </w:r>
      <w:r>
        <w:rPr>
          <w:rFonts w:hint="eastAsia" w:ascii="仿宋_GB2312" w:hAnsi="仿宋_GB2312" w:eastAsia="仿宋_GB2312" w:cs="仿宋_GB2312"/>
          <w:color w:val="000000"/>
          <w:kern w:val="0"/>
          <w:sz w:val="32"/>
          <w:szCs w:val="32"/>
          <w:lang w:eastAsia="zh-CN"/>
        </w:rPr>
        <w:t>外贸出口业绩是根据昆明海关数据测算，</w:t>
      </w:r>
      <w:r>
        <w:rPr>
          <w:rFonts w:hint="eastAsia" w:ascii="仿宋_GB2312" w:hAnsi="仿宋_GB2312" w:eastAsia="仿宋_GB2312" w:cs="仿宋_GB2312"/>
          <w:color w:val="000000"/>
          <w:kern w:val="0"/>
          <w:sz w:val="32"/>
          <w:szCs w:val="32"/>
        </w:rPr>
        <w:t>由我局会同县财政局联合上报上级审核，上级审查后最终确定</w:t>
      </w:r>
      <w:r>
        <w:rPr>
          <w:rFonts w:hint="eastAsia" w:ascii="仿宋_GB2312" w:hAnsi="仿宋_GB2312" w:eastAsia="仿宋_GB2312" w:cs="仿宋_GB2312"/>
          <w:color w:val="000000"/>
          <w:kern w:val="0"/>
          <w:sz w:val="32"/>
          <w:szCs w:val="32"/>
          <w:lang w:eastAsia="zh-CN"/>
        </w:rPr>
        <w:t>所申报项目</w:t>
      </w:r>
      <w:r>
        <w:rPr>
          <w:rFonts w:hint="eastAsia" w:ascii="仿宋_GB2312" w:hAnsi="仿宋_GB2312" w:eastAsia="仿宋_GB2312" w:cs="仿宋_GB2312"/>
          <w:color w:val="000000"/>
          <w:kern w:val="0"/>
          <w:sz w:val="32"/>
          <w:szCs w:val="32"/>
        </w:rPr>
        <w:t>是否合规并给予扶持</w:t>
      </w:r>
      <w:r>
        <w:rPr>
          <w:rFonts w:hint="eastAsia" w:ascii="仿宋_GB2312" w:hAnsi="仿宋_GB2312" w:eastAsia="仿宋_GB2312" w:cs="仿宋_GB2312"/>
          <w:color w:val="000000"/>
          <w:kern w:val="0"/>
          <w:sz w:val="32"/>
          <w:szCs w:val="32"/>
          <w:lang w:eastAsia="zh-CN"/>
        </w:rPr>
        <w:t>奖励</w:t>
      </w:r>
      <w:r>
        <w:rPr>
          <w:rFonts w:hint="eastAsia" w:ascii="仿宋_GB2312" w:hAnsi="仿宋_GB2312" w:eastAsia="仿宋_GB2312" w:cs="仿宋_GB2312"/>
          <w:color w:val="000000"/>
          <w:kern w:val="0"/>
          <w:sz w:val="32"/>
          <w:szCs w:val="32"/>
        </w:rPr>
        <w:t>，整个项目管理过程比较规范。</w:t>
      </w:r>
      <w:r>
        <w:rPr>
          <w:rFonts w:hint="eastAsia" w:ascii="仿宋_GB2312" w:hAnsi="仿宋_GB2312" w:eastAsia="仿宋_GB2312" w:cs="仿宋_GB2312"/>
          <w:sz w:val="32"/>
          <w:szCs w:val="32"/>
        </w:rPr>
        <w:t>产出目标、效果目标均已经实现。预算编制合理，成本支出真实可靠，财政资金使用效率高，对企业进一步</w:t>
      </w:r>
      <w:r>
        <w:rPr>
          <w:rFonts w:hint="eastAsia" w:ascii="仿宋_GB2312" w:hAnsi="仿宋_GB2312" w:eastAsia="仿宋_GB2312" w:cs="仿宋_GB2312"/>
          <w:sz w:val="32"/>
          <w:szCs w:val="32"/>
          <w:lang w:eastAsia="zh-CN"/>
        </w:rPr>
        <w:t>开拓国际市场</w:t>
      </w:r>
      <w:r>
        <w:rPr>
          <w:rFonts w:hint="eastAsia" w:ascii="仿宋_GB2312" w:hAnsi="仿宋_GB2312" w:eastAsia="仿宋_GB2312" w:cs="仿宋_GB2312"/>
          <w:sz w:val="32"/>
          <w:szCs w:val="32"/>
        </w:rPr>
        <w:t>起到抛砖引玉的作用，效果十分显著。</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eastAsia="zh-CN"/>
        </w:rPr>
      </w:pPr>
      <w:r>
        <w:rPr>
          <w:rFonts w:hint="eastAsia" w:ascii="仿宋_GB2312" w:hAnsi="仿宋_GB2312" w:eastAsia="仿宋_GB2312" w:cs="仿宋_GB2312"/>
          <w:color w:val="000000"/>
          <w:kern w:val="0"/>
          <w:sz w:val="32"/>
          <w:szCs w:val="32"/>
          <w:lang w:eastAsia="zh-CN"/>
        </w:rPr>
        <w:t>（二）绩效评价原则、评价方法</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1.绩效评价原则。按照上级部门的规定和要求，该项目绩效评价遵循科学规范、公开公正的原则。</w:t>
      </w:r>
      <w:r>
        <w:rPr>
          <w:rFonts w:hint="eastAsia" w:ascii="仿宋_GB2312" w:hAnsi="仿宋_GB2312" w:eastAsia="仿宋_GB2312" w:cs="仿宋_GB2312"/>
          <w:sz w:val="32"/>
          <w:szCs w:val="32"/>
        </w:rPr>
        <w:t>在科工信局项目绩效跟踪工作领导小组的统一部署下，由商务科负责该项目绩效跟踪。</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2.绩效评价方法。评价方法科学、合理、实用。相关数据由昆明海关提供，真实有效。</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color w:val="000000"/>
          <w:kern w:val="0"/>
          <w:sz w:val="32"/>
          <w:szCs w:val="32"/>
          <w:lang w:val="en-US" w:eastAsia="zh-CN"/>
        </w:rPr>
      </w:pPr>
      <w:r>
        <w:rPr>
          <w:rFonts w:hint="eastAsia" w:ascii="黑体" w:hAnsi="黑体" w:eastAsia="黑体" w:cs="黑体"/>
          <w:color w:val="000000"/>
          <w:kern w:val="0"/>
          <w:sz w:val="32"/>
          <w:szCs w:val="32"/>
          <w:lang w:val="en-US" w:eastAsia="zh-CN"/>
        </w:rPr>
        <w:t>三、评价结论</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color w:val="000000"/>
          <w:kern w:val="0"/>
          <w:sz w:val="32"/>
          <w:szCs w:val="32"/>
          <w:lang w:val="en-US" w:eastAsia="zh-CN"/>
        </w:rPr>
      </w:pPr>
      <w:r>
        <w:rPr>
          <w:rFonts w:hint="eastAsia" w:ascii="仿宋_GB2312" w:hAnsi="仿宋_GB2312" w:eastAsia="仿宋_GB2312" w:cs="仿宋_GB2312"/>
          <w:color w:val="000000"/>
          <w:kern w:val="0"/>
          <w:sz w:val="32"/>
          <w:szCs w:val="32"/>
          <w:lang w:val="en-US" w:eastAsia="zh-CN"/>
        </w:rPr>
        <w:t>（一）评价结果。该项目为事后项目，企业开展进出口贸易成效显著，拓宽了国际市场销售渠道。</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color w:val="000000"/>
          <w:kern w:val="0"/>
          <w:sz w:val="32"/>
          <w:szCs w:val="32"/>
          <w:lang w:val="en-US" w:eastAsia="zh-CN"/>
        </w:rPr>
        <w:t>（二）主要绩效。</w:t>
      </w:r>
      <w:r>
        <w:rPr>
          <w:rFonts w:hint="eastAsia" w:ascii="仿宋_GB2312" w:hAnsi="仿宋_GB2312" w:eastAsia="仿宋_GB2312" w:cs="仿宋_GB2312"/>
          <w:sz w:val="32"/>
          <w:szCs w:val="32"/>
          <w:lang w:eastAsia="zh-CN"/>
        </w:rPr>
        <w:t>昆明芬美意香料有限公司得</w:t>
      </w:r>
      <w:r>
        <w:rPr>
          <w:rFonts w:hint="eastAsia" w:ascii="仿宋_GB2312" w:hAnsi="仿宋_GB2312" w:eastAsia="仿宋_GB2312" w:cs="仿宋_GB2312"/>
          <w:sz w:val="32"/>
          <w:szCs w:val="32"/>
        </w:rPr>
        <w:t>到</w:t>
      </w:r>
      <w:r>
        <w:rPr>
          <w:rFonts w:hint="eastAsia" w:ascii="仿宋_GB2312" w:eastAsia="仿宋_GB2312"/>
          <w:sz w:val="32"/>
          <w:szCs w:val="32"/>
        </w:rPr>
        <w:t>中央外经贸资金促进外贸稳中提质项目资金</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以此为契机，</w:t>
      </w:r>
      <w:r>
        <w:rPr>
          <w:rFonts w:hint="eastAsia" w:ascii="仿宋_GB2312" w:hAnsi="仿宋_GB2312" w:eastAsia="仿宋_GB2312" w:cs="仿宋_GB2312"/>
          <w:sz w:val="32"/>
          <w:szCs w:val="32"/>
          <w:lang w:val="en-US" w:eastAsia="zh-CN"/>
        </w:rPr>
        <w:t>企业积极开拓国际市场，大力开展跨境贸易；</w:t>
      </w:r>
      <w:r>
        <w:rPr>
          <w:rFonts w:hint="eastAsia" w:ascii="仿宋_GB2312" w:eastAsia="仿宋_GB2312"/>
          <w:sz w:val="32"/>
          <w:szCs w:val="32"/>
        </w:rPr>
        <w:t>促进周边村民就业，取得了较好的社会效益</w:t>
      </w:r>
      <w:r>
        <w:rPr>
          <w:rFonts w:hint="eastAsia" w:ascii="仿宋_GB2312" w:eastAsia="仿宋_GB2312"/>
          <w:sz w:val="32"/>
          <w:szCs w:val="32"/>
          <w:lang w:eastAsia="zh-CN"/>
        </w:rPr>
        <w:t>；</w:t>
      </w:r>
      <w:r>
        <w:rPr>
          <w:rFonts w:hint="eastAsia" w:ascii="仿宋_GB2312" w:eastAsia="仿宋_GB2312"/>
          <w:sz w:val="32"/>
          <w:szCs w:val="32"/>
        </w:rPr>
        <w:t>取得了较好的生态效益</w:t>
      </w:r>
      <w:r>
        <w:rPr>
          <w:rFonts w:hint="eastAsia" w:ascii="仿宋_GB2312" w:eastAsia="仿宋_GB2312"/>
          <w:sz w:val="32"/>
          <w:szCs w:val="32"/>
          <w:lang w:eastAsia="zh-CN"/>
        </w:rPr>
        <w:t>。</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四、成本效益分析。</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该项资金全部用于企业国际贸易部，对企业开拓国际市场、扩大对外贸易发挥了积极作用。对企业拓展销售渠道，避免国内竞争发挥至关重要的作用。</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黑体" w:hAnsi="黑体" w:eastAsia="黑体" w:cs="黑体"/>
          <w:sz w:val="32"/>
          <w:szCs w:val="32"/>
          <w:lang w:eastAsia="zh-CN"/>
        </w:rPr>
      </w:pPr>
      <w:r>
        <w:rPr>
          <w:rFonts w:hint="eastAsia" w:ascii="黑体" w:hAnsi="黑体" w:eastAsia="黑体" w:cs="黑体"/>
          <w:sz w:val="32"/>
          <w:szCs w:val="32"/>
          <w:lang w:eastAsia="zh-CN"/>
        </w:rPr>
        <w:t>五、主要经验及做法、存在的问题和建议</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（一）主要经验及做法。利用财政资金的杠杆和引导作用，鼓励企业积极走出去，开拓国际市场，开展跨境贸易。</w:t>
      </w:r>
    </w:p>
    <w:p>
      <w:pPr>
        <w:pStyle w:val="4"/>
        <w:keepNext w:val="0"/>
        <w:keepLines w:val="0"/>
        <w:pageBreakBefore w:val="0"/>
        <w:widowControl w:val="0"/>
        <w:kinsoku/>
        <w:wordWrap/>
        <w:overflowPunct/>
        <w:topLinePunct w:val="0"/>
        <w:autoSpaceDE/>
        <w:autoSpaceDN/>
        <w:bidi w:val="0"/>
        <w:adjustRightInd/>
        <w:snapToGrid/>
        <w:spacing w:line="570" w:lineRule="exact"/>
        <w:ind w:firstLine="64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（二）存在的问题。财政补助资金要求较高，受惠企业有限。</w:t>
      </w:r>
      <w:r>
        <w:rPr>
          <w:rFonts w:hint="eastAsia" w:ascii="仿宋_GB2312" w:eastAsia="仿宋_GB2312"/>
          <w:sz w:val="32"/>
          <w:szCs w:val="32"/>
        </w:rPr>
        <w:t>我局严格按照市级和县级相关部门对资金的安排及要求，及时、全额拨付资金到企业提供的对公账号。资金分配合理、、公平、公正，无滞留、闲置现象。由于受疫情和中美贸易摩擦等因素的影响，与年初指标有所偏离。</w:t>
      </w:r>
    </w:p>
    <w:p>
      <w:pPr>
        <w:keepNext w:val="0"/>
        <w:keepLines w:val="0"/>
        <w:pageBreakBefore w:val="0"/>
        <w:widowControl w:val="0"/>
        <w:kinsoku/>
        <w:wordWrap/>
        <w:overflowPunct/>
        <w:topLinePunct w:val="0"/>
        <w:autoSpaceDE/>
        <w:autoSpaceDN/>
        <w:bidi w:val="0"/>
        <w:adjustRightInd/>
        <w:snapToGrid/>
        <w:spacing w:line="570" w:lineRule="exact"/>
        <w:ind w:firstLine="640" w:firstLineChars="200"/>
        <w:jc w:val="left"/>
        <w:textAlignment w:val="auto"/>
        <w:rPr>
          <w:rFonts w:hint="eastAsia" w:ascii="仿宋_GB2312" w:eastAsia="仿宋_GB2312"/>
          <w:sz w:val="32"/>
          <w:szCs w:val="32"/>
        </w:rPr>
      </w:pPr>
      <w:r>
        <w:rPr>
          <w:rFonts w:hint="eastAsia" w:ascii="仿宋_GB2312" w:hAnsi="仿宋_GB2312" w:eastAsia="仿宋_GB2312" w:cs="仿宋_GB2312"/>
          <w:sz w:val="32"/>
          <w:szCs w:val="32"/>
          <w:lang w:eastAsia="zh-CN"/>
        </w:rPr>
        <w:t>（三）建议和改进措施。</w:t>
      </w:r>
      <w:r>
        <w:rPr>
          <w:rFonts w:hint="eastAsia" w:ascii="仿宋_GB2312" w:eastAsia="仿宋_GB2312"/>
          <w:sz w:val="32"/>
          <w:szCs w:val="32"/>
        </w:rPr>
        <w:t>我局将深入企业走访调研，加强与企业的对接，积极帮助企业申报更多上级奖励扶持资金，扩大企业外贸进出口。</w:t>
      </w:r>
    </w:p>
    <w:p>
      <w:pPr>
        <w:pStyle w:val="4"/>
        <w:ind w:firstLine="640"/>
        <w:rPr>
          <w:rFonts w:hint="eastAsia" w:ascii="仿宋_GB2312" w:hAnsi="仿宋_GB2312" w:eastAsia="仿宋_GB2312" w:cs="仿宋_GB2312"/>
          <w:sz w:val="32"/>
          <w:szCs w:val="32"/>
          <w:lang w:val="en-US" w:eastAsia="zh-CN"/>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tbl>
      <w:tblPr>
        <w:tblStyle w:val="2"/>
        <w:tblW w:w="9174" w:type="dxa"/>
        <w:jc w:val="center"/>
        <w:tblInd w:w="0" w:type="dxa"/>
        <w:tblLayout w:type="fixed"/>
        <w:tblCellMar>
          <w:top w:w="0" w:type="dxa"/>
          <w:left w:w="28" w:type="dxa"/>
          <w:bottom w:w="0" w:type="dxa"/>
          <w:right w:w="28" w:type="dxa"/>
        </w:tblCellMar>
      </w:tblPr>
      <w:tblGrid>
        <w:gridCol w:w="476"/>
        <w:gridCol w:w="640"/>
        <w:gridCol w:w="1173"/>
        <w:gridCol w:w="570"/>
        <w:gridCol w:w="552"/>
        <w:gridCol w:w="2268"/>
        <w:gridCol w:w="2126"/>
        <w:gridCol w:w="1369"/>
      </w:tblGrid>
      <w:tr>
        <w:tblPrEx>
          <w:tblLayout w:type="fixed"/>
          <w:tblCellMar>
            <w:top w:w="0" w:type="dxa"/>
            <w:left w:w="28" w:type="dxa"/>
            <w:bottom w:w="0" w:type="dxa"/>
            <w:right w:w="28" w:type="dxa"/>
          </w:tblCellMar>
        </w:tblPrEx>
        <w:trPr>
          <w:tblHeader/>
          <w:jc w:val="center"/>
        </w:trPr>
        <w:tc>
          <w:tcPr>
            <w:tcW w:w="9174" w:type="dxa"/>
            <w:gridSpan w:val="8"/>
            <w:tcBorders>
              <w:bottom w:val="single" w:color="auto" w:sz="4" w:space="0"/>
            </w:tcBorders>
            <w:tcMar>
              <w:top w:w="10" w:type="dxa"/>
              <w:left w:w="10" w:type="dxa"/>
              <w:bottom w:w="0" w:type="dxa"/>
              <w:right w:w="10" w:type="dxa"/>
            </w:tcMar>
            <w:vAlign w:val="center"/>
          </w:tcPr>
          <w:p>
            <w:pPr>
              <w:spacing w:afterLines="50"/>
              <w:jc w:val="center"/>
              <w:rPr>
                <w:rFonts w:ascii="黑体" w:eastAsia="黑体"/>
                <w:bCs/>
                <w:sz w:val="36"/>
                <w:szCs w:val="36"/>
              </w:rPr>
            </w:pPr>
            <w:r>
              <w:rPr>
                <w:rFonts w:ascii="黑体" w:eastAsia="黑体"/>
                <w:bCs/>
                <w:sz w:val="36"/>
                <w:szCs w:val="36"/>
              </w:rPr>
              <w:t>20</w:t>
            </w:r>
            <w:r>
              <w:rPr>
                <w:rFonts w:hint="eastAsia" w:ascii="黑体" w:eastAsia="黑体"/>
                <w:bCs/>
                <w:sz w:val="36"/>
                <w:szCs w:val="36"/>
              </w:rPr>
              <w:t>20年项目支出绩效自评指标评分表</w:t>
            </w:r>
          </w:p>
          <w:p>
            <w:pPr>
              <w:spacing w:afterLines="50"/>
              <w:jc w:val="center"/>
              <w:rPr>
                <w:rFonts w:ascii="黑体" w:eastAsia="黑体"/>
                <w:b/>
                <w:bCs/>
                <w:sz w:val="18"/>
                <w:szCs w:val="18"/>
              </w:rPr>
            </w:pPr>
          </w:p>
        </w:tc>
      </w:tr>
      <w:tr>
        <w:tblPrEx>
          <w:tblLayout w:type="fixed"/>
          <w:tblCellMar>
            <w:top w:w="0" w:type="dxa"/>
            <w:left w:w="28" w:type="dxa"/>
            <w:bottom w:w="0" w:type="dxa"/>
            <w:right w:w="28" w:type="dxa"/>
          </w:tblCellMar>
        </w:tblPrEx>
        <w:trPr>
          <w:trHeight w:val="703" w:hRule="atLeast"/>
          <w:tblHeader/>
          <w:jc w:val="center"/>
        </w:trPr>
        <w:tc>
          <w:tcPr>
            <w:tcW w:w="476"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一级</w:t>
            </w:r>
            <w:r>
              <w:rPr>
                <w:bCs/>
                <w:sz w:val="21"/>
                <w:szCs w:val="21"/>
              </w:rPr>
              <w:br w:type="textWrapping"/>
            </w:r>
            <w:r>
              <w:rPr>
                <w:rFonts w:hint="eastAsia"/>
                <w:bCs/>
                <w:sz w:val="21"/>
                <w:szCs w:val="21"/>
              </w:rPr>
              <w:t>指标</w:t>
            </w:r>
          </w:p>
        </w:tc>
        <w:tc>
          <w:tcPr>
            <w:tcW w:w="64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二级</w:t>
            </w:r>
          </w:p>
          <w:p>
            <w:pPr>
              <w:jc w:val="center"/>
              <w:rPr>
                <w:bCs/>
                <w:sz w:val="21"/>
                <w:szCs w:val="21"/>
              </w:rPr>
            </w:pPr>
            <w:r>
              <w:rPr>
                <w:rFonts w:hint="eastAsia"/>
                <w:bCs/>
                <w:sz w:val="21"/>
                <w:szCs w:val="21"/>
              </w:rPr>
              <w:t>指标</w:t>
            </w:r>
          </w:p>
        </w:tc>
        <w:tc>
          <w:tcPr>
            <w:tcW w:w="1173"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三级</w:t>
            </w:r>
          </w:p>
          <w:p>
            <w:pPr>
              <w:jc w:val="center"/>
              <w:rPr>
                <w:bCs/>
                <w:sz w:val="21"/>
                <w:szCs w:val="21"/>
              </w:rPr>
            </w:pPr>
            <w:r>
              <w:rPr>
                <w:rFonts w:hint="eastAsia"/>
                <w:bCs/>
                <w:sz w:val="21"/>
                <w:szCs w:val="21"/>
              </w:rPr>
              <w:t>指标</w:t>
            </w:r>
          </w:p>
        </w:tc>
        <w:tc>
          <w:tcPr>
            <w:tcW w:w="570"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分值</w:t>
            </w:r>
          </w:p>
        </w:tc>
        <w:tc>
          <w:tcPr>
            <w:tcW w:w="552" w:type="dxa"/>
            <w:tcBorders>
              <w:top w:val="single" w:color="auto" w:sz="4" w:space="0"/>
              <w:left w:val="single" w:color="auto" w:sz="4" w:space="0"/>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得分</w:t>
            </w:r>
          </w:p>
        </w:tc>
        <w:tc>
          <w:tcPr>
            <w:tcW w:w="2268" w:type="dxa"/>
            <w:tcBorders>
              <w:top w:val="single" w:color="auto" w:sz="4" w:space="0"/>
              <w:left w:val="single" w:color="auto" w:sz="4" w:space="0"/>
              <w:bottom w:val="single" w:color="auto" w:sz="4" w:space="0"/>
              <w:right w:val="single" w:color="auto" w:sz="4" w:space="0"/>
            </w:tcBorders>
            <w:vAlign w:val="center"/>
          </w:tcPr>
          <w:p>
            <w:pPr>
              <w:jc w:val="center"/>
              <w:rPr>
                <w:bCs/>
                <w:sz w:val="21"/>
                <w:szCs w:val="21"/>
              </w:rPr>
            </w:pPr>
            <w:r>
              <w:rPr>
                <w:rFonts w:hint="eastAsia"/>
                <w:bCs/>
                <w:sz w:val="21"/>
                <w:szCs w:val="21"/>
              </w:rPr>
              <w:t>指标解释</w:t>
            </w:r>
          </w:p>
        </w:tc>
        <w:tc>
          <w:tcPr>
            <w:tcW w:w="2126" w:type="dxa"/>
            <w:tcBorders>
              <w:top w:val="single" w:color="auto" w:sz="4" w:space="0"/>
              <w:left w:val="nil"/>
              <w:bottom w:val="single" w:color="auto" w:sz="4" w:space="0"/>
              <w:right w:val="single" w:color="auto" w:sz="4" w:space="0"/>
            </w:tcBorders>
            <w:tcMar>
              <w:top w:w="10" w:type="dxa"/>
              <w:left w:w="10" w:type="dxa"/>
              <w:bottom w:w="0" w:type="dxa"/>
              <w:right w:w="10" w:type="dxa"/>
            </w:tcMar>
            <w:vAlign w:val="center"/>
          </w:tcPr>
          <w:p>
            <w:pPr>
              <w:jc w:val="center"/>
              <w:rPr>
                <w:bCs/>
                <w:sz w:val="21"/>
                <w:szCs w:val="21"/>
              </w:rPr>
            </w:pPr>
            <w:r>
              <w:rPr>
                <w:rFonts w:hint="eastAsia"/>
                <w:bCs/>
                <w:sz w:val="21"/>
                <w:szCs w:val="21"/>
              </w:rPr>
              <w:t>指标评分细则</w:t>
            </w:r>
          </w:p>
        </w:tc>
        <w:tc>
          <w:tcPr>
            <w:tcW w:w="1369" w:type="dxa"/>
            <w:tcBorders>
              <w:top w:val="single" w:color="auto" w:sz="4" w:space="0"/>
              <w:left w:val="nil"/>
              <w:bottom w:val="single" w:color="auto" w:sz="4" w:space="0"/>
              <w:right w:val="single" w:color="auto" w:sz="4" w:space="0"/>
            </w:tcBorders>
            <w:vAlign w:val="center"/>
          </w:tcPr>
          <w:p>
            <w:pPr>
              <w:jc w:val="center"/>
              <w:rPr>
                <w:bCs/>
                <w:sz w:val="21"/>
                <w:szCs w:val="21"/>
              </w:rPr>
            </w:pPr>
            <w:r>
              <w:rPr>
                <w:rFonts w:hint="eastAsia"/>
                <w:bCs/>
                <w:sz w:val="21"/>
                <w:szCs w:val="21"/>
              </w:rPr>
              <w:t>数据来源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 w:hRule="atLeast"/>
          <w:jc w:val="center"/>
        </w:trPr>
        <w:tc>
          <w:tcPr>
            <w:tcW w:w="476" w:type="dxa"/>
            <w:vMerge w:val="restart"/>
            <w:textDirection w:val="tbRlV"/>
            <w:vAlign w:val="bottom"/>
          </w:tcPr>
          <w:p>
            <w:pPr>
              <w:spacing w:line="240" w:lineRule="exact"/>
              <w:ind w:left="113" w:right="113"/>
              <w:jc w:val="center"/>
              <w:rPr>
                <w:rFonts w:ascii="仿宋_GB2312"/>
                <w:sz w:val="15"/>
                <w:szCs w:val="15"/>
              </w:rPr>
            </w:pPr>
            <w:r>
              <w:rPr>
                <w:rFonts w:hint="eastAsia" w:ascii="仿宋_GB2312"/>
                <w:sz w:val="15"/>
                <w:szCs w:val="15"/>
              </w:rPr>
              <w:t>一、项目决策（20分）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1项目立项(10)</w:t>
            </w:r>
          </w:p>
        </w:tc>
        <w:tc>
          <w:tcPr>
            <w:tcW w:w="1173" w:type="dxa"/>
            <w:vAlign w:val="center"/>
          </w:tcPr>
          <w:p>
            <w:pPr>
              <w:spacing w:line="240" w:lineRule="exact"/>
              <w:rPr>
                <w:rFonts w:ascii="仿宋_GB2312"/>
                <w:sz w:val="15"/>
                <w:szCs w:val="15"/>
              </w:rPr>
            </w:pPr>
            <w:r>
              <w:rPr>
                <w:rFonts w:hint="eastAsia" w:ascii="仿宋_GB2312"/>
                <w:sz w:val="15"/>
                <w:szCs w:val="15"/>
              </w:rPr>
              <w:t>1.与部门中长期规划目标适应性。</w:t>
            </w:r>
          </w:p>
        </w:tc>
        <w:tc>
          <w:tcPr>
            <w:tcW w:w="570" w:type="dxa"/>
            <w:vAlign w:val="center"/>
          </w:tcPr>
          <w:p>
            <w:pPr>
              <w:spacing w:line="240" w:lineRule="exact"/>
              <w:jc w:val="center"/>
              <w:rPr>
                <w:rFonts w:ascii="仿宋_GB2312"/>
                <w:sz w:val="18"/>
                <w:szCs w:val="18"/>
              </w:rPr>
            </w:pPr>
            <w:r>
              <w:rPr>
                <w:rFonts w:hint="eastAsia" w:ascii="仿宋_GB2312"/>
                <w:sz w:val="18"/>
                <w:szCs w:val="18"/>
              </w:rPr>
              <w:t>4</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4</w:t>
            </w:r>
          </w:p>
        </w:tc>
        <w:tc>
          <w:tcPr>
            <w:tcW w:w="2268" w:type="dxa"/>
            <w:vAlign w:val="center"/>
          </w:tcPr>
          <w:p>
            <w:pPr>
              <w:spacing w:line="240" w:lineRule="exact"/>
              <w:rPr>
                <w:rFonts w:ascii="仿宋_GB2312"/>
                <w:sz w:val="15"/>
                <w:szCs w:val="15"/>
              </w:rPr>
            </w:pPr>
            <w:r>
              <w:rPr>
                <w:rFonts w:hint="eastAsia" w:ascii="仿宋_GB2312"/>
                <w:sz w:val="15"/>
                <w:szCs w:val="15"/>
              </w:rPr>
              <w:t>考察项目与部门中长期目标是否匹配。</w:t>
            </w:r>
          </w:p>
        </w:tc>
        <w:tc>
          <w:tcPr>
            <w:tcW w:w="2126" w:type="dxa"/>
            <w:vAlign w:val="center"/>
          </w:tcPr>
          <w:p>
            <w:pPr>
              <w:spacing w:line="240" w:lineRule="exact"/>
              <w:rPr>
                <w:rFonts w:ascii="仿宋_GB2312"/>
                <w:sz w:val="15"/>
                <w:szCs w:val="15"/>
              </w:rPr>
            </w:pPr>
            <w:r>
              <w:rPr>
                <w:rFonts w:hint="eastAsia" w:ascii="仿宋_GB2312"/>
                <w:sz w:val="15"/>
                <w:szCs w:val="15"/>
              </w:rPr>
              <w:t>①部门年度工作目标是否明确设定，得2分；②年度工作目标与部门中长期规划目标一致，得2分。</w:t>
            </w:r>
          </w:p>
        </w:tc>
        <w:tc>
          <w:tcPr>
            <w:tcW w:w="1369" w:type="dxa"/>
            <w:vAlign w:val="center"/>
          </w:tcPr>
          <w:p>
            <w:pPr>
              <w:spacing w:line="240" w:lineRule="exact"/>
              <w:rPr>
                <w:rFonts w:ascii="仿宋_GB2312"/>
                <w:sz w:val="15"/>
                <w:szCs w:val="15"/>
              </w:rPr>
            </w:pPr>
            <w:r>
              <w:rPr>
                <w:rFonts w:hint="eastAsia" w:ascii="仿宋_GB2312"/>
                <w:sz w:val="15"/>
                <w:szCs w:val="15"/>
              </w:rPr>
              <w:t>部门中长期规划目标。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2.立项依据充分性。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考察项目是否符合政府相关发展规划和政府决策</w:t>
            </w:r>
          </w:p>
        </w:tc>
        <w:tc>
          <w:tcPr>
            <w:tcW w:w="2126" w:type="dxa"/>
            <w:vAlign w:val="center"/>
          </w:tcPr>
          <w:p>
            <w:pPr>
              <w:spacing w:line="240" w:lineRule="exact"/>
              <w:rPr>
                <w:rFonts w:ascii="仿宋_GB2312"/>
                <w:sz w:val="15"/>
                <w:szCs w:val="15"/>
              </w:rPr>
            </w:pPr>
            <w:r>
              <w:rPr>
                <w:rFonts w:hint="eastAsia" w:ascii="仿宋_GB2312"/>
                <w:sz w:val="15"/>
                <w:szCs w:val="15"/>
              </w:rPr>
              <w:t>符合，得满分；不符合，不得分。</w:t>
            </w:r>
          </w:p>
        </w:tc>
        <w:tc>
          <w:tcPr>
            <w:tcW w:w="1369" w:type="dxa"/>
            <w:vAlign w:val="center"/>
          </w:tcPr>
          <w:p>
            <w:pPr>
              <w:spacing w:line="240" w:lineRule="exact"/>
              <w:rPr>
                <w:rFonts w:ascii="仿宋_GB2312"/>
                <w:sz w:val="15"/>
                <w:szCs w:val="15"/>
              </w:rPr>
            </w:pPr>
            <w:r>
              <w:rPr>
                <w:rFonts w:hint="eastAsia" w:ascii="仿宋_GB2312"/>
                <w:sz w:val="15"/>
                <w:szCs w:val="15"/>
              </w:rPr>
              <w:t>政府相关规划、决策、批复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3.项目立项规范性。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考察项目是否与部门职责密切相关。</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部门职责文件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2项目目标(10)</w:t>
            </w:r>
          </w:p>
        </w:tc>
        <w:tc>
          <w:tcPr>
            <w:tcW w:w="1173" w:type="dxa"/>
            <w:vAlign w:val="center"/>
          </w:tcPr>
          <w:p>
            <w:pPr>
              <w:spacing w:line="240" w:lineRule="exact"/>
              <w:rPr>
                <w:rFonts w:ascii="仿宋_GB2312"/>
                <w:sz w:val="15"/>
                <w:szCs w:val="15"/>
              </w:rPr>
            </w:pPr>
            <w:r>
              <w:rPr>
                <w:rFonts w:hint="eastAsia" w:ascii="仿宋_GB2312"/>
                <w:sz w:val="15"/>
                <w:szCs w:val="15"/>
              </w:rPr>
              <w:t>1.绩效目标设定的合理性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default"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考察设定的绩效目标是是否与事业发展规划相关；是否完整地反应预期产出和效果；是否与年度预算相匹配。</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2.绩效指标设定的明确性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考察是否将绩效目标细化分解为清晰、可衡量的绩效指标；是否与年度工作任务相对应。</w:t>
            </w:r>
          </w:p>
        </w:tc>
        <w:tc>
          <w:tcPr>
            <w:tcW w:w="2126" w:type="dxa"/>
            <w:vAlign w:val="center"/>
          </w:tcPr>
          <w:p>
            <w:pPr>
              <w:spacing w:line="240" w:lineRule="exact"/>
              <w:rPr>
                <w:rFonts w:ascii="仿宋_GB2312"/>
                <w:sz w:val="15"/>
                <w:szCs w:val="15"/>
              </w:rPr>
            </w:pPr>
            <w:r>
              <w:rPr>
                <w:rFonts w:hint="eastAsia" w:ascii="仿宋_GB2312"/>
                <w:sz w:val="15"/>
                <w:szCs w:val="15"/>
              </w:rPr>
              <w:t>是，得满分；否，不得分。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绩效目标申报表、立项申请、批复文件、年度工作任务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restart"/>
            <w:textDirection w:val="tbRlV"/>
          </w:tcPr>
          <w:p>
            <w:pPr>
              <w:spacing w:line="240" w:lineRule="exact"/>
              <w:ind w:left="113" w:right="113"/>
              <w:jc w:val="center"/>
              <w:rPr>
                <w:rFonts w:ascii="仿宋_GB2312"/>
                <w:sz w:val="18"/>
                <w:szCs w:val="18"/>
              </w:rPr>
            </w:pPr>
            <w:r>
              <w:rPr>
                <w:rFonts w:hint="eastAsia" w:ascii="仿宋_GB2312"/>
                <w:sz w:val="18"/>
                <w:szCs w:val="18"/>
              </w:rPr>
              <w:t>二、项目管理（20分）</w:t>
            </w:r>
          </w:p>
        </w:tc>
        <w:tc>
          <w:tcPr>
            <w:tcW w:w="640" w:type="dxa"/>
            <w:vMerge w:val="restart"/>
            <w:vAlign w:val="center"/>
          </w:tcPr>
          <w:p>
            <w:pPr>
              <w:spacing w:line="240" w:lineRule="exact"/>
              <w:rPr>
                <w:rFonts w:ascii="仿宋_GB2312"/>
                <w:sz w:val="18"/>
                <w:szCs w:val="18"/>
              </w:rPr>
            </w:pPr>
            <w:r>
              <w:rPr>
                <w:rFonts w:hint="eastAsia" w:ascii="仿宋_GB2312"/>
                <w:sz w:val="15"/>
                <w:szCs w:val="15"/>
              </w:rPr>
              <w:t>1投入管理（4）</w:t>
            </w:r>
          </w:p>
        </w:tc>
        <w:tc>
          <w:tcPr>
            <w:tcW w:w="1173" w:type="dxa"/>
            <w:vAlign w:val="center"/>
          </w:tcPr>
          <w:p>
            <w:pPr>
              <w:spacing w:line="240" w:lineRule="exact"/>
              <w:rPr>
                <w:rFonts w:ascii="仿宋_GB2312"/>
                <w:sz w:val="15"/>
                <w:szCs w:val="15"/>
              </w:rPr>
            </w:pPr>
            <w:r>
              <w:rPr>
                <w:rFonts w:hint="eastAsia" w:ascii="仿宋_GB2312"/>
                <w:sz w:val="15"/>
                <w:szCs w:val="15"/>
              </w:rPr>
              <w:t>1.预算编制合理性</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考察预算编制是否充分、合理，预计项目支出是否完整反应。</w:t>
            </w:r>
          </w:p>
        </w:tc>
        <w:tc>
          <w:tcPr>
            <w:tcW w:w="2126" w:type="dxa"/>
            <w:vAlign w:val="center"/>
          </w:tcPr>
          <w:p>
            <w:pPr>
              <w:spacing w:line="240" w:lineRule="exact"/>
              <w:rPr>
                <w:rFonts w:ascii="仿宋_GB2312"/>
                <w:sz w:val="15"/>
                <w:szCs w:val="15"/>
              </w:rPr>
            </w:pPr>
            <w:r>
              <w:rPr>
                <w:rFonts w:hint="eastAsia" w:ascii="仿宋_GB2312"/>
                <w:sz w:val="15"/>
                <w:szCs w:val="15"/>
              </w:rPr>
              <w:t>合理得满分；存在一项不合理，扣0.5分，扣完为止。</w:t>
            </w:r>
          </w:p>
        </w:tc>
        <w:tc>
          <w:tcPr>
            <w:tcW w:w="1369" w:type="dxa"/>
            <w:vAlign w:val="center"/>
          </w:tcPr>
          <w:p>
            <w:pPr>
              <w:spacing w:line="240" w:lineRule="exact"/>
              <w:rPr>
                <w:rFonts w:ascii="仿宋_GB2312"/>
                <w:sz w:val="15"/>
                <w:szCs w:val="15"/>
              </w:rPr>
            </w:pPr>
            <w:r>
              <w:rPr>
                <w:rFonts w:hint="eastAsia" w:ascii="仿宋_GB2312"/>
                <w:sz w:val="15"/>
                <w:szCs w:val="15"/>
              </w:rPr>
              <w:t>预算批复。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2.预算执行率</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考察项目预算执行的进度。预算执行率=实际支出金额/项目预算金额×100%</w:t>
            </w:r>
          </w:p>
        </w:tc>
        <w:tc>
          <w:tcPr>
            <w:tcW w:w="2126" w:type="dxa"/>
            <w:vAlign w:val="center"/>
          </w:tcPr>
          <w:p>
            <w:pPr>
              <w:spacing w:line="240" w:lineRule="exact"/>
              <w:rPr>
                <w:rFonts w:ascii="仿宋_GB2312"/>
                <w:sz w:val="15"/>
                <w:szCs w:val="15"/>
              </w:rPr>
            </w:pPr>
            <w:r>
              <w:rPr>
                <w:rFonts w:hint="eastAsia" w:ascii="仿宋_GB2312"/>
                <w:sz w:val="15"/>
                <w:szCs w:val="15"/>
              </w:rPr>
              <w:t>预算执行率95%以上，得满分；低于95%，每下降1%扣权重的1%；预算执行率60%以下，不计分。</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2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sz w:val="15"/>
                <w:szCs w:val="15"/>
              </w:rPr>
            </w:pPr>
            <w:r>
              <w:rPr>
                <w:rFonts w:hint="eastAsia" w:ascii="仿宋_GB2312"/>
                <w:sz w:val="15"/>
                <w:szCs w:val="15"/>
              </w:rPr>
              <w:t>2.财务管理（6）</w:t>
            </w:r>
          </w:p>
        </w:tc>
        <w:tc>
          <w:tcPr>
            <w:tcW w:w="1173" w:type="dxa"/>
            <w:vAlign w:val="center"/>
          </w:tcPr>
          <w:p>
            <w:pPr>
              <w:spacing w:line="240" w:lineRule="exact"/>
              <w:rPr>
                <w:rFonts w:ascii="仿宋_GB2312"/>
                <w:sz w:val="15"/>
                <w:szCs w:val="15"/>
              </w:rPr>
            </w:pPr>
            <w:r>
              <w:rPr>
                <w:rFonts w:hint="eastAsia" w:ascii="仿宋_GB2312"/>
                <w:sz w:val="15"/>
                <w:szCs w:val="15"/>
              </w:rPr>
              <w:t>1.资金使用情况</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考察项目资金使用是否符合预算批复的用途，是否存在截留、挤占、挪用、虚列支出等情况。</w:t>
            </w:r>
          </w:p>
        </w:tc>
        <w:tc>
          <w:tcPr>
            <w:tcW w:w="2126" w:type="dxa"/>
            <w:vAlign w:val="center"/>
          </w:tcPr>
          <w:p>
            <w:pPr>
              <w:spacing w:line="240" w:lineRule="exact"/>
              <w:rPr>
                <w:rFonts w:ascii="仿宋_GB2312"/>
                <w:sz w:val="15"/>
                <w:szCs w:val="15"/>
              </w:rPr>
            </w:pPr>
            <w:r>
              <w:rPr>
                <w:rFonts w:hint="eastAsia" w:ascii="仿宋_GB2312"/>
                <w:sz w:val="15"/>
                <w:szCs w:val="15"/>
              </w:rPr>
              <w:t>合规，得满分；存在一项不合规，扣1分，扣完为止。</w:t>
            </w:r>
          </w:p>
        </w:tc>
        <w:tc>
          <w:tcPr>
            <w:tcW w:w="1369" w:type="dxa"/>
            <w:vAlign w:val="center"/>
          </w:tcPr>
          <w:p>
            <w:pPr>
              <w:spacing w:line="240" w:lineRule="exact"/>
              <w:rPr>
                <w:rFonts w:ascii="仿宋_GB2312"/>
                <w:sz w:val="15"/>
                <w:szCs w:val="15"/>
              </w:rPr>
            </w:pPr>
            <w:r>
              <w:rPr>
                <w:rFonts w:hint="eastAsia" w:ascii="仿宋_GB2312"/>
                <w:sz w:val="15"/>
                <w:szCs w:val="15"/>
              </w:rPr>
              <w:t>绩效目标申报表、支付指令，合同、财务凭证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2.财务管理制度健全性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考察项目的财务制度是否健全、完善、有效。</w:t>
            </w:r>
          </w:p>
        </w:tc>
        <w:tc>
          <w:tcPr>
            <w:tcW w:w="2126" w:type="dxa"/>
            <w:vAlign w:val="center"/>
          </w:tcPr>
          <w:p>
            <w:pPr>
              <w:spacing w:line="240" w:lineRule="exact"/>
              <w:rPr>
                <w:rFonts w:ascii="仿宋_GB2312"/>
                <w:sz w:val="15"/>
                <w:szCs w:val="15"/>
              </w:rPr>
            </w:pPr>
            <w:r>
              <w:rPr>
                <w:rFonts w:hint="eastAsia" w:ascii="仿宋_GB2312"/>
                <w:sz w:val="15"/>
                <w:szCs w:val="15"/>
              </w:rPr>
              <w:t xml:space="preserve">a.是否已制定相应的财务管理办法；b.项目财务管理办法是否符合相关财务会计制度的规定；符合所有条件，得满分； 一项不符合，扣1分，扣完为止。                                                                  </w:t>
            </w:r>
          </w:p>
        </w:tc>
        <w:tc>
          <w:tcPr>
            <w:tcW w:w="1369" w:type="dxa"/>
            <w:vAlign w:val="center"/>
          </w:tcPr>
          <w:p>
            <w:pPr>
              <w:spacing w:line="240" w:lineRule="exact"/>
              <w:rPr>
                <w:rFonts w:ascii="仿宋_GB2312"/>
                <w:sz w:val="15"/>
                <w:szCs w:val="15"/>
              </w:rPr>
            </w:pPr>
            <w:r>
              <w:rPr>
                <w:rFonts w:hint="eastAsia" w:ascii="仿宋_GB2312"/>
                <w:sz w:val="15"/>
                <w:szCs w:val="15"/>
              </w:rPr>
              <w:t>财务管理制度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sz w:val="18"/>
                <w:szCs w:val="18"/>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3.项目实施（10）</w:t>
            </w:r>
          </w:p>
        </w:tc>
        <w:tc>
          <w:tcPr>
            <w:tcW w:w="1173" w:type="dxa"/>
            <w:vAlign w:val="center"/>
          </w:tcPr>
          <w:p>
            <w:pPr>
              <w:spacing w:line="240" w:lineRule="exact"/>
              <w:rPr>
                <w:rFonts w:ascii="仿宋_GB2312"/>
                <w:sz w:val="15"/>
                <w:szCs w:val="15"/>
              </w:rPr>
            </w:pPr>
            <w:r>
              <w:rPr>
                <w:rFonts w:hint="eastAsia" w:ascii="仿宋_GB2312"/>
                <w:sz w:val="15"/>
                <w:szCs w:val="15"/>
              </w:rPr>
              <w:t>1.项目管理制度健全性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项目实施单位为保障项目顺利实施制订的与项目直接相关的业务管理制度是否健全、完善和有效。</w:t>
            </w:r>
          </w:p>
        </w:tc>
        <w:tc>
          <w:tcPr>
            <w:tcW w:w="2126" w:type="dxa"/>
            <w:vAlign w:val="center"/>
          </w:tcPr>
          <w:p>
            <w:pPr>
              <w:spacing w:line="240" w:lineRule="exact"/>
              <w:rPr>
                <w:rFonts w:ascii="仿宋_GB2312"/>
                <w:sz w:val="15"/>
                <w:szCs w:val="15"/>
              </w:rPr>
            </w:pPr>
            <w:r>
              <w:rPr>
                <w:rFonts w:hint="eastAsia" w:ascii="仿宋_GB2312"/>
                <w:sz w:val="15"/>
                <w:szCs w:val="15"/>
              </w:rPr>
              <w:t>制订制度或采取措施，得满分；制度不完善或措施不明确，得权重的60%；没有相关制度或措施，不得分。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项目实施单位管理制度、访谈、现场调查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jc w:val="center"/>
        </w:trPr>
        <w:tc>
          <w:tcPr>
            <w:tcW w:w="476" w:type="dxa"/>
            <w:vMerge w:val="continue"/>
          </w:tcPr>
          <w:p>
            <w:pPr>
              <w:spacing w:line="240" w:lineRule="exact"/>
              <w:jc w:val="left"/>
              <w:rPr>
                <w:sz w:val="18"/>
                <w:szCs w:val="18"/>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2.项目管理制度执行有效性</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5</w:t>
            </w:r>
          </w:p>
        </w:tc>
        <w:tc>
          <w:tcPr>
            <w:tcW w:w="2268" w:type="dxa"/>
            <w:vAlign w:val="center"/>
          </w:tcPr>
          <w:p>
            <w:pPr>
              <w:spacing w:line="240" w:lineRule="exact"/>
              <w:rPr>
                <w:rFonts w:ascii="仿宋_GB2312"/>
                <w:sz w:val="15"/>
                <w:szCs w:val="15"/>
              </w:rPr>
            </w:pPr>
            <w:r>
              <w:rPr>
                <w:rFonts w:hint="eastAsia" w:ascii="仿宋_GB2312"/>
                <w:sz w:val="15"/>
                <w:szCs w:val="15"/>
              </w:rPr>
              <w:t>考察项目实施单位制订的管理制度是否有效执行。</w:t>
            </w:r>
          </w:p>
        </w:tc>
        <w:tc>
          <w:tcPr>
            <w:tcW w:w="2126" w:type="dxa"/>
            <w:vAlign w:val="center"/>
          </w:tcPr>
          <w:p>
            <w:pPr>
              <w:spacing w:line="240" w:lineRule="exact"/>
              <w:rPr>
                <w:rFonts w:ascii="仿宋_GB2312"/>
                <w:sz w:val="15"/>
                <w:szCs w:val="15"/>
              </w:rPr>
            </w:pPr>
            <w:r>
              <w:rPr>
                <w:rFonts w:hint="eastAsia" w:ascii="仿宋_GB2312"/>
                <w:sz w:val="15"/>
                <w:szCs w:val="15"/>
              </w:rPr>
              <w:t>有效执行，得满分；部分执行，得权重的60%；未执行，不得分。</w:t>
            </w:r>
          </w:p>
        </w:tc>
        <w:tc>
          <w:tcPr>
            <w:tcW w:w="1369" w:type="dxa"/>
            <w:vAlign w:val="center"/>
          </w:tcPr>
          <w:p>
            <w:pPr>
              <w:spacing w:line="240" w:lineRule="exact"/>
              <w:rPr>
                <w:rFonts w:ascii="仿宋_GB2312"/>
                <w:sz w:val="15"/>
                <w:szCs w:val="15"/>
              </w:rPr>
            </w:pPr>
            <w:r>
              <w:rPr>
                <w:rFonts w:hint="eastAsia" w:ascii="仿宋_GB2312"/>
                <w:sz w:val="15"/>
                <w:szCs w:val="15"/>
              </w:rPr>
              <w:t>项目实施单位管理制度、现场调查。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atLeast"/>
          <w:jc w:val="center"/>
        </w:trPr>
        <w:tc>
          <w:tcPr>
            <w:tcW w:w="476" w:type="dxa"/>
            <w:vMerge w:val="restart"/>
            <w:textDirection w:val="tbRlV"/>
            <w:vAlign w:val="center"/>
          </w:tcPr>
          <w:p>
            <w:pPr>
              <w:spacing w:line="240" w:lineRule="exact"/>
              <w:ind w:left="113" w:right="113"/>
              <w:jc w:val="center"/>
              <w:rPr>
                <w:rFonts w:ascii="仿宋_GB2312"/>
                <w:sz w:val="18"/>
                <w:szCs w:val="18"/>
              </w:rPr>
            </w:pPr>
            <w:r>
              <w:rPr>
                <w:rFonts w:hint="eastAsia" w:ascii="仿宋_GB2312"/>
                <w:sz w:val="18"/>
                <w:szCs w:val="18"/>
              </w:rPr>
              <w:t>三、项目绩效（60分）</w:t>
            </w:r>
          </w:p>
        </w:tc>
        <w:tc>
          <w:tcPr>
            <w:tcW w:w="640" w:type="dxa"/>
            <w:vMerge w:val="restart"/>
            <w:vAlign w:val="center"/>
          </w:tcPr>
          <w:p>
            <w:pPr>
              <w:spacing w:line="240" w:lineRule="exact"/>
              <w:rPr>
                <w:rFonts w:ascii="仿宋_GB2312"/>
                <w:sz w:val="15"/>
                <w:szCs w:val="15"/>
              </w:rPr>
            </w:pPr>
            <w:r>
              <w:rPr>
                <w:rFonts w:hint="eastAsia" w:ascii="仿宋_GB2312"/>
                <w:sz w:val="15"/>
                <w:szCs w:val="15"/>
              </w:rPr>
              <w:t>1.项目产出（30分</w:t>
            </w:r>
          </w:p>
        </w:tc>
        <w:tc>
          <w:tcPr>
            <w:tcW w:w="1173" w:type="dxa"/>
            <w:vAlign w:val="center"/>
          </w:tcPr>
          <w:p>
            <w:pPr>
              <w:spacing w:line="240" w:lineRule="exact"/>
              <w:rPr>
                <w:rFonts w:ascii="仿宋_GB2312"/>
                <w:sz w:val="15"/>
                <w:szCs w:val="15"/>
              </w:rPr>
            </w:pPr>
            <w:r>
              <w:rPr>
                <w:rFonts w:hint="eastAsia" w:ascii="仿宋_GB2312"/>
                <w:sz w:val="15"/>
                <w:szCs w:val="15"/>
              </w:rPr>
              <w:t>1.数量指标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根据该项目实际，考察产出数量的实际完成情况。</w:t>
            </w:r>
          </w:p>
        </w:tc>
        <w:tc>
          <w:tcPr>
            <w:tcW w:w="2126" w:type="dxa"/>
            <w:vAlign w:val="center"/>
          </w:tcPr>
          <w:p>
            <w:pPr>
              <w:spacing w:line="240" w:lineRule="exact"/>
              <w:rPr>
                <w:rFonts w:ascii="仿宋_GB2312"/>
                <w:sz w:val="15"/>
                <w:szCs w:val="15"/>
              </w:rPr>
            </w:pPr>
            <w:r>
              <w:rPr>
                <w:rFonts w:hint="eastAsia" w:ascii="仿宋_GB2312"/>
                <w:sz w:val="15"/>
                <w:szCs w:val="15"/>
              </w:rPr>
              <w:t>对照绩效目标，按实际产出数量和计划产出数计算得分。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5"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2.质量指标</w:t>
            </w:r>
          </w:p>
        </w:tc>
        <w:tc>
          <w:tcPr>
            <w:tcW w:w="570" w:type="dxa"/>
            <w:vAlign w:val="center"/>
          </w:tcPr>
          <w:p>
            <w:pPr>
              <w:spacing w:line="240" w:lineRule="exact"/>
              <w:jc w:val="center"/>
              <w:rPr>
                <w:rFonts w:ascii="仿宋_GB2312"/>
                <w:sz w:val="18"/>
                <w:szCs w:val="18"/>
              </w:rPr>
            </w:pPr>
            <w:r>
              <w:rPr>
                <w:rFonts w:hint="eastAsia" w:ascii="仿宋_GB2312"/>
                <w:sz w:val="18"/>
                <w:szCs w:val="18"/>
              </w:rPr>
              <w:t>8</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8</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根据该项目实际，考察项目质量应达到的行业标准。</w:t>
            </w:r>
          </w:p>
        </w:tc>
        <w:tc>
          <w:tcPr>
            <w:tcW w:w="2126" w:type="dxa"/>
            <w:vAlign w:val="center"/>
          </w:tcPr>
          <w:p>
            <w:pPr>
              <w:spacing w:line="240" w:lineRule="exact"/>
              <w:rPr>
                <w:rFonts w:ascii="仿宋_GB2312"/>
                <w:sz w:val="15"/>
                <w:szCs w:val="15"/>
              </w:rPr>
            </w:pPr>
            <w:r>
              <w:rPr>
                <w:rFonts w:hint="eastAsia" w:ascii="仿宋_GB2312"/>
                <w:sz w:val="15"/>
                <w:szCs w:val="15"/>
              </w:rPr>
              <w:t>对照绩效目标、行业标准计算得分。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3.时效指标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根据该项目实际，考察项目的实际完成时间。</w:t>
            </w:r>
          </w:p>
        </w:tc>
        <w:tc>
          <w:tcPr>
            <w:tcW w:w="2126" w:type="dxa"/>
            <w:vAlign w:val="center"/>
          </w:tcPr>
          <w:p>
            <w:pPr>
              <w:spacing w:line="240" w:lineRule="exact"/>
              <w:rPr>
                <w:rFonts w:ascii="仿宋_GB2312"/>
                <w:sz w:val="15"/>
                <w:szCs w:val="15"/>
              </w:rPr>
            </w:pPr>
            <w:r>
              <w:rPr>
                <w:rFonts w:hint="eastAsia" w:ascii="仿宋_GB2312"/>
                <w:sz w:val="15"/>
                <w:szCs w:val="15"/>
              </w:rPr>
              <w:t>对照绩效目标、按项目的实际完成时间和计划完成时间计算得分。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4.成本指标</w:t>
            </w:r>
          </w:p>
        </w:tc>
        <w:tc>
          <w:tcPr>
            <w:tcW w:w="570" w:type="dxa"/>
            <w:vAlign w:val="center"/>
          </w:tcPr>
          <w:p>
            <w:pPr>
              <w:spacing w:line="240" w:lineRule="exact"/>
              <w:jc w:val="center"/>
              <w:rPr>
                <w:rFonts w:ascii="仿宋_GB2312"/>
                <w:sz w:val="18"/>
                <w:szCs w:val="18"/>
              </w:rPr>
            </w:pPr>
            <w:r>
              <w:rPr>
                <w:rFonts w:hint="eastAsia" w:ascii="仿宋_GB2312"/>
                <w:sz w:val="18"/>
                <w:szCs w:val="18"/>
              </w:rPr>
              <w:t>7</w:t>
            </w:r>
          </w:p>
        </w:tc>
        <w:tc>
          <w:tcPr>
            <w:tcW w:w="552" w:type="dxa"/>
            <w:vAlign w:val="center"/>
          </w:tcPr>
          <w:p>
            <w:pPr>
              <w:spacing w:line="240" w:lineRule="exact"/>
              <w:rPr>
                <w:rFonts w:hint="eastAsia" w:ascii="仿宋_GB2312" w:eastAsiaTheme="minorEastAsia"/>
                <w:sz w:val="18"/>
                <w:szCs w:val="18"/>
                <w:lang w:val="en-US" w:eastAsia="zh-CN"/>
              </w:rPr>
            </w:pPr>
            <w:r>
              <w:rPr>
                <w:rFonts w:hint="eastAsia" w:ascii="仿宋_GB2312"/>
                <w:sz w:val="18"/>
                <w:szCs w:val="18"/>
                <w:lang w:val="en-US" w:eastAsia="zh-CN"/>
              </w:rPr>
              <w:t>7</w:t>
            </w:r>
          </w:p>
        </w:tc>
        <w:tc>
          <w:tcPr>
            <w:tcW w:w="2268" w:type="dxa"/>
            <w:vAlign w:val="center"/>
          </w:tcPr>
          <w:p>
            <w:pPr>
              <w:spacing w:line="240" w:lineRule="exact"/>
              <w:rPr>
                <w:rFonts w:ascii="仿宋_GB2312"/>
                <w:sz w:val="15"/>
                <w:szCs w:val="15"/>
              </w:rPr>
            </w:pPr>
            <w:r>
              <w:rPr>
                <w:rFonts w:hint="eastAsia" w:ascii="仿宋_GB2312"/>
                <w:sz w:val="15"/>
                <w:szCs w:val="15"/>
              </w:rPr>
              <w:t>根据该项目实际，考察项目总成本和单项成本。</w:t>
            </w:r>
          </w:p>
        </w:tc>
        <w:tc>
          <w:tcPr>
            <w:tcW w:w="2126" w:type="dxa"/>
            <w:vAlign w:val="center"/>
          </w:tcPr>
          <w:p>
            <w:pPr>
              <w:spacing w:line="240" w:lineRule="exact"/>
              <w:rPr>
                <w:rFonts w:ascii="仿宋_GB2312"/>
                <w:sz w:val="15"/>
                <w:szCs w:val="15"/>
              </w:rPr>
            </w:pPr>
            <w:r>
              <w:rPr>
                <w:rFonts w:hint="eastAsia" w:ascii="仿宋_GB2312"/>
                <w:sz w:val="15"/>
                <w:szCs w:val="15"/>
              </w:rPr>
              <w:t>照绩效目标、按项目的实际成本和计划成本计算得分。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476" w:type="dxa"/>
            <w:vMerge w:val="continue"/>
          </w:tcPr>
          <w:p>
            <w:pPr>
              <w:spacing w:line="240" w:lineRule="exact"/>
              <w:jc w:val="left"/>
              <w:rPr>
                <w:rFonts w:ascii="仿宋_GB2312"/>
                <w:sz w:val="15"/>
                <w:szCs w:val="15"/>
              </w:rPr>
            </w:pPr>
          </w:p>
        </w:tc>
        <w:tc>
          <w:tcPr>
            <w:tcW w:w="640" w:type="dxa"/>
            <w:vMerge w:val="restart"/>
            <w:vAlign w:val="center"/>
          </w:tcPr>
          <w:p>
            <w:pPr>
              <w:spacing w:line="240" w:lineRule="exact"/>
              <w:rPr>
                <w:rFonts w:ascii="仿宋_GB2312"/>
                <w:sz w:val="15"/>
                <w:szCs w:val="15"/>
              </w:rPr>
            </w:pPr>
            <w:r>
              <w:rPr>
                <w:rFonts w:hint="eastAsia" w:ascii="仿宋_GB2312"/>
                <w:sz w:val="15"/>
                <w:szCs w:val="15"/>
              </w:rPr>
              <w:t>2.项目效益（30分）</w:t>
            </w:r>
          </w:p>
        </w:tc>
        <w:tc>
          <w:tcPr>
            <w:tcW w:w="1173" w:type="dxa"/>
            <w:vAlign w:val="center"/>
          </w:tcPr>
          <w:p>
            <w:pPr>
              <w:spacing w:line="240" w:lineRule="exact"/>
              <w:rPr>
                <w:rFonts w:ascii="仿宋_GB2312"/>
                <w:sz w:val="15"/>
                <w:szCs w:val="15"/>
              </w:rPr>
            </w:pPr>
            <w:r>
              <w:rPr>
                <w:rFonts w:hint="eastAsia" w:ascii="仿宋_GB2312"/>
                <w:sz w:val="15"/>
                <w:szCs w:val="15"/>
              </w:rPr>
              <w:t>1.经济效益</w:t>
            </w:r>
          </w:p>
        </w:tc>
        <w:tc>
          <w:tcPr>
            <w:tcW w:w="570" w:type="dxa"/>
            <w:vAlign w:val="center"/>
          </w:tcPr>
          <w:p>
            <w:pPr>
              <w:spacing w:line="240" w:lineRule="exact"/>
              <w:jc w:val="center"/>
              <w:rPr>
                <w:rFonts w:ascii="仿宋_GB2312"/>
                <w:sz w:val="18"/>
                <w:szCs w:val="18"/>
              </w:rPr>
            </w:pPr>
            <w:r>
              <w:rPr>
                <w:rFonts w:hint="eastAsia" w:ascii="仿宋_GB2312"/>
                <w:sz w:val="18"/>
                <w:szCs w:val="18"/>
              </w:rPr>
              <w:t>3</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根据项目实际，考察项目所产生的直接或间接的经济效益。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对照绩效目标，按经济效益实现程度计算得分。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2.社会效益</w:t>
            </w:r>
          </w:p>
        </w:tc>
        <w:tc>
          <w:tcPr>
            <w:tcW w:w="570" w:type="dxa"/>
            <w:vAlign w:val="center"/>
          </w:tcPr>
          <w:p>
            <w:pPr>
              <w:spacing w:line="240" w:lineRule="exact"/>
              <w:jc w:val="center"/>
              <w:rPr>
                <w:rFonts w:ascii="仿宋_GB2312"/>
                <w:sz w:val="18"/>
                <w:szCs w:val="18"/>
              </w:rPr>
            </w:pPr>
            <w:r>
              <w:rPr>
                <w:rFonts w:hint="eastAsia" w:ascii="仿宋_GB2312"/>
                <w:sz w:val="18"/>
                <w:szCs w:val="18"/>
              </w:rPr>
              <w:t>20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20</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根据项目实际，考察项目所产生的社会效益效益。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对照绩效目标，按社会效益实现程度计算得分。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tcPr>
          <w:p>
            <w:pPr>
              <w:spacing w:line="240" w:lineRule="exact"/>
              <w:jc w:val="lef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3.生态效益</w:t>
            </w:r>
          </w:p>
        </w:tc>
        <w:tc>
          <w:tcPr>
            <w:tcW w:w="570" w:type="dxa"/>
            <w:vAlign w:val="center"/>
          </w:tcPr>
          <w:p>
            <w:pPr>
              <w:spacing w:line="240" w:lineRule="exact"/>
              <w:jc w:val="center"/>
              <w:rPr>
                <w:rFonts w:ascii="仿宋_GB2312"/>
                <w:sz w:val="18"/>
                <w:szCs w:val="18"/>
              </w:rPr>
            </w:pPr>
            <w:r>
              <w:rPr>
                <w:rFonts w:hint="eastAsia" w:ascii="仿宋_GB2312"/>
                <w:sz w:val="18"/>
                <w:szCs w:val="18"/>
              </w:rPr>
              <w:t>2</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2</w:t>
            </w:r>
          </w:p>
        </w:tc>
        <w:tc>
          <w:tcPr>
            <w:tcW w:w="2268" w:type="dxa"/>
            <w:vAlign w:val="center"/>
          </w:tcPr>
          <w:p>
            <w:pPr>
              <w:spacing w:line="240" w:lineRule="exact"/>
              <w:rPr>
                <w:rFonts w:ascii="仿宋_GB2312"/>
                <w:sz w:val="15"/>
                <w:szCs w:val="15"/>
              </w:rPr>
            </w:pPr>
            <w:r>
              <w:rPr>
                <w:rFonts w:hint="eastAsia" w:ascii="仿宋_GB2312"/>
                <w:sz w:val="15"/>
                <w:szCs w:val="15"/>
              </w:rPr>
              <w:t>根据项目实际，考察项目所产生的直接或间接的生态效益。</w:t>
            </w:r>
          </w:p>
        </w:tc>
        <w:tc>
          <w:tcPr>
            <w:tcW w:w="2126" w:type="dxa"/>
            <w:vAlign w:val="center"/>
          </w:tcPr>
          <w:p>
            <w:pPr>
              <w:spacing w:line="240" w:lineRule="exact"/>
              <w:rPr>
                <w:rFonts w:ascii="仿宋_GB2312"/>
                <w:sz w:val="15"/>
                <w:szCs w:val="15"/>
              </w:rPr>
            </w:pPr>
            <w:r>
              <w:rPr>
                <w:rFonts w:hint="eastAsia" w:ascii="仿宋_GB2312"/>
                <w:sz w:val="15"/>
                <w:szCs w:val="15"/>
              </w:rPr>
              <w:t>对照绩效目标，按生态效益实现程度计算得分。</w:t>
            </w:r>
          </w:p>
        </w:tc>
        <w:tc>
          <w:tcPr>
            <w:tcW w:w="1369" w:type="dxa"/>
            <w:vAlign w:val="center"/>
          </w:tcPr>
          <w:p>
            <w:pPr>
              <w:spacing w:line="240" w:lineRule="exact"/>
              <w:rPr>
                <w:rFonts w:ascii="仿宋_GB2312"/>
                <w:sz w:val="15"/>
                <w:szCs w:val="15"/>
              </w:rPr>
            </w:pPr>
            <w:r>
              <w:rPr>
                <w:rFonts w:hint="eastAsia" w:ascii="仿宋_GB2312"/>
                <w:sz w:val="15"/>
                <w:szCs w:val="15"/>
              </w:rPr>
              <w:t>根据绩效目标及相关资料。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476" w:type="dxa"/>
            <w:vMerge w:val="continue"/>
          </w:tcPr>
          <w:p>
            <w:pPr>
              <w:spacing w:line="240" w:lineRule="exact"/>
              <w:jc w:val="left"/>
              <w:rPr>
                <w:rFonts w:ascii="仿宋_GB2312"/>
                <w:sz w:val="15"/>
                <w:szCs w:val="15"/>
              </w:rPr>
            </w:pPr>
          </w:p>
        </w:tc>
        <w:tc>
          <w:tcPr>
            <w:tcW w:w="640" w:type="dxa"/>
            <w:vMerge w:val="continue"/>
            <w:vAlign w:val="center"/>
          </w:tcPr>
          <w:p>
            <w:pPr>
              <w:spacing w:line="240" w:lineRule="exact"/>
              <w:rPr>
                <w:rFonts w:ascii="仿宋_GB2312"/>
                <w:sz w:val="15"/>
                <w:szCs w:val="15"/>
              </w:rPr>
            </w:pPr>
          </w:p>
        </w:tc>
        <w:tc>
          <w:tcPr>
            <w:tcW w:w="1173" w:type="dxa"/>
            <w:vAlign w:val="center"/>
          </w:tcPr>
          <w:p>
            <w:pPr>
              <w:spacing w:line="240" w:lineRule="exact"/>
              <w:rPr>
                <w:rFonts w:ascii="仿宋_GB2312"/>
                <w:sz w:val="15"/>
                <w:szCs w:val="15"/>
              </w:rPr>
            </w:pPr>
            <w:r>
              <w:rPr>
                <w:rFonts w:hint="eastAsia" w:ascii="仿宋_GB2312"/>
                <w:sz w:val="15"/>
                <w:szCs w:val="15"/>
              </w:rPr>
              <w:t>4.服务对象满意度</w:t>
            </w:r>
          </w:p>
        </w:tc>
        <w:tc>
          <w:tcPr>
            <w:tcW w:w="570" w:type="dxa"/>
            <w:vAlign w:val="center"/>
          </w:tcPr>
          <w:p>
            <w:pPr>
              <w:spacing w:line="240" w:lineRule="exact"/>
              <w:jc w:val="center"/>
              <w:rPr>
                <w:rFonts w:ascii="仿宋_GB2312"/>
                <w:sz w:val="18"/>
                <w:szCs w:val="18"/>
              </w:rPr>
            </w:pPr>
            <w:r>
              <w:rPr>
                <w:rFonts w:hint="eastAsia" w:ascii="仿宋_GB2312"/>
                <w:sz w:val="18"/>
                <w:szCs w:val="18"/>
              </w:rPr>
              <w:t>5</w:t>
            </w:r>
          </w:p>
        </w:tc>
        <w:tc>
          <w:tcPr>
            <w:tcW w:w="552" w:type="dxa"/>
            <w:vAlign w:val="center"/>
          </w:tcPr>
          <w:p>
            <w:pPr>
              <w:spacing w:line="240" w:lineRule="exact"/>
              <w:jc w:val="center"/>
              <w:rPr>
                <w:rFonts w:hint="eastAsia" w:ascii="仿宋_GB2312" w:eastAsiaTheme="minorEastAsia"/>
                <w:sz w:val="18"/>
                <w:szCs w:val="18"/>
                <w:lang w:val="en-US" w:eastAsia="zh-CN"/>
              </w:rPr>
            </w:pPr>
            <w:r>
              <w:rPr>
                <w:rFonts w:hint="eastAsia" w:ascii="仿宋_GB2312"/>
                <w:sz w:val="18"/>
                <w:szCs w:val="18"/>
                <w:lang w:val="en-US" w:eastAsia="zh-CN"/>
              </w:rPr>
              <w:t>3</w:t>
            </w:r>
          </w:p>
        </w:tc>
        <w:tc>
          <w:tcPr>
            <w:tcW w:w="2268" w:type="dxa"/>
            <w:vAlign w:val="center"/>
          </w:tcPr>
          <w:p>
            <w:pPr>
              <w:tabs>
                <w:tab w:val="left" w:pos="2604"/>
              </w:tabs>
              <w:spacing w:line="240" w:lineRule="exact"/>
              <w:rPr>
                <w:rFonts w:ascii="仿宋_GB2312"/>
                <w:sz w:val="15"/>
                <w:szCs w:val="15"/>
              </w:rPr>
            </w:pPr>
            <w:r>
              <w:rPr>
                <w:rFonts w:hint="eastAsia" w:ascii="仿宋_GB2312"/>
                <w:sz w:val="15"/>
                <w:szCs w:val="15"/>
              </w:rPr>
              <w:t>服务对象对项目实施的满意程度。</w:t>
            </w:r>
          </w:p>
        </w:tc>
        <w:tc>
          <w:tcPr>
            <w:tcW w:w="2126" w:type="dxa"/>
            <w:vAlign w:val="center"/>
          </w:tcPr>
          <w:p>
            <w:pPr>
              <w:spacing w:line="240" w:lineRule="exact"/>
              <w:rPr>
                <w:rFonts w:ascii="仿宋_GB2312"/>
                <w:sz w:val="15"/>
                <w:szCs w:val="15"/>
              </w:rPr>
            </w:pPr>
            <w:r>
              <w:rPr>
                <w:rFonts w:hint="eastAsia" w:ascii="仿宋_GB2312" w:hAnsi="宋体" w:cs="宋体"/>
                <w:kern w:val="0"/>
                <w:sz w:val="15"/>
                <w:szCs w:val="15"/>
              </w:rPr>
              <w:t>按收集到的服务对象的满意率计算得分。</w:t>
            </w:r>
          </w:p>
        </w:tc>
        <w:tc>
          <w:tcPr>
            <w:tcW w:w="1369" w:type="dxa"/>
            <w:vAlign w:val="center"/>
          </w:tcPr>
          <w:p>
            <w:pPr>
              <w:spacing w:line="240" w:lineRule="exact"/>
              <w:rPr>
                <w:rFonts w:ascii="仿宋_GB2312"/>
                <w:sz w:val="15"/>
                <w:szCs w:val="15"/>
              </w:rPr>
            </w:pPr>
            <w:r>
              <w:rPr>
                <w:rFonts w:hint="eastAsia" w:ascii="仿宋_GB2312"/>
                <w:sz w:val="15"/>
                <w:szCs w:val="15"/>
              </w:rPr>
              <w:t>问卷调查、访谈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jc w:val="center"/>
        </w:trPr>
        <w:tc>
          <w:tcPr>
            <w:tcW w:w="2289" w:type="dxa"/>
            <w:gridSpan w:val="3"/>
            <w:vAlign w:val="center"/>
          </w:tcPr>
          <w:p>
            <w:pPr>
              <w:spacing w:line="240" w:lineRule="exact"/>
              <w:jc w:val="center"/>
              <w:rPr>
                <w:rFonts w:ascii="仿宋_GB2312"/>
                <w:b/>
                <w:sz w:val="18"/>
                <w:szCs w:val="18"/>
              </w:rPr>
            </w:pPr>
            <w:r>
              <w:rPr>
                <w:rFonts w:hint="eastAsia" w:ascii="仿宋_GB2312"/>
                <w:b/>
                <w:sz w:val="18"/>
                <w:szCs w:val="18"/>
              </w:rPr>
              <w:t>合  计</w:t>
            </w:r>
          </w:p>
        </w:tc>
        <w:tc>
          <w:tcPr>
            <w:tcW w:w="570" w:type="dxa"/>
            <w:vAlign w:val="center"/>
          </w:tcPr>
          <w:p>
            <w:pPr>
              <w:spacing w:line="240" w:lineRule="exact"/>
              <w:jc w:val="center"/>
              <w:rPr>
                <w:rFonts w:ascii="仿宋_GB2312"/>
                <w:sz w:val="18"/>
                <w:szCs w:val="18"/>
              </w:rPr>
            </w:pPr>
            <w:r>
              <w:rPr>
                <w:rFonts w:hint="eastAsia" w:ascii="仿宋_GB2312"/>
                <w:sz w:val="18"/>
                <w:szCs w:val="18"/>
              </w:rPr>
              <w:t>100</w:t>
            </w:r>
          </w:p>
        </w:tc>
        <w:tc>
          <w:tcPr>
            <w:tcW w:w="552" w:type="dxa"/>
            <w:vAlign w:val="center"/>
          </w:tcPr>
          <w:p>
            <w:pPr>
              <w:spacing w:line="240" w:lineRule="exact"/>
              <w:jc w:val="center"/>
              <w:rPr>
                <w:rFonts w:hint="default" w:ascii="仿宋_GB2312" w:eastAsiaTheme="minorEastAsia"/>
                <w:sz w:val="18"/>
                <w:szCs w:val="18"/>
                <w:lang w:val="en-US" w:eastAsia="zh-CN"/>
              </w:rPr>
            </w:pPr>
            <w:r>
              <w:rPr>
                <w:rFonts w:hint="eastAsia" w:ascii="仿宋_GB2312"/>
                <w:sz w:val="18"/>
                <w:szCs w:val="18"/>
                <w:lang w:val="en-US" w:eastAsia="zh-CN"/>
              </w:rPr>
              <w:t>98</w:t>
            </w:r>
            <w:bookmarkStart w:id="0" w:name="_GoBack"/>
            <w:bookmarkEnd w:id="0"/>
          </w:p>
        </w:tc>
        <w:tc>
          <w:tcPr>
            <w:tcW w:w="5763" w:type="dxa"/>
            <w:gridSpan w:val="3"/>
            <w:vAlign w:val="center"/>
          </w:tcPr>
          <w:p>
            <w:pPr>
              <w:spacing w:line="240" w:lineRule="exact"/>
              <w:jc w:val="left"/>
              <w:rPr>
                <w:rFonts w:hint="default"/>
                <w:sz w:val="18"/>
                <w:szCs w:val="18"/>
                <w:lang w:val="en-US"/>
              </w:rPr>
            </w:pPr>
          </w:p>
        </w:tc>
      </w:tr>
    </w:tbl>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p>
      <w:pPr>
        <w:rPr>
          <w:rFonts w:hint="eastAsia" w:ascii="仿宋_GB2312" w:hAnsi="仿宋_GB2312" w:eastAsia="仿宋_GB2312" w:cs="仿宋_GB2312"/>
          <w:sz w:val="32"/>
          <w:szCs w:val="32"/>
        </w:rPr>
      </w:pPr>
    </w:p>
    <w:sectPr>
      <w:pgSz w:w="11906" w:h="16838"/>
      <w:pgMar w:top="2098" w:right="1587" w:bottom="1928"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Lucida Sans"/>
    <w:panose1 w:val="020F0502020204030204"/>
    <w:charset w:val="00"/>
    <w:family w:val="swiss"/>
    <w:pitch w:val="default"/>
    <w:sig w:usb0="00000000" w:usb1="00000000" w:usb2="00000001" w:usb3="00000000" w:csb0="0000019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Lucida Sans">
    <w:panose1 w:val="020B0602030504020204"/>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588E"/>
    <w:rsid w:val="000E7504"/>
    <w:rsid w:val="000F3C49"/>
    <w:rsid w:val="00165FB6"/>
    <w:rsid w:val="00293022"/>
    <w:rsid w:val="002C7601"/>
    <w:rsid w:val="003C7E22"/>
    <w:rsid w:val="004D05CB"/>
    <w:rsid w:val="00555529"/>
    <w:rsid w:val="00587423"/>
    <w:rsid w:val="00625294"/>
    <w:rsid w:val="007209BD"/>
    <w:rsid w:val="00731461"/>
    <w:rsid w:val="00810C5C"/>
    <w:rsid w:val="009C3018"/>
    <w:rsid w:val="00C50AB1"/>
    <w:rsid w:val="00CC45F1"/>
    <w:rsid w:val="00E1179F"/>
    <w:rsid w:val="00EB588E"/>
    <w:rsid w:val="00F931CC"/>
    <w:rsid w:val="01743CE9"/>
    <w:rsid w:val="01FD5AB1"/>
    <w:rsid w:val="07F859D3"/>
    <w:rsid w:val="0A110419"/>
    <w:rsid w:val="0D5B4DAF"/>
    <w:rsid w:val="17BE045C"/>
    <w:rsid w:val="1A2569FF"/>
    <w:rsid w:val="1AE06DC5"/>
    <w:rsid w:val="20F05C8E"/>
    <w:rsid w:val="231B75E6"/>
    <w:rsid w:val="27A445C6"/>
    <w:rsid w:val="2A80583E"/>
    <w:rsid w:val="2C08240F"/>
    <w:rsid w:val="2E033671"/>
    <w:rsid w:val="2F596F1A"/>
    <w:rsid w:val="2F900653"/>
    <w:rsid w:val="315E7D50"/>
    <w:rsid w:val="34100C4D"/>
    <w:rsid w:val="34EA0072"/>
    <w:rsid w:val="3A996BDA"/>
    <w:rsid w:val="3C6B1304"/>
    <w:rsid w:val="3EE97BBE"/>
    <w:rsid w:val="4180158D"/>
    <w:rsid w:val="42111EFE"/>
    <w:rsid w:val="429B0B98"/>
    <w:rsid w:val="42A33458"/>
    <w:rsid w:val="42DB1B0B"/>
    <w:rsid w:val="445E65AC"/>
    <w:rsid w:val="4C2C45E9"/>
    <w:rsid w:val="4E781438"/>
    <w:rsid w:val="4FB80BCC"/>
    <w:rsid w:val="50662593"/>
    <w:rsid w:val="551D36D3"/>
    <w:rsid w:val="5663250B"/>
    <w:rsid w:val="567F1C39"/>
    <w:rsid w:val="56F846FD"/>
    <w:rsid w:val="5BB35C8A"/>
    <w:rsid w:val="5BD2415D"/>
    <w:rsid w:val="5DD06984"/>
    <w:rsid w:val="60CB06FF"/>
    <w:rsid w:val="61C87E40"/>
    <w:rsid w:val="663A152D"/>
    <w:rsid w:val="6B902E71"/>
    <w:rsid w:val="6BFE1DFF"/>
    <w:rsid w:val="6C4F668F"/>
    <w:rsid w:val="6E2C14DF"/>
    <w:rsid w:val="716041A4"/>
    <w:rsid w:val="725D0311"/>
    <w:rsid w:val="73E6383D"/>
    <w:rsid w:val="77EE5C88"/>
    <w:rsid w:val="78BB5CB4"/>
    <w:rsid w:val="7C0A18A3"/>
    <w:rsid w:val="7C1737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Layout w:type="fixed"/>
      <w:tblCellMar>
        <w:top w:w="0" w:type="dxa"/>
        <w:left w:w="108" w:type="dxa"/>
        <w:bottom w:w="0" w:type="dxa"/>
        <w:right w:w="108" w:type="dxa"/>
      </w:tblCellMar>
    </w:tblPr>
  </w:style>
  <w:style w:type="paragraph" w:customStyle="1" w:styleId="4">
    <w:name w:val="List Paragraph"/>
    <w:basedOn w:val="1"/>
    <w:qFormat/>
    <w:uiPriority w:val="0"/>
    <w:pPr>
      <w:ind w:firstLine="420" w:firstLineChars="200"/>
    </w:pPr>
    <w:rPr>
      <w:rFonts w:ascii="Calibri" w:hAnsi="Calibri" w:eastAsia="宋体" w:cs="Times New Roman"/>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Micorosoft</Company>
  <Pages>2</Pages>
  <Words>137</Words>
  <Characters>787</Characters>
  <Lines>6</Lines>
  <Paragraphs>1</Paragraphs>
  <TotalTime>8</TotalTime>
  <ScaleCrop>false</ScaleCrop>
  <LinksUpToDate>false</LinksUpToDate>
  <CharactersWithSpaces>923</CharactersWithSpaces>
  <Application>WPS Office_11.1.0.8612_F1E327BC-269C-435d-A152-05C5408002CA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2019-05-13T06:31:00Z</dcterms:created>
  <dc:creator>Micorosoft</dc:creator>
  <cp:lastModifiedBy>Administrator</cp:lastModifiedBy>
  <dcterms:modified xsi:type="dcterms:W3CDTF">2021-03-30T00:48:26Z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2052-11.1.0.8612</vt:lpwstr>
  </property>
</Properties>
</file>