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hint="default" w:ascii="Times New Roman" w:hAnsi="Times New Roman" w:eastAsia="黑体" w:cs="Times New Roman"/>
          <w:spacing w:val="-20"/>
          <w:sz w:val="21"/>
          <w:szCs w:val="21"/>
        </w:rPr>
      </w:pPr>
      <w:r>
        <w:rPr>
          <w:rFonts w:hint="default" w:ascii="Times New Roman" w:hAnsi="Times New Roman" w:eastAsia="黑体" w:cs="Times New Roman"/>
          <w:spacing w:val="-20"/>
          <w:sz w:val="21"/>
          <w:szCs w:val="21"/>
        </w:rPr>
        <w:t xml:space="preserve">                                                                                                                                                                                                                                                                  </w:t>
      </w:r>
    </w:p>
    <w:p>
      <w:pPr>
        <w:topLinePunct/>
        <w:spacing w:line="540" w:lineRule="exact"/>
        <w:ind w:firstLine="1000" w:firstLineChars="25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20"/>
          <w:sz w:val="44"/>
          <w:szCs w:val="44"/>
        </w:rPr>
        <w:t>富民县人民政府办公室</w:t>
      </w:r>
    </w:p>
    <w:p>
      <w:pPr>
        <w:topLinePunct/>
        <w:spacing w:line="540" w:lineRule="exact"/>
        <w:ind w:firstLine="1000" w:firstLineChars="25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pacing w:val="-20"/>
          <w:sz w:val="44"/>
          <w:szCs w:val="44"/>
        </w:rPr>
        <w:t>行政办公大楼运维费</w:t>
      </w:r>
      <w:r>
        <w:rPr>
          <w:rFonts w:hint="default" w:ascii="Times New Roman" w:hAnsi="Times New Roman" w:eastAsia="方正小标宋简体" w:cs="Times New Roman"/>
          <w:sz w:val="44"/>
          <w:szCs w:val="44"/>
        </w:rPr>
        <w:t>项目支出绩效评价报告</w:t>
      </w:r>
    </w:p>
    <w:p>
      <w:pPr>
        <w:topLinePunct/>
        <w:spacing w:line="540" w:lineRule="exact"/>
        <w:ind w:firstLine="800" w:firstLineChars="250"/>
        <w:rPr>
          <w:rFonts w:hint="default" w:ascii="Times New Roman" w:hAnsi="Times New Roman" w:eastAsia="黑体" w:cs="Times New Roman"/>
          <w:szCs w:val="32"/>
        </w:rPr>
      </w:pP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一、项目基本情况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（一）项目概况。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1.立项背景及目的。</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按照签订的《富民县黎阳大厦房屋租赁合同书》，黎阳大厦位于富民县永定街道办事处黎昌路，黎阳大厦整栋房屋按办公室性质承租给富民县人民政府办公室使用，面积共计37177.28平方米。云南富民产业发展投资集团有限公司负责黎阳大厦整栋房屋的维修与修缮管理，电梯养护、运行、维护</w:t>
      </w:r>
      <w:r>
        <w:rPr>
          <w:rFonts w:hint="default" w:ascii="Times New Roman" w:hAnsi="Times New Roman" w:cs="Times New Roman"/>
          <w:szCs w:val="32"/>
          <w:lang w:eastAsia="zh-CN"/>
        </w:rPr>
        <w:t>等</w:t>
      </w:r>
      <w:r>
        <w:rPr>
          <w:rFonts w:hint="default" w:ascii="Times New Roman" w:hAnsi="Times New Roman" w:cs="Times New Roman"/>
          <w:szCs w:val="32"/>
        </w:rPr>
        <w:t>工作。</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2.项目实施情况。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按照《富民县黎阳大厦房屋租赁合同书》，云南富民产业发展投资集团有限公司确保行政办公大楼</w:t>
      </w:r>
      <w:r>
        <w:rPr>
          <w:rFonts w:hint="default" w:ascii="Times New Roman" w:hAnsi="Times New Roman" w:cs="Times New Roman"/>
          <w:szCs w:val="32"/>
          <w:lang w:eastAsia="zh-CN"/>
        </w:rPr>
        <w:t>运维</w:t>
      </w:r>
      <w:r>
        <w:rPr>
          <w:rFonts w:hint="default" w:ascii="Times New Roman" w:hAnsi="Times New Roman" w:cs="Times New Roman"/>
          <w:szCs w:val="32"/>
        </w:rPr>
        <w:t>工作正常。</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3.资金来源及使用情况。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2020年财政预算行政办公大楼运维费专项资金600万元,</w:t>
      </w:r>
      <w:r>
        <w:rPr>
          <w:rFonts w:hint="default" w:ascii="Times New Roman" w:hAnsi="Times New Roman" w:cs="Times New Roman"/>
        </w:rPr>
        <w:t xml:space="preserve"> 全部为富民县财政</w:t>
      </w:r>
      <w:r>
        <w:rPr>
          <w:rFonts w:hint="default" w:ascii="Times New Roman" w:hAnsi="Times New Roman" w:cs="Times New Roman"/>
          <w:szCs w:val="32"/>
        </w:rPr>
        <w:t>政府性基金拨款，资金到位率100%。600万元专项资金全部安排到行政办公大楼运维费项目。</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4.组织及管理情况。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项目实施严格按照合同执行，2020年富民县人民政府办公室支付行政办公大楼运维费600万元。</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（二）绩效目标。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1.总目标。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按照《富民县黎阳大厦房屋租赁合同书》，云南富民产业发展投资集团有限公司确保行政办公大楼</w:t>
      </w:r>
      <w:r>
        <w:rPr>
          <w:rFonts w:hint="eastAsia" w:cs="Times New Roman"/>
          <w:szCs w:val="32"/>
          <w:lang w:eastAsia="zh-CN"/>
        </w:rPr>
        <w:t>运维</w:t>
      </w:r>
      <w:r>
        <w:rPr>
          <w:rFonts w:hint="default" w:ascii="Times New Roman" w:hAnsi="Times New Roman" w:cs="Times New Roman"/>
          <w:szCs w:val="32"/>
        </w:rPr>
        <w:t>工作正常。</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2.年度目标。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（1）产出目标。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按合同要求提供行政办公大楼面积共计37177.28平方米的</w:t>
      </w:r>
      <w:r>
        <w:rPr>
          <w:rFonts w:hint="eastAsia" w:cs="Times New Roman"/>
          <w:szCs w:val="32"/>
          <w:lang w:eastAsia="zh-CN"/>
        </w:rPr>
        <w:t>运管服务</w:t>
      </w:r>
      <w:r>
        <w:rPr>
          <w:rFonts w:hint="default" w:ascii="Times New Roman" w:hAnsi="Times New Roman" w:cs="Times New Roman"/>
          <w:szCs w:val="32"/>
        </w:rPr>
        <w:t>，按合同约定支付行政办公大楼运维费600万元。</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（2）效果目标。</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按时按质</w:t>
      </w:r>
      <w:r>
        <w:rPr>
          <w:rFonts w:hint="eastAsia" w:cs="Times New Roman"/>
          <w:szCs w:val="32"/>
          <w:lang w:eastAsia="zh-CN"/>
        </w:rPr>
        <w:t>做好</w:t>
      </w:r>
      <w:r>
        <w:rPr>
          <w:rFonts w:hint="default" w:ascii="Times New Roman" w:hAnsi="Times New Roman" w:cs="Times New Roman"/>
          <w:szCs w:val="32"/>
        </w:rPr>
        <w:t>维修与修缮管理，电梯养护、运行、维护</w:t>
      </w:r>
      <w:r>
        <w:rPr>
          <w:rFonts w:hint="eastAsia" w:cs="Times New Roman"/>
          <w:szCs w:val="32"/>
          <w:lang w:eastAsia="zh-CN"/>
        </w:rPr>
        <w:t>等工作</w:t>
      </w:r>
      <w:r>
        <w:rPr>
          <w:rFonts w:hint="default" w:ascii="Times New Roman" w:hAnsi="Times New Roman" w:cs="Times New Roman"/>
          <w:szCs w:val="32"/>
        </w:rPr>
        <w:t>，确保行政办公大楼正常运转。</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二、绩效评价工作情况</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通过自评，2020年度行政办公大楼运维费专项资金管理规范，所有项目均实现了统筹规划、归口管理、规范运作。各项效益指标完成良好，一是数量指标：负责行政办公大楼管理。二是可持续影响：确保行政办公大楼工作正常运转。三是服务对象满意度：根据满意度调查反馈，绝大多数使用单位反映良好，项目实施取得满意的效果。</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（二）绩效评价原则、评价方法</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1.绩效评价原则。本次绩效评价遵循科学规范原则、公正公开原则、分级分类原则、绩效相关原则。</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2.绩效评价方法。本次绩效评价采用了成本效益比较法、目标预定与实施效果比较法、最低成本法。</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三、评价结论</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（一）评价结果。</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行政办公大楼运维费项目基本实现了预期绩效目标，总体执行情况良好，根据2020年项目支出绩效自评指标评分表评分，按照打分标准，得出2020年度行政办公大楼运维项目综合评价自评分数为99分，绩效评价等次为“优秀”。</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（二）主要绩效。</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2020年行政办公大楼面积</w:t>
      </w:r>
      <w:r>
        <w:rPr>
          <w:rFonts w:hint="default" w:ascii="Times New Roman" w:hAnsi="Times New Roman" w:cs="Times New Roman"/>
          <w:szCs w:val="32"/>
        </w:rPr>
        <w:t>37177.28</w:t>
      </w:r>
      <w:r>
        <w:rPr>
          <w:rFonts w:hint="default" w:ascii="Times New Roman" w:hAnsi="Times New Roman" w:cs="Times New Roman"/>
          <w:szCs w:val="32"/>
        </w:rPr>
        <w:t>平方米，行政办公大楼运维费用600万元，资金管理规范；行政办公大楼运维</w:t>
      </w:r>
      <w:r>
        <w:rPr>
          <w:rFonts w:hint="eastAsia" w:cs="Times New Roman"/>
          <w:szCs w:val="32"/>
          <w:lang w:eastAsia="zh-CN"/>
        </w:rPr>
        <w:t>费用</w:t>
      </w:r>
      <w:r>
        <w:rPr>
          <w:rFonts w:hint="default" w:ascii="Times New Roman" w:hAnsi="Times New Roman" w:cs="Times New Roman"/>
          <w:szCs w:val="32"/>
        </w:rPr>
        <w:t>在2020年12月31日前按合同支付完毕，为行政办公大楼设施维护等服务，为服务对象提供了</w:t>
      </w:r>
      <w:r>
        <w:rPr>
          <w:rFonts w:hint="eastAsia" w:cs="Times New Roman"/>
          <w:szCs w:val="32"/>
          <w:lang w:eastAsia="zh-CN"/>
        </w:rPr>
        <w:t>安全</w:t>
      </w:r>
      <w:r>
        <w:rPr>
          <w:rFonts w:hint="default" w:ascii="Times New Roman" w:hAnsi="Times New Roman" w:cs="Times New Roman"/>
          <w:szCs w:val="32"/>
        </w:rPr>
        <w:t>舒适的环境。</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四、成本效益分析。</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2020年行政办公大楼运维费收入600万元，支出600万元。资金使用合规，无截留、挪用等现象，资金使用产生效益：</w:t>
      </w:r>
      <w:r>
        <w:rPr>
          <w:rFonts w:hint="default" w:ascii="Times New Roman" w:hAnsi="Times New Roman" w:cs="Times New Roman"/>
          <w:szCs w:val="32"/>
        </w:rPr>
        <w:t>确保行政办公大楼正常运转。</w:t>
      </w:r>
    </w:p>
    <w:p>
      <w:pPr>
        <w:topLinePunct/>
        <w:spacing w:line="540" w:lineRule="exact"/>
        <w:ind w:firstLine="640" w:firstLineChars="200"/>
        <w:rPr>
          <w:rFonts w:hint="default" w:ascii="Times New Roman" w:hAnsi="Times New Roman" w:eastAsia="黑体" w:cs="Times New Roman"/>
          <w:szCs w:val="32"/>
        </w:rPr>
      </w:pPr>
      <w:r>
        <w:rPr>
          <w:rFonts w:hint="default" w:ascii="Times New Roman" w:hAnsi="Times New Roman" w:eastAsia="黑体" w:cs="Times New Roman"/>
          <w:szCs w:val="32"/>
        </w:rPr>
        <w:t>五、主要经验及做法、存在的问题和建议</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（一）主要经验及做法</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加强项目和资金管理，确保资金使用合规合法，严格执行合同规定，认真把控费用支出合规性，使</w:t>
      </w:r>
      <w:r>
        <w:rPr>
          <w:rFonts w:hint="default" w:ascii="Times New Roman" w:hAnsi="Times New Roman" w:cs="Times New Roman"/>
          <w:color w:val="333333"/>
          <w:kern w:val="0"/>
          <w:szCs w:val="32"/>
        </w:rPr>
        <w:t>行政办公大楼管理规范有序。</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（二）存在的问题</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无。</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（三）建议和改进措施</w:t>
      </w:r>
    </w:p>
    <w:p>
      <w:pPr>
        <w:topLinePunct/>
        <w:spacing w:line="540" w:lineRule="exact"/>
        <w:ind w:firstLine="640" w:firstLineChars="200"/>
        <w:rPr>
          <w:rFonts w:hint="default" w:ascii="Times New Roman" w:hAnsi="Times New Roman" w:cs="Times New Roman"/>
          <w:szCs w:val="32"/>
        </w:rPr>
      </w:pPr>
      <w:r>
        <w:rPr>
          <w:rFonts w:hint="default" w:ascii="Times New Roman" w:hAnsi="Times New Roman" w:cs="Times New Roman"/>
          <w:szCs w:val="32"/>
        </w:rPr>
        <w:t>无。</w:t>
      </w:r>
    </w:p>
    <w:p>
      <w:pPr>
        <w:topLinePunct/>
        <w:spacing w:line="540" w:lineRule="exact"/>
        <w:ind w:firstLine="640" w:firstLineChars="200"/>
        <w:rPr>
          <w:rFonts w:hint="default" w:ascii="Times New Roman" w:hAnsi="Times New Roman" w:cs="Times New Roman"/>
          <w:szCs w:val="32"/>
        </w:rPr>
      </w:pPr>
      <w:bookmarkStart w:id="0" w:name="_GoBack"/>
      <w:bookmarkEnd w:id="0"/>
    </w:p>
    <w:tbl>
      <w:tblPr>
        <w:tblStyle w:val="5"/>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20</w:t>
            </w:r>
            <w:r>
              <w:rPr>
                <w:rFonts w:hint="default" w:ascii="Times New Roman" w:hAnsi="Times New Roman" w:eastAsia="黑体" w:cs="Times New Roman"/>
                <w:bCs/>
                <w:sz w:val="36"/>
                <w:szCs w:val="36"/>
              </w:rPr>
              <w:t>20年项目支出绩效自评指标评分表</w:t>
            </w:r>
          </w:p>
          <w:p>
            <w:pPr>
              <w:spacing w:afterLines="50"/>
              <w:jc w:val="center"/>
              <w:rPr>
                <w:rFonts w:hint="default" w:ascii="Times New Roman" w:hAnsi="Times New Roman" w:eastAsia="黑体" w:cs="Times New Roman"/>
                <w:bCs/>
                <w:szCs w:val="32"/>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一级</w:t>
            </w:r>
            <w:r>
              <w:rPr>
                <w:rFonts w:hint="default" w:ascii="Times New Roman" w:hAnsi="Times New Roman" w:cs="Times New Roman"/>
                <w:bCs/>
                <w:sz w:val="21"/>
                <w:szCs w:val="21"/>
              </w:rPr>
              <w:br w:type="textWrapping"/>
            </w:r>
            <w:r>
              <w:rPr>
                <w:rFonts w:hint="default" w:ascii="Times New Roman" w:hAnsi="Times New Roman" w:cs="Times New Roman"/>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二级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三级</w:t>
            </w:r>
          </w:p>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rFonts w:hint="default" w:ascii="Times New Roman" w:hAnsi="Times New Roman" w:cs="Times New Roman"/>
                <w:bCs/>
                <w:sz w:val="21"/>
                <w:szCs w:val="21"/>
              </w:rPr>
            </w:pPr>
            <w:r>
              <w:rPr>
                <w:rFonts w:hint="default" w:ascii="Times New Roman" w:hAnsi="Times New Roman" w:cs="Times New Roman"/>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hint="default" w:ascii="Times New Roman" w:hAnsi="Times New Roman" w:cs="Times New Roman"/>
                <w:sz w:val="15"/>
                <w:szCs w:val="15"/>
              </w:rPr>
            </w:pPr>
            <w:r>
              <w:rPr>
                <w:rFonts w:hint="default" w:ascii="Times New Roman" w:hAnsi="Times New Roman" w:cs="Times New Roman"/>
                <w:sz w:val="15"/>
                <w:szCs w:val="15"/>
              </w:rPr>
              <w:t>一、项目决策（20分）</w:t>
            </w: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1项目立项(10)</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1.与部门中长期规划目标适应性。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4</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考察项目与部门中长期目标是否匹配。</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①部门年度工作目标是否明确设定，得2分；②年度工作目标与部门中长期规划目标一致，得2分。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2.立项依据充分性。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考察项目是否符合政府相关发展规划和政府决策</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符合，得满分；不符合，不得分。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3.项目立项规范性。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考察项目是否与部门职责密切相关。</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是，得满分；否，不得分。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2项目目标(10)</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1.绩效目标设定的合理性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是，得满分；否，不得分。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2.绩效指标设定的明确性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考察是否将绩效目标细化分解为清晰、可衡量的绩效指标；是否与年度工作任务相对应。</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是，得满分；否，不得分。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二、项目管理（20分）</w:t>
            </w:r>
          </w:p>
        </w:tc>
        <w:tc>
          <w:tcPr>
            <w:tcW w:w="640" w:type="dxa"/>
            <w:vMerge w:val="restart"/>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5"/>
                <w:szCs w:val="15"/>
              </w:rPr>
              <w:t>1投入管理（4）</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1.预算编制合理性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2</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考察预算编制是否充分、合理，预计项目支出是否完整反应。</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合理得满分；存在一项不合理，扣0.5分，扣完为止。</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2.预算执行率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2</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考察项目预算执行的进度。预算执行率=实际支出金额/项目预算金额×100%</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预算执行率95%以上，得满分；低于95%，每下降1%扣权重的1%；预算执行率60%以下，不计分。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2.财务管理（6）</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1.资金使用情况</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考察项目资金使用是否符合预算批复的用途，是否存在截留、挤占、挪用、虚列支出等情况。</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合规，得满分；存在一项不合规，扣1分，扣完为止。</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2.财务管理制度健全性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考察项目的财务制度是否健全、完善、有效。</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3.项目实施（10）</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1.项目管理制度健全性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项目实施单位为保障项目顺利实施制订的与项目直接相关的业务管理制度是否健全、完善和有效。</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制订制度或采取措施，得满分；制度不完善或措施不明确，得权重的60%；没有相关制度或措施，不得分。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hint="default" w:ascii="Times New Roman" w:hAnsi="Times New Roman" w:cs="Times New Roman"/>
                <w:sz w:val="18"/>
                <w:szCs w:val="18"/>
              </w:rPr>
            </w:pPr>
          </w:p>
        </w:tc>
        <w:tc>
          <w:tcPr>
            <w:tcW w:w="640" w:type="dxa"/>
            <w:vMerge w:val="continue"/>
          </w:tcPr>
          <w:p>
            <w:pPr>
              <w:spacing w:line="240" w:lineRule="exact"/>
              <w:jc w:val="lef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2.项目管理制度执行有效性</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5</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考察项目实施单位制订的管理制度是否有效执行。</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有效执行，得满分；部分执行，得权重的60%；未执行，不得分。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hint="default" w:ascii="Times New Roman" w:hAnsi="Times New Roman" w:cs="Times New Roman"/>
                <w:sz w:val="18"/>
                <w:szCs w:val="18"/>
              </w:rPr>
            </w:pPr>
            <w:r>
              <w:rPr>
                <w:rFonts w:hint="default" w:ascii="Times New Roman" w:hAnsi="Times New Roman" w:cs="Times New Roman"/>
                <w:sz w:val="18"/>
                <w:szCs w:val="18"/>
              </w:rPr>
              <w:t>三、项目绩效（60分）</w:t>
            </w: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1.项目产出（30分</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1.数量指标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8</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根据该项目实际，考察产出数量的实际完成情况。</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对照绩效目标，按实际产出数量和计划产出数计算得分。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2.质量指标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8</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8</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根据该项目实际，考察项目质量应达到的行业标准。</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对照绩效目标、行业标准计算得分。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3.时效指标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7</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7</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根据该项目实际，考察项目的实际完成时间。</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对照绩效目标、按项目的实际完成时间和计划完成时间计算得分。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4.成本指标</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7</w:t>
            </w:r>
          </w:p>
        </w:tc>
        <w:tc>
          <w:tcPr>
            <w:tcW w:w="552" w:type="dxa"/>
            <w:vAlign w:val="center"/>
          </w:tcPr>
          <w:p>
            <w:pPr>
              <w:spacing w:line="240" w:lineRule="exact"/>
              <w:rPr>
                <w:rFonts w:hint="default" w:ascii="Times New Roman" w:hAnsi="Times New Roman" w:cs="Times New Roman"/>
                <w:sz w:val="18"/>
                <w:szCs w:val="18"/>
              </w:rPr>
            </w:pPr>
            <w:r>
              <w:rPr>
                <w:rFonts w:hint="default" w:ascii="Times New Roman" w:hAnsi="Times New Roman" w:cs="Times New Roman"/>
                <w:sz w:val="18"/>
                <w:szCs w:val="18"/>
              </w:rPr>
              <w:t>7</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根据该项目实际，考察项目总成本和单项成本。</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照绩效目标、按项目的实际成本和计划成本计算得分。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restart"/>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2.项目效益（30分）</w:t>
            </w: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1.经济效益</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3</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根据项目实际，考察项目所产生的直接或间接的经济效益。</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对照绩效目标，按经济效益实现程度计算得分。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tcPr>
          <w:p>
            <w:pPr>
              <w:spacing w:line="240" w:lineRule="exact"/>
              <w:jc w:val="lef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2.社会效益</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20</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20</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根据项目实际，考察项目所产生的社会效益效益。</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对照绩效目标，按社会效益实现程度计算得分。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tcPr>
          <w:p>
            <w:pPr>
              <w:spacing w:line="240" w:lineRule="exact"/>
              <w:jc w:val="lef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3.生态效益</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2</w:t>
            </w:r>
          </w:p>
        </w:tc>
        <w:tc>
          <w:tcPr>
            <w:tcW w:w="2268"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根据项目实际，考察项目所产生的直接或间接的生态效益。</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对照绩效目标，按生态效益实现程度计算得分。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hint="default" w:ascii="Times New Roman" w:hAnsi="Times New Roman" w:cs="Times New Roman"/>
                <w:sz w:val="15"/>
                <w:szCs w:val="15"/>
              </w:rPr>
            </w:pPr>
          </w:p>
        </w:tc>
        <w:tc>
          <w:tcPr>
            <w:tcW w:w="640" w:type="dxa"/>
            <w:vMerge w:val="continue"/>
            <w:vAlign w:val="center"/>
          </w:tcPr>
          <w:p>
            <w:pPr>
              <w:spacing w:line="240" w:lineRule="exact"/>
              <w:rPr>
                <w:rFonts w:hint="default" w:ascii="Times New Roman" w:hAnsi="Times New Roman" w:cs="Times New Roman"/>
                <w:sz w:val="15"/>
                <w:szCs w:val="15"/>
              </w:rPr>
            </w:pPr>
          </w:p>
        </w:tc>
        <w:tc>
          <w:tcPr>
            <w:tcW w:w="1173"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4.服务对象满意度</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5</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4</w:t>
            </w:r>
          </w:p>
        </w:tc>
        <w:tc>
          <w:tcPr>
            <w:tcW w:w="2268" w:type="dxa"/>
            <w:vAlign w:val="center"/>
          </w:tcPr>
          <w:p>
            <w:pPr>
              <w:tabs>
                <w:tab w:val="left" w:pos="2604"/>
              </w:tabs>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服务对象对项目实施的满意程度。</w:t>
            </w:r>
          </w:p>
        </w:tc>
        <w:tc>
          <w:tcPr>
            <w:tcW w:w="2126"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kern w:val="0"/>
                <w:sz w:val="15"/>
                <w:szCs w:val="15"/>
              </w:rPr>
              <w:t>按收集到的服务对象的满意率计算得分。</w:t>
            </w:r>
          </w:p>
        </w:tc>
        <w:tc>
          <w:tcPr>
            <w:tcW w:w="1369" w:type="dxa"/>
            <w:vAlign w:val="center"/>
          </w:tcPr>
          <w:p>
            <w:pPr>
              <w:spacing w:line="240" w:lineRule="exact"/>
              <w:rPr>
                <w:rFonts w:hint="default" w:ascii="Times New Roman" w:hAnsi="Times New Roman" w:cs="Times New Roman"/>
                <w:sz w:val="15"/>
                <w:szCs w:val="15"/>
              </w:rPr>
            </w:pPr>
            <w:r>
              <w:rPr>
                <w:rFonts w:hint="default" w:ascii="Times New Roman" w:hAnsi="Times New Roman" w:cs="Times New Roman"/>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hint="default" w:ascii="Times New Roman" w:hAnsi="Times New Roman" w:cs="Times New Roman"/>
                <w:b/>
                <w:sz w:val="18"/>
                <w:szCs w:val="18"/>
              </w:rPr>
            </w:pPr>
            <w:r>
              <w:rPr>
                <w:rFonts w:hint="default" w:ascii="Times New Roman" w:hAnsi="Times New Roman" w:cs="Times New Roman"/>
                <w:b/>
                <w:sz w:val="18"/>
                <w:szCs w:val="18"/>
              </w:rPr>
              <w:t>合  计</w:t>
            </w:r>
          </w:p>
        </w:tc>
        <w:tc>
          <w:tcPr>
            <w:tcW w:w="570"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100</w:t>
            </w:r>
          </w:p>
        </w:tc>
        <w:tc>
          <w:tcPr>
            <w:tcW w:w="552" w:type="dxa"/>
            <w:vAlign w:val="center"/>
          </w:tcPr>
          <w:p>
            <w:pPr>
              <w:spacing w:line="240" w:lineRule="exact"/>
              <w:jc w:val="center"/>
              <w:rPr>
                <w:rFonts w:hint="default" w:ascii="Times New Roman" w:hAnsi="Times New Roman" w:cs="Times New Roman"/>
                <w:sz w:val="18"/>
                <w:szCs w:val="18"/>
              </w:rPr>
            </w:pPr>
            <w:r>
              <w:rPr>
                <w:rFonts w:hint="default" w:ascii="Times New Roman" w:hAnsi="Times New Roman" w:cs="Times New Roman"/>
                <w:sz w:val="18"/>
                <w:szCs w:val="18"/>
              </w:rPr>
              <w:t>99</w:t>
            </w:r>
          </w:p>
        </w:tc>
        <w:tc>
          <w:tcPr>
            <w:tcW w:w="5763" w:type="dxa"/>
            <w:gridSpan w:val="3"/>
            <w:vAlign w:val="center"/>
          </w:tcPr>
          <w:p>
            <w:pPr>
              <w:spacing w:line="240" w:lineRule="exact"/>
              <w:jc w:val="left"/>
              <w:rPr>
                <w:rFonts w:hint="default" w:ascii="Times New Roman" w:hAnsi="Times New Roman" w:cs="Times New Roman"/>
                <w:sz w:val="18"/>
                <w:szCs w:val="18"/>
              </w:rPr>
            </w:pPr>
            <w:r>
              <w:rPr>
                <w:rFonts w:hint="default" w:ascii="Times New Roman" w:hAnsi="Times New Roman" w:cs="Times New Roman"/>
                <w:sz w:val="18"/>
                <w:szCs w:val="18"/>
              </w:rPr>
              <w:t>评价等次：实际得分（S）≥90,优秀；90＞S≥80,良好；80＞S≥60,合格；S＜60，不合格。</w:t>
            </w:r>
          </w:p>
        </w:tc>
      </w:tr>
    </w:tbl>
    <w:p>
      <w:pPr>
        <w:jc w:val="center"/>
        <w:rPr>
          <w:rFonts w:hint="default" w:ascii="Times New Roman" w:hAnsi="Times New Roman" w:eastAsia="黑体" w:cs="Times New Roman"/>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1657"/>
    <w:rsid w:val="0006088B"/>
    <w:rsid w:val="00076B47"/>
    <w:rsid w:val="00083026"/>
    <w:rsid w:val="000A2E4C"/>
    <w:rsid w:val="000D37FE"/>
    <w:rsid w:val="000F16B4"/>
    <w:rsid w:val="001104B7"/>
    <w:rsid w:val="00110577"/>
    <w:rsid w:val="00110E39"/>
    <w:rsid w:val="00127A2F"/>
    <w:rsid w:val="0013045D"/>
    <w:rsid w:val="00164E25"/>
    <w:rsid w:val="00175AAC"/>
    <w:rsid w:val="00197507"/>
    <w:rsid w:val="001C5DCB"/>
    <w:rsid w:val="00203406"/>
    <w:rsid w:val="002318E0"/>
    <w:rsid w:val="00246DAD"/>
    <w:rsid w:val="0025715A"/>
    <w:rsid w:val="00270E18"/>
    <w:rsid w:val="00282102"/>
    <w:rsid w:val="002C1657"/>
    <w:rsid w:val="002E3518"/>
    <w:rsid w:val="003033E4"/>
    <w:rsid w:val="00341940"/>
    <w:rsid w:val="00346B6F"/>
    <w:rsid w:val="00364740"/>
    <w:rsid w:val="003714A9"/>
    <w:rsid w:val="003777D5"/>
    <w:rsid w:val="003C2470"/>
    <w:rsid w:val="003D7DDC"/>
    <w:rsid w:val="003E1CE8"/>
    <w:rsid w:val="003E51DC"/>
    <w:rsid w:val="004404E8"/>
    <w:rsid w:val="004E1CFF"/>
    <w:rsid w:val="005825CE"/>
    <w:rsid w:val="0059730F"/>
    <w:rsid w:val="005B6DCE"/>
    <w:rsid w:val="005C4EBC"/>
    <w:rsid w:val="005C7692"/>
    <w:rsid w:val="0068776A"/>
    <w:rsid w:val="006B646E"/>
    <w:rsid w:val="006C69CD"/>
    <w:rsid w:val="006E11EF"/>
    <w:rsid w:val="00781BE3"/>
    <w:rsid w:val="007A2AEE"/>
    <w:rsid w:val="007B15FD"/>
    <w:rsid w:val="007D6B96"/>
    <w:rsid w:val="008200F2"/>
    <w:rsid w:val="00825412"/>
    <w:rsid w:val="008429E3"/>
    <w:rsid w:val="00886E5D"/>
    <w:rsid w:val="008C67AB"/>
    <w:rsid w:val="008D1B0B"/>
    <w:rsid w:val="00907C08"/>
    <w:rsid w:val="00950C6C"/>
    <w:rsid w:val="00971170"/>
    <w:rsid w:val="00991C6C"/>
    <w:rsid w:val="00993DEC"/>
    <w:rsid w:val="009A7C71"/>
    <w:rsid w:val="009D4A58"/>
    <w:rsid w:val="009E55C2"/>
    <w:rsid w:val="009F5192"/>
    <w:rsid w:val="00A3508F"/>
    <w:rsid w:val="00A4158F"/>
    <w:rsid w:val="00A70BC2"/>
    <w:rsid w:val="00A7249B"/>
    <w:rsid w:val="00A730D7"/>
    <w:rsid w:val="00A9345F"/>
    <w:rsid w:val="00B05696"/>
    <w:rsid w:val="00B21CE2"/>
    <w:rsid w:val="00B27C69"/>
    <w:rsid w:val="00B540B6"/>
    <w:rsid w:val="00B7368C"/>
    <w:rsid w:val="00C54E77"/>
    <w:rsid w:val="00CA7DE8"/>
    <w:rsid w:val="00CC0BDC"/>
    <w:rsid w:val="00CC1440"/>
    <w:rsid w:val="00CE64E1"/>
    <w:rsid w:val="00CF6D07"/>
    <w:rsid w:val="00D20A5D"/>
    <w:rsid w:val="00D263E1"/>
    <w:rsid w:val="00D868F3"/>
    <w:rsid w:val="00D96A1D"/>
    <w:rsid w:val="00D96B8D"/>
    <w:rsid w:val="00DA414F"/>
    <w:rsid w:val="00DF5C8E"/>
    <w:rsid w:val="00E07C05"/>
    <w:rsid w:val="00E30C53"/>
    <w:rsid w:val="00E36750"/>
    <w:rsid w:val="00E560DB"/>
    <w:rsid w:val="00EA0572"/>
    <w:rsid w:val="00EA3D4A"/>
    <w:rsid w:val="00EF279E"/>
    <w:rsid w:val="00F06507"/>
    <w:rsid w:val="00F51558"/>
    <w:rsid w:val="00FA1C86"/>
    <w:rsid w:val="00FA1DD3"/>
    <w:rsid w:val="00FF23ED"/>
    <w:rsid w:val="00FF7E55"/>
    <w:rsid w:val="3E331991"/>
    <w:rsid w:val="5C133998"/>
    <w:rsid w:val="6A2C5E91"/>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kern w:val="2"/>
      <w:sz w:val="18"/>
      <w:szCs w:val="18"/>
    </w:rPr>
  </w:style>
  <w:style w:type="character" w:customStyle="1" w:styleId="7">
    <w:name w:val="页脚 Char"/>
    <w:basedOn w:val="4"/>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62C614-7BF2-41B7-83F4-4ED55F81D19A}">
  <ds:schemaRefs/>
</ds:datastoreItem>
</file>

<file path=docProps/app.xml><?xml version="1.0" encoding="utf-8"?>
<Properties xmlns="http://schemas.openxmlformats.org/officeDocument/2006/extended-properties" xmlns:vt="http://schemas.openxmlformats.org/officeDocument/2006/docPropsVTypes">
  <Template>Normal.dotm</Template>
  <Company>fmczj</Company>
  <Pages>5</Pages>
  <Words>531</Words>
  <Characters>3032</Characters>
  <Lines>25</Lines>
  <Paragraphs>7</Paragraphs>
  <TotalTime>0</TotalTime>
  <ScaleCrop>false</ScaleCrop>
  <LinksUpToDate>false</LinksUpToDate>
  <CharactersWithSpaces>3556</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2021-04-07T03:32:00Z</dcterms:created>
  <dc:creator>张子明</dc:creator>
  <cp:lastModifiedBy>顾超</cp:lastModifiedBy>
  <dcterms:modified xsi:type="dcterms:W3CDTF">2021-04-15T02:53:04Z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