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340" w:firstLineChars="200"/>
        <w:jc w:val="left"/>
        <w:rPr>
          <w:rFonts w:hint="default" w:ascii="Times New Roman" w:hAnsi="Times New Roman" w:eastAsia="黑体" w:cs="Times New Roman"/>
          <w:spacing w:val="-20"/>
          <w:sz w:val="21"/>
          <w:szCs w:val="21"/>
        </w:rPr>
      </w:pPr>
      <w:r>
        <w:rPr>
          <w:rFonts w:hint="default" w:ascii="Times New Roman" w:hAnsi="Times New Roman" w:eastAsia="黑体" w:cs="Times New Roman"/>
          <w:spacing w:val="-20"/>
          <w:sz w:val="21"/>
          <w:szCs w:val="21"/>
        </w:rPr>
        <w:t xml:space="preserve">                                                                                                                                                                                                                                                                  </w:t>
      </w:r>
    </w:p>
    <w:p>
      <w:pPr>
        <w:topLinePunct/>
        <w:spacing w:line="54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pacing w:val="-20"/>
          <w:sz w:val="44"/>
          <w:szCs w:val="44"/>
        </w:rPr>
        <w:t>富民县人民政府办公室</w:t>
      </w:r>
    </w:p>
    <w:p>
      <w:pPr>
        <w:topLinePunct/>
        <w:spacing w:line="54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pacing w:val="-20"/>
          <w:sz w:val="44"/>
          <w:szCs w:val="44"/>
        </w:rPr>
        <w:t>政府办业务经费</w:t>
      </w:r>
      <w:r>
        <w:rPr>
          <w:rFonts w:hint="default" w:ascii="Times New Roman" w:hAnsi="Times New Roman" w:eastAsia="方正小标宋简体" w:cs="Times New Roman"/>
          <w:sz w:val="44"/>
          <w:szCs w:val="44"/>
        </w:rPr>
        <w:t>项目支出绩效评价报告</w:t>
      </w:r>
    </w:p>
    <w:p>
      <w:pPr>
        <w:topLinePunct/>
        <w:spacing w:line="540" w:lineRule="exact"/>
        <w:ind w:firstLine="800" w:firstLineChars="250"/>
        <w:jc w:val="left"/>
        <w:rPr>
          <w:rFonts w:hint="default" w:ascii="Times New Roman" w:hAnsi="Times New Roman" w:eastAsia="黑体" w:cs="Times New Roman"/>
          <w:szCs w:val="32"/>
        </w:rPr>
      </w:pPr>
    </w:p>
    <w:p>
      <w:pPr>
        <w:topLinePunct/>
        <w:spacing w:line="540" w:lineRule="exact"/>
        <w:ind w:firstLine="640" w:firstLineChars="200"/>
        <w:rPr>
          <w:rFonts w:hint="default" w:ascii="Times New Roman" w:hAnsi="Times New Roman" w:eastAsia="黑体" w:cs="Times New Roman"/>
          <w:szCs w:val="32"/>
        </w:rPr>
      </w:pPr>
      <w:r>
        <w:rPr>
          <w:rFonts w:hint="default" w:ascii="Times New Roman" w:hAnsi="Times New Roman" w:eastAsia="黑体" w:cs="Times New Roman"/>
          <w:szCs w:val="32"/>
        </w:rPr>
        <w:t>一、项目基本情况</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（一）项目概况。</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1.立项背景及目的。</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政府办业务费项目为一般行政管理事务，每年均有发生，确保政府办日常办公正常运转。</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2.项目实施情况。</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政府办按照日常工作任务安排，在预算范围内向县财政部门申请资金计划，在财政资金计划批复后，及时按预算下达项目开展日常工作。</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3.资金来源及使用情况。</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2020年财政预算政府办业务费专项资金23.85万</w:t>
      </w:r>
      <w:bookmarkStart w:id="0" w:name="_GoBack"/>
      <w:bookmarkEnd w:id="0"/>
      <w:r>
        <w:rPr>
          <w:rFonts w:hint="default" w:ascii="Times New Roman" w:hAnsi="Times New Roman" w:cs="Times New Roman"/>
          <w:szCs w:val="32"/>
        </w:rPr>
        <w:t>元,</w:t>
      </w:r>
      <w:r>
        <w:rPr>
          <w:rFonts w:hint="default" w:ascii="Times New Roman" w:hAnsi="Times New Roman" w:cs="Times New Roman"/>
        </w:rPr>
        <w:t xml:space="preserve"> 全部为富民县财政</w:t>
      </w:r>
      <w:r>
        <w:rPr>
          <w:rFonts w:hint="default" w:ascii="Times New Roman" w:hAnsi="Times New Roman" w:cs="Times New Roman"/>
          <w:szCs w:val="32"/>
        </w:rPr>
        <w:t>一般公共服务支出拨款，资金到位率100%。实际使用金额19.97万元，结转3.88万元。用于固定资产购置197.97万元。</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4.组织及管理情况。</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政府办业务费项目为政府办日常办公经费。项目支出严格按照相关规定执行。</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（二）绩效目标。</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1.总目标。</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政府办业务费项目的绩效目标为维持政府办日常工作良好的推进，确保各项工作正常运转，完善工作人员的工作环境。</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2.年度目标。</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（1）产出目标。</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政府办业务费进一步保障政府办各项工作正常运转。</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（2）效果目标。</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确保政府办各项工作正常运转。</w:t>
      </w:r>
    </w:p>
    <w:p>
      <w:pPr>
        <w:topLinePunct/>
        <w:spacing w:line="540" w:lineRule="exact"/>
        <w:ind w:firstLine="640" w:firstLineChars="200"/>
        <w:rPr>
          <w:rFonts w:hint="default" w:ascii="Times New Roman" w:hAnsi="Times New Roman" w:eastAsia="黑体" w:cs="Times New Roman"/>
          <w:szCs w:val="32"/>
        </w:rPr>
      </w:pPr>
      <w:r>
        <w:rPr>
          <w:rFonts w:hint="default" w:ascii="Times New Roman" w:hAnsi="Times New Roman" w:eastAsia="黑体" w:cs="Times New Roman"/>
          <w:szCs w:val="32"/>
        </w:rPr>
        <w:t>二、绩效评价工作情况</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（一）绩效评价目的</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通过绩效评价，考察项目的真实性、项目资金的到位率和使用率、项目执行的经济效益和社会效益，同时看到项目的问题及不足，不断调整和改进工作方法，查漏补缺，提高项目实施单位工作效率，为今后的项目实施提供参考，以制定更合理的项目计划方案。</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（二）绩效评价原则、评价方法</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1.绩效评价原则。本次绩效评价遵循科学规范原则、公正公开原则、分级分类原则、绩效相关原则。</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2.绩效评价方法。本次绩效评价采用了成本效益比较法、目标预定与实施效果比较法、最低成本法。</w:t>
      </w:r>
    </w:p>
    <w:p>
      <w:pPr>
        <w:topLinePunct/>
        <w:spacing w:line="540" w:lineRule="exact"/>
        <w:ind w:firstLine="640" w:firstLineChars="200"/>
        <w:rPr>
          <w:rFonts w:hint="default" w:ascii="Times New Roman" w:hAnsi="Times New Roman" w:eastAsia="黑体" w:cs="Times New Roman"/>
          <w:szCs w:val="32"/>
        </w:rPr>
      </w:pPr>
      <w:r>
        <w:rPr>
          <w:rFonts w:hint="default" w:ascii="Times New Roman" w:hAnsi="Times New Roman" w:eastAsia="黑体" w:cs="Times New Roman"/>
          <w:szCs w:val="32"/>
        </w:rPr>
        <w:t>三、评价结论</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（一）评价结果。</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政府办业务费项目基本实现了预期绩效目标，总体执行情况良好，根据2020年项目支出绩效自评指标评分表评分，按照打分标准，得出2020年度政府办业务费项目综合评价自评分数为99分，绩效评价等次为“优秀”。</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（二）主要绩效。</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通过绩效评价结果了解单位财政资金使用状况，分析诊断单位内部管理问题，促进单位树立绩效意识、管理意识和责任意识。</w:t>
      </w:r>
    </w:p>
    <w:p>
      <w:pPr>
        <w:topLinePunct/>
        <w:spacing w:line="540" w:lineRule="exact"/>
        <w:ind w:firstLine="640" w:firstLineChars="200"/>
        <w:rPr>
          <w:rFonts w:hint="default" w:ascii="Times New Roman" w:hAnsi="Times New Roman" w:eastAsia="黑体" w:cs="Times New Roman"/>
          <w:szCs w:val="32"/>
        </w:rPr>
      </w:pPr>
      <w:r>
        <w:rPr>
          <w:rFonts w:hint="default" w:ascii="Times New Roman" w:hAnsi="Times New Roman" w:eastAsia="黑体" w:cs="Times New Roman"/>
          <w:szCs w:val="32"/>
        </w:rPr>
        <w:t>四、成本效益分析。</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2020年政府办业务费收入23.85万元，支出19.97万元。资金使用合规合法，无截留、挪用等现象，资金使用产生效益：确保政府办各项工作正常运转。</w:t>
      </w:r>
    </w:p>
    <w:p>
      <w:pPr>
        <w:topLinePunct/>
        <w:spacing w:line="540" w:lineRule="exact"/>
        <w:ind w:firstLine="640" w:firstLineChars="200"/>
        <w:rPr>
          <w:rFonts w:hint="default" w:ascii="Times New Roman" w:hAnsi="Times New Roman" w:eastAsia="黑体" w:cs="Times New Roman"/>
          <w:szCs w:val="32"/>
        </w:rPr>
      </w:pPr>
      <w:r>
        <w:rPr>
          <w:rFonts w:hint="default" w:ascii="Times New Roman" w:hAnsi="Times New Roman" w:eastAsia="黑体" w:cs="Times New Roman"/>
          <w:szCs w:val="32"/>
        </w:rPr>
        <w:t>五、主要经验及做法、存在的问题和建议</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（一）主要经验及做法；</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项目规划准备充分。制定了较完善的项目预算，对资金用途、使用要求、使用部门、责任分工等进行了规范，使项目得以顺利实施。</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（二）存在的问题；</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管理制度需进一步完善，明确绩效指标和项目界定标准。项目资金的使用未设定相应的预算指标，使得项目资金没有明确的考核标准。</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（三）建议和改进措施。</w:t>
      </w:r>
    </w:p>
    <w:p>
      <w:pPr>
        <w:ind w:firstLine="640" w:firstLineChars="200"/>
        <w:rPr>
          <w:rFonts w:hint="default" w:ascii="Times New Roman" w:hAnsi="Times New Roman" w:cs="Times New Roman"/>
        </w:rPr>
      </w:pPr>
      <w:r>
        <w:rPr>
          <w:rFonts w:hint="default" w:ascii="Times New Roman" w:hAnsi="Times New Roman" w:cs="Times New Roman"/>
        </w:rPr>
        <w:t>明确项目绩效目标，细化项目管理。建立健全的项目制度，制定对食堂单位的考核方案。完善预算编制，提高预算执行水平。严格执行考核制度，提高服务效率。</w:t>
      </w: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tbl>
      <w:tblPr>
        <w:tblStyle w:val="5"/>
        <w:tblW w:w="9174" w:type="dxa"/>
        <w:jc w:val="center"/>
        <w:tblInd w:w="0" w:type="dxa"/>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Layout w:type="fixed"/>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hint="default" w:ascii="Times New Roman" w:hAnsi="Times New Roman" w:eastAsia="黑体" w:cs="Times New Roman"/>
                <w:bCs/>
                <w:sz w:val="36"/>
                <w:szCs w:val="36"/>
              </w:rPr>
            </w:pPr>
            <w:r>
              <w:rPr>
                <w:rFonts w:hint="default" w:ascii="Times New Roman" w:hAnsi="Times New Roman" w:eastAsia="黑体" w:cs="Times New Roman"/>
                <w:bCs/>
                <w:sz w:val="36"/>
                <w:szCs w:val="36"/>
              </w:rPr>
              <w:t>20</w:t>
            </w:r>
            <w:r>
              <w:rPr>
                <w:rFonts w:hint="default" w:ascii="Times New Roman" w:hAnsi="Times New Roman" w:eastAsia="黑体" w:cs="Times New Roman"/>
                <w:bCs/>
                <w:sz w:val="36"/>
                <w:szCs w:val="36"/>
              </w:rPr>
              <w:t>20年项目支出绩效自评指标评分表</w:t>
            </w:r>
          </w:p>
          <w:p>
            <w:pPr>
              <w:spacing w:afterLines="50"/>
              <w:jc w:val="center"/>
              <w:rPr>
                <w:rFonts w:hint="default" w:ascii="Times New Roman" w:hAnsi="Times New Roman" w:eastAsia="黑体" w:cs="Times New Roman"/>
                <w:b/>
                <w:bCs/>
                <w:sz w:val="18"/>
                <w:szCs w:val="18"/>
              </w:rPr>
            </w:pPr>
          </w:p>
        </w:tc>
      </w:tr>
      <w:tr>
        <w:tblPrEx>
          <w:tblLayout w:type="fixed"/>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一级</w:t>
            </w:r>
            <w:r>
              <w:rPr>
                <w:rFonts w:hint="default" w:ascii="Times New Roman" w:hAnsi="Times New Roman" w:cs="Times New Roman"/>
                <w:bCs/>
                <w:sz w:val="21"/>
                <w:szCs w:val="21"/>
              </w:rPr>
              <w:br w:type="textWrapping"/>
            </w:r>
            <w:r>
              <w:rPr>
                <w:rFonts w:hint="default" w:ascii="Times New Roman" w:hAnsi="Times New Roman" w:cs="Times New Roman"/>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二级</w:t>
            </w:r>
          </w:p>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三级</w:t>
            </w:r>
          </w:p>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hint="default" w:ascii="Times New Roman" w:hAnsi="Times New Roman" w:cs="Times New Roman"/>
                <w:sz w:val="15"/>
                <w:szCs w:val="15"/>
              </w:rPr>
            </w:pPr>
            <w:r>
              <w:rPr>
                <w:rFonts w:hint="default" w:ascii="Times New Roman" w:hAnsi="Times New Roman" w:cs="Times New Roman"/>
                <w:sz w:val="15"/>
                <w:szCs w:val="15"/>
              </w:rPr>
              <w:t>一、项目决策（20分）</w:t>
            </w:r>
          </w:p>
        </w:tc>
        <w:tc>
          <w:tcPr>
            <w:tcW w:w="640" w:type="dxa"/>
            <w:vMerge w:val="restart"/>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1项目立项(10)</w:t>
            </w: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1.与部门中长期规划目标适应性。</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4</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4</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考察项目与部门中长期目标是否匹配。</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①部门年度工作目标是否明确设定，得2分；②年度工作目标与部门中长期规划目标一致，得2分。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hint="default" w:ascii="Times New Roman" w:hAnsi="Times New Roman" w:cs="Times New Roman"/>
                <w:sz w:val="15"/>
                <w:szCs w:val="15"/>
              </w:rPr>
            </w:pPr>
          </w:p>
        </w:tc>
        <w:tc>
          <w:tcPr>
            <w:tcW w:w="640" w:type="dxa"/>
            <w:vMerge w:val="continue"/>
            <w:vAlign w:val="center"/>
          </w:tcPr>
          <w:p>
            <w:pPr>
              <w:spacing w:line="240" w:lineRule="exac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2.立项依据充分性。</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3</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3</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考察项目是否符合政府相关发展规划和政府决策</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符合，得满分；不符合，不得分。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hint="default" w:ascii="Times New Roman" w:hAnsi="Times New Roman" w:cs="Times New Roman"/>
                <w:sz w:val="15"/>
                <w:szCs w:val="15"/>
              </w:rPr>
            </w:pPr>
          </w:p>
        </w:tc>
        <w:tc>
          <w:tcPr>
            <w:tcW w:w="640" w:type="dxa"/>
            <w:vMerge w:val="continue"/>
            <w:vAlign w:val="center"/>
          </w:tcPr>
          <w:p>
            <w:pPr>
              <w:spacing w:line="240" w:lineRule="exac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3.项目立项规范性。</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3</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3</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考察项目是否与部门职责密切相关。</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是，得满分；否，不得分。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hint="default" w:ascii="Times New Roman" w:hAnsi="Times New Roman" w:cs="Times New Roman"/>
                <w:sz w:val="15"/>
                <w:szCs w:val="15"/>
              </w:rPr>
            </w:pPr>
          </w:p>
        </w:tc>
        <w:tc>
          <w:tcPr>
            <w:tcW w:w="640" w:type="dxa"/>
            <w:vMerge w:val="restart"/>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2项目目标(10)</w:t>
            </w: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1.绩效目标设定的合理性</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5</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5</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是，得满分；否，不得分。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hint="default" w:ascii="Times New Roman" w:hAnsi="Times New Roman" w:cs="Times New Roman"/>
                <w:sz w:val="15"/>
                <w:szCs w:val="15"/>
              </w:rPr>
            </w:pPr>
          </w:p>
        </w:tc>
        <w:tc>
          <w:tcPr>
            <w:tcW w:w="640" w:type="dxa"/>
            <w:vMerge w:val="continue"/>
            <w:vAlign w:val="center"/>
          </w:tcPr>
          <w:p>
            <w:pPr>
              <w:spacing w:line="240" w:lineRule="exac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2.绩效指标设定的明确性</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5</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5</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考察是否将绩效目标细化分解为清晰、可衡量的绩效指标；是否与年度工作任务相对应。</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是，得满分；否，不得分。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hint="default" w:ascii="Times New Roman" w:hAnsi="Times New Roman" w:cs="Times New Roman"/>
                <w:sz w:val="18"/>
                <w:szCs w:val="18"/>
              </w:rPr>
            </w:pPr>
            <w:r>
              <w:rPr>
                <w:rFonts w:hint="default" w:ascii="Times New Roman" w:hAnsi="Times New Roman" w:cs="Times New Roman"/>
                <w:sz w:val="18"/>
                <w:szCs w:val="18"/>
              </w:rPr>
              <w:t>二、项目管理（20分）</w:t>
            </w:r>
          </w:p>
        </w:tc>
        <w:tc>
          <w:tcPr>
            <w:tcW w:w="640" w:type="dxa"/>
            <w:vMerge w:val="restart"/>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5"/>
                <w:szCs w:val="15"/>
              </w:rPr>
              <w:t>1投入管理（4）</w:t>
            </w: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1.预算编制合理性</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2</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2</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考察预算编制是否充分、合理，预计项目支出是否完整反应。</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合理得满分；存在一项不合理，扣0.5分，扣完为止。</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hint="default" w:ascii="Times New Roman" w:hAnsi="Times New Roman" w:cs="Times New Roman"/>
                <w:sz w:val="18"/>
                <w:szCs w:val="18"/>
              </w:rPr>
            </w:pPr>
          </w:p>
        </w:tc>
        <w:tc>
          <w:tcPr>
            <w:tcW w:w="640" w:type="dxa"/>
            <w:vMerge w:val="continue"/>
            <w:vAlign w:val="center"/>
          </w:tcPr>
          <w:p>
            <w:pPr>
              <w:spacing w:line="240" w:lineRule="exac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2.预算执行率</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2</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2</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考察项目预算执行的进度。预算执行率=实际支出金额/项目预算金额×100%</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预算执行率95%以上，得满分；低于95%，每下降1%扣权重的1%；预算执行率60%以下，不计分。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rFonts w:hint="default" w:ascii="Times New Roman" w:hAnsi="Times New Roman" w:cs="Times New Roman"/>
                <w:sz w:val="18"/>
                <w:szCs w:val="18"/>
              </w:rPr>
            </w:pPr>
          </w:p>
        </w:tc>
        <w:tc>
          <w:tcPr>
            <w:tcW w:w="640" w:type="dxa"/>
            <w:vMerge w:val="restart"/>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2.财务管理（6）</w:t>
            </w: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1.资金使用情况</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3</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3</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考察项目资金使用是否符合预算批复的用途，是否存在截留、挤占、挪用、虚列支出等情况。</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合规，得满分；存在一项不合规，扣1分，扣完为止。</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hint="default" w:ascii="Times New Roman" w:hAnsi="Times New Roman" w:cs="Times New Roman"/>
                <w:sz w:val="18"/>
                <w:szCs w:val="18"/>
              </w:rPr>
            </w:pPr>
          </w:p>
        </w:tc>
        <w:tc>
          <w:tcPr>
            <w:tcW w:w="640" w:type="dxa"/>
            <w:vMerge w:val="continue"/>
            <w:vAlign w:val="center"/>
          </w:tcPr>
          <w:p>
            <w:pPr>
              <w:spacing w:line="240" w:lineRule="exac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2.财务管理制度健全性</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3</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3</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考察项目的财务制度是否健全、完善、有效。</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hint="default" w:ascii="Times New Roman" w:hAnsi="Times New Roman" w:cs="Times New Roman"/>
                <w:sz w:val="18"/>
                <w:szCs w:val="18"/>
              </w:rPr>
            </w:pPr>
          </w:p>
        </w:tc>
        <w:tc>
          <w:tcPr>
            <w:tcW w:w="640" w:type="dxa"/>
            <w:vMerge w:val="restart"/>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3.项目实施（10）</w:t>
            </w: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1.项目管理制度健全性</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5</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4</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项目实施单位为保障项目顺利实施制订的与项目直接相关的业务管理制度是否健全、完善和有效。</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制订制度或采取措施，得满分；制度不完善或措施不明确，得权重的60%；没有相关制度或措施，不得分。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hint="default" w:ascii="Times New Roman" w:hAnsi="Times New Roman" w:cs="Times New Roman"/>
                <w:sz w:val="18"/>
                <w:szCs w:val="18"/>
              </w:rPr>
            </w:pPr>
          </w:p>
        </w:tc>
        <w:tc>
          <w:tcPr>
            <w:tcW w:w="640" w:type="dxa"/>
            <w:vMerge w:val="continue"/>
          </w:tcPr>
          <w:p>
            <w:pPr>
              <w:spacing w:line="240" w:lineRule="exact"/>
              <w:jc w:val="lef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2.项目管理制度执行有效性</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5</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5</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考察项目实施单位制订的管理制度是否有效执行。</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有效执行，得满分；部分执行，得权重的60%；未执行，不得分。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hint="default" w:ascii="Times New Roman" w:hAnsi="Times New Roman" w:cs="Times New Roman"/>
                <w:sz w:val="18"/>
                <w:szCs w:val="18"/>
              </w:rPr>
            </w:pPr>
            <w:r>
              <w:rPr>
                <w:rFonts w:hint="default" w:ascii="Times New Roman" w:hAnsi="Times New Roman" w:cs="Times New Roman"/>
                <w:sz w:val="18"/>
                <w:szCs w:val="18"/>
              </w:rPr>
              <w:t>三、项目绩效（60分）</w:t>
            </w:r>
          </w:p>
        </w:tc>
        <w:tc>
          <w:tcPr>
            <w:tcW w:w="640" w:type="dxa"/>
            <w:vMerge w:val="restart"/>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1.项目产出（30分</w:t>
            </w: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1.数量指标</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8</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8</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根据该项目实际，考察产出数量的实际完成情况。</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对照绩效目标，按实际产出数量和计划产出数计算得分。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hint="default" w:ascii="Times New Roman" w:hAnsi="Times New Roman" w:cs="Times New Roman"/>
                <w:sz w:val="15"/>
                <w:szCs w:val="15"/>
              </w:rPr>
            </w:pPr>
          </w:p>
        </w:tc>
        <w:tc>
          <w:tcPr>
            <w:tcW w:w="640" w:type="dxa"/>
            <w:vMerge w:val="continue"/>
            <w:vAlign w:val="center"/>
          </w:tcPr>
          <w:p>
            <w:pPr>
              <w:spacing w:line="240" w:lineRule="exac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2.质量指标</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8</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8</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根据该项目实际，考察项目质量应达到的行业标准。</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对照绩效目标、行业标准计算得分。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hint="default" w:ascii="Times New Roman" w:hAnsi="Times New Roman" w:cs="Times New Roman"/>
                <w:sz w:val="15"/>
                <w:szCs w:val="15"/>
              </w:rPr>
            </w:pPr>
          </w:p>
        </w:tc>
        <w:tc>
          <w:tcPr>
            <w:tcW w:w="640" w:type="dxa"/>
            <w:vMerge w:val="continue"/>
            <w:vAlign w:val="center"/>
          </w:tcPr>
          <w:p>
            <w:pPr>
              <w:spacing w:line="240" w:lineRule="exac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3.时效指标</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7</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7</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根据该项目实际，考察项目的实际完成时间。</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对照绩效目标、按项目的实际完成时间和计划完成时间计算得分。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hint="default" w:ascii="Times New Roman" w:hAnsi="Times New Roman" w:cs="Times New Roman"/>
                <w:sz w:val="15"/>
                <w:szCs w:val="15"/>
              </w:rPr>
            </w:pPr>
          </w:p>
        </w:tc>
        <w:tc>
          <w:tcPr>
            <w:tcW w:w="640" w:type="dxa"/>
            <w:vMerge w:val="continue"/>
            <w:vAlign w:val="center"/>
          </w:tcPr>
          <w:p>
            <w:pPr>
              <w:spacing w:line="240" w:lineRule="exac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4.成本指标</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7</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7</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根据该项目实际，考察项目总成本和单项成本。</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照绩效目标、按项目的实际成本和计划成本计算得分。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hint="default" w:ascii="Times New Roman" w:hAnsi="Times New Roman" w:cs="Times New Roman"/>
                <w:sz w:val="15"/>
                <w:szCs w:val="15"/>
              </w:rPr>
            </w:pPr>
          </w:p>
        </w:tc>
        <w:tc>
          <w:tcPr>
            <w:tcW w:w="640" w:type="dxa"/>
            <w:vMerge w:val="restart"/>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2.项目效益（30分）</w:t>
            </w: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1.经济效益</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3</w:t>
            </w:r>
          </w:p>
        </w:tc>
        <w:tc>
          <w:tcPr>
            <w:tcW w:w="552"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3</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根据项目实际，考察项目所产生的直接或间接的经济效益。</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对照绩效目标，按经济效益实现程度计算得分。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hint="default" w:ascii="Times New Roman" w:hAnsi="Times New Roman" w:cs="Times New Roman"/>
                <w:sz w:val="15"/>
                <w:szCs w:val="15"/>
              </w:rPr>
            </w:pPr>
          </w:p>
        </w:tc>
        <w:tc>
          <w:tcPr>
            <w:tcW w:w="640" w:type="dxa"/>
            <w:vMerge w:val="continue"/>
          </w:tcPr>
          <w:p>
            <w:pPr>
              <w:spacing w:line="240" w:lineRule="exact"/>
              <w:jc w:val="lef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2.社会效益</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20</w:t>
            </w:r>
          </w:p>
        </w:tc>
        <w:tc>
          <w:tcPr>
            <w:tcW w:w="552"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20</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根据项目实际，考察项目所产生的社会效益效益。</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对照绩效目标，按社会效益实现程度计算得分。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hint="default" w:ascii="Times New Roman" w:hAnsi="Times New Roman" w:cs="Times New Roman"/>
                <w:sz w:val="15"/>
                <w:szCs w:val="15"/>
              </w:rPr>
            </w:pPr>
          </w:p>
        </w:tc>
        <w:tc>
          <w:tcPr>
            <w:tcW w:w="640" w:type="dxa"/>
            <w:vMerge w:val="continue"/>
          </w:tcPr>
          <w:p>
            <w:pPr>
              <w:spacing w:line="240" w:lineRule="exact"/>
              <w:jc w:val="lef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3.生态效益</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2</w:t>
            </w:r>
          </w:p>
        </w:tc>
        <w:tc>
          <w:tcPr>
            <w:tcW w:w="552"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2</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根据项目实际，考察项目所产生的直接或间接的生态效益。</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对照绩效目标，按生态效益实现程度计算得分。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hint="default" w:ascii="Times New Roman" w:hAnsi="Times New Roman" w:cs="Times New Roman"/>
                <w:sz w:val="15"/>
                <w:szCs w:val="15"/>
              </w:rPr>
            </w:pPr>
          </w:p>
        </w:tc>
        <w:tc>
          <w:tcPr>
            <w:tcW w:w="640" w:type="dxa"/>
            <w:vMerge w:val="continue"/>
            <w:vAlign w:val="center"/>
          </w:tcPr>
          <w:p>
            <w:pPr>
              <w:spacing w:line="240" w:lineRule="exac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4.服务对象满意度</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5</w:t>
            </w:r>
          </w:p>
        </w:tc>
        <w:tc>
          <w:tcPr>
            <w:tcW w:w="552"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5</w:t>
            </w:r>
          </w:p>
        </w:tc>
        <w:tc>
          <w:tcPr>
            <w:tcW w:w="2268" w:type="dxa"/>
            <w:vAlign w:val="center"/>
          </w:tcPr>
          <w:p>
            <w:pPr>
              <w:tabs>
                <w:tab w:val="left" w:pos="2604"/>
              </w:tabs>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服务对象对项目实施的满意程度。</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kern w:val="0"/>
                <w:sz w:val="15"/>
                <w:szCs w:val="15"/>
              </w:rPr>
              <w:t>按收集到的服务对象的满意率计算得分。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hint="default" w:ascii="Times New Roman" w:hAnsi="Times New Roman" w:cs="Times New Roman"/>
                <w:b/>
                <w:sz w:val="18"/>
                <w:szCs w:val="18"/>
              </w:rPr>
            </w:pPr>
            <w:r>
              <w:rPr>
                <w:rFonts w:hint="default" w:ascii="Times New Roman" w:hAnsi="Times New Roman" w:cs="Times New Roman"/>
                <w:b/>
                <w:sz w:val="18"/>
                <w:szCs w:val="18"/>
              </w:rPr>
              <w:t>合  计</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100</w:t>
            </w:r>
          </w:p>
        </w:tc>
        <w:tc>
          <w:tcPr>
            <w:tcW w:w="552"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99</w:t>
            </w:r>
          </w:p>
        </w:tc>
        <w:tc>
          <w:tcPr>
            <w:tcW w:w="5763" w:type="dxa"/>
            <w:gridSpan w:val="3"/>
            <w:vAlign w:val="center"/>
          </w:tcPr>
          <w:p>
            <w:pPr>
              <w:spacing w:line="240" w:lineRule="exact"/>
              <w:jc w:val="left"/>
              <w:rPr>
                <w:rFonts w:hint="default" w:ascii="Times New Roman" w:hAnsi="Times New Roman" w:cs="Times New Roman"/>
                <w:sz w:val="18"/>
                <w:szCs w:val="18"/>
              </w:rPr>
            </w:pPr>
            <w:r>
              <w:rPr>
                <w:rFonts w:hint="default" w:ascii="Times New Roman" w:hAnsi="Times New Roman" w:cs="Times New Roman"/>
                <w:sz w:val="18"/>
                <w:szCs w:val="18"/>
              </w:rPr>
              <w:t>评价等次：实际得分（S）≥90,优秀；90＞S≥80,良好；80＞S≥60,合格；S＜60，不合格。</w:t>
            </w:r>
          </w:p>
        </w:tc>
      </w:tr>
    </w:tbl>
    <w:p>
      <w:pPr>
        <w:jc w:val="center"/>
        <w:rPr>
          <w:rFonts w:hint="default" w:ascii="Times New Roman" w:hAnsi="Times New Roman" w:eastAsia="黑体" w:cs="Times New Roman"/>
          <w:bCs/>
          <w:sz w:val="36"/>
          <w:szCs w:val="36"/>
        </w:rPr>
      </w:pPr>
    </w:p>
    <w:p>
      <w:pPr>
        <w:jc w:val="center"/>
        <w:rPr>
          <w:rFonts w:hint="default" w:ascii="Times New Roman" w:hAnsi="Times New Roman" w:eastAsia="黑体" w:cs="Times New Roman"/>
          <w:bCs/>
          <w:sz w:val="36"/>
          <w:szCs w:val="36"/>
        </w:rPr>
      </w:pPr>
    </w:p>
    <w:p>
      <w:pPr>
        <w:jc w:val="center"/>
        <w:rPr>
          <w:rFonts w:hint="default" w:ascii="Times New Roman" w:hAnsi="Times New Roman" w:eastAsia="黑体" w:cs="Times New Roman"/>
          <w:bCs/>
          <w:sz w:val="36"/>
          <w:szCs w:val="36"/>
        </w:rPr>
      </w:pPr>
    </w:p>
    <w:p>
      <w:pPr>
        <w:jc w:val="center"/>
        <w:rPr>
          <w:rFonts w:hint="default" w:ascii="Times New Roman" w:hAnsi="Times New Roman" w:eastAsia="黑体" w:cs="Times New Roman"/>
          <w:bCs/>
          <w:sz w:val="36"/>
          <w:szCs w:val="36"/>
        </w:rPr>
      </w:pPr>
    </w:p>
    <w:p>
      <w:pPr>
        <w:jc w:val="center"/>
        <w:rPr>
          <w:rFonts w:hint="default" w:ascii="Times New Roman" w:hAnsi="Times New Roman" w:eastAsia="黑体" w:cs="Times New Roman"/>
          <w:bCs/>
          <w:sz w:val="36"/>
          <w:szCs w:val="36"/>
        </w:rPr>
      </w:pPr>
    </w:p>
    <w:p>
      <w:pPr>
        <w:jc w:val="center"/>
        <w:rPr>
          <w:rFonts w:hint="default" w:ascii="Times New Roman" w:hAnsi="Times New Roman" w:eastAsia="黑体" w:cs="Times New Roman"/>
          <w:bCs/>
          <w:sz w:val="36"/>
          <w:szCs w:val="36"/>
        </w:rPr>
      </w:pPr>
    </w:p>
    <w:p>
      <w:pPr>
        <w:jc w:val="center"/>
        <w:rPr>
          <w:rFonts w:hint="default" w:ascii="Times New Roman" w:hAnsi="Times New Roman" w:eastAsia="黑体" w:cs="Times New Roman"/>
          <w:bCs/>
          <w:sz w:val="36"/>
          <w:szCs w:val="36"/>
        </w:rPr>
      </w:pPr>
    </w:p>
    <w:p>
      <w:pPr>
        <w:jc w:val="center"/>
        <w:rPr>
          <w:rFonts w:hint="default" w:ascii="Times New Roman" w:hAnsi="Times New Roman" w:eastAsia="黑体" w:cs="Times New Roman"/>
          <w:bCs/>
          <w:sz w:val="36"/>
          <w:szCs w:val="36"/>
        </w:rPr>
      </w:pPr>
    </w:p>
    <w:p>
      <w:pPr>
        <w:jc w:val="center"/>
        <w:rPr>
          <w:rFonts w:hint="default" w:ascii="Times New Roman" w:hAnsi="Times New Roman" w:eastAsia="黑体" w:cs="Times New Roman"/>
          <w:bCs/>
          <w:sz w:val="36"/>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C1657"/>
    <w:rsid w:val="00044829"/>
    <w:rsid w:val="00076B47"/>
    <w:rsid w:val="000A17AB"/>
    <w:rsid w:val="000A2E4C"/>
    <w:rsid w:val="000D37FE"/>
    <w:rsid w:val="000E4502"/>
    <w:rsid w:val="000F16B4"/>
    <w:rsid w:val="001103AD"/>
    <w:rsid w:val="001104B7"/>
    <w:rsid w:val="00110577"/>
    <w:rsid w:val="00127A2F"/>
    <w:rsid w:val="0013045D"/>
    <w:rsid w:val="00164E25"/>
    <w:rsid w:val="00175AAC"/>
    <w:rsid w:val="00197507"/>
    <w:rsid w:val="001B6355"/>
    <w:rsid w:val="001C5DCB"/>
    <w:rsid w:val="002318E0"/>
    <w:rsid w:val="00246DAD"/>
    <w:rsid w:val="0025715A"/>
    <w:rsid w:val="00270E18"/>
    <w:rsid w:val="00282102"/>
    <w:rsid w:val="00296D36"/>
    <w:rsid w:val="002C1657"/>
    <w:rsid w:val="002E3518"/>
    <w:rsid w:val="003033E4"/>
    <w:rsid w:val="00341940"/>
    <w:rsid w:val="00346B6F"/>
    <w:rsid w:val="00364740"/>
    <w:rsid w:val="003777D5"/>
    <w:rsid w:val="003A1BCD"/>
    <w:rsid w:val="003C2470"/>
    <w:rsid w:val="003D7DDC"/>
    <w:rsid w:val="003E1CE8"/>
    <w:rsid w:val="003E51DC"/>
    <w:rsid w:val="00410A5B"/>
    <w:rsid w:val="004404E8"/>
    <w:rsid w:val="004E1CFF"/>
    <w:rsid w:val="00596027"/>
    <w:rsid w:val="0059730F"/>
    <w:rsid w:val="005B6DCE"/>
    <w:rsid w:val="005C4EBC"/>
    <w:rsid w:val="005C7692"/>
    <w:rsid w:val="005D01BD"/>
    <w:rsid w:val="0068776A"/>
    <w:rsid w:val="006B646E"/>
    <w:rsid w:val="006C69CD"/>
    <w:rsid w:val="006E11EF"/>
    <w:rsid w:val="007079E8"/>
    <w:rsid w:val="00781BE3"/>
    <w:rsid w:val="00792E52"/>
    <w:rsid w:val="007A2AEE"/>
    <w:rsid w:val="007B15FD"/>
    <w:rsid w:val="007D6B96"/>
    <w:rsid w:val="008200F2"/>
    <w:rsid w:val="00825412"/>
    <w:rsid w:val="00825D10"/>
    <w:rsid w:val="00830EB5"/>
    <w:rsid w:val="008429E3"/>
    <w:rsid w:val="00886E5D"/>
    <w:rsid w:val="008C67AB"/>
    <w:rsid w:val="008D1B0B"/>
    <w:rsid w:val="00907C08"/>
    <w:rsid w:val="00950C6C"/>
    <w:rsid w:val="009608C9"/>
    <w:rsid w:val="00971170"/>
    <w:rsid w:val="00991C6C"/>
    <w:rsid w:val="009928F7"/>
    <w:rsid w:val="00993DEC"/>
    <w:rsid w:val="009A7C71"/>
    <w:rsid w:val="009D4A58"/>
    <w:rsid w:val="009E0C8E"/>
    <w:rsid w:val="009E55C2"/>
    <w:rsid w:val="009F5192"/>
    <w:rsid w:val="00A3508F"/>
    <w:rsid w:val="00A4158F"/>
    <w:rsid w:val="00A70BC2"/>
    <w:rsid w:val="00A7249B"/>
    <w:rsid w:val="00A730D7"/>
    <w:rsid w:val="00A9345F"/>
    <w:rsid w:val="00B05696"/>
    <w:rsid w:val="00B17C9B"/>
    <w:rsid w:val="00B21CE2"/>
    <w:rsid w:val="00B27C69"/>
    <w:rsid w:val="00B540B6"/>
    <w:rsid w:val="00B549EA"/>
    <w:rsid w:val="00B7368C"/>
    <w:rsid w:val="00C54E77"/>
    <w:rsid w:val="00CA7DE8"/>
    <w:rsid w:val="00CC0BDC"/>
    <w:rsid w:val="00CF6D07"/>
    <w:rsid w:val="00D20A5D"/>
    <w:rsid w:val="00D263E1"/>
    <w:rsid w:val="00D73E44"/>
    <w:rsid w:val="00D96A1D"/>
    <w:rsid w:val="00D96B8D"/>
    <w:rsid w:val="00DA414F"/>
    <w:rsid w:val="00DB4EC1"/>
    <w:rsid w:val="00DF5C8E"/>
    <w:rsid w:val="00E07C05"/>
    <w:rsid w:val="00E30C53"/>
    <w:rsid w:val="00E36750"/>
    <w:rsid w:val="00E560DB"/>
    <w:rsid w:val="00E77AE8"/>
    <w:rsid w:val="00EA0572"/>
    <w:rsid w:val="00EA3D4A"/>
    <w:rsid w:val="00EF279E"/>
    <w:rsid w:val="00F51558"/>
    <w:rsid w:val="00F6161C"/>
    <w:rsid w:val="00FA1C86"/>
    <w:rsid w:val="00FA1DD3"/>
    <w:rsid w:val="00FC1E01"/>
    <w:rsid w:val="00FF23ED"/>
    <w:rsid w:val="00FF7E55"/>
    <w:rsid w:val="1CB04A16"/>
  </w:rsids>
  <m:mathPr>
    <m:lMargin m:val="0"/>
    <m:mathFont m:val="Cambria Math"/>
    <m:rMargin m:val="0"/>
    <m:wrapIndent m:val="1440"/>
    <m:brkBin m:val="before"/>
    <m:brkBinSub m:val="--"/>
    <m:defJc m:val="centerGroup"/>
    <m:intLim m:val="subSup"/>
    <m:naryLim m:val="undOvr"/>
    <m:smallFrac m:val="off"/>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uiPriority w:val="99"/>
    <w:rPr>
      <w:kern w:val="2"/>
      <w:sz w:val="18"/>
      <w:szCs w:val="18"/>
    </w:rPr>
  </w:style>
  <w:style w:type="character" w:customStyle="1" w:styleId="7">
    <w:name w:val="页脚 Char"/>
    <w:basedOn w:val="4"/>
    <w:link w:val="2"/>
    <w:semiHidden/>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3960E8-9153-453B-B4A2-B72646F1E5D9}">
  <ds:schemaRefs/>
</ds:datastoreItem>
</file>

<file path=docProps/app.xml><?xml version="1.0" encoding="utf-8"?>
<Properties xmlns="http://schemas.openxmlformats.org/officeDocument/2006/extended-properties" xmlns:vt="http://schemas.openxmlformats.org/officeDocument/2006/docPropsVTypes">
  <Template>Normal.dotm</Template>
  <Company>fmczj</Company>
  <Pages>5</Pages>
  <Words>511</Words>
  <Characters>2913</Characters>
  <Lines>24</Lines>
  <Paragraphs>6</Paragraphs>
  <TotalTime>0</TotalTime>
  <ScaleCrop>false</ScaleCrop>
  <LinksUpToDate>false</LinksUpToDate>
  <CharactersWithSpaces>3418</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2021-04-07T06:57:00Z</dcterms:created>
  <dc:creator>张子明</dc:creator>
  <cp:lastModifiedBy>顾超</cp:lastModifiedBy>
  <dcterms:modified xsi:type="dcterms:W3CDTF">2021-04-15T02:58:36Z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