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kinsoku/>
        <w:wordWrap/>
        <w:overflowPunct/>
        <w:topLinePunct w:val="0"/>
        <w:autoSpaceDE/>
        <w:autoSpaceDN/>
        <w:bidi w:val="0"/>
        <w:adjustRightInd/>
        <w:snapToGrid/>
        <w:spacing w:before="156" w:beforeAutospacing="0" w:after="0" w:afterAutospacing="0" w:line="480" w:lineRule="exact"/>
        <w:jc w:val="center"/>
        <w:textAlignment w:val="auto"/>
        <w:rPr>
          <w:rFonts w:hint="eastAsia" w:ascii="方正小标宋_GBK" w:hAnsi="方正小标宋_GBK" w:eastAsia="方正小标宋_GBK" w:cs="方正小标宋_GBK"/>
          <w:b w:val="0"/>
          <w:bCs w:val="0"/>
          <w:color w:val="auto"/>
          <w:sz w:val="44"/>
          <w:szCs w:val="44"/>
          <w:lang w:eastAsia="zh-CN"/>
        </w:rPr>
      </w:pPr>
      <w:r>
        <w:rPr>
          <w:rFonts w:hint="eastAsia" w:ascii="方正小标宋_GBK" w:hAnsi="方正小标宋_GBK" w:eastAsia="方正小标宋_GBK" w:cs="方正小标宋_GBK"/>
          <w:color w:val="auto"/>
          <w:sz w:val="44"/>
          <w:szCs w:val="44"/>
        </w:rPr>
        <w:t>富民县人力资</w:t>
      </w:r>
      <w:r>
        <w:rPr>
          <w:rFonts w:hint="eastAsia" w:ascii="方正小标宋_GBK" w:hAnsi="方正小标宋_GBK" w:eastAsia="方正小标宋_GBK" w:cs="方正小标宋_GBK"/>
          <w:b w:val="0"/>
          <w:bCs w:val="0"/>
          <w:color w:val="auto"/>
          <w:sz w:val="44"/>
          <w:szCs w:val="44"/>
        </w:rPr>
        <w:t>源和社会保障局</w:t>
      </w:r>
      <w:r>
        <w:rPr>
          <w:rFonts w:hint="eastAsia" w:ascii="方正小标宋_GBK" w:hAnsi="方正小标宋_GBK" w:eastAsia="方正小标宋_GBK" w:cs="方正小标宋_GBK"/>
          <w:b w:val="0"/>
          <w:bCs w:val="0"/>
          <w:color w:val="auto"/>
          <w:sz w:val="44"/>
          <w:szCs w:val="44"/>
          <w:lang w:eastAsia="zh-CN"/>
        </w:rPr>
        <w:t>（本级）</w:t>
      </w:r>
    </w:p>
    <w:p>
      <w:pPr>
        <w:pStyle w:val="3"/>
        <w:keepNext w:val="0"/>
        <w:keepLines w:val="0"/>
        <w:pageBreakBefore w:val="0"/>
        <w:widowControl/>
        <w:kinsoku/>
        <w:wordWrap/>
        <w:overflowPunct/>
        <w:topLinePunct w:val="0"/>
        <w:autoSpaceDE/>
        <w:autoSpaceDN/>
        <w:bidi w:val="0"/>
        <w:adjustRightInd/>
        <w:snapToGrid/>
        <w:spacing w:before="156" w:beforeAutospacing="0" w:after="0" w:afterAutospacing="0" w:line="480" w:lineRule="exact"/>
        <w:jc w:val="center"/>
        <w:textAlignment w:val="auto"/>
        <w:rPr>
          <w:rFonts w:hint="eastAsia"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b w:val="0"/>
          <w:bCs w:val="0"/>
          <w:color w:val="auto"/>
          <w:sz w:val="44"/>
          <w:szCs w:val="44"/>
          <w:lang w:val="en-US" w:eastAsia="zh-CN"/>
        </w:rPr>
        <w:t>2020</w:t>
      </w:r>
      <w:r>
        <w:rPr>
          <w:rFonts w:hint="eastAsia" w:ascii="方正小标宋_GBK" w:hAnsi="方正小标宋_GBK" w:eastAsia="方正小标宋_GBK" w:cs="方正小标宋_GBK"/>
          <w:b w:val="0"/>
          <w:bCs w:val="0"/>
          <w:color w:val="auto"/>
          <w:sz w:val="44"/>
          <w:szCs w:val="44"/>
        </w:rPr>
        <w:t>年高校</w:t>
      </w:r>
      <w:r>
        <w:rPr>
          <w:rStyle w:val="6"/>
          <w:rFonts w:hint="eastAsia" w:ascii="方正小标宋_GBK" w:hAnsi="方正小标宋_GBK" w:eastAsia="方正小标宋_GBK" w:cs="方正小标宋_GBK"/>
          <w:b w:val="0"/>
          <w:bCs w:val="0"/>
          <w:color w:val="auto"/>
          <w:sz w:val="44"/>
          <w:szCs w:val="44"/>
        </w:rPr>
        <w:t>生</w:t>
      </w:r>
      <w:r>
        <w:rPr>
          <w:rStyle w:val="6"/>
          <w:rFonts w:hint="eastAsia" w:ascii="方正小标宋_GBK" w:hAnsi="方正小标宋_GBK" w:eastAsia="方正小标宋_GBK" w:cs="方正小标宋_GBK"/>
          <w:b w:val="0"/>
          <w:bCs w:val="0"/>
          <w:color w:val="auto"/>
          <w:sz w:val="44"/>
          <w:szCs w:val="44"/>
          <w:lang w:eastAsia="zh-CN"/>
        </w:rPr>
        <w:t>毕业生就业</w:t>
      </w:r>
      <w:r>
        <w:rPr>
          <w:rStyle w:val="6"/>
          <w:rFonts w:hint="eastAsia" w:ascii="方正小标宋_GBK" w:hAnsi="方正小标宋_GBK" w:eastAsia="方正小标宋_GBK" w:cs="方正小标宋_GBK"/>
          <w:b w:val="0"/>
          <w:bCs w:val="0"/>
          <w:color w:val="auto"/>
          <w:sz w:val="44"/>
          <w:szCs w:val="44"/>
        </w:rPr>
        <w:t>见习生活补助</w:t>
      </w:r>
      <w:r>
        <w:rPr>
          <w:rFonts w:hint="eastAsia" w:ascii="方正小标宋_GBK" w:hAnsi="方正小标宋_GBK" w:eastAsia="方正小标宋_GBK" w:cs="方正小标宋_GBK"/>
          <w:b w:val="0"/>
          <w:bCs w:val="0"/>
          <w:color w:val="auto"/>
          <w:sz w:val="44"/>
          <w:szCs w:val="44"/>
        </w:rPr>
        <w:t>项目支出绩</w:t>
      </w:r>
      <w:r>
        <w:rPr>
          <w:rFonts w:hint="eastAsia" w:ascii="方正小标宋_GBK" w:hAnsi="方正小标宋_GBK" w:eastAsia="方正小标宋_GBK" w:cs="方正小标宋_GBK"/>
          <w:color w:val="auto"/>
          <w:sz w:val="44"/>
          <w:szCs w:val="44"/>
        </w:rPr>
        <w:t>效评价报告</w:t>
      </w:r>
    </w:p>
    <w:p>
      <w:pPr>
        <w:pStyle w:val="3"/>
        <w:keepNext w:val="0"/>
        <w:keepLines w:val="0"/>
        <w:pageBreakBefore w:val="0"/>
        <w:widowControl/>
        <w:kinsoku/>
        <w:wordWrap/>
        <w:overflowPunct/>
        <w:topLinePunct w:val="0"/>
        <w:autoSpaceDE/>
        <w:autoSpaceDN/>
        <w:bidi w:val="0"/>
        <w:adjustRightInd/>
        <w:snapToGrid/>
        <w:spacing w:beforeAutospacing="0" w:after="0" w:afterAutospacing="0" w:line="480" w:lineRule="exact"/>
        <w:ind w:firstLine="560" w:firstLineChars="200"/>
        <w:jc w:val="center"/>
        <w:textAlignment w:val="auto"/>
        <w:rPr>
          <w:rFonts w:cs="Times New Roman"/>
          <w:color w:val="666666"/>
          <w:sz w:val="28"/>
          <w:szCs w:val="28"/>
        </w:rPr>
      </w:pP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一、项目基本情况</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eastAsia="楷体_GB2312" w:cs="Times New Roman"/>
          <w:b w:val="0"/>
          <w:bCs w:val="0"/>
          <w:sz w:val="32"/>
          <w:szCs w:val="32"/>
        </w:rPr>
      </w:pPr>
      <w:r>
        <w:rPr>
          <w:rFonts w:hint="default" w:ascii="Times New Roman" w:hAnsi="Times New Roman" w:eastAsia="楷体_GB2312" w:cs="Times New Roman"/>
          <w:b w:val="0"/>
          <w:bCs w:val="0"/>
          <w:sz w:val="32"/>
          <w:szCs w:val="32"/>
        </w:rPr>
        <w:t>（一）项目概况</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1.立项背景及目的</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高校毕业生就业见习生活补贴支出项目指吸纳离校2年内未就业高校毕业生参加就业见习的单位，向当地人社部门提供以下材料：参加就业见习的人员名单、就业见习协议书、《就业创业证》复印件、毕业证书复印件、单位发放基本生活补助明细账（单）、为见习人员办理人身意外伤害保险发票复印件等，申请就业见习补助经费，经人社部门审核后，按规定将补贴资金支付到单位在银行开立的基本账户的专项支出。本项目支出为经常性项目支出，资金性质为民生项目资金。</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高校毕业生就业见习生活补贴支出项目主要由省、市、财政按照比例分别下拨到县级财政。该项目具体业务由县人才服务中心负责经办，项目经费支出由县人社局负责核拨。</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高校毕业生就业见习生活补贴支出项目评价的目的是加强与企事业单位的联系，拓展优质见习岗位，加强政策保障，千方百计运用好就业见习这一就业帮扶托底制度。</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2.项目实施情况</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积极开展高校毕业生见习工作，帮助离校未就业的高校毕业生增强工作经验，提升就业能力，促进充分就业。2020年在岗见习生90人，年内新增见习人员61人。</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3.资金来源及使用情况</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2020高校毕业生就业见习生活补助支出项目资金省市共下拨63万元，上年结转23.81万元，财政预算支出26.64万元，</w:t>
      </w:r>
      <w:r>
        <w:rPr>
          <w:rFonts w:hint="default" w:ascii="Times New Roman" w:hAnsi="Times New Roman" w:eastAsia="仿宋_GB2312" w:cs="Times New Roman"/>
          <w:sz w:val="32"/>
          <w:szCs w:val="32"/>
          <w:lang w:eastAsia="zh-CN"/>
        </w:rPr>
        <w:t>实际支出</w:t>
      </w:r>
      <w:r>
        <w:rPr>
          <w:rFonts w:hint="default" w:ascii="Times New Roman" w:hAnsi="Times New Roman" w:eastAsia="仿宋_GB2312" w:cs="Times New Roman"/>
          <w:sz w:val="32"/>
          <w:szCs w:val="32"/>
          <w:lang w:val="en-US" w:eastAsia="zh-CN"/>
        </w:rPr>
        <w:t>25.55万元，</w:t>
      </w:r>
      <w:r>
        <w:rPr>
          <w:rFonts w:hint="default" w:ascii="Times New Roman" w:hAnsi="Times New Roman" w:eastAsia="仿宋_GB2312" w:cs="Times New Roman"/>
          <w:sz w:val="32"/>
          <w:szCs w:val="32"/>
        </w:rPr>
        <w:t>在岗见习生90人，年内新增见习人员61人。</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4.组织及管理情况</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岗位征集。要求各有关单位根据人才培养计划方向和员工结构需要，提供具备一定技术含量和业务内容的就业见习岗位，及时填列《2020年高校毕业生就业见习岗位需求信息表》报县人才服务中心。</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信息发布。县人才服务中心向社会公开发布就业见习信息和岗位目录。</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组织报名。采取现场方式组织高校毕业生报名，报名须携带本人身份证、毕业证原件及复印件。</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高校毕业生与用人单位签订见习协议。</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分析评价。2020高校毕业生就业见习生活补助支出项目资金省市共下拨63万元，上年结转23.81万元，2020年实际支出</w:t>
      </w:r>
      <w:r>
        <w:rPr>
          <w:rFonts w:hint="default" w:ascii="Times New Roman" w:hAnsi="Times New Roman" w:eastAsia="仿宋_GB2312" w:cs="Times New Roman"/>
          <w:sz w:val="32"/>
          <w:szCs w:val="32"/>
          <w:lang w:val="en-US" w:eastAsia="zh-CN"/>
        </w:rPr>
        <w:t>25.55</w:t>
      </w:r>
      <w:r>
        <w:rPr>
          <w:rFonts w:hint="default" w:ascii="Times New Roman" w:hAnsi="Times New Roman" w:eastAsia="仿宋_GB2312" w:cs="Times New Roman"/>
          <w:sz w:val="32"/>
          <w:szCs w:val="32"/>
        </w:rPr>
        <w:t>万元。</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（二）绩效目标</w:t>
      </w:r>
    </w:p>
    <w:p>
      <w:pPr>
        <w:keepNext w:val="0"/>
        <w:keepLines w:val="0"/>
        <w:pageBreakBefore w:val="0"/>
        <w:widowControl w:val="0"/>
        <w:kinsoku/>
        <w:wordWrap/>
        <w:overflowPunct/>
        <w:topLinePunct w:val="0"/>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1.总目标</w:t>
      </w:r>
    </w:p>
    <w:p>
      <w:pPr>
        <w:keepNext w:val="0"/>
        <w:keepLines w:val="0"/>
        <w:pageBreakBefore w:val="0"/>
        <w:widowControl w:val="0"/>
        <w:kinsoku/>
        <w:wordWrap/>
        <w:overflowPunct/>
        <w:topLinePunct w:val="0"/>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对毕业一年内大专以上学历高校毕业生，16-24周岁失业青年发放就业见习补贴，减轻企业用工负担，促进高校毕业生和失业青年就业。</w:t>
      </w:r>
    </w:p>
    <w:p>
      <w:pPr>
        <w:keepNext w:val="0"/>
        <w:keepLines w:val="0"/>
        <w:pageBreakBefore w:val="0"/>
        <w:widowControl w:val="0"/>
        <w:kinsoku/>
        <w:wordWrap/>
        <w:overflowPunct/>
        <w:topLinePunct w:val="0"/>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2.年度目标</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（1）产出目标</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加强与企事业单位的联系，拓展优质见习岗位，加强政策保障，千方百计运用好就业见习这一就业帮扶托底制度。</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（2）效果目标</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是积极为见习生提供良好的工作、生活、学习环境，并按月发放生活补贴。二是人才服务机构为参加见习的毕业生免费提供人事档案托管服务。三是鼓励有条件的单位以聘用或招考、临聘等方式将见习期间表现优秀、符合岗位技能需要的学生留下来。四是对见习期满有创业意愿的毕业生，县人才服务中心为其提供免费的公共就业创业服务。</w:t>
      </w:r>
    </w:p>
    <w:p>
      <w:pPr>
        <w:keepNext w:val="0"/>
        <w:keepLines w:val="0"/>
        <w:pageBreakBefore w:val="0"/>
        <w:widowControl w:val="0"/>
        <w:kinsoku/>
        <w:wordWrap/>
        <w:overflowPunct/>
        <w:topLinePunct/>
        <w:autoSpaceDE/>
        <w:autoSpaceDN/>
        <w:bidi w:val="0"/>
        <w:adjustRightInd/>
        <w:snapToGrid/>
        <w:spacing w:beforeLines="-2147483648" w:line="48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二、绩效评价工作情况</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eastAsia="楷体_GB2312" w:cs="Times New Roman"/>
          <w:b w:val="0"/>
          <w:bCs w:val="0"/>
          <w:sz w:val="32"/>
          <w:szCs w:val="32"/>
        </w:rPr>
      </w:pPr>
      <w:r>
        <w:rPr>
          <w:rFonts w:hint="default" w:ascii="Times New Roman" w:hAnsi="Times New Roman" w:eastAsia="楷体_GB2312" w:cs="Times New Roman"/>
          <w:b w:val="0"/>
          <w:bCs w:val="0"/>
          <w:sz w:val="32"/>
          <w:szCs w:val="32"/>
        </w:rPr>
        <w:t>（一）阐述的主要内容</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积极开展高校毕业生见习工作，帮助离校未就业的高校毕业生增强工作经验，提升就业能力，促进充分就业。减轻企业用工负担，促进高校毕业生和失业青年就业。高校毕业生就业见习生活补贴支出项目主要由省、市、财政按照比例分别下拨到县级财政。该项目具体业务由县人才服务中心负责经办，项目经费支出由县人社局负责核拨。2020年在岗见习生90人，年内新增见习人员61人。预算经费100%用于发放高校生毕业生就业见习生活补助</w:t>
      </w:r>
      <w:r>
        <w:rPr>
          <w:rFonts w:hint="default" w:ascii="Times New Roman" w:hAnsi="Times New Roman" w:eastAsia="仿宋_GB2312" w:cs="Times New Roman"/>
          <w:sz w:val="32"/>
          <w:szCs w:val="32"/>
          <w:lang w:eastAsia="zh-CN"/>
        </w:rPr>
        <w:t>，项目管理做到严格、规范、专人负责、责任到位。项目的财务管理依据单位内控制度和项目专项管理制度进行，资金到位率，资金使用率高，项目支出安全性好，财务控制和管理情况达到预期目标。该项目实施后，资金支出、拨付规范，达到预期效果，取得了良好的经济效益和社会影响力。</w:t>
      </w:r>
    </w:p>
    <w:p>
      <w:pPr>
        <w:keepNext w:val="0"/>
        <w:keepLines w:val="0"/>
        <w:pageBreakBefore w:val="0"/>
        <w:widowControl w:val="0"/>
        <w:kinsoku/>
        <w:wordWrap/>
        <w:overflowPunct/>
        <w:topLinePunct/>
        <w:autoSpaceDE/>
        <w:autoSpaceDN/>
        <w:bidi w:val="0"/>
        <w:adjustRightInd/>
        <w:snapToGrid/>
        <w:spacing w:beforeLines="-2147483648" w:line="480" w:lineRule="exact"/>
        <w:ind w:firstLine="640" w:firstLineChars="200"/>
        <w:jc w:val="both"/>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（二）绩效评价原则、评价方法</w:t>
      </w:r>
    </w:p>
    <w:p>
      <w:pPr>
        <w:keepNext w:val="0"/>
        <w:keepLines w:val="0"/>
        <w:pageBreakBefore w:val="0"/>
        <w:widowControl w:val="0"/>
        <w:kinsoku/>
        <w:wordWrap/>
        <w:overflowPunct/>
        <w:topLinePunct/>
        <w:autoSpaceDE/>
        <w:autoSpaceDN/>
        <w:bidi w:val="0"/>
        <w:adjustRightInd/>
        <w:snapToGrid/>
        <w:spacing w:beforeLines="-2147483648" w:line="48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1.绩效评价原则。按相关政策规定，每季度按省市文件补助标准进行核拨补助。</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2.绩效评价方法。对高校生见习生活补助支出费用的预算进行细化，补贴和社保费用按时是否按时按政策进行拨付</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项目预期目标</w:t>
      </w:r>
      <w:r>
        <w:rPr>
          <w:rFonts w:hint="default" w:ascii="Times New Roman" w:hAnsi="Times New Roman" w:eastAsia="仿宋_GB2312" w:cs="Times New Roman"/>
          <w:sz w:val="32"/>
          <w:szCs w:val="32"/>
          <w:lang w:eastAsia="zh-CN"/>
        </w:rPr>
        <w:t>的</w:t>
      </w:r>
      <w:r>
        <w:rPr>
          <w:rFonts w:hint="default" w:ascii="Times New Roman" w:hAnsi="Times New Roman" w:eastAsia="仿宋_GB2312" w:cs="Times New Roman"/>
          <w:sz w:val="32"/>
          <w:szCs w:val="32"/>
        </w:rPr>
        <w:t>完成程度</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autoSpaceDE/>
        <w:autoSpaceDN/>
        <w:bidi w:val="0"/>
        <w:adjustRightInd/>
        <w:snapToGrid/>
        <w:spacing w:beforeLines="-2147483648" w:line="48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三、评价结论</w:t>
      </w:r>
    </w:p>
    <w:p>
      <w:pPr>
        <w:keepNext w:val="0"/>
        <w:keepLines w:val="0"/>
        <w:pageBreakBefore w:val="0"/>
        <w:widowControl w:val="0"/>
        <w:kinsoku/>
        <w:wordWrap/>
        <w:overflowPunct/>
        <w:topLinePunct/>
        <w:autoSpaceDE/>
        <w:autoSpaceDN/>
        <w:bidi w:val="0"/>
        <w:adjustRightInd/>
        <w:snapToGrid/>
        <w:spacing w:beforeLines="-2147483648" w:line="480" w:lineRule="exact"/>
        <w:ind w:firstLine="640" w:firstLineChars="200"/>
        <w:jc w:val="both"/>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（一）评价结果</w:t>
      </w:r>
    </w:p>
    <w:p>
      <w:pPr>
        <w:keepNext w:val="0"/>
        <w:keepLines w:val="0"/>
        <w:pageBreakBefore w:val="0"/>
        <w:widowControl w:val="0"/>
        <w:kinsoku/>
        <w:wordWrap/>
        <w:overflowPunct/>
        <w:topLinePunct/>
        <w:autoSpaceDE/>
        <w:autoSpaceDN/>
        <w:bidi w:val="0"/>
        <w:adjustRightInd/>
        <w:snapToGrid/>
        <w:spacing w:beforeLines="-2147483648" w:line="48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该项目实施后，资金支出、拨付规范，达到预期效果，取得了良好的经济效益和社会影响力。通过绩效考核领导小组评估，评定该项目得分95分，评估等级为优。</w:t>
      </w:r>
    </w:p>
    <w:p>
      <w:pPr>
        <w:keepNext w:val="0"/>
        <w:keepLines w:val="0"/>
        <w:pageBreakBefore w:val="0"/>
        <w:widowControl w:val="0"/>
        <w:kinsoku/>
        <w:wordWrap/>
        <w:overflowPunct/>
        <w:topLinePunct/>
        <w:autoSpaceDE/>
        <w:autoSpaceDN/>
        <w:bidi w:val="0"/>
        <w:adjustRightInd/>
        <w:snapToGrid/>
        <w:spacing w:beforeLines="-2147483648" w:line="480" w:lineRule="exact"/>
        <w:ind w:firstLine="640" w:firstLineChars="200"/>
        <w:jc w:val="both"/>
        <w:textAlignment w:val="auto"/>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eastAsia="zh-CN"/>
        </w:rPr>
        <w:t>（二）主要绩效</w:t>
      </w:r>
    </w:p>
    <w:p>
      <w:pPr>
        <w:keepNext w:val="0"/>
        <w:keepLines w:val="0"/>
        <w:pageBreakBefore w:val="0"/>
        <w:widowControl w:val="0"/>
        <w:kinsoku/>
        <w:wordWrap/>
        <w:overflowPunct/>
        <w:topLinePunct/>
        <w:autoSpaceDE/>
        <w:autoSpaceDN/>
        <w:bidi w:val="0"/>
        <w:adjustRightInd/>
        <w:snapToGrid/>
        <w:spacing w:beforeLines="-2147483648" w:line="48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积极开展高校毕业生见习工作，帮助离校未就业的高校毕业生增强工作经验，提升就业能力，促进充分就业。2020年在岗见习生90人，年内新增见习人员61人。按相关政策规定，每季度按省市文件补助标准进行核拨补助。</w:t>
      </w:r>
    </w:p>
    <w:p>
      <w:pPr>
        <w:keepNext w:val="0"/>
        <w:keepLines w:val="0"/>
        <w:pageBreakBefore w:val="0"/>
        <w:widowControl w:val="0"/>
        <w:kinsoku/>
        <w:wordWrap/>
        <w:overflowPunct/>
        <w:topLinePunct/>
        <w:autoSpaceDE/>
        <w:autoSpaceDN/>
        <w:bidi w:val="0"/>
        <w:adjustRightInd/>
        <w:snapToGrid/>
        <w:spacing w:beforeLines="-2147483648" w:line="480" w:lineRule="exact"/>
        <w:ind w:firstLine="640" w:firstLineChars="200"/>
        <w:jc w:val="both"/>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四、成本效益分析</w:t>
      </w:r>
    </w:p>
    <w:p>
      <w:pPr>
        <w:keepNext w:val="0"/>
        <w:keepLines w:val="0"/>
        <w:pageBreakBefore w:val="0"/>
        <w:widowControl w:val="0"/>
        <w:kinsoku/>
        <w:wordWrap/>
        <w:overflowPunct/>
        <w:topLinePunct/>
        <w:autoSpaceDE/>
        <w:autoSpaceDN/>
        <w:bidi w:val="0"/>
        <w:adjustRightInd/>
        <w:snapToGrid/>
        <w:spacing w:beforeLines="-2147483648" w:line="48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项目成本（预算）控制情况：按相关政策规定，每季度按省市文件补助标准进行核拨补助。</w:t>
      </w:r>
    </w:p>
    <w:p>
      <w:pPr>
        <w:keepNext w:val="0"/>
        <w:keepLines w:val="0"/>
        <w:pageBreakBefore w:val="0"/>
        <w:widowControl w:val="0"/>
        <w:kinsoku/>
        <w:wordWrap/>
        <w:overflowPunct/>
        <w:topLinePunct/>
        <w:autoSpaceDE/>
        <w:autoSpaceDN/>
        <w:bidi w:val="0"/>
        <w:adjustRightInd/>
        <w:snapToGrid/>
        <w:spacing w:beforeLines="-2147483648" w:line="48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五、主要经验及做法、存在的问题和建议</w:t>
      </w:r>
    </w:p>
    <w:p>
      <w:pPr>
        <w:keepNext w:val="0"/>
        <w:keepLines w:val="0"/>
        <w:pageBreakBefore w:val="0"/>
        <w:widowControl w:val="0"/>
        <w:kinsoku/>
        <w:wordWrap/>
        <w:overflowPunct/>
        <w:topLinePunct/>
        <w:autoSpaceDE/>
        <w:autoSpaceDN/>
        <w:bidi w:val="0"/>
        <w:adjustRightInd/>
        <w:snapToGrid/>
        <w:spacing w:beforeLines="-2147483648" w:line="480" w:lineRule="exact"/>
        <w:ind w:firstLine="640" w:firstLineChars="200"/>
        <w:jc w:val="both"/>
        <w:textAlignment w:val="auto"/>
        <w:rPr>
          <w:rFonts w:hint="default" w:ascii="Times New Roman" w:hAnsi="Times New Roman" w:eastAsia="楷体_GB2312" w:cs="Times New Roman"/>
          <w:b w:val="0"/>
          <w:bCs w:val="0"/>
          <w:sz w:val="32"/>
          <w:szCs w:val="32"/>
        </w:rPr>
      </w:pPr>
      <w:r>
        <w:rPr>
          <w:rFonts w:hint="default" w:ascii="Times New Roman" w:hAnsi="Times New Roman" w:eastAsia="楷体_GB2312" w:cs="Times New Roman"/>
          <w:b w:val="0"/>
          <w:bCs w:val="0"/>
          <w:sz w:val="32"/>
          <w:szCs w:val="32"/>
        </w:rPr>
        <w:t>（一）主要经验及做法</w:t>
      </w:r>
    </w:p>
    <w:p>
      <w:pPr>
        <w:keepNext w:val="0"/>
        <w:keepLines w:val="0"/>
        <w:pageBreakBefore w:val="0"/>
        <w:widowControl w:val="0"/>
        <w:kinsoku/>
        <w:wordWrap/>
        <w:overflowPunct/>
        <w:topLinePunct/>
        <w:autoSpaceDE/>
        <w:autoSpaceDN/>
        <w:bidi w:val="0"/>
        <w:adjustRightInd/>
        <w:snapToGrid/>
        <w:spacing w:beforeLines="-2147483648" w:line="48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帮助离校未就业的高校毕业生增强工作经验，提升就业能力，促进充分就业。加强与企事业单位的联系，拓展优质见习岗位，加强政策保障，运用好就业见习这一就业帮扶托底制度</w:t>
      </w:r>
      <w:r>
        <w:rPr>
          <w:rFonts w:hint="default" w:ascii="Times New Roman" w:hAnsi="Times New Roman" w:eastAsia="仿宋_GB2312" w:cs="Times New Roman"/>
          <w:sz w:val="32"/>
          <w:szCs w:val="32"/>
          <w:lang w:eastAsia="zh-CN"/>
        </w:rPr>
        <w:t>。积极为见习生提供良好的工作、生活、学习环境，并按月发放生活补贴。人才服务机构为参加见习的毕业生免费提供人事档案托管服务。鼓励有条件的单位以聘用或招考、临聘等方式将见习期间表现优秀、符合岗位技能需要的学生留下来。对见习期满有创业意愿的毕业生，县人才服务中心为其提供免费的公共就业创业服务。</w:t>
      </w:r>
    </w:p>
    <w:p>
      <w:pPr>
        <w:keepNext w:val="0"/>
        <w:keepLines w:val="0"/>
        <w:pageBreakBefore w:val="0"/>
        <w:widowControl w:val="0"/>
        <w:kinsoku/>
        <w:wordWrap/>
        <w:overflowPunct/>
        <w:topLinePunct/>
        <w:autoSpaceDE/>
        <w:autoSpaceDN/>
        <w:bidi w:val="0"/>
        <w:adjustRightInd/>
        <w:snapToGrid/>
        <w:spacing w:beforeLines="-2147483648" w:line="480" w:lineRule="exact"/>
        <w:ind w:firstLine="640" w:firstLineChars="200"/>
        <w:jc w:val="both"/>
        <w:textAlignment w:val="auto"/>
        <w:rPr>
          <w:rFonts w:hint="default" w:ascii="Times New Roman" w:hAnsi="Times New Roman" w:eastAsia="楷体_GB2312" w:cs="Times New Roman"/>
          <w:b w:val="0"/>
          <w:bCs w:val="0"/>
          <w:sz w:val="32"/>
          <w:szCs w:val="32"/>
        </w:rPr>
      </w:pPr>
      <w:r>
        <w:rPr>
          <w:rFonts w:hint="default" w:ascii="Times New Roman" w:hAnsi="Times New Roman" w:eastAsia="楷体_GB2312" w:cs="Times New Roman"/>
          <w:b w:val="0"/>
          <w:bCs w:val="0"/>
          <w:sz w:val="32"/>
          <w:szCs w:val="32"/>
        </w:rPr>
        <w:t>（二）存在的问题</w:t>
      </w:r>
    </w:p>
    <w:p>
      <w:pPr>
        <w:keepNext w:val="0"/>
        <w:keepLines w:val="0"/>
        <w:pageBreakBefore w:val="0"/>
        <w:widowControl w:val="0"/>
        <w:kinsoku/>
        <w:wordWrap/>
        <w:overflowPunct/>
        <w:topLinePunct/>
        <w:autoSpaceDE/>
        <w:autoSpaceDN/>
        <w:bidi w:val="0"/>
        <w:adjustRightInd/>
        <w:snapToGrid/>
        <w:spacing w:beforeLines="-2147483648" w:line="48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一是</w:t>
      </w:r>
      <w:r>
        <w:rPr>
          <w:rFonts w:hint="default" w:ascii="Times New Roman" w:hAnsi="Times New Roman" w:eastAsia="仿宋_GB2312" w:cs="Times New Roman"/>
          <w:sz w:val="32"/>
          <w:szCs w:val="32"/>
        </w:rPr>
        <w:t>制度健全、管理规范、规模较大、见习质量高并有一定社会影响力，每年能够持续提供50个以上见习岗位、就业见习人员留用率在20%以上的见习单位基地偏少，能提供就业见习岗位的单位数量少，见习基地吸纳见习人数有限。</w:t>
      </w:r>
      <w:r>
        <w:rPr>
          <w:rFonts w:hint="default" w:ascii="Times New Roman" w:hAnsi="Times New Roman" w:eastAsia="仿宋_GB2312" w:cs="Times New Roman"/>
          <w:b/>
          <w:bCs/>
          <w:sz w:val="32"/>
          <w:szCs w:val="32"/>
        </w:rPr>
        <w:t>二是</w:t>
      </w:r>
      <w:r>
        <w:rPr>
          <w:rFonts w:hint="default" w:ascii="Times New Roman" w:hAnsi="Times New Roman" w:eastAsia="仿宋_GB2312" w:cs="Times New Roman"/>
          <w:sz w:val="32"/>
          <w:szCs w:val="32"/>
        </w:rPr>
        <w:t>省市下拨的专项资金要到年末才能到位，导至该资金跨年支付而产生结余。</w:t>
      </w:r>
    </w:p>
    <w:p>
      <w:pPr>
        <w:keepNext w:val="0"/>
        <w:keepLines w:val="0"/>
        <w:pageBreakBefore w:val="0"/>
        <w:widowControl w:val="0"/>
        <w:numPr>
          <w:ilvl w:val="0"/>
          <w:numId w:val="0"/>
        </w:numPr>
        <w:kinsoku/>
        <w:wordWrap/>
        <w:overflowPunct/>
        <w:topLinePunct/>
        <w:autoSpaceDE/>
        <w:autoSpaceDN/>
        <w:bidi w:val="0"/>
        <w:adjustRightInd/>
        <w:snapToGrid/>
        <w:spacing w:beforeLines="-2147483648" w:line="480" w:lineRule="exact"/>
        <w:ind w:firstLine="640" w:firstLineChars="200"/>
        <w:jc w:val="both"/>
        <w:textAlignment w:val="auto"/>
        <w:rPr>
          <w:rFonts w:hint="default" w:ascii="Times New Roman" w:hAnsi="Times New Roman" w:eastAsia="楷体_GB2312" w:cs="Times New Roman"/>
          <w:b w:val="0"/>
          <w:bCs w:val="0"/>
          <w:sz w:val="32"/>
          <w:szCs w:val="32"/>
        </w:rPr>
      </w:pPr>
      <w:r>
        <w:rPr>
          <w:rFonts w:hint="default" w:ascii="Times New Roman" w:hAnsi="Times New Roman" w:eastAsia="楷体_GB2312" w:cs="Times New Roman"/>
          <w:b w:val="0"/>
          <w:bCs w:val="0"/>
          <w:sz w:val="32"/>
          <w:szCs w:val="32"/>
          <w:lang w:eastAsia="zh-CN"/>
        </w:rPr>
        <w:t>（三）</w:t>
      </w:r>
      <w:r>
        <w:rPr>
          <w:rFonts w:hint="default" w:ascii="Times New Roman" w:hAnsi="Times New Roman" w:eastAsia="楷体_GB2312" w:cs="Times New Roman"/>
          <w:b w:val="0"/>
          <w:bCs w:val="0"/>
          <w:sz w:val="32"/>
          <w:szCs w:val="32"/>
        </w:rPr>
        <w:t>建议和改进措施</w:t>
      </w:r>
    </w:p>
    <w:p>
      <w:pPr>
        <w:keepNext w:val="0"/>
        <w:keepLines w:val="0"/>
        <w:pageBreakBefore w:val="0"/>
        <w:widowControl w:val="0"/>
        <w:numPr>
          <w:ilvl w:val="0"/>
          <w:numId w:val="0"/>
        </w:numPr>
        <w:kinsoku/>
        <w:wordWrap/>
        <w:overflowPunct/>
        <w:topLinePunct/>
        <w:autoSpaceDE/>
        <w:autoSpaceDN/>
        <w:bidi w:val="0"/>
        <w:adjustRightInd/>
        <w:snapToGrid/>
        <w:spacing w:beforeLines="-2147483648" w:line="48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eastAsia="zh-CN"/>
        </w:rPr>
        <w:t>完善预算绩效管理过程监控制度。</w:t>
      </w:r>
    </w:p>
    <w:p>
      <w:pPr>
        <w:keepNext w:val="0"/>
        <w:keepLines w:val="0"/>
        <w:pageBreakBefore w:val="0"/>
        <w:widowControl w:val="0"/>
        <w:numPr>
          <w:ilvl w:val="0"/>
          <w:numId w:val="0"/>
        </w:numPr>
        <w:kinsoku/>
        <w:wordWrap/>
        <w:overflowPunct/>
        <w:topLinePunct/>
        <w:autoSpaceDE/>
        <w:autoSpaceDN/>
        <w:bidi w:val="0"/>
        <w:adjustRightInd/>
        <w:snapToGrid/>
        <w:spacing w:beforeLines="-2147483648" w:line="48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eastAsia="zh-CN"/>
        </w:rPr>
        <w:t>强化预算绩效管理评价结果运用。</w:t>
      </w:r>
    </w:p>
    <w:p>
      <w:pPr>
        <w:keepNext w:val="0"/>
        <w:keepLines w:val="0"/>
        <w:pageBreakBefore w:val="0"/>
        <w:widowControl w:val="0"/>
        <w:kinsoku/>
        <w:wordWrap/>
        <w:overflowPunct/>
        <w:topLinePunct w:val="0"/>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p>
    <w:p>
      <w:pPr>
        <w:keepNext w:val="0"/>
        <w:keepLines w:val="0"/>
        <w:pageBreakBefore w:val="0"/>
        <w:widowControl w:val="0"/>
        <w:numPr>
          <w:ilvl w:val="0"/>
          <w:numId w:val="0"/>
        </w:numPr>
        <w:kinsoku/>
        <w:wordWrap/>
        <w:overflowPunct/>
        <w:topLinePunct/>
        <w:autoSpaceDE/>
        <w:autoSpaceDN/>
        <w:bidi w:val="0"/>
        <w:adjustRightInd/>
        <w:snapToGrid/>
        <w:spacing w:beforeLines="-2147483648" w:line="240" w:lineRule="auto"/>
        <w:textAlignment w:val="auto"/>
        <w:rPr>
          <w:rFonts w:hint="eastAsia" w:ascii="仿宋_GB2312" w:hAnsi="楷体" w:eastAsia="仿宋_GB2312" w:cs="Times New Roman"/>
          <w:sz w:val="32"/>
          <w:szCs w:val="32"/>
          <w:lang w:eastAsia="zh-CN"/>
        </w:rPr>
      </w:pPr>
    </w:p>
    <w:p>
      <w:pPr>
        <w:keepNext w:val="0"/>
        <w:keepLines w:val="0"/>
        <w:pageBreakBefore w:val="0"/>
        <w:widowControl w:val="0"/>
        <w:numPr>
          <w:ilvl w:val="0"/>
          <w:numId w:val="0"/>
        </w:numPr>
        <w:kinsoku/>
        <w:wordWrap/>
        <w:overflowPunct/>
        <w:topLinePunct/>
        <w:autoSpaceDE/>
        <w:autoSpaceDN/>
        <w:bidi w:val="0"/>
        <w:adjustRightInd/>
        <w:snapToGrid/>
        <w:spacing w:beforeLines="-2147483648" w:line="240" w:lineRule="auto"/>
        <w:textAlignment w:val="auto"/>
        <w:rPr>
          <w:rFonts w:hint="eastAsia" w:ascii="仿宋_GB2312" w:hAnsi="楷体" w:eastAsia="仿宋_GB2312" w:cs="Times New Roman"/>
          <w:sz w:val="32"/>
          <w:szCs w:val="32"/>
          <w:lang w:eastAsia="zh-CN"/>
        </w:rPr>
      </w:pPr>
    </w:p>
    <w:p>
      <w:pPr>
        <w:keepNext w:val="0"/>
        <w:keepLines w:val="0"/>
        <w:pageBreakBefore w:val="0"/>
        <w:widowControl w:val="0"/>
        <w:numPr>
          <w:ilvl w:val="0"/>
          <w:numId w:val="0"/>
        </w:numPr>
        <w:kinsoku/>
        <w:wordWrap/>
        <w:overflowPunct/>
        <w:topLinePunct/>
        <w:autoSpaceDE/>
        <w:autoSpaceDN/>
        <w:bidi w:val="0"/>
        <w:adjustRightInd/>
        <w:snapToGrid/>
        <w:spacing w:beforeLines="-2147483648" w:line="240" w:lineRule="auto"/>
        <w:textAlignment w:val="auto"/>
        <w:rPr>
          <w:rFonts w:hint="eastAsia" w:ascii="仿宋_GB2312" w:hAnsi="楷体" w:eastAsia="仿宋_GB2312" w:cs="Times New Roman"/>
          <w:sz w:val="32"/>
          <w:szCs w:val="32"/>
          <w:lang w:eastAsia="zh-CN"/>
        </w:rPr>
      </w:pPr>
    </w:p>
    <w:p>
      <w:pPr>
        <w:keepNext w:val="0"/>
        <w:keepLines w:val="0"/>
        <w:pageBreakBefore w:val="0"/>
        <w:widowControl w:val="0"/>
        <w:numPr>
          <w:ilvl w:val="0"/>
          <w:numId w:val="0"/>
        </w:numPr>
        <w:kinsoku/>
        <w:wordWrap/>
        <w:overflowPunct/>
        <w:topLinePunct/>
        <w:autoSpaceDE/>
        <w:autoSpaceDN/>
        <w:bidi w:val="0"/>
        <w:adjustRightInd/>
        <w:snapToGrid/>
        <w:spacing w:beforeLines="-2147483648" w:line="240" w:lineRule="auto"/>
        <w:textAlignment w:val="auto"/>
        <w:rPr>
          <w:rFonts w:hint="eastAsia" w:ascii="仿宋_GB2312" w:hAnsi="楷体" w:eastAsia="仿宋_GB2312" w:cs="Times New Roman"/>
          <w:sz w:val="32"/>
          <w:szCs w:val="32"/>
          <w:lang w:eastAsia="zh-CN"/>
        </w:rPr>
      </w:pPr>
    </w:p>
    <w:p>
      <w:pPr>
        <w:keepNext w:val="0"/>
        <w:keepLines w:val="0"/>
        <w:pageBreakBefore w:val="0"/>
        <w:widowControl w:val="0"/>
        <w:numPr>
          <w:ilvl w:val="0"/>
          <w:numId w:val="0"/>
        </w:numPr>
        <w:kinsoku/>
        <w:wordWrap/>
        <w:overflowPunct/>
        <w:topLinePunct/>
        <w:autoSpaceDE/>
        <w:autoSpaceDN/>
        <w:bidi w:val="0"/>
        <w:adjustRightInd/>
        <w:snapToGrid/>
        <w:spacing w:beforeLines="-2147483648" w:line="240" w:lineRule="auto"/>
        <w:textAlignment w:val="auto"/>
        <w:rPr>
          <w:rFonts w:hint="eastAsia" w:ascii="仿宋_GB2312" w:hAnsi="楷体" w:eastAsia="仿宋_GB2312" w:cs="Times New Roman"/>
          <w:sz w:val="32"/>
          <w:szCs w:val="32"/>
          <w:lang w:eastAsia="zh-CN"/>
        </w:rPr>
      </w:pPr>
    </w:p>
    <w:p>
      <w:pPr>
        <w:keepNext w:val="0"/>
        <w:keepLines w:val="0"/>
        <w:pageBreakBefore w:val="0"/>
        <w:widowControl w:val="0"/>
        <w:numPr>
          <w:ilvl w:val="0"/>
          <w:numId w:val="0"/>
        </w:numPr>
        <w:kinsoku/>
        <w:wordWrap/>
        <w:overflowPunct/>
        <w:topLinePunct/>
        <w:autoSpaceDE/>
        <w:autoSpaceDN/>
        <w:bidi w:val="0"/>
        <w:adjustRightInd/>
        <w:snapToGrid/>
        <w:spacing w:beforeLines="-2147483648" w:line="240" w:lineRule="auto"/>
        <w:textAlignment w:val="auto"/>
        <w:rPr>
          <w:rFonts w:hint="eastAsia" w:ascii="仿宋_GB2312" w:hAnsi="楷体" w:eastAsia="仿宋_GB2312" w:cs="Times New Roman"/>
          <w:sz w:val="32"/>
          <w:szCs w:val="32"/>
          <w:lang w:eastAsia="zh-CN"/>
        </w:rPr>
      </w:pPr>
    </w:p>
    <w:p>
      <w:pPr>
        <w:keepNext w:val="0"/>
        <w:keepLines w:val="0"/>
        <w:pageBreakBefore w:val="0"/>
        <w:widowControl w:val="0"/>
        <w:numPr>
          <w:ilvl w:val="0"/>
          <w:numId w:val="0"/>
        </w:numPr>
        <w:kinsoku/>
        <w:wordWrap/>
        <w:overflowPunct/>
        <w:topLinePunct/>
        <w:autoSpaceDE/>
        <w:autoSpaceDN/>
        <w:bidi w:val="0"/>
        <w:adjustRightInd/>
        <w:snapToGrid/>
        <w:spacing w:beforeLines="-2147483648" w:line="240" w:lineRule="auto"/>
        <w:textAlignment w:val="auto"/>
        <w:rPr>
          <w:rFonts w:hint="eastAsia" w:ascii="仿宋_GB2312" w:hAnsi="楷体" w:eastAsia="仿宋_GB2312" w:cs="Times New Roman"/>
          <w:sz w:val="32"/>
          <w:szCs w:val="32"/>
          <w:lang w:eastAsia="zh-CN"/>
        </w:rPr>
      </w:pPr>
    </w:p>
    <w:p>
      <w:pPr>
        <w:keepNext w:val="0"/>
        <w:keepLines w:val="0"/>
        <w:pageBreakBefore w:val="0"/>
        <w:widowControl w:val="0"/>
        <w:numPr>
          <w:ilvl w:val="0"/>
          <w:numId w:val="0"/>
        </w:numPr>
        <w:kinsoku/>
        <w:wordWrap/>
        <w:overflowPunct/>
        <w:topLinePunct/>
        <w:autoSpaceDE/>
        <w:autoSpaceDN/>
        <w:bidi w:val="0"/>
        <w:adjustRightInd/>
        <w:snapToGrid/>
        <w:spacing w:beforeLines="-2147483648" w:line="240" w:lineRule="auto"/>
        <w:textAlignment w:val="auto"/>
        <w:rPr>
          <w:rFonts w:hint="eastAsia" w:ascii="仿宋_GB2312" w:hAnsi="楷体" w:eastAsia="仿宋_GB2312" w:cs="Times New Roman"/>
          <w:sz w:val="32"/>
          <w:szCs w:val="32"/>
          <w:lang w:eastAsia="zh-CN"/>
        </w:rPr>
      </w:pPr>
    </w:p>
    <w:p>
      <w:pPr>
        <w:keepNext w:val="0"/>
        <w:keepLines w:val="0"/>
        <w:pageBreakBefore w:val="0"/>
        <w:widowControl w:val="0"/>
        <w:numPr>
          <w:ilvl w:val="0"/>
          <w:numId w:val="0"/>
        </w:numPr>
        <w:kinsoku/>
        <w:wordWrap/>
        <w:overflowPunct/>
        <w:topLinePunct/>
        <w:autoSpaceDE/>
        <w:autoSpaceDN/>
        <w:bidi w:val="0"/>
        <w:adjustRightInd/>
        <w:snapToGrid/>
        <w:spacing w:beforeLines="-2147483648" w:line="240" w:lineRule="auto"/>
        <w:textAlignment w:val="auto"/>
        <w:rPr>
          <w:rFonts w:hint="eastAsia" w:ascii="仿宋_GB2312" w:hAnsi="楷体" w:eastAsia="仿宋_GB2312" w:cs="Times New Roman"/>
          <w:sz w:val="32"/>
          <w:szCs w:val="32"/>
          <w:lang w:eastAsia="zh-CN"/>
        </w:rPr>
      </w:pPr>
    </w:p>
    <w:p>
      <w:pPr>
        <w:keepNext w:val="0"/>
        <w:keepLines w:val="0"/>
        <w:pageBreakBefore w:val="0"/>
        <w:widowControl w:val="0"/>
        <w:numPr>
          <w:ilvl w:val="0"/>
          <w:numId w:val="0"/>
        </w:numPr>
        <w:kinsoku/>
        <w:wordWrap/>
        <w:overflowPunct/>
        <w:topLinePunct/>
        <w:autoSpaceDE/>
        <w:autoSpaceDN/>
        <w:bidi w:val="0"/>
        <w:adjustRightInd/>
        <w:snapToGrid/>
        <w:spacing w:beforeLines="-2147483648" w:line="240" w:lineRule="auto"/>
        <w:textAlignment w:val="auto"/>
        <w:rPr>
          <w:rFonts w:hint="eastAsia" w:ascii="仿宋_GB2312" w:hAnsi="楷体" w:eastAsia="仿宋_GB2312" w:cs="Times New Roman"/>
          <w:sz w:val="32"/>
          <w:szCs w:val="32"/>
          <w:lang w:eastAsia="zh-CN"/>
        </w:rPr>
      </w:pPr>
    </w:p>
    <w:tbl>
      <w:tblPr>
        <w:tblStyle w:val="4"/>
        <w:tblW w:w="9174" w:type="dxa"/>
        <w:jc w:val="center"/>
        <w:tblLayout w:type="fixed"/>
        <w:tblCellMar>
          <w:top w:w="0" w:type="dxa"/>
          <w:left w:w="28" w:type="dxa"/>
          <w:bottom w:w="0" w:type="dxa"/>
          <w:right w:w="28" w:type="dxa"/>
        </w:tblCellMar>
      </w:tblPr>
      <w:tblGrid>
        <w:gridCol w:w="476"/>
        <w:gridCol w:w="640"/>
        <w:gridCol w:w="1173"/>
        <w:gridCol w:w="570"/>
        <w:gridCol w:w="552"/>
        <w:gridCol w:w="2268"/>
        <w:gridCol w:w="2126"/>
        <w:gridCol w:w="1369"/>
      </w:tblGrid>
      <w:tr>
        <w:tblPrEx>
          <w:tblCellMar>
            <w:top w:w="0" w:type="dxa"/>
            <w:left w:w="28" w:type="dxa"/>
            <w:bottom w:w="0" w:type="dxa"/>
            <w:right w:w="28" w:type="dxa"/>
          </w:tblCellMar>
        </w:tblPrEx>
        <w:trPr>
          <w:tblHeader/>
          <w:jc w:val="center"/>
        </w:trPr>
        <w:tc>
          <w:tcPr>
            <w:tcW w:w="9174" w:type="dxa"/>
            <w:gridSpan w:val="8"/>
            <w:tcBorders>
              <w:bottom w:val="single" w:color="auto" w:sz="4" w:space="0"/>
            </w:tcBorders>
            <w:tcMar>
              <w:top w:w="10" w:type="dxa"/>
              <w:left w:w="10" w:type="dxa"/>
              <w:bottom w:w="0" w:type="dxa"/>
              <w:right w:w="10" w:type="dxa"/>
            </w:tcMar>
            <w:vAlign w:val="center"/>
          </w:tcPr>
          <w:p>
            <w:pPr>
              <w:spacing w:before="156" w:afterLines="50"/>
              <w:jc w:val="center"/>
              <w:rPr>
                <w:rFonts w:ascii="黑体" w:eastAsia="黑体" w:cs="Times New Roman"/>
                <w:sz w:val="36"/>
                <w:szCs w:val="36"/>
              </w:rPr>
            </w:pPr>
            <w:r>
              <w:rPr>
                <w:rFonts w:hint="eastAsia" w:ascii="黑体" w:eastAsia="黑体" w:cs="黑体"/>
                <w:sz w:val="36"/>
                <w:szCs w:val="36"/>
                <w:lang w:val="en-US" w:eastAsia="zh-CN"/>
              </w:rPr>
              <w:t>2020</w:t>
            </w:r>
            <w:r>
              <w:rPr>
                <w:rFonts w:hint="eastAsia" w:ascii="黑体" w:eastAsia="黑体" w:cs="黑体"/>
                <w:sz w:val="36"/>
                <w:szCs w:val="36"/>
              </w:rPr>
              <w:t>年项目支出绩效自评指标评分表</w:t>
            </w:r>
          </w:p>
          <w:p>
            <w:pPr>
              <w:spacing w:before="156" w:afterLines="50"/>
              <w:jc w:val="center"/>
              <w:rPr>
                <w:rFonts w:ascii="黑体" w:eastAsia="黑体" w:cs="Times New Roman"/>
                <w:b/>
                <w:bCs/>
                <w:sz w:val="18"/>
                <w:szCs w:val="18"/>
              </w:rPr>
            </w:pPr>
          </w:p>
        </w:tc>
      </w:tr>
      <w:tr>
        <w:tblPrEx>
          <w:tblCellMar>
            <w:top w:w="0" w:type="dxa"/>
            <w:left w:w="28" w:type="dxa"/>
            <w:bottom w:w="0" w:type="dxa"/>
            <w:right w:w="28" w:type="dxa"/>
          </w:tblCellMar>
        </w:tblPrEx>
        <w:trPr>
          <w:trHeight w:val="703" w:hRule="atLeast"/>
          <w:tblHeader/>
          <w:jc w:val="center"/>
        </w:trPr>
        <w:tc>
          <w:tcPr>
            <w:tcW w:w="47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spacing w:before="156"/>
              <w:jc w:val="center"/>
              <w:rPr>
                <w:rFonts w:cs="Times New Roman"/>
              </w:rPr>
            </w:pPr>
            <w:r>
              <w:rPr>
                <w:rFonts w:hint="eastAsia" w:cs="宋体"/>
              </w:rPr>
              <w:t>一级</w:t>
            </w:r>
            <w:r>
              <w:rPr>
                <w:rFonts w:cs="Times New Roman"/>
              </w:rPr>
              <w:br w:type="textWrapping"/>
            </w:r>
            <w:r>
              <w:rPr>
                <w:rFonts w:hint="eastAsia" w:cs="宋体"/>
              </w:rPr>
              <w:t>指标</w:t>
            </w:r>
          </w:p>
        </w:tc>
        <w:tc>
          <w:tcPr>
            <w:tcW w:w="64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spacing w:before="156"/>
              <w:jc w:val="center"/>
              <w:rPr>
                <w:rFonts w:cs="Times New Roman"/>
              </w:rPr>
            </w:pPr>
            <w:r>
              <w:rPr>
                <w:rFonts w:hint="eastAsia" w:cs="宋体"/>
              </w:rPr>
              <w:t>二级</w:t>
            </w:r>
          </w:p>
          <w:p>
            <w:pPr>
              <w:spacing w:before="156"/>
              <w:jc w:val="center"/>
              <w:rPr>
                <w:rFonts w:cs="Times New Roman"/>
              </w:rPr>
            </w:pPr>
            <w:r>
              <w:rPr>
                <w:rFonts w:hint="eastAsia" w:cs="宋体"/>
              </w:rPr>
              <w:t>指标</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spacing w:before="156"/>
              <w:jc w:val="center"/>
              <w:rPr>
                <w:rFonts w:cs="Times New Roman"/>
              </w:rPr>
            </w:pPr>
            <w:r>
              <w:rPr>
                <w:rFonts w:hint="eastAsia" w:cs="宋体"/>
              </w:rPr>
              <w:t>三级</w:t>
            </w:r>
          </w:p>
          <w:p>
            <w:pPr>
              <w:spacing w:before="156"/>
              <w:jc w:val="center"/>
              <w:rPr>
                <w:rFonts w:cs="Times New Roman"/>
              </w:rPr>
            </w:pPr>
            <w:r>
              <w:rPr>
                <w:rFonts w:hint="eastAsia" w:cs="宋体"/>
              </w:rPr>
              <w:t>指标</w:t>
            </w:r>
          </w:p>
        </w:tc>
        <w:tc>
          <w:tcPr>
            <w:tcW w:w="57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spacing w:before="156"/>
              <w:jc w:val="center"/>
              <w:rPr>
                <w:rFonts w:cs="Times New Roman"/>
              </w:rPr>
            </w:pPr>
            <w:r>
              <w:rPr>
                <w:rFonts w:hint="eastAsia" w:cs="宋体"/>
              </w:rPr>
              <w:t>分值</w:t>
            </w:r>
          </w:p>
        </w:tc>
        <w:tc>
          <w:tcPr>
            <w:tcW w:w="55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spacing w:before="156"/>
              <w:jc w:val="center"/>
              <w:rPr>
                <w:rFonts w:cs="Times New Roman"/>
              </w:rPr>
            </w:pPr>
            <w:r>
              <w:rPr>
                <w:rFonts w:hint="eastAsia" w:cs="宋体"/>
              </w:rPr>
              <w:t>得分</w:t>
            </w:r>
          </w:p>
        </w:tc>
        <w:tc>
          <w:tcPr>
            <w:tcW w:w="2268" w:type="dxa"/>
            <w:tcBorders>
              <w:top w:val="single" w:color="auto" w:sz="4" w:space="0"/>
              <w:left w:val="single" w:color="auto" w:sz="4" w:space="0"/>
              <w:bottom w:val="single" w:color="auto" w:sz="4" w:space="0"/>
              <w:right w:val="single" w:color="auto" w:sz="4" w:space="0"/>
            </w:tcBorders>
            <w:vAlign w:val="center"/>
          </w:tcPr>
          <w:p>
            <w:pPr>
              <w:spacing w:before="156"/>
              <w:jc w:val="center"/>
              <w:rPr>
                <w:rFonts w:cs="Times New Roman"/>
              </w:rPr>
            </w:pPr>
            <w:r>
              <w:rPr>
                <w:rFonts w:hint="eastAsia" w:cs="宋体"/>
              </w:rPr>
              <w:t>指标解释</w:t>
            </w:r>
          </w:p>
        </w:tc>
        <w:tc>
          <w:tcPr>
            <w:tcW w:w="2126"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spacing w:before="156"/>
              <w:jc w:val="center"/>
              <w:rPr>
                <w:rFonts w:cs="Times New Roman"/>
              </w:rPr>
            </w:pPr>
            <w:r>
              <w:rPr>
                <w:rFonts w:hint="eastAsia" w:cs="宋体"/>
              </w:rPr>
              <w:t>指标评分细则</w:t>
            </w:r>
          </w:p>
        </w:tc>
        <w:tc>
          <w:tcPr>
            <w:tcW w:w="1369" w:type="dxa"/>
            <w:tcBorders>
              <w:top w:val="single" w:color="auto" w:sz="4" w:space="0"/>
              <w:left w:val="nil"/>
              <w:bottom w:val="single" w:color="auto" w:sz="4" w:space="0"/>
              <w:right w:val="single" w:color="auto" w:sz="4" w:space="0"/>
            </w:tcBorders>
            <w:vAlign w:val="center"/>
          </w:tcPr>
          <w:p>
            <w:pPr>
              <w:spacing w:before="156"/>
              <w:jc w:val="center"/>
              <w:rPr>
                <w:rFonts w:cs="Times New Roman"/>
              </w:rPr>
            </w:pPr>
            <w:r>
              <w:rPr>
                <w:rFonts w:hint="eastAsia" w:cs="宋体"/>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476" w:type="dxa"/>
            <w:vMerge w:val="restart"/>
            <w:textDirection w:val="tbRlV"/>
            <w:vAlign w:val="bottom"/>
          </w:tcPr>
          <w:p>
            <w:pPr>
              <w:spacing w:before="156" w:line="240" w:lineRule="exact"/>
              <w:ind w:left="113" w:right="113"/>
              <w:jc w:val="center"/>
              <w:rPr>
                <w:rFonts w:ascii="??_GB2312" w:cs="Times New Roman"/>
                <w:sz w:val="15"/>
                <w:szCs w:val="15"/>
              </w:rPr>
            </w:pPr>
            <w:r>
              <w:rPr>
                <w:rFonts w:hint="eastAsia" w:ascii="??_GB2312" w:cs="宋体"/>
                <w:sz w:val="15"/>
                <w:szCs w:val="15"/>
              </w:rPr>
              <w:t>一、项目决策（</w:t>
            </w:r>
            <w:r>
              <w:rPr>
                <w:rFonts w:ascii="??_GB2312" w:cs="??_GB2312"/>
                <w:sz w:val="15"/>
                <w:szCs w:val="15"/>
              </w:rPr>
              <w:t>20</w:t>
            </w:r>
            <w:r>
              <w:rPr>
                <w:rFonts w:hint="eastAsia" w:ascii="??_GB2312" w:cs="宋体"/>
                <w:sz w:val="15"/>
                <w:szCs w:val="15"/>
              </w:rPr>
              <w:t>分）</w:t>
            </w:r>
          </w:p>
        </w:tc>
        <w:tc>
          <w:tcPr>
            <w:tcW w:w="640" w:type="dxa"/>
            <w:vMerge w:val="restart"/>
            <w:vAlign w:val="center"/>
          </w:tcPr>
          <w:p>
            <w:pPr>
              <w:spacing w:before="156" w:line="240" w:lineRule="exact"/>
              <w:rPr>
                <w:rFonts w:ascii="??_GB2312" w:cs="??_GB2312"/>
                <w:sz w:val="15"/>
                <w:szCs w:val="15"/>
              </w:rPr>
            </w:pPr>
            <w:r>
              <w:rPr>
                <w:rFonts w:ascii="??_GB2312" w:cs="??_GB2312"/>
                <w:sz w:val="15"/>
                <w:szCs w:val="15"/>
              </w:rPr>
              <w:t>1</w:t>
            </w:r>
            <w:r>
              <w:rPr>
                <w:rFonts w:hint="eastAsia" w:ascii="??_GB2312" w:cs="宋体"/>
                <w:sz w:val="15"/>
                <w:szCs w:val="15"/>
              </w:rPr>
              <w:t>项目立项</w:t>
            </w:r>
            <w:r>
              <w:rPr>
                <w:rFonts w:ascii="??_GB2312" w:cs="??_GB2312"/>
                <w:sz w:val="15"/>
                <w:szCs w:val="15"/>
              </w:rPr>
              <w:t>(10)</w:t>
            </w:r>
          </w:p>
        </w:tc>
        <w:tc>
          <w:tcPr>
            <w:tcW w:w="1173" w:type="dxa"/>
            <w:vAlign w:val="center"/>
          </w:tcPr>
          <w:p>
            <w:pPr>
              <w:spacing w:before="156" w:line="240" w:lineRule="exact"/>
              <w:rPr>
                <w:rFonts w:ascii="??_GB2312" w:cs="Times New Roman"/>
                <w:sz w:val="15"/>
                <w:szCs w:val="15"/>
              </w:rPr>
            </w:pPr>
            <w:r>
              <w:rPr>
                <w:rFonts w:ascii="??_GB2312" w:cs="??_GB2312"/>
                <w:sz w:val="15"/>
                <w:szCs w:val="15"/>
              </w:rPr>
              <w:t>1.</w:t>
            </w:r>
            <w:r>
              <w:rPr>
                <w:rFonts w:hint="eastAsia" w:ascii="??_GB2312" w:cs="宋体"/>
                <w:sz w:val="15"/>
                <w:szCs w:val="15"/>
              </w:rPr>
              <w:t>与部门中长期规划目标适应性。</w:t>
            </w:r>
          </w:p>
        </w:tc>
        <w:tc>
          <w:tcPr>
            <w:tcW w:w="570" w:type="dxa"/>
            <w:vAlign w:val="center"/>
          </w:tcPr>
          <w:p>
            <w:pPr>
              <w:spacing w:before="156" w:line="240" w:lineRule="exact"/>
              <w:jc w:val="center"/>
              <w:rPr>
                <w:rFonts w:ascii="??_GB2312" w:cs="??_GB2312"/>
                <w:sz w:val="18"/>
                <w:szCs w:val="18"/>
              </w:rPr>
            </w:pPr>
            <w:r>
              <w:rPr>
                <w:rFonts w:ascii="??_GB2312" w:cs="??_GB2312"/>
                <w:sz w:val="18"/>
                <w:szCs w:val="18"/>
              </w:rPr>
              <w:t>4</w:t>
            </w:r>
          </w:p>
        </w:tc>
        <w:tc>
          <w:tcPr>
            <w:tcW w:w="552" w:type="dxa"/>
            <w:vAlign w:val="center"/>
          </w:tcPr>
          <w:p>
            <w:pPr>
              <w:spacing w:before="156" w:line="240" w:lineRule="exact"/>
              <w:rPr>
                <w:rFonts w:ascii="??_GB2312" w:eastAsia="Times New Roman" w:cs="Times New Roman"/>
                <w:sz w:val="18"/>
                <w:szCs w:val="18"/>
              </w:rPr>
            </w:pPr>
            <w:r>
              <w:rPr>
                <w:rFonts w:ascii="??_GB2312" w:cs="??_GB2312"/>
                <w:sz w:val="18"/>
                <w:szCs w:val="18"/>
              </w:rPr>
              <w:t>4</w:t>
            </w:r>
          </w:p>
        </w:tc>
        <w:tc>
          <w:tcPr>
            <w:tcW w:w="2268" w:type="dxa"/>
            <w:vAlign w:val="center"/>
          </w:tcPr>
          <w:p>
            <w:pPr>
              <w:spacing w:before="156" w:line="240" w:lineRule="exact"/>
              <w:rPr>
                <w:rFonts w:ascii="??_GB2312" w:cs="Times New Roman"/>
                <w:sz w:val="15"/>
                <w:szCs w:val="15"/>
              </w:rPr>
            </w:pPr>
            <w:r>
              <w:rPr>
                <w:rFonts w:hint="eastAsia" w:ascii="??_GB2312" w:cs="宋体"/>
                <w:sz w:val="15"/>
                <w:szCs w:val="15"/>
              </w:rPr>
              <w:t>考察项目与部门中长期目标是否匹配。</w:t>
            </w:r>
          </w:p>
        </w:tc>
        <w:tc>
          <w:tcPr>
            <w:tcW w:w="2126" w:type="dxa"/>
            <w:vAlign w:val="center"/>
          </w:tcPr>
          <w:p>
            <w:pPr>
              <w:spacing w:before="156" w:line="240" w:lineRule="exact"/>
              <w:rPr>
                <w:rFonts w:ascii="??_GB2312" w:cs="Times New Roman"/>
                <w:sz w:val="15"/>
                <w:szCs w:val="15"/>
              </w:rPr>
            </w:pPr>
            <w:r>
              <w:rPr>
                <w:rFonts w:hint="eastAsia" w:ascii="??_GB2312" w:cs="宋体"/>
                <w:sz w:val="15"/>
                <w:szCs w:val="15"/>
              </w:rPr>
              <w:t>①部门年度工作目标是否明确设定，得</w:t>
            </w:r>
            <w:r>
              <w:rPr>
                <w:rFonts w:ascii="??_GB2312" w:cs="??_GB2312"/>
                <w:sz w:val="15"/>
                <w:szCs w:val="15"/>
              </w:rPr>
              <w:t>2</w:t>
            </w:r>
            <w:r>
              <w:rPr>
                <w:rFonts w:hint="eastAsia" w:ascii="??_GB2312" w:cs="宋体"/>
                <w:sz w:val="15"/>
                <w:szCs w:val="15"/>
              </w:rPr>
              <w:t>分；②年度工作目标与部门中长期规划目标一致，得</w:t>
            </w:r>
            <w:r>
              <w:rPr>
                <w:rFonts w:ascii="??_GB2312" w:cs="??_GB2312"/>
                <w:sz w:val="15"/>
                <w:szCs w:val="15"/>
              </w:rPr>
              <w:t>2</w:t>
            </w:r>
            <w:r>
              <w:rPr>
                <w:rFonts w:hint="eastAsia" w:ascii="??_GB2312" w:cs="宋体"/>
                <w:sz w:val="15"/>
                <w:szCs w:val="15"/>
              </w:rPr>
              <w:t>分。</w:t>
            </w:r>
          </w:p>
        </w:tc>
        <w:tc>
          <w:tcPr>
            <w:tcW w:w="1369" w:type="dxa"/>
            <w:vAlign w:val="center"/>
          </w:tcPr>
          <w:p>
            <w:pPr>
              <w:spacing w:before="156" w:line="240" w:lineRule="exact"/>
              <w:rPr>
                <w:rFonts w:ascii="??_GB2312" w:cs="Times New Roman"/>
                <w:sz w:val="15"/>
                <w:szCs w:val="15"/>
              </w:rPr>
            </w:pPr>
            <w:r>
              <w:rPr>
                <w:rFonts w:hint="eastAsia" w:ascii="??_GB2312" w:cs="宋体"/>
                <w:sz w:val="15"/>
                <w:szCs w:val="15"/>
              </w:rPr>
              <w:t>部门中长期规划目标。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before="156" w:line="240" w:lineRule="exact"/>
              <w:jc w:val="left"/>
              <w:rPr>
                <w:rFonts w:ascii="??_GB2312" w:cs="Times New Roman"/>
                <w:sz w:val="15"/>
                <w:szCs w:val="15"/>
              </w:rPr>
            </w:pPr>
          </w:p>
        </w:tc>
        <w:tc>
          <w:tcPr>
            <w:tcW w:w="640" w:type="dxa"/>
            <w:vMerge w:val="continue"/>
            <w:vAlign w:val="center"/>
          </w:tcPr>
          <w:p>
            <w:pPr>
              <w:spacing w:before="156" w:line="240" w:lineRule="exact"/>
              <w:rPr>
                <w:rFonts w:ascii="??_GB2312" w:cs="Times New Roman"/>
                <w:sz w:val="15"/>
                <w:szCs w:val="15"/>
              </w:rPr>
            </w:pPr>
          </w:p>
        </w:tc>
        <w:tc>
          <w:tcPr>
            <w:tcW w:w="1173" w:type="dxa"/>
            <w:vAlign w:val="center"/>
          </w:tcPr>
          <w:p>
            <w:pPr>
              <w:spacing w:before="156" w:line="240" w:lineRule="exact"/>
              <w:rPr>
                <w:rFonts w:ascii="??_GB2312" w:cs="Times New Roman"/>
                <w:sz w:val="15"/>
                <w:szCs w:val="15"/>
              </w:rPr>
            </w:pPr>
            <w:r>
              <w:rPr>
                <w:rFonts w:ascii="??_GB2312" w:cs="??_GB2312"/>
                <w:sz w:val="15"/>
                <w:szCs w:val="15"/>
              </w:rPr>
              <w:t>2.</w:t>
            </w:r>
            <w:r>
              <w:rPr>
                <w:rFonts w:hint="eastAsia" w:ascii="??_GB2312" w:cs="宋体"/>
                <w:sz w:val="15"/>
                <w:szCs w:val="15"/>
              </w:rPr>
              <w:t>立项依据充分性。</w:t>
            </w:r>
          </w:p>
        </w:tc>
        <w:tc>
          <w:tcPr>
            <w:tcW w:w="570" w:type="dxa"/>
            <w:vAlign w:val="center"/>
          </w:tcPr>
          <w:p>
            <w:pPr>
              <w:spacing w:before="156" w:line="240" w:lineRule="exact"/>
              <w:jc w:val="center"/>
              <w:rPr>
                <w:rFonts w:ascii="??_GB2312" w:cs="??_GB2312"/>
                <w:sz w:val="18"/>
                <w:szCs w:val="18"/>
              </w:rPr>
            </w:pPr>
            <w:r>
              <w:rPr>
                <w:rFonts w:ascii="??_GB2312" w:cs="??_GB2312"/>
                <w:sz w:val="18"/>
                <w:szCs w:val="18"/>
              </w:rPr>
              <w:t>3</w:t>
            </w:r>
          </w:p>
        </w:tc>
        <w:tc>
          <w:tcPr>
            <w:tcW w:w="552" w:type="dxa"/>
            <w:vAlign w:val="center"/>
          </w:tcPr>
          <w:p>
            <w:pPr>
              <w:spacing w:before="156" w:line="240" w:lineRule="exact"/>
              <w:rPr>
                <w:rFonts w:ascii="??_GB2312" w:eastAsia="Times New Roman" w:cs="Times New Roman"/>
                <w:sz w:val="18"/>
                <w:szCs w:val="18"/>
              </w:rPr>
            </w:pPr>
            <w:r>
              <w:rPr>
                <w:rFonts w:ascii="??_GB2312" w:cs="??_GB2312"/>
                <w:sz w:val="18"/>
                <w:szCs w:val="18"/>
              </w:rPr>
              <w:t>3</w:t>
            </w:r>
          </w:p>
        </w:tc>
        <w:tc>
          <w:tcPr>
            <w:tcW w:w="2268" w:type="dxa"/>
            <w:vAlign w:val="center"/>
          </w:tcPr>
          <w:p>
            <w:pPr>
              <w:spacing w:before="156" w:line="240" w:lineRule="exact"/>
              <w:rPr>
                <w:rFonts w:ascii="??_GB2312" w:cs="Times New Roman"/>
                <w:sz w:val="15"/>
                <w:szCs w:val="15"/>
              </w:rPr>
            </w:pPr>
            <w:r>
              <w:rPr>
                <w:rFonts w:hint="eastAsia" w:ascii="??_GB2312" w:cs="宋体"/>
                <w:sz w:val="15"/>
                <w:szCs w:val="15"/>
              </w:rPr>
              <w:t>考察项目是否符合政府相关发展规划和政府决策</w:t>
            </w:r>
          </w:p>
        </w:tc>
        <w:tc>
          <w:tcPr>
            <w:tcW w:w="2126" w:type="dxa"/>
            <w:vAlign w:val="center"/>
          </w:tcPr>
          <w:p>
            <w:pPr>
              <w:spacing w:before="156" w:line="240" w:lineRule="exact"/>
              <w:rPr>
                <w:rFonts w:ascii="??_GB2312" w:cs="Times New Roman"/>
                <w:sz w:val="15"/>
                <w:szCs w:val="15"/>
              </w:rPr>
            </w:pPr>
            <w:r>
              <w:rPr>
                <w:rFonts w:hint="eastAsia" w:ascii="??_GB2312" w:cs="宋体"/>
                <w:sz w:val="15"/>
                <w:szCs w:val="15"/>
              </w:rPr>
              <w:t>符合，得满分；不符合，不得分。</w:t>
            </w:r>
          </w:p>
        </w:tc>
        <w:tc>
          <w:tcPr>
            <w:tcW w:w="1369" w:type="dxa"/>
            <w:vAlign w:val="center"/>
          </w:tcPr>
          <w:p>
            <w:pPr>
              <w:spacing w:before="156" w:line="240" w:lineRule="exact"/>
              <w:rPr>
                <w:rFonts w:ascii="??_GB2312" w:cs="Times New Roman"/>
                <w:sz w:val="15"/>
                <w:szCs w:val="15"/>
              </w:rPr>
            </w:pPr>
            <w:r>
              <w:rPr>
                <w:rFonts w:hint="eastAsia" w:ascii="??_GB2312" w:cs="宋体"/>
                <w:sz w:val="15"/>
                <w:szCs w:val="15"/>
              </w:rPr>
              <w:t>政府相关规划、决策、批复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476" w:type="dxa"/>
            <w:vMerge w:val="continue"/>
          </w:tcPr>
          <w:p>
            <w:pPr>
              <w:spacing w:before="156" w:line="240" w:lineRule="exact"/>
              <w:jc w:val="left"/>
              <w:rPr>
                <w:rFonts w:ascii="??_GB2312" w:cs="Times New Roman"/>
                <w:sz w:val="15"/>
                <w:szCs w:val="15"/>
              </w:rPr>
            </w:pPr>
          </w:p>
        </w:tc>
        <w:tc>
          <w:tcPr>
            <w:tcW w:w="640" w:type="dxa"/>
            <w:vMerge w:val="continue"/>
            <w:vAlign w:val="center"/>
          </w:tcPr>
          <w:p>
            <w:pPr>
              <w:spacing w:before="156" w:line="240" w:lineRule="exact"/>
              <w:rPr>
                <w:rFonts w:ascii="??_GB2312" w:cs="Times New Roman"/>
                <w:sz w:val="15"/>
                <w:szCs w:val="15"/>
              </w:rPr>
            </w:pPr>
          </w:p>
        </w:tc>
        <w:tc>
          <w:tcPr>
            <w:tcW w:w="1173" w:type="dxa"/>
            <w:vAlign w:val="center"/>
          </w:tcPr>
          <w:p>
            <w:pPr>
              <w:spacing w:before="156" w:line="240" w:lineRule="exact"/>
              <w:rPr>
                <w:rFonts w:ascii="??_GB2312" w:cs="Times New Roman"/>
                <w:sz w:val="15"/>
                <w:szCs w:val="15"/>
              </w:rPr>
            </w:pPr>
            <w:r>
              <w:rPr>
                <w:rFonts w:ascii="??_GB2312" w:cs="??_GB2312"/>
                <w:sz w:val="15"/>
                <w:szCs w:val="15"/>
              </w:rPr>
              <w:t>3.</w:t>
            </w:r>
            <w:r>
              <w:rPr>
                <w:rFonts w:hint="eastAsia" w:ascii="??_GB2312" w:cs="宋体"/>
                <w:sz w:val="15"/>
                <w:szCs w:val="15"/>
              </w:rPr>
              <w:t>项目立项规范性。</w:t>
            </w:r>
          </w:p>
        </w:tc>
        <w:tc>
          <w:tcPr>
            <w:tcW w:w="570" w:type="dxa"/>
            <w:vAlign w:val="center"/>
          </w:tcPr>
          <w:p>
            <w:pPr>
              <w:spacing w:before="156" w:line="240" w:lineRule="exact"/>
              <w:jc w:val="center"/>
              <w:rPr>
                <w:rFonts w:ascii="??_GB2312" w:cs="??_GB2312"/>
                <w:sz w:val="18"/>
                <w:szCs w:val="18"/>
              </w:rPr>
            </w:pPr>
            <w:r>
              <w:rPr>
                <w:rFonts w:ascii="??_GB2312" w:cs="??_GB2312"/>
                <w:sz w:val="18"/>
                <w:szCs w:val="18"/>
              </w:rPr>
              <w:t>3</w:t>
            </w:r>
          </w:p>
        </w:tc>
        <w:tc>
          <w:tcPr>
            <w:tcW w:w="552" w:type="dxa"/>
            <w:vAlign w:val="center"/>
          </w:tcPr>
          <w:p>
            <w:pPr>
              <w:spacing w:before="156" w:line="240" w:lineRule="exact"/>
              <w:rPr>
                <w:rFonts w:ascii="??_GB2312" w:eastAsia="Times New Roman" w:cs="Times New Roman"/>
                <w:sz w:val="18"/>
                <w:szCs w:val="18"/>
              </w:rPr>
            </w:pPr>
            <w:r>
              <w:rPr>
                <w:rFonts w:ascii="??_GB2312" w:cs="??_GB2312"/>
                <w:sz w:val="18"/>
                <w:szCs w:val="18"/>
              </w:rPr>
              <w:t>3</w:t>
            </w:r>
          </w:p>
        </w:tc>
        <w:tc>
          <w:tcPr>
            <w:tcW w:w="2268" w:type="dxa"/>
            <w:vAlign w:val="center"/>
          </w:tcPr>
          <w:p>
            <w:pPr>
              <w:spacing w:before="156" w:line="240" w:lineRule="exact"/>
              <w:rPr>
                <w:rFonts w:ascii="??_GB2312" w:cs="Times New Roman"/>
                <w:sz w:val="15"/>
                <w:szCs w:val="15"/>
              </w:rPr>
            </w:pPr>
            <w:r>
              <w:rPr>
                <w:rFonts w:hint="eastAsia" w:ascii="??_GB2312" w:cs="宋体"/>
                <w:sz w:val="15"/>
                <w:szCs w:val="15"/>
              </w:rPr>
              <w:t>考察项目是否与部门职责密切相关。</w:t>
            </w:r>
          </w:p>
        </w:tc>
        <w:tc>
          <w:tcPr>
            <w:tcW w:w="2126" w:type="dxa"/>
            <w:vAlign w:val="center"/>
          </w:tcPr>
          <w:p>
            <w:pPr>
              <w:spacing w:before="156" w:line="240" w:lineRule="exact"/>
              <w:rPr>
                <w:rFonts w:ascii="??_GB2312" w:cs="Times New Roman"/>
                <w:sz w:val="15"/>
                <w:szCs w:val="15"/>
              </w:rPr>
            </w:pPr>
            <w:r>
              <w:rPr>
                <w:rFonts w:hint="eastAsia" w:ascii="??_GB2312" w:cs="宋体"/>
                <w:sz w:val="15"/>
                <w:szCs w:val="15"/>
              </w:rPr>
              <w:t>是，得满分；否，不得分。</w:t>
            </w:r>
          </w:p>
        </w:tc>
        <w:tc>
          <w:tcPr>
            <w:tcW w:w="1369" w:type="dxa"/>
            <w:vAlign w:val="center"/>
          </w:tcPr>
          <w:p>
            <w:pPr>
              <w:spacing w:before="156" w:line="240" w:lineRule="exact"/>
              <w:rPr>
                <w:rFonts w:ascii="??_GB2312" w:cs="Times New Roman"/>
                <w:sz w:val="15"/>
                <w:szCs w:val="15"/>
              </w:rPr>
            </w:pPr>
            <w:r>
              <w:rPr>
                <w:rFonts w:hint="eastAsia" w:ascii="??_GB2312" w:cs="宋体"/>
                <w:sz w:val="15"/>
                <w:szCs w:val="15"/>
              </w:rPr>
              <w:t>部门职责文件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vMerge w:val="continue"/>
          </w:tcPr>
          <w:p>
            <w:pPr>
              <w:spacing w:before="156" w:line="240" w:lineRule="exact"/>
              <w:jc w:val="left"/>
              <w:rPr>
                <w:rFonts w:ascii="??_GB2312" w:cs="Times New Roman"/>
                <w:sz w:val="15"/>
                <w:szCs w:val="15"/>
              </w:rPr>
            </w:pPr>
          </w:p>
        </w:tc>
        <w:tc>
          <w:tcPr>
            <w:tcW w:w="640" w:type="dxa"/>
            <w:vMerge w:val="restart"/>
            <w:vAlign w:val="center"/>
          </w:tcPr>
          <w:p>
            <w:pPr>
              <w:spacing w:before="156" w:line="240" w:lineRule="exact"/>
              <w:rPr>
                <w:rFonts w:ascii="??_GB2312" w:cs="??_GB2312"/>
                <w:sz w:val="15"/>
                <w:szCs w:val="15"/>
              </w:rPr>
            </w:pPr>
            <w:r>
              <w:rPr>
                <w:rFonts w:ascii="??_GB2312" w:cs="??_GB2312"/>
                <w:sz w:val="15"/>
                <w:szCs w:val="15"/>
              </w:rPr>
              <w:t>2</w:t>
            </w:r>
            <w:r>
              <w:rPr>
                <w:rFonts w:hint="eastAsia" w:ascii="??_GB2312" w:cs="宋体"/>
                <w:sz w:val="15"/>
                <w:szCs w:val="15"/>
              </w:rPr>
              <w:t>项目目标</w:t>
            </w:r>
            <w:r>
              <w:rPr>
                <w:rFonts w:ascii="??_GB2312" w:cs="??_GB2312"/>
                <w:sz w:val="15"/>
                <w:szCs w:val="15"/>
              </w:rPr>
              <w:t>(10)</w:t>
            </w:r>
          </w:p>
        </w:tc>
        <w:tc>
          <w:tcPr>
            <w:tcW w:w="1173" w:type="dxa"/>
            <w:vAlign w:val="center"/>
          </w:tcPr>
          <w:p>
            <w:pPr>
              <w:spacing w:before="156" w:line="240" w:lineRule="exact"/>
              <w:rPr>
                <w:rFonts w:ascii="??_GB2312" w:cs="Times New Roman"/>
                <w:sz w:val="15"/>
                <w:szCs w:val="15"/>
              </w:rPr>
            </w:pPr>
            <w:r>
              <w:rPr>
                <w:rFonts w:ascii="??_GB2312" w:cs="??_GB2312"/>
                <w:sz w:val="15"/>
                <w:szCs w:val="15"/>
              </w:rPr>
              <w:t>1.</w:t>
            </w:r>
            <w:r>
              <w:rPr>
                <w:rFonts w:hint="eastAsia" w:ascii="??_GB2312" w:cs="宋体"/>
                <w:sz w:val="15"/>
                <w:szCs w:val="15"/>
              </w:rPr>
              <w:t>绩效目标设定的合理性</w:t>
            </w:r>
          </w:p>
        </w:tc>
        <w:tc>
          <w:tcPr>
            <w:tcW w:w="570" w:type="dxa"/>
            <w:vAlign w:val="center"/>
          </w:tcPr>
          <w:p>
            <w:pPr>
              <w:spacing w:before="156" w:line="240" w:lineRule="exact"/>
              <w:jc w:val="center"/>
              <w:rPr>
                <w:rFonts w:ascii="??_GB2312" w:cs="??_GB2312"/>
                <w:sz w:val="18"/>
                <w:szCs w:val="18"/>
              </w:rPr>
            </w:pPr>
            <w:r>
              <w:rPr>
                <w:rFonts w:ascii="??_GB2312" w:cs="??_GB2312"/>
                <w:sz w:val="18"/>
                <w:szCs w:val="18"/>
              </w:rPr>
              <w:t>5</w:t>
            </w:r>
          </w:p>
        </w:tc>
        <w:tc>
          <w:tcPr>
            <w:tcW w:w="552" w:type="dxa"/>
            <w:vAlign w:val="center"/>
          </w:tcPr>
          <w:p>
            <w:pPr>
              <w:spacing w:before="156" w:line="240" w:lineRule="exact"/>
              <w:rPr>
                <w:rFonts w:ascii="??_GB2312" w:eastAsia="Times New Roman" w:cs="Times New Roman"/>
                <w:sz w:val="18"/>
                <w:szCs w:val="18"/>
              </w:rPr>
            </w:pPr>
            <w:r>
              <w:rPr>
                <w:rFonts w:ascii="??_GB2312" w:cs="??_GB2312"/>
                <w:sz w:val="18"/>
                <w:szCs w:val="18"/>
              </w:rPr>
              <w:t>5</w:t>
            </w:r>
          </w:p>
        </w:tc>
        <w:tc>
          <w:tcPr>
            <w:tcW w:w="2268" w:type="dxa"/>
            <w:vAlign w:val="center"/>
          </w:tcPr>
          <w:p>
            <w:pPr>
              <w:spacing w:before="156" w:line="240" w:lineRule="exact"/>
              <w:rPr>
                <w:rFonts w:ascii="??_GB2312" w:cs="Times New Roman"/>
                <w:sz w:val="15"/>
                <w:szCs w:val="15"/>
              </w:rPr>
            </w:pPr>
            <w:r>
              <w:rPr>
                <w:rFonts w:hint="eastAsia" w:ascii="??_GB2312" w:cs="宋体"/>
                <w:sz w:val="15"/>
                <w:szCs w:val="15"/>
              </w:rPr>
              <w:t>考察设定的绩效目标是是否与事业发展规划相关；是否完整地反应预期产出和效果；是否与年度预算相匹配。</w:t>
            </w:r>
          </w:p>
        </w:tc>
        <w:tc>
          <w:tcPr>
            <w:tcW w:w="2126" w:type="dxa"/>
            <w:vAlign w:val="center"/>
          </w:tcPr>
          <w:p>
            <w:pPr>
              <w:spacing w:before="156" w:line="240" w:lineRule="exact"/>
              <w:rPr>
                <w:rFonts w:ascii="??_GB2312" w:cs="Times New Roman"/>
                <w:sz w:val="15"/>
                <w:szCs w:val="15"/>
              </w:rPr>
            </w:pPr>
            <w:r>
              <w:rPr>
                <w:rFonts w:hint="eastAsia" w:ascii="??_GB2312" w:cs="宋体"/>
                <w:sz w:val="15"/>
                <w:szCs w:val="15"/>
              </w:rPr>
              <w:t>是，得满分；否，不得分。</w:t>
            </w:r>
          </w:p>
        </w:tc>
        <w:tc>
          <w:tcPr>
            <w:tcW w:w="1369" w:type="dxa"/>
            <w:vAlign w:val="center"/>
          </w:tcPr>
          <w:p>
            <w:pPr>
              <w:spacing w:before="156" w:line="240" w:lineRule="exact"/>
              <w:rPr>
                <w:rFonts w:ascii="??_GB2312" w:cs="Times New Roman"/>
                <w:sz w:val="15"/>
                <w:szCs w:val="15"/>
              </w:rPr>
            </w:pPr>
            <w:r>
              <w:rPr>
                <w:rFonts w:hint="eastAsia" w:ascii="??_GB2312" w:cs="宋体"/>
                <w:sz w:val="15"/>
                <w:szCs w:val="15"/>
              </w:rPr>
              <w:t>绩效目标申报表、立项申请、批复文件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76" w:type="dxa"/>
            <w:vMerge w:val="continue"/>
          </w:tcPr>
          <w:p>
            <w:pPr>
              <w:spacing w:before="156" w:line="240" w:lineRule="exact"/>
              <w:jc w:val="left"/>
              <w:rPr>
                <w:rFonts w:ascii="??_GB2312" w:cs="Times New Roman"/>
                <w:sz w:val="15"/>
                <w:szCs w:val="15"/>
              </w:rPr>
            </w:pPr>
          </w:p>
        </w:tc>
        <w:tc>
          <w:tcPr>
            <w:tcW w:w="640" w:type="dxa"/>
            <w:vMerge w:val="continue"/>
            <w:vAlign w:val="center"/>
          </w:tcPr>
          <w:p>
            <w:pPr>
              <w:spacing w:before="156" w:line="240" w:lineRule="exact"/>
              <w:rPr>
                <w:rFonts w:ascii="??_GB2312" w:cs="Times New Roman"/>
                <w:sz w:val="15"/>
                <w:szCs w:val="15"/>
              </w:rPr>
            </w:pPr>
          </w:p>
        </w:tc>
        <w:tc>
          <w:tcPr>
            <w:tcW w:w="1173" w:type="dxa"/>
            <w:vAlign w:val="center"/>
          </w:tcPr>
          <w:p>
            <w:pPr>
              <w:spacing w:before="156" w:line="240" w:lineRule="exact"/>
              <w:rPr>
                <w:rFonts w:ascii="??_GB2312" w:cs="Times New Roman"/>
                <w:sz w:val="15"/>
                <w:szCs w:val="15"/>
              </w:rPr>
            </w:pPr>
            <w:r>
              <w:rPr>
                <w:rFonts w:ascii="??_GB2312" w:cs="??_GB2312"/>
                <w:sz w:val="15"/>
                <w:szCs w:val="15"/>
              </w:rPr>
              <w:t>2.</w:t>
            </w:r>
            <w:r>
              <w:rPr>
                <w:rFonts w:hint="eastAsia" w:ascii="??_GB2312" w:cs="宋体"/>
                <w:sz w:val="15"/>
                <w:szCs w:val="15"/>
              </w:rPr>
              <w:t>绩效指标设定的明确性</w:t>
            </w:r>
          </w:p>
        </w:tc>
        <w:tc>
          <w:tcPr>
            <w:tcW w:w="570" w:type="dxa"/>
            <w:vAlign w:val="center"/>
          </w:tcPr>
          <w:p>
            <w:pPr>
              <w:spacing w:before="156" w:line="240" w:lineRule="exact"/>
              <w:jc w:val="center"/>
              <w:rPr>
                <w:rFonts w:ascii="??_GB2312" w:cs="??_GB2312"/>
                <w:sz w:val="18"/>
                <w:szCs w:val="18"/>
              </w:rPr>
            </w:pPr>
            <w:r>
              <w:rPr>
                <w:rFonts w:ascii="??_GB2312" w:cs="??_GB2312"/>
                <w:sz w:val="18"/>
                <w:szCs w:val="18"/>
              </w:rPr>
              <w:t>5</w:t>
            </w:r>
          </w:p>
        </w:tc>
        <w:tc>
          <w:tcPr>
            <w:tcW w:w="552" w:type="dxa"/>
            <w:vAlign w:val="center"/>
          </w:tcPr>
          <w:p>
            <w:pPr>
              <w:spacing w:before="156" w:line="240" w:lineRule="exact"/>
              <w:rPr>
                <w:rFonts w:ascii="??_GB2312" w:eastAsia="Times New Roman" w:cs="Times New Roman"/>
                <w:sz w:val="18"/>
                <w:szCs w:val="18"/>
              </w:rPr>
            </w:pPr>
            <w:r>
              <w:rPr>
                <w:rFonts w:ascii="??_GB2312" w:cs="??_GB2312"/>
                <w:sz w:val="18"/>
                <w:szCs w:val="18"/>
              </w:rPr>
              <w:t>5</w:t>
            </w:r>
          </w:p>
        </w:tc>
        <w:tc>
          <w:tcPr>
            <w:tcW w:w="2268" w:type="dxa"/>
            <w:vAlign w:val="center"/>
          </w:tcPr>
          <w:p>
            <w:pPr>
              <w:spacing w:before="156" w:line="240" w:lineRule="exact"/>
              <w:rPr>
                <w:rFonts w:ascii="??_GB2312" w:cs="Times New Roman"/>
                <w:sz w:val="15"/>
                <w:szCs w:val="15"/>
              </w:rPr>
            </w:pPr>
            <w:r>
              <w:rPr>
                <w:rFonts w:hint="eastAsia" w:ascii="??_GB2312" w:cs="宋体"/>
                <w:sz w:val="15"/>
                <w:szCs w:val="15"/>
              </w:rPr>
              <w:t>考察是否将绩效目标细化分解为清晰、可衡量的绩效指标；是否与年度工作任务相对应。</w:t>
            </w:r>
          </w:p>
        </w:tc>
        <w:tc>
          <w:tcPr>
            <w:tcW w:w="2126" w:type="dxa"/>
            <w:vAlign w:val="center"/>
          </w:tcPr>
          <w:p>
            <w:pPr>
              <w:spacing w:before="156" w:line="240" w:lineRule="exact"/>
              <w:rPr>
                <w:rFonts w:ascii="??_GB2312" w:cs="Times New Roman"/>
                <w:sz w:val="15"/>
                <w:szCs w:val="15"/>
              </w:rPr>
            </w:pPr>
            <w:r>
              <w:rPr>
                <w:rFonts w:hint="eastAsia" w:ascii="??_GB2312" w:cs="宋体"/>
                <w:sz w:val="15"/>
                <w:szCs w:val="15"/>
              </w:rPr>
              <w:t>是，得满分；否，不得分。</w:t>
            </w:r>
          </w:p>
        </w:tc>
        <w:tc>
          <w:tcPr>
            <w:tcW w:w="1369" w:type="dxa"/>
            <w:vAlign w:val="center"/>
          </w:tcPr>
          <w:p>
            <w:pPr>
              <w:spacing w:before="156" w:line="240" w:lineRule="exact"/>
              <w:rPr>
                <w:rFonts w:ascii="??_GB2312" w:cs="Times New Roman"/>
                <w:sz w:val="15"/>
                <w:szCs w:val="15"/>
              </w:rPr>
            </w:pPr>
            <w:r>
              <w:rPr>
                <w:rFonts w:hint="eastAsia" w:ascii="??_GB2312" w:cs="宋体"/>
                <w:sz w:val="15"/>
                <w:szCs w:val="15"/>
              </w:rPr>
              <w:t>绩效目标申报表、立项申请、批复文件、年度工作任务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restart"/>
            <w:textDirection w:val="tbRlV"/>
          </w:tcPr>
          <w:p>
            <w:pPr>
              <w:spacing w:before="156" w:line="240" w:lineRule="exact"/>
              <w:ind w:left="113" w:right="113"/>
              <w:jc w:val="center"/>
              <w:rPr>
                <w:rFonts w:ascii="??_GB2312" w:cs="Times New Roman"/>
                <w:sz w:val="18"/>
                <w:szCs w:val="18"/>
              </w:rPr>
            </w:pPr>
            <w:r>
              <w:rPr>
                <w:rFonts w:hint="eastAsia" w:ascii="??_GB2312" w:cs="宋体"/>
                <w:sz w:val="18"/>
                <w:szCs w:val="18"/>
              </w:rPr>
              <w:t>二、项目管理（</w:t>
            </w:r>
            <w:r>
              <w:rPr>
                <w:rFonts w:ascii="??_GB2312" w:cs="??_GB2312"/>
                <w:sz w:val="18"/>
                <w:szCs w:val="18"/>
              </w:rPr>
              <w:t>20</w:t>
            </w:r>
            <w:r>
              <w:rPr>
                <w:rFonts w:hint="eastAsia" w:ascii="??_GB2312" w:cs="宋体"/>
                <w:sz w:val="18"/>
                <w:szCs w:val="18"/>
              </w:rPr>
              <w:t>分）</w:t>
            </w:r>
          </w:p>
        </w:tc>
        <w:tc>
          <w:tcPr>
            <w:tcW w:w="640" w:type="dxa"/>
            <w:vMerge w:val="restart"/>
            <w:vAlign w:val="center"/>
          </w:tcPr>
          <w:p>
            <w:pPr>
              <w:spacing w:before="156" w:line="240" w:lineRule="exact"/>
              <w:rPr>
                <w:rFonts w:ascii="??_GB2312" w:cs="Times New Roman"/>
                <w:sz w:val="18"/>
                <w:szCs w:val="18"/>
              </w:rPr>
            </w:pPr>
            <w:r>
              <w:rPr>
                <w:rFonts w:ascii="??_GB2312" w:cs="??_GB2312"/>
                <w:sz w:val="15"/>
                <w:szCs w:val="15"/>
              </w:rPr>
              <w:t>1</w:t>
            </w:r>
            <w:r>
              <w:rPr>
                <w:rFonts w:hint="eastAsia" w:ascii="??_GB2312" w:cs="宋体"/>
                <w:sz w:val="15"/>
                <w:szCs w:val="15"/>
              </w:rPr>
              <w:t>投入管理（</w:t>
            </w:r>
            <w:r>
              <w:rPr>
                <w:rFonts w:ascii="??_GB2312" w:cs="??_GB2312"/>
                <w:sz w:val="15"/>
                <w:szCs w:val="15"/>
              </w:rPr>
              <w:t>4</w:t>
            </w:r>
            <w:r>
              <w:rPr>
                <w:rFonts w:hint="eastAsia" w:ascii="??_GB2312" w:cs="宋体"/>
                <w:sz w:val="15"/>
                <w:szCs w:val="15"/>
              </w:rPr>
              <w:t>）</w:t>
            </w:r>
          </w:p>
        </w:tc>
        <w:tc>
          <w:tcPr>
            <w:tcW w:w="1173" w:type="dxa"/>
            <w:vAlign w:val="center"/>
          </w:tcPr>
          <w:p>
            <w:pPr>
              <w:spacing w:before="156" w:line="240" w:lineRule="exact"/>
              <w:rPr>
                <w:rFonts w:ascii="??_GB2312" w:cs="Times New Roman"/>
                <w:sz w:val="15"/>
                <w:szCs w:val="15"/>
              </w:rPr>
            </w:pPr>
            <w:r>
              <w:rPr>
                <w:rFonts w:ascii="??_GB2312" w:cs="??_GB2312"/>
                <w:sz w:val="15"/>
                <w:szCs w:val="15"/>
              </w:rPr>
              <w:t>1.</w:t>
            </w:r>
            <w:r>
              <w:rPr>
                <w:rFonts w:hint="eastAsia" w:ascii="??_GB2312" w:cs="宋体"/>
                <w:sz w:val="15"/>
                <w:szCs w:val="15"/>
              </w:rPr>
              <w:t>预算编制合理性</w:t>
            </w:r>
          </w:p>
        </w:tc>
        <w:tc>
          <w:tcPr>
            <w:tcW w:w="570" w:type="dxa"/>
            <w:vAlign w:val="center"/>
          </w:tcPr>
          <w:p>
            <w:pPr>
              <w:spacing w:before="156" w:line="240" w:lineRule="exact"/>
              <w:jc w:val="center"/>
              <w:rPr>
                <w:rFonts w:ascii="??_GB2312" w:cs="??_GB2312"/>
                <w:sz w:val="18"/>
                <w:szCs w:val="18"/>
              </w:rPr>
            </w:pPr>
            <w:r>
              <w:rPr>
                <w:rFonts w:ascii="??_GB2312" w:cs="??_GB2312"/>
                <w:sz w:val="18"/>
                <w:szCs w:val="18"/>
              </w:rPr>
              <w:t>2</w:t>
            </w:r>
          </w:p>
        </w:tc>
        <w:tc>
          <w:tcPr>
            <w:tcW w:w="552" w:type="dxa"/>
            <w:vAlign w:val="center"/>
          </w:tcPr>
          <w:p>
            <w:pPr>
              <w:spacing w:before="156" w:line="240" w:lineRule="exact"/>
              <w:rPr>
                <w:rFonts w:ascii="??_GB2312" w:eastAsia="Times New Roman" w:cs="Times New Roman"/>
                <w:sz w:val="18"/>
                <w:szCs w:val="18"/>
              </w:rPr>
            </w:pPr>
            <w:r>
              <w:rPr>
                <w:rFonts w:ascii="??_GB2312" w:cs="??_GB2312"/>
                <w:sz w:val="18"/>
                <w:szCs w:val="18"/>
              </w:rPr>
              <w:t>5</w:t>
            </w:r>
          </w:p>
        </w:tc>
        <w:tc>
          <w:tcPr>
            <w:tcW w:w="2268" w:type="dxa"/>
            <w:vAlign w:val="center"/>
          </w:tcPr>
          <w:p>
            <w:pPr>
              <w:spacing w:before="156" w:line="240" w:lineRule="exact"/>
              <w:rPr>
                <w:rFonts w:ascii="??_GB2312" w:cs="Times New Roman"/>
                <w:sz w:val="15"/>
                <w:szCs w:val="15"/>
              </w:rPr>
            </w:pPr>
            <w:r>
              <w:rPr>
                <w:rFonts w:hint="eastAsia" w:ascii="??_GB2312" w:cs="宋体"/>
                <w:sz w:val="15"/>
                <w:szCs w:val="15"/>
              </w:rPr>
              <w:t>考察预算编制是否充分、合理，预计项目支出是否完整反应。</w:t>
            </w:r>
          </w:p>
        </w:tc>
        <w:tc>
          <w:tcPr>
            <w:tcW w:w="2126" w:type="dxa"/>
            <w:vAlign w:val="center"/>
          </w:tcPr>
          <w:p>
            <w:pPr>
              <w:spacing w:before="156" w:line="240" w:lineRule="exact"/>
              <w:rPr>
                <w:rFonts w:ascii="??_GB2312" w:cs="Times New Roman"/>
                <w:sz w:val="15"/>
                <w:szCs w:val="15"/>
              </w:rPr>
            </w:pPr>
            <w:r>
              <w:rPr>
                <w:rFonts w:hint="eastAsia" w:ascii="??_GB2312" w:cs="宋体"/>
                <w:sz w:val="15"/>
                <w:szCs w:val="15"/>
              </w:rPr>
              <w:t>合理得满分；存在一项不合理，扣</w:t>
            </w:r>
            <w:r>
              <w:rPr>
                <w:rFonts w:ascii="??_GB2312" w:cs="??_GB2312"/>
                <w:sz w:val="15"/>
                <w:szCs w:val="15"/>
              </w:rPr>
              <w:t>0.5</w:t>
            </w:r>
            <w:r>
              <w:rPr>
                <w:rFonts w:hint="eastAsia" w:ascii="??_GB2312" w:cs="宋体"/>
                <w:sz w:val="15"/>
                <w:szCs w:val="15"/>
              </w:rPr>
              <w:t>分，扣完为止。</w:t>
            </w:r>
          </w:p>
        </w:tc>
        <w:tc>
          <w:tcPr>
            <w:tcW w:w="1369" w:type="dxa"/>
            <w:vAlign w:val="center"/>
          </w:tcPr>
          <w:p>
            <w:pPr>
              <w:spacing w:before="156" w:line="240" w:lineRule="exact"/>
              <w:rPr>
                <w:rFonts w:ascii="??_GB2312" w:cs="Times New Roman"/>
                <w:sz w:val="15"/>
                <w:szCs w:val="15"/>
              </w:rPr>
            </w:pPr>
            <w:r>
              <w:rPr>
                <w:rFonts w:hint="eastAsia" w:ascii="??_GB2312" w:cs="宋体"/>
                <w:sz w:val="15"/>
                <w:szCs w:val="15"/>
              </w:rPr>
              <w:t>预算批复。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before="156" w:line="240" w:lineRule="exact"/>
              <w:jc w:val="left"/>
              <w:rPr>
                <w:rFonts w:ascii="??_GB2312" w:cs="Times New Roman"/>
                <w:sz w:val="18"/>
                <w:szCs w:val="18"/>
              </w:rPr>
            </w:pPr>
          </w:p>
        </w:tc>
        <w:tc>
          <w:tcPr>
            <w:tcW w:w="640" w:type="dxa"/>
            <w:vMerge w:val="continue"/>
            <w:vAlign w:val="center"/>
          </w:tcPr>
          <w:p>
            <w:pPr>
              <w:spacing w:before="156" w:line="240" w:lineRule="exact"/>
              <w:rPr>
                <w:rFonts w:ascii="??_GB2312" w:cs="Times New Roman"/>
                <w:sz w:val="15"/>
                <w:szCs w:val="15"/>
              </w:rPr>
            </w:pPr>
          </w:p>
        </w:tc>
        <w:tc>
          <w:tcPr>
            <w:tcW w:w="1173" w:type="dxa"/>
            <w:vAlign w:val="center"/>
          </w:tcPr>
          <w:p>
            <w:pPr>
              <w:spacing w:before="156" w:line="240" w:lineRule="exact"/>
              <w:rPr>
                <w:rFonts w:ascii="??_GB2312" w:cs="Times New Roman"/>
                <w:sz w:val="15"/>
                <w:szCs w:val="15"/>
              </w:rPr>
            </w:pPr>
            <w:r>
              <w:rPr>
                <w:rFonts w:ascii="??_GB2312" w:cs="??_GB2312"/>
                <w:sz w:val="15"/>
                <w:szCs w:val="15"/>
              </w:rPr>
              <w:t>2.</w:t>
            </w:r>
            <w:r>
              <w:rPr>
                <w:rFonts w:hint="eastAsia" w:ascii="??_GB2312" w:cs="宋体"/>
                <w:sz w:val="15"/>
                <w:szCs w:val="15"/>
              </w:rPr>
              <w:t>预算执行率</w:t>
            </w:r>
          </w:p>
        </w:tc>
        <w:tc>
          <w:tcPr>
            <w:tcW w:w="570" w:type="dxa"/>
            <w:vAlign w:val="center"/>
          </w:tcPr>
          <w:p>
            <w:pPr>
              <w:spacing w:before="156" w:line="240" w:lineRule="exact"/>
              <w:jc w:val="center"/>
              <w:rPr>
                <w:rFonts w:ascii="??_GB2312" w:cs="??_GB2312"/>
                <w:sz w:val="18"/>
                <w:szCs w:val="18"/>
              </w:rPr>
            </w:pPr>
            <w:r>
              <w:rPr>
                <w:rFonts w:ascii="??_GB2312" w:cs="??_GB2312"/>
                <w:sz w:val="18"/>
                <w:szCs w:val="18"/>
              </w:rPr>
              <w:t>2</w:t>
            </w:r>
          </w:p>
        </w:tc>
        <w:tc>
          <w:tcPr>
            <w:tcW w:w="552" w:type="dxa"/>
            <w:vAlign w:val="center"/>
          </w:tcPr>
          <w:p>
            <w:pPr>
              <w:spacing w:before="156" w:line="240" w:lineRule="exact"/>
              <w:rPr>
                <w:rFonts w:ascii="??_GB2312" w:eastAsia="Times New Roman" w:cs="Times New Roman"/>
                <w:sz w:val="18"/>
                <w:szCs w:val="18"/>
              </w:rPr>
            </w:pPr>
            <w:r>
              <w:rPr>
                <w:rFonts w:ascii="??_GB2312" w:cs="??_GB2312"/>
                <w:sz w:val="18"/>
                <w:szCs w:val="18"/>
              </w:rPr>
              <w:t>2</w:t>
            </w:r>
          </w:p>
        </w:tc>
        <w:tc>
          <w:tcPr>
            <w:tcW w:w="2268" w:type="dxa"/>
            <w:vAlign w:val="center"/>
          </w:tcPr>
          <w:p>
            <w:pPr>
              <w:spacing w:before="156" w:line="240" w:lineRule="exact"/>
              <w:rPr>
                <w:rFonts w:ascii="??_GB2312" w:cs="??_GB2312"/>
                <w:sz w:val="15"/>
                <w:szCs w:val="15"/>
              </w:rPr>
            </w:pPr>
            <w:r>
              <w:rPr>
                <w:rFonts w:hint="eastAsia" w:ascii="??_GB2312" w:cs="宋体"/>
                <w:sz w:val="15"/>
                <w:szCs w:val="15"/>
              </w:rPr>
              <w:t>考察项目预算执行的进度。预算执行率</w:t>
            </w:r>
            <w:r>
              <w:rPr>
                <w:rFonts w:ascii="??_GB2312" w:cs="??_GB2312"/>
                <w:sz w:val="15"/>
                <w:szCs w:val="15"/>
              </w:rPr>
              <w:t>=</w:t>
            </w:r>
            <w:r>
              <w:rPr>
                <w:rFonts w:hint="eastAsia" w:ascii="??_GB2312" w:cs="宋体"/>
                <w:sz w:val="15"/>
                <w:szCs w:val="15"/>
              </w:rPr>
              <w:t>实际支出金额</w:t>
            </w:r>
            <w:r>
              <w:rPr>
                <w:rFonts w:ascii="??_GB2312" w:cs="??_GB2312"/>
                <w:sz w:val="15"/>
                <w:szCs w:val="15"/>
              </w:rPr>
              <w:t>/</w:t>
            </w:r>
            <w:r>
              <w:rPr>
                <w:rFonts w:hint="eastAsia" w:ascii="??_GB2312" w:cs="宋体"/>
                <w:sz w:val="15"/>
                <w:szCs w:val="15"/>
              </w:rPr>
              <w:t>项目预算金额×</w:t>
            </w:r>
            <w:r>
              <w:rPr>
                <w:rFonts w:ascii="??_GB2312" w:cs="??_GB2312"/>
                <w:sz w:val="15"/>
                <w:szCs w:val="15"/>
              </w:rPr>
              <w:t>100%</w:t>
            </w:r>
          </w:p>
        </w:tc>
        <w:tc>
          <w:tcPr>
            <w:tcW w:w="2126" w:type="dxa"/>
            <w:vAlign w:val="center"/>
          </w:tcPr>
          <w:p>
            <w:pPr>
              <w:spacing w:before="156" w:line="240" w:lineRule="exact"/>
              <w:rPr>
                <w:rFonts w:ascii="??_GB2312" w:cs="Times New Roman"/>
                <w:sz w:val="15"/>
                <w:szCs w:val="15"/>
              </w:rPr>
            </w:pPr>
            <w:r>
              <w:rPr>
                <w:rFonts w:hint="eastAsia" w:ascii="??_GB2312" w:cs="宋体"/>
                <w:sz w:val="15"/>
                <w:szCs w:val="15"/>
              </w:rPr>
              <w:t>预算执行率</w:t>
            </w:r>
            <w:r>
              <w:rPr>
                <w:rFonts w:ascii="??_GB2312" w:cs="??_GB2312"/>
                <w:sz w:val="15"/>
                <w:szCs w:val="15"/>
              </w:rPr>
              <w:t>95%</w:t>
            </w:r>
            <w:r>
              <w:rPr>
                <w:rFonts w:hint="eastAsia" w:ascii="??_GB2312" w:cs="宋体"/>
                <w:sz w:val="15"/>
                <w:szCs w:val="15"/>
              </w:rPr>
              <w:t>以上，得满分；低于</w:t>
            </w:r>
            <w:r>
              <w:rPr>
                <w:rFonts w:ascii="??_GB2312" w:cs="??_GB2312"/>
                <w:sz w:val="15"/>
                <w:szCs w:val="15"/>
              </w:rPr>
              <w:t>95%</w:t>
            </w:r>
            <w:r>
              <w:rPr>
                <w:rFonts w:hint="eastAsia" w:ascii="??_GB2312" w:cs="宋体"/>
                <w:sz w:val="15"/>
                <w:szCs w:val="15"/>
              </w:rPr>
              <w:t>，每下降</w:t>
            </w:r>
            <w:r>
              <w:rPr>
                <w:rFonts w:ascii="??_GB2312" w:cs="??_GB2312"/>
                <w:sz w:val="15"/>
                <w:szCs w:val="15"/>
              </w:rPr>
              <w:t>1%</w:t>
            </w:r>
            <w:r>
              <w:rPr>
                <w:rFonts w:hint="eastAsia" w:ascii="??_GB2312" w:cs="宋体"/>
                <w:sz w:val="15"/>
                <w:szCs w:val="15"/>
              </w:rPr>
              <w:t>扣权重的</w:t>
            </w:r>
            <w:r>
              <w:rPr>
                <w:rFonts w:ascii="??_GB2312" w:cs="??_GB2312"/>
                <w:sz w:val="15"/>
                <w:szCs w:val="15"/>
              </w:rPr>
              <w:t>1%</w:t>
            </w:r>
            <w:r>
              <w:rPr>
                <w:rFonts w:hint="eastAsia" w:ascii="??_GB2312" w:cs="宋体"/>
                <w:sz w:val="15"/>
                <w:szCs w:val="15"/>
              </w:rPr>
              <w:t>；预算执行率</w:t>
            </w:r>
            <w:r>
              <w:rPr>
                <w:rFonts w:ascii="??_GB2312" w:cs="??_GB2312"/>
                <w:sz w:val="15"/>
                <w:szCs w:val="15"/>
              </w:rPr>
              <w:t>60%</w:t>
            </w:r>
            <w:r>
              <w:rPr>
                <w:rFonts w:hint="eastAsia" w:ascii="??_GB2312" w:cs="宋体"/>
                <w:sz w:val="15"/>
                <w:szCs w:val="15"/>
              </w:rPr>
              <w:t>以下，不计分。</w:t>
            </w:r>
          </w:p>
        </w:tc>
        <w:tc>
          <w:tcPr>
            <w:tcW w:w="1369" w:type="dxa"/>
            <w:vAlign w:val="center"/>
          </w:tcPr>
          <w:p>
            <w:pPr>
              <w:spacing w:before="156" w:line="240" w:lineRule="exact"/>
              <w:rPr>
                <w:rFonts w:ascii="??_GB2312" w:cs="Times New Roman"/>
                <w:sz w:val="15"/>
                <w:szCs w:val="15"/>
              </w:rPr>
            </w:pPr>
            <w:r>
              <w:rPr>
                <w:rFonts w:hint="eastAsia" w:ascii="??_GB2312" w:cs="宋体"/>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76" w:type="dxa"/>
            <w:vMerge w:val="continue"/>
          </w:tcPr>
          <w:p>
            <w:pPr>
              <w:spacing w:before="156" w:line="240" w:lineRule="exact"/>
              <w:jc w:val="left"/>
              <w:rPr>
                <w:rFonts w:cs="Times New Roman"/>
                <w:sz w:val="18"/>
                <w:szCs w:val="18"/>
              </w:rPr>
            </w:pPr>
          </w:p>
        </w:tc>
        <w:tc>
          <w:tcPr>
            <w:tcW w:w="640" w:type="dxa"/>
            <w:vMerge w:val="restart"/>
            <w:vAlign w:val="center"/>
          </w:tcPr>
          <w:p>
            <w:pPr>
              <w:spacing w:before="156" w:line="240" w:lineRule="exact"/>
              <w:rPr>
                <w:rFonts w:cs="Times New Roman"/>
                <w:sz w:val="15"/>
                <w:szCs w:val="15"/>
              </w:rPr>
            </w:pPr>
            <w:r>
              <w:rPr>
                <w:rFonts w:ascii="??_GB2312" w:cs="??_GB2312"/>
                <w:sz w:val="15"/>
                <w:szCs w:val="15"/>
              </w:rPr>
              <w:t>2.</w:t>
            </w:r>
            <w:r>
              <w:rPr>
                <w:rFonts w:hint="eastAsia" w:ascii="??_GB2312" w:cs="宋体"/>
                <w:sz w:val="15"/>
                <w:szCs w:val="15"/>
              </w:rPr>
              <w:t>财务管理（</w:t>
            </w:r>
            <w:r>
              <w:rPr>
                <w:rFonts w:ascii="??_GB2312" w:cs="??_GB2312"/>
                <w:sz w:val="15"/>
                <w:szCs w:val="15"/>
              </w:rPr>
              <w:t>6</w:t>
            </w:r>
            <w:r>
              <w:rPr>
                <w:rFonts w:hint="eastAsia" w:ascii="??_GB2312" w:cs="宋体"/>
                <w:sz w:val="15"/>
                <w:szCs w:val="15"/>
              </w:rPr>
              <w:t>）</w:t>
            </w:r>
          </w:p>
        </w:tc>
        <w:tc>
          <w:tcPr>
            <w:tcW w:w="1173" w:type="dxa"/>
            <w:vAlign w:val="center"/>
          </w:tcPr>
          <w:p>
            <w:pPr>
              <w:spacing w:before="156" w:line="240" w:lineRule="exact"/>
              <w:rPr>
                <w:rFonts w:ascii="??_GB2312" w:cs="Times New Roman"/>
                <w:sz w:val="15"/>
                <w:szCs w:val="15"/>
              </w:rPr>
            </w:pPr>
            <w:r>
              <w:rPr>
                <w:rFonts w:ascii="??_GB2312" w:cs="??_GB2312"/>
                <w:sz w:val="15"/>
                <w:szCs w:val="15"/>
              </w:rPr>
              <w:t>1.</w:t>
            </w:r>
            <w:r>
              <w:rPr>
                <w:rFonts w:hint="eastAsia" w:ascii="??_GB2312" w:cs="宋体"/>
                <w:sz w:val="15"/>
                <w:szCs w:val="15"/>
              </w:rPr>
              <w:t>资金使用情况</w:t>
            </w:r>
          </w:p>
        </w:tc>
        <w:tc>
          <w:tcPr>
            <w:tcW w:w="570" w:type="dxa"/>
            <w:vAlign w:val="center"/>
          </w:tcPr>
          <w:p>
            <w:pPr>
              <w:spacing w:before="156" w:line="240" w:lineRule="exact"/>
              <w:jc w:val="center"/>
              <w:rPr>
                <w:rFonts w:ascii="??_GB2312" w:cs="??_GB2312"/>
                <w:sz w:val="18"/>
                <w:szCs w:val="18"/>
              </w:rPr>
            </w:pPr>
            <w:r>
              <w:rPr>
                <w:rFonts w:ascii="??_GB2312" w:cs="??_GB2312"/>
                <w:sz w:val="18"/>
                <w:szCs w:val="18"/>
              </w:rPr>
              <w:t>3</w:t>
            </w:r>
          </w:p>
        </w:tc>
        <w:tc>
          <w:tcPr>
            <w:tcW w:w="552" w:type="dxa"/>
            <w:vAlign w:val="center"/>
          </w:tcPr>
          <w:p>
            <w:pPr>
              <w:spacing w:before="156" w:line="240" w:lineRule="exact"/>
              <w:rPr>
                <w:rFonts w:ascii="??_GB2312" w:eastAsia="Times New Roman" w:cs="Times New Roman"/>
                <w:sz w:val="18"/>
                <w:szCs w:val="18"/>
              </w:rPr>
            </w:pPr>
            <w:r>
              <w:rPr>
                <w:rFonts w:ascii="??_GB2312" w:cs="??_GB2312"/>
                <w:sz w:val="18"/>
                <w:szCs w:val="18"/>
              </w:rPr>
              <w:t>3</w:t>
            </w:r>
          </w:p>
        </w:tc>
        <w:tc>
          <w:tcPr>
            <w:tcW w:w="2268" w:type="dxa"/>
            <w:vAlign w:val="center"/>
          </w:tcPr>
          <w:p>
            <w:pPr>
              <w:spacing w:before="156" w:line="240" w:lineRule="exact"/>
              <w:rPr>
                <w:rFonts w:ascii="??_GB2312" w:cs="Times New Roman"/>
                <w:sz w:val="15"/>
                <w:szCs w:val="15"/>
              </w:rPr>
            </w:pPr>
            <w:r>
              <w:rPr>
                <w:rFonts w:hint="eastAsia" w:ascii="??_GB2312" w:cs="宋体"/>
                <w:sz w:val="15"/>
                <w:szCs w:val="15"/>
              </w:rPr>
              <w:t>考察项目资金使用是否符合预算批复的用途，是否存在截留、挤占、挪用、虚列支出等情况。</w:t>
            </w:r>
          </w:p>
        </w:tc>
        <w:tc>
          <w:tcPr>
            <w:tcW w:w="2126" w:type="dxa"/>
            <w:vAlign w:val="center"/>
          </w:tcPr>
          <w:p>
            <w:pPr>
              <w:spacing w:before="156" w:line="240" w:lineRule="exact"/>
              <w:rPr>
                <w:rFonts w:ascii="??_GB2312" w:cs="Times New Roman"/>
                <w:sz w:val="15"/>
                <w:szCs w:val="15"/>
              </w:rPr>
            </w:pPr>
            <w:r>
              <w:rPr>
                <w:rFonts w:hint="eastAsia" w:ascii="??_GB2312" w:cs="宋体"/>
                <w:sz w:val="15"/>
                <w:szCs w:val="15"/>
              </w:rPr>
              <w:t>合规，得满分；存在一项不合规，扣</w:t>
            </w:r>
            <w:r>
              <w:rPr>
                <w:rFonts w:ascii="??_GB2312" w:cs="??_GB2312"/>
                <w:sz w:val="15"/>
                <w:szCs w:val="15"/>
              </w:rPr>
              <w:t>1</w:t>
            </w:r>
            <w:r>
              <w:rPr>
                <w:rFonts w:hint="eastAsia" w:ascii="??_GB2312" w:cs="宋体"/>
                <w:sz w:val="15"/>
                <w:szCs w:val="15"/>
              </w:rPr>
              <w:t>分，扣完为止。</w:t>
            </w:r>
          </w:p>
        </w:tc>
        <w:tc>
          <w:tcPr>
            <w:tcW w:w="1369" w:type="dxa"/>
            <w:vAlign w:val="center"/>
          </w:tcPr>
          <w:p>
            <w:pPr>
              <w:spacing w:before="156" w:line="240" w:lineRule="exact"/>
              <w:rPr>
                <w:rFonts w:ascii="??_GB2312" w:cs="Times New Roman"/>
                <w:sz w:val="15"/>
                <w:szCs w:val="15"/>
              </w:rPr>
            </w:pPr>
            <w:r>
              <w:rPr>
                <w:rFonts w:hint="eastAsia" w:ascii="??_GB2312" w:cs="宋体"/>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before="156" w:line="240" w:lineRule="exact"/>
              <w:jc w:val="left"/>
              <w:rPr>
                <w:rFonts w:cs="Times New Roman"/>
                <w:sz w:val="18"/>
                <w:szCs w:val="18"/>
              </w:rPr>
            </w:pPr>
          </w:p>
        </w:tc>
        <w:tc>
          <w:tcPr>
            <w:tcW w:w="640" w:type="dxa"/>
            <w:vMerge w:val="continue"/>
            <w:vAlign w:val="center"/>
          </w:tcPr>
          <w:p>
            <w:pPr>
              <w:spacing w:before="156" w:line="240" w:lineRule="exact"/>
              <w:rPr>
                <w:rFonts w:ascii="??_GB2312" w:cs="Times New Roman"/>
                <w:sz w:val="15"/>
                <w:szCs w:val="15"/>
              </w:rPr>
            </w:pPr>
          </w:p>
        </w:tc>
        <w:tc>
          <w:tcPr>
            <w:tcW w:w="1173" w:type="dxa"/>
            <w:vAlign w:val="center"/>
          </w:tcPr>
          <w:p>
            <w:pPr>
              <w:spacing w:before="156" w:line="240" w:lineRule="exact"/>
              <w:rPr>
                <w:rFonts w:ascii="??_GB2312" w:cs="Times New Roman"/>
                <w:sz w:val="15"/>
                <w:szCs w:val="15"/>
              </w:rPr>
            </w:pPr>
            <w:r>
              <w:rPr>
                <w:rFonts w:ascii="??_GB2312" w:cs="??_GB2312"/>
                <w:sz w:val="15"/>
                <w:szCs w:val="15"/>
              </w:rPr>
              <w:t>2.</w:t>
            </w:r>
            <w:r>
              <w:rPr>
                <w:rFonts w:hint="eastAsia" w:ascii="??_GB2312" w:cs="宋体"/>
                <w:sz w:val="15"/>
                <w:szCs w:val="15"/>
              </w:rPr>
              <w:t>财务管理制度健全性</w:t>
            </w:r>
          </w:p>
        </w:tc>
        <w:tc>
          <w:tcPr>
            <w:tcW w:w="570" w:type="dxa"/>
            <w:vAlign w:val="center"/>
          </w:tcPr>
          <w:p>
            <w:pPr>
              <w:spacing w:before="156" w:line="240" w:lineRule="exact"/>
              <w:jc w:val="center"/>
              <w:rPr>
                <w:rFonts w:ascii="??_GB2312" w:cs="??_GB2312"/>
                <w:sz w:val="18"/>
                <w:szCs w:val="18"/>
              </w:rPr>
            </w:pPr>
            <w:r>
              <w:rPr>
                <w:rFonts w:ascii="??_GB2312" w:cs="??_GB2312"/>
                <w:sz w:val="18"/>
                <w:szCs w:val="18"/>
              </w:rPr>
              <w:t>3</w:t>
            </w:r>
          </w:p>
        </w:tc>
        <w:tc>
          <w:tcPr>
            <w:tcW w:w="552" w:type="dxa"/>
            <w:vAlign w:val="center"/>
          </w:tcPr>
          <w:p>
            <w:pPr>
              <w:spacing w:before="156" w:line="240" w:lineRule="exact"/>
              <w:rPr>
                <w:rFonts w:ascii="??_GB2312" w:eastAsia="Times New Roman" w:cs="Times New Roman"/>
                <w:sz w:val="18"/>
                <w:szCs w:val="18"/>
              </w:rPr>
            </w:pPr>
            <w:r>
              <w:rPr>
                <w:rFonts w:ascii="??_GB2312" w:cs="??_GB2312"/>
                <w:sz w:val="18"/>
                <w:szCs w:val="18"/>
              </w:rPr>
              <w:t>3</w:t>
            </w:r>
          </w:p>
        </w:tc>
        <w:tc>
          <w:tcPr>
            <w:tcW w:w="2268" w:type="dxa"/>
            <w:vAlign w:val="center"/>
          </w:tcPr>
          <w:p>
            <w:pPr>
              <w:spacing w:before="156" w:line="240" w:lineRule="exact"/>
              <w:rPr>
                <w:rFonts w:ascii="??_GB2312" w:cs="Times New Roman"/>
                <w:sz w:val="15"/>
                <w:szCs w:val="15"/>
              </w:rPr>
            </w:pPr>
            <w:r>
              <w:rPr>
                <w:rFonts w:hint="eastAsia" w:ascii="??_GB2312" w:cs="宋体"/>
                <w:sz w:val="15"/>
                <w:szCs w:val="15"/>
              </w:rPr>
              <w:t>考察项目的财务制度是否健全、完善、有效。</w:t>
            </w:r>
          </w:p>
        </w:tc>
        <w:tc>
          <w:tcPr>
            <w:tcW w:w="2126" w:type="dxa"/>
            <w:vAlign w:val="center"/>
          </w:tcPr>
          <w:p>
            <w:pPr>
              <w:spacing w:before="156" w:line="240" w:lineRule="exact"/>
              <w:rPr>
                <w:rFonts w:ascii="??_GB2312" w:cs="??_GB2312"/>
                <w:sz w:val="15"/>
                <w:szCs w:val="15"/>
              </w:rPr>
            </w:pPr>
            <w:r>
              <w:rPr>
                <w:rFonts w:ascii="??_GB2312" w:cs="??_GB2312"/>
                <w:sz w:val="15"/>
                <w:szCs w:val="15"/>
              </w:rPr>
              <w:t>a.</w:t>
            </w:r>
            <w:r>
              <w:rPr>
                <w:rFonts w:hint="eastAsia" w:ascii="??_GB2312" w:cs="宋体"/>
                <w:sz w:val="15"/>
                <w:szCs w:val="15"/>
              </w:rPr>
              <w:t>是否已制定相应的财务管理办法；</w:t>
            </w:r>
            <w:r>
              <w:rPr>
                <w:rFonts w:ascii="??_GB2312" w:cs="??_GB2312"/>
                <w:sz w:val="15"/>
                <w:szCs w:val="15"/>
              </w:rPr>
              <w:t>b.</w:t>
            </w:r>
            <w:r>
              <w:rPr>
                <w:rFonts w:hint="eastAsia" w:ascii="??_GB2312" w:cs="宋体"/>
                <w:sz w:val="15"/>
                <w:szCs w:val="15"/>
              </w:rPr>
              <w:t>项目财务管理办法是否符合相关财务会计制度的规定；符合所有条件，得满分；</w:t>
            </w:r>
            <w:r>
              <w:rPr>
                <w:rFonts w:ascii="??_GB2312" w:cs="??_GB2312"/>
                <w:sz w:val="15"/>
                <w:szCs w:val="15"/>
              </w:rPr>
              <w:t xml:space="preserve"> </w:t>
            </w:r>
            <w:r>
              <w:rPr>
                <w:rFonts w:hint="eastAsia" w:ascii="??_GB2312" w:cs="宋体"/>
                <w:sz w:val="15"/>
                <w:szCs w:val="15"/>
              </w:rPr>
              <w:t>一项不符合，扣</w:t>
            </w:r>
            <w:r>
              <w:rPr>
                <w:rFonts w:ascii="??_GB2312" w:cs="??_GB2312"/>
                <w:sz w:val="15"/>
                <w:szCs w:val="15"/>
              </w:rPr>
              <w:t>1</w:t>
            </w:r>
            <w:r>
              <w:rPr>
                <w:rFonts w:hint="eastAsia" w:ascii="??_GB2312" w:cs="宋体"/>
                <w:sz w:val="15"/>
                <w:szCs w:val="15"/>
              </w:rPr>
              <w:t>分，扣完为止。</w:t>
            </w:r>
            <w:r>
              <w:rPr>
                <w:rFonts w:ascii="??_GB2312" w:cs="??_GB2312"/>
                <w:sz w:val="15"/>
                <w:szCs w:val="15"/>
              </w:rPr>
              <w:t xml:space="preserve">                                                                  </w:t>
            </w:r>
          </w:p>
        </w:tc>
        <w:tc>
          <w:tcPr>
            <w:tcW w:w="1369" w:type="dxa"/>
            <w:vAlign w:val="center"/>
          </w:tcPr>
          <w:p>
            <w:pPr>
              <w:spacing w:before="156" w:line="240" w:lineRule="exact"/>
              <w:rPr>
                <w:rFonts w:ascii="??_GB2312" w:cs="Times New Roman"/>
                <w:sz w:val="15"/>
                <w:szCs w:val="15"/>
              </w:rPr>
            </w:pPr>
            <w:r>
              <w:rPr>
                <w:rFonts w:hint="eastAsia" w:ascii="??_GB2312" w:cs="宋体"/>
                <w:sz w:val="15"/>
                <w:szCs w:val="15"/>
              </w:rPr>
              <w:t>财务管理制度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before="156" w:line="240" w:lineRule="exact"/>
              <w:jc w:val="left"/>
              <w:rPr>
                <w:rFonts w:cs="Times New Roman"/>
                <w:sz w:val="18"/>
                <w:szCs w:val="18"/>
              </w:rPr>
            </w:pPr>
          </w:p>
        </w:tc>
        <w:tc>
          <w:tcPr>
            <w:tcW w:w="640" w:type="dxa"/>
            <w:vMerge w:val="restart"/>
            <w:vAlign w:val="center"/>
          </w:tcPr>
          <w:p>
            <w:pPr>
              <w:spacing w:before="156" w:line="240" w:lineRule="exact"/>
              <w:rPr>
                <w:rFonts w:ascii="??_GB2312" w:cs="Times New Roman"/>
                <w:sz w:val="15"/>
                <w:szCs w:val="15"/>
              </w:rPr>
            </w:pPr>
            <w:r>
              <w:rPr>
                <w:rFonts w:ascii="??_GB2312" w:cs="??_GB2312"/>
                <w:sz w:val="15"/>
                <w:szCs w:val="15"/>
              </w:rPr>
              <w:t>3.</w:t>
            </w:r>
            <w:r>
              <w:rPr>
                <w:rFonts w:hint="eastAsia" w:ascii="??_GB2312" w:cs="宋体"/>
                <w:sz w:val="15"/>
                <w:szCs w:val="15"/>
              </w:rPr>
              <w:t>项目实施（</w:t>
            </w:r>
            <w:r>
              <w:rPr>
                <w:rFonts w:ascii="??_GB2312" w:cs="??_GB2312"/>
                <w:sz w:val="15"/>
                <w:szCs w:val="15"/>
              </w:rPr>
              <w:t>10</w:t>
            </w:r>
            <w:r>
              <w:rPr>
                <w:rFonts w:hint="eastAsia" w:ascii="??_GB2312" w:cs="宋体"/>
                <w:sz w:val="15"/>
                <w:szCs w:val="15"/>
              </w:rPr>
              <w:t>）</w:t>
            </w:r>
          </w:p>
        </w:tc>
        <w:tc>
          <w:tcPr>
            <w:tcW w:w="1173" w:type="dxa"/>
            <w:vAlign w:val="center"/>
          </w:tcPr>
          <w:p>
            <w:pPr>
              <w:spacing w:before="156" w:line="240" w:lineRule="exact"/>
              <w:rPr>
                <w:rFonts w:ascii="??_GB2312" w:cs="Times New Roman"/>
                <w:sz w:val="15"/>
                <w:szCs w:val="15"/>
              </w:rPr>
            </w:pPr>
            <w:r>
              <w:rPr>
                <w:rFonts w:ascii="??_GB2312" w:cs="??_GB2312"/>
                <w:sz w:val="15"/>
                <w:szCs w:val="15"/>
              </w:rPr>
              <w:t>1.</w:t>
            </w:r>
            <w:r>
              <w:rPr>
                <w:rFonts w:hint="eastAsia" w:ascii="??_GB2312" w:cs="宋体"/>
                <w:sz w:val="15"/>
                <w:szCs w:val="15"/>
              </w:rPr>
              <w:t>项目管理制度健全性</w:t>
            </w:r>
          </w:p>
        </w:tc>
        <w:tc>
          <w:tcPr>
            <w:tcW w:w="570" w:type="dxa"/>
            <w:vAlign w:val="center"/>
          </w:tcPr>
          <w:p>
            <w:pPr>
              <w:spacing w:before="156" w:line="240" w:lineRule="exact"/>
              <w:jc w:val="center"/>
              <w:rPr>
                <w:rFonts w:ascii="??_GB2312" w:cs="??_GB2312"/>
                <w:sz w:val="18"/>
                <w:szCs w:val="18"/>
              </w:rPr>
            </w:pPr>
            <w:r>
              <w:rPr>
                <w:rFonts w:ascii="??_GB2312" w:cs="??_GB2312"/>
                <w:sz w:val="18"/>
                <w:szCs w:val="18"/>
              </w:rPr>
              <w:t>5</w:t>
            </w:r>
          </w:p>
        </w:tc>
        <w:tc>
          <w:tcPr>
            <w:tcW w:w="552" w:type="dxa"/>
            <w:vAlign w:val="center"/>
          </w:tcPr>
          <w:p>
            <w:pPr>
              <w:spacing w:before="156" w:line="240" w:lineRule="exact"/>
              <w:rPr>
                <w:rFonts w:ascii="??_GB2312" w:eastAsia="Times New Roman" w:cs="Times New Roman"/>
                <w:sz w:val="18"/>
                <w:szCs w:val="18"/>
              </w:rPr>
            </w:pPr>
            <w:r>
              <w:rPr>
                <w:rFonts w:ascii="??_GB2312" w:cs="??_GB2312"/>
                <w:sz w:val="18"/>
                <w:szCs w:val="18"/>
              </w:rPr>
              <w:t>5</w:t>
            </w:r>
          </w:p>
        </w:tc>
        <w:tc>
          <w:tcPr>
            <w:tcW w:w="2268" w:type="dxa"/>
            <w:vAlign w:val="center"/>
          </w:tcPr>
          <w:p>
            <w:pPr>
              <w:spacing w:before="156" w:line="240" w:lineRule="exact"/>
              <w:rPr>
                <w:rFonts w:ascii="??_GB2312" w:cs="Times New Roman"/>
                <w:sz w:val="15"/>
                <w:szCs w:val="15"/>
              </w:rPr>
            </w:pPr>
            <w:r>
              <w:rPr>
                <w:rFonts w:hint="eastAsia" w:ascii="??_GB2312" w:cs="宋体"/>
                <w:sz w:val="15"/>
                <w:szCs w:val="15"/>
              </w:rPr>
              <w:t>项目实施单位为保障项目顺利实施制订的与项目直接相关的业务管理制度是否健全、完善和有效。</w:t>
            </w:r>
          </w:p>
        </w:tc>
        <w:tc>
          <w:tcPr>
            <w:tcW w:w="2126" w:type="dxa"/>
            <w:vAlign w:val="center"/>
          </w:tcPr>
          <w:p>
            <w:pPr>
              <w:spacing w:before="156" w:line="240" w:lineRule="exact"/>
              <w:rPr>
                <w:rFonts w:ascii="??_GB2312" w:cs="Times New Roman"/>
                <w:sz w:val="15"/>
                <w:szCs w:val="15"/>
              </w:rPr>
            </w:pPr>
            <w:r>
              <w:rPr>
                <w:rFonts w:hint="eastAsia" w:ascii="??_GB2312" w:cs="宋体"/>
                <w:sz w:val="15"/>
                <w:szCs w:val="15"/>
              </w:rPr>
              <w:t>制订制度或采取措施，得满分；制度不完善或措施不明确，得权重的</w:t>
            </w:r>
            <w:r>
              <w:rPr>
                <w:rFonts w:ascii="??_GB2312" w:cs="??_GB2312"/>
                <w:sz w:val="15"/>
                <w:szCs w:val="15"/>
              </w:rPr>
              <w:t>60%</w:t>
            </w:r>
            <w:r>
              <w:rPr>
                <w:rFonts w:hint="eastAsia" w:ascii="??_GB2312" w:cs="宋体"/>
                <w:sz w:val="15"/>
                <w:szCs w:val="15"/>
              </w:rPr>
              <w:t>；没有相关制度或措施，不得分。</w:t>
            </w:r>
          </w:p>
        </w:tc>
        <w:tc>
          <w:tcPr>
            <w:tcW w:w="1369" w:type="dxa"/>
            <w:vAlign w:val="center"/>
          </w:tcPr>
          <w:p>
            <w:pPr>
              <w:spacing w:before="156" w:line="240" w:lineRule="exact"/>
              <w:rPr>
                <w:rFonts w:ascii="??_GB2312" w:cs="Times New Roman"/>
                <w:sz w:val="15"/>
                <w:szCs w:val="15"/>
              </w:rPr>
            </w:pPr>
            <w:r>
              <w:rPr>
                <w:rFonts w:hint="eastAsia" w:ascii="??_GB2312" w:cs="宋体"/>
                <w:sz w:val="15"/>
                <w:szCs w:val="15"/>
              </w:rPr>
              <w:t>项目实施单位管理制度、访谈、现场调查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vMerge w:val="continue"/>
          </w:tcPr>
          <w:p>
            <w:pPr>
              <w:spacing w:before="156" w:line="240" w:lineRule="exact"/>
              <w:jc w:val="left"/>
              <w:rPr>
                <w:rFonts w:cs="Times New Roman"/>
                <w:sz w:val="18"/>
                <w:szCs w:val="18"/>
              </w:rPr>
            </w:pPr>
          </w:p>
        </w:tc>
        <w:tc>
          <w:tcPr>
            <w:tcW w:w="640" w:type="dxa"/>
            <w:vMerge w:val="continue"/>
          </w:tcPr>
          <w:p>
            <w:pPr>
              <w:spacing w:before="156" w:line="240" w:lineRule="exact"/>
              <w:jc w:val="left"/>
              <w:rPr>
                <w:rFonts w:ascii="??_GB2312" w:cs="Times New Roman"/>
                <w:sz w:val="15"/>
                <w:szCs w:val="15"/>
              </w:rPr>
            </w:pPr>
          </w:p>
        </w:tc>
        <w:tc>
          <w:tcPr>
            <w:tcW w:w="1173" w:type="dxa"/>
            <w:vAlign w:val="center"/>
          </w:tcPr>
          <w:p>
            <w:pPr>
              <w:spacing w:before="156" w:line="240" w:lineRule="exact"/>
              <w:rPr>
                <w:rFonts w:ascii="??_GB2312" w:cs="Times New Roman"/>
                <w:sz w:val="15"/>
                <w:szCs w:val="15"/>
              </w:rPr>
            </w:pPr>
            <w:r>
              <w:rPr>
                <w:rFonts w:ascii="??_GB2312" w:cs="??_GB2312"/>
                <w:sz w:val="15"/>
                <w:szCs w:val="15"/>
              </w:rPr>
              <w:t>2.</w:t>
            </w:r>
            <w:r>
              <w:rPr>
                <w:rFonts w:hint="eastAsia" w:ascii="??_GB2312" w:cs="宋体"/>
                <w:sz w:val="15"/>
                <w:szCs w:val="15"/>
              </w:rPr>
              <w:t>项目管理制度执行有效性</w:t>
            </w:r>
          </w:p>
        </w:tc>
        <w:tc>
          <w:tcPr>
            <w:tcW w:w="570" w:type="dxa"/>
            <w:vAlign w:val="center"/>
          </w:tcPr>
          <w:p>
            <w:pPr>
              <w:spacing w:before="156" w:line="240" w:lineRule="exact"/>
              <w:jc w:val="center"/>
              <w:rPr>
                <w:rFonts w:ascii="??_GB2312" w:cs="??_GB2312"/>
                <w:sz w:val="18"/>
                <w:szCs w:val="18"/>
              </w:rPr>
            </w:pPr>
            <w:r>
              <w:rPr>
                <w:rFonts w:ascii="??_GB2312" w:cs="??_GB2312"/>
                <w:sz w:val="18"/>
                <w:szCs w:val="18"/>
              </w:rPr>
              <w:t>5</w:t>
            </w:r>
          </w:p>
        </w:tc>
        <w:tc>
          <w:tcPr>
            <w:tcW w:w="552" w:type="dxa"/>
            <w:vAlign w:val="center"/>
          </w:tcPr>
          <w:p>
            <w:pPr>
              <w:spacing w:before="156" w:line="240" w:lineRule="exact"/>
              <w:rPr>
                <w:rFonts w:ascii="??_GB2312" w:eastAsia="Times New Roman" w:cs="Times New Roman"/>
                <w:sz w:val="18"/>
                <w:szCs w:val="18"/>
              </w:rPr>
            </w:pPr>
            <w:r>
              <w:rPr>
                <w:rFonts w:ascii="??_GB2312" w:cs="??_GB2312"/>
                <w:sz w:val="18"/>
                <w:szCs w:val="18"/>
              </w:rPr>
              <w:t>5</w:t>
            </w:r>
          </w:p>
        </w:tc>
        <w:tc>
          <w:tcPr>
            <w:tcW w:w="2268" w:type="dxa"/>
            <w:vAlign w:val="center"/>
          </w:tcPr>
          <w:p>
            <w:pPr>
              <w:spacing w:before="156" w:line="240" w:lineRule="exact"/>
              <w:rPr>
                <w:rFonts w:ascii="??_GB2312" w:cs="Times New Roman"/>
                <w:sz w:val="15"/>
                <w:szCs w:val="15"/>
              </w:rPr>
            </w:pPr>
            <w:r>
              <w:rPr>
                <w:rFonts w:hint="eastAsia" w:ascii="??_GB2312" w:cs="宋体"/>
                <w:sz w:val="15"/>
                <w:szCs w:val="15"/>
              </w:rPr>
              <w:t>考察项目实施单位制订的管理制度是否有效执行。</w:t>
            </w:r>
          </w:p>
        </w:tc>
        <w:tc>
          <w:tcPr>
            <w:tcW w:w="2126" w:type="dxa"/>
            <w:vAlign w:val="center"/>
          </w:tcPr>
          <w:p>
            <w:pPr>
              <w:spacing w:before="156" w:line="240" w:lineRule="exact"/>
              <w:rPr>
                <w:rFonts w:ascii="??_GB2312" w:cs="Times New Roman"/>
                <w:sz w:val="15"/>
                <w:szCs w:val="15"/>
              </w:rPr>
            </w:pPr>
            <w:r>
              <w:rPr>
                <w:rFonts w:hint="eastAsia" w:ascii="??_GB2312" w:cs="宋体"/>
                <w:sz w:val="15"/>
                <w:szCs w:val="15"/>
              </w:rPr>
              <w:t>有效执行，得满分；部分执行，得权重的</w:t>
            </w:r>
            <w:r>
              <w:rPr>
                <w:rFonts w:ascii="??_GB2312" w:cs="??_GB2312"/>
                <w:sz w:val="15"/>
                <w:szCs w:val="15"/>
              </w:rPr>
              <w:t>60%</w:t>
            </w:r>
            <w:r>
              <w:rPr>
                <w:rFonts w:hint="eastAsia" w:ascii="??_GB2312" w:cs="宋体"/>
                <w:sz w:val="15"/>
                <w:szCs w:val="15"/>
              </w:rPr>
              <w:t>；未执行，不得分。</w:t>
            </w:r>
          </w:p>
        </w:tc>
        <w:tc>
          <w:tcPr>
            <w:tcW w:w="1369" w:type="dxa"/>
            <w:vAlign w:val="center"/>
          </w:tcPr>
          <w:p>
            <w:pPr>
              <w:spacing w:before="156" w:line="240" w:lineRule="exact"/>
              <w:rPr>
                <w:rFonts w:ascii="??_GB2312" w:cs="Times New Roman"/>
                <w:sz w:val="15"/>
                <w:szCs w:val="15"/>
              </w:rPr>
            </w:pPr>
            <w:r>
              <w:rPr>
                <w:rFonts w:hint="eastAsia" w:ascii="??_GB2312" w:cs="宋体"/>
                <w:sz w:val="15"/>
                <w:szCs w:val="15"/>
              </w:rPr>
              <w:t>项目实施单位管理制度、现场调查。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476" w:type="dxa"/>
            <w:vMerge w:val="restart"/>
            <w:textDirection w:val="tbRlV"/>
            <w:vAlign w:val="center"/>
          </w:tcPr>
          <w:p>
            <w:pPr>
              <w:spacing w:before="156" w:line="240" w:lineRule="exact"/>
              <w:ind w:left="113" w:right="113"/>
              <w:jc w:val="center"/>
              <w:rPr>
                <w:rFonts w:ascii="??_GB2312" w:cs="Times New Roman"/>
                <w:sz w:val="18"/>
                <w:szCs w:val="18"/>
              </w:rPr>
            </w:pPr>
            <w:r>
              <w:rPr>
                <w:rFonts w:hint="eastAsia" w:ascii="??_GB2312" w:cs="宋体"/>
                <w:sz w:val="18"/>
                <w:szCs w:val="18"/>
              </w:rPr>
              <w:t>三、项目绩效（</w:t>
            </w:r>
            <w:r>
              <w:rPr>
                <w:rFonts w:ascii="??_GB2312" w:cs="??_GB2312"/>
                <w:sz w:val="18"/>
                <w:szCs w:val="18"/>
              </w:rPr>
              <w:t>60</w:t>
            </w:r>
            <w:r>
              <w:rPr>
                <w:rFonts w:hint="eastAsia" w:ascii="??_GB2312" w:cs="宋体"/>
                <w:sz w:val="18"/>
                <w:szCs w:val="18"/>
              </w:rPr>
              <w:t>分）</w:t>
            </w:r>
          </w:p>
        </w:tc>
        <w:tc>
          <w:tcPr>
            <w:tcW w:w="640" w:type="dxa"/>
            <w:vMerge w:val="restart"/>
            <w:vAlign w:val="center"/>
          </w:tcPr>
          <w:p>
            <w:pPr>
              <w:spacing w:before="156" w:line="240" w:lineRule="exact"/>
              <w:rPr>
                <w:rFonts w:ascii="??_GB2312" w:cs="Times New Roman"/>
                <w:sz w:val="15"/>
                <w:szCs w:val="15"/>
              </w:rPr>
            </w:pPr>
            <w:r>
              <w:rPr>
                <w:rFonts w:ascii="??_GB2312" w:cs="??_GB2312"/>
                <w:sz w:val="15"/>
                <w:szCs w:val="15"/>
              </w:rPr>
              <w:t>1.</w:t>
            </w:r>
            <w:r>
              <w:rPr>
                <w:rFonts w:hint="eastAsia" w:ascii="??_GB2312" w:cs="宋体"/>
                <w:sz w:val="15"/>
                <w:szCs w:val="15"/>
              </w:rPr>
              <w:t>项目产出（</w:t>
            </w:r>
            <w:r>
              <w:rPr>
                <w:rFonts w:ascii="??_GB2312" w:cs="??_GB2312"/>
                <w:sz w:val="15"/>
                <w:szCs w:val="15"/>
              </w:rPr>
              <w:t>30</w:t>
            </w:r>
            <w:r>
              <w:rPr>
                <w:rFonts w:hint="eastAsia" w:ascii="??_GB2312" w:cs="宋体"/>
                <w:sz w:val="15"/>
                <w:szCs w:val="15"/>
              </w:rPr>
              <w:t>分</w:t>
            </w:r>
          </w:p>
        </w:tc>
        <w:tc>
          <w:tcPr>
            <w:tcW w:w="1173" w:type="dxa"/>
            <w:vAlign w:val="center"/>
          </w:tcPr>
          <w:p>
            <w:pPr>
              <w:spacing w:before="156" w:line="240" w:lineRule="exact"/>
              <w:rPr>
                <w:rFonts w:ascii="??_GB2312" w:cs="Times New Roman"/>
                <w:sz w:val="15"/>
                <w:szCs w:val="15"/>
              </w:rPr>
            </w:pPr>
            <w:r>
              <w:rPr>
                <w:rFonts w:ascii="??_GB2312" w:cs="??_GB2312"/>
                <w:sz w:val="15"/>
                <w:szCs w:val="15"/>
              </w:rPr>
              <w:t>1.</w:t>
            </w:r>
            <w:r>
              <w:rPr>
                <w:rFonts w:hint="eastAsia" w:ascii="??_GB2312" w:cs="宋体"/>
                <w:sz w:val="15"/>
                <w:szCs w:val="15"/>
              </w:rPr>
              <w:t>数量指标</w:t>
            </w:r>
          </w:p>
        </w:tc>
        <w:tc>
          <w:tcPr>
            <w:tcW w:w="570" w:type="dxa"/>
            <w:vAlign w:val="center"/>
          </w:tcPr>
          <w:p>
            <w:pPr>
              <w:spacing w:before="156" w:line="240" w:lineRule="exact"/>
              <w:jc w:val="center"/>
              <w:rPr>
                <w:rFonts w:ascii="??_GB2312" w:cs="??_GB2312"/>
                <w:sz w:val="18"/>
                <w:szCs w:val="18"/>
              </w:rPr>
            </w:pPr>
            <w:r>
              <w:rPr>
                <w:rFonts w:ascii="??_GB2312" w:cs="??_GB2312"/>
                <w:sz w:val="18"/>
                <w:szCs w:val="18"/>
              </w:rPr>
              <w:t>8</w:t>
            </w:r>
          </w:p>
        </w:tc>
        <w:tc>
          <w:tcPr>
            <w:tcW w:w="552" w:type="dxa"/>
            <w:vAlign w:val="center"/>
          </w:tcPr>
          <w:p>
            <w:pPr>
              <w:spacing w:before="156" w:line="240" w:lineRule="exact"/>
              <w:rPr>
                <w:rFonts w:ascii="??_GB2312" w:eastAsia="Times New Roman" w:cs="Times New Roman"/>
                <w:sz w:val="18"/>
                <w:szCs w:val="18"/>
              </w:rPr>
            </w:pPr>
            <w:r>
              <w:rPr>
                <w:rFonts w:ascii="??_GB2312" w:cs="??_GB2312"/>
                <w:sz w:val="18"/>
                <w:szCs w:val="18"/>
              </w:rPr>
              <w:t>7</w:t>
            </w:r>
          </w:p>
        </w:tc>
        <w:tc>
          <w:tcPr>
            <w:tcW w:w="2268" w:type="dxa"/>
            <w:vAlign w:val="center"/>
          </w:tcPr>
          <w:p>
            <w:pPr>
              <w:spacing w:before="156" w:line="240" w:lineRule="exact"/>
              <w:rPr>
                <w:rFonts w:ascii="??_GB2312" w:cs="Times New Roman"/>
                <w:sz w:val="15"/>
                <w:szCs w:val="15"/>
              </w:rPr>
            </w:pPr>
            <w:r>
              <w:rPr>
                <w:rFonts w:hint="eastAsia" w:ascii="??_GB2312" w:cs="宋体"/>
                <w:sz w:val="15"/>
                <w:szCs w:val="15"/>
              </w:rPr>
              <w:t>根据该项目实际，考察产出数量的实际完成情况。</w:t>
            </w:r>
          </w:p>
        </w:tc>
        <w:tc>
          <w:tcPr>
            <w:tcW w:w="2126" w:type="dxa"/>
            <w:vAlign w:val="center"/>
          </w:tcPr>
          <w:p>
            <w:pPr>
              <w:spacing w:before="156" w:line="240" w:lineRule="exact"/>
              <w:rPr>
                <w:rFonts w:ascii="??_GB2312" w:cs="Times New Roman"/>
                <w:sz w:val="15"/>
                <w:szCs w:val="15"/>
              </w:rPr>
            </w:pPr>
            <w:r>
              <w:rPr>
                <w:rFonts w:hint="eastAsia" w:ascii="??_GB2312" w:cs="宋体"/>
                <w:sz w:val="15"/>
                <w:szCs w:val="15"/>
              </w:rPr>
              <w:t>对照绩效目标，按实际产出数量和计划产出数计算得分。</w:t>
            </w:r>
          </w:p>
        </w:tc>
        <w:tc>
          <w:tcPr>
            <w:tcW w:w="1369" w:type="dxa"/>
            <w:vAlign w:val="center"/>
          </w:tcPr>
          <w:p>
            <w:pPr>
              <w:spacing w:before="156" w:line="240" w:lineRule="exact"/>
              <w:rPr>
                <w:rFonts w:ascii="??_GB2312" w:cs="Times New Roman"/>
                <w:sz w:val="15"/>
                <w:szCs w:val="15"/>
              </w:rPr>
            </w:pPr>
            <w:r>
              <w:rPr>
                <w:rFonts w:hint="eastAsia" w:ascii="??_GB2312" w:cs="宋体"/>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476" w:type="dxa"/>
            <w:vMerge w:val="continue"/>
          </w:tcPr>
          <w:p>
            <w:pPr>
              <w:spacing w:before="156" w:line="240" w:lineRule="exact"/>
              <w:jc w:val="left"/>
              <w:rPr>
                <w:rFonts w:ascii="??_GB2312" w:cs="Times New Roman"/>
                <w:sz w:val="15"/>
                <w:szCs w:val="15"/>
              </w:rPr>
            </w:pPr>
          </w:p>
        </w:tc>
        <w:tc>
          <w:tcPr>
            <w:tcW w:w="640" w:type="dxa"/>
            <w:vMerge w:val="continue"/>
            <w:vAlign w:val="center"/>
          </w:tcPr>
          <w:p>
            <w:pPr>
              <w:spacing w:before="156" w:line="240" w:lineRule="exact"/>
              <w:rPr>
                <w:rFonts w:ascii="??_GB2312" w:cs="Times New Roman"/>
                <w:sz w:val="15"/>
                <w:szCs w:val="15"/>
              </w:rPr>
            </w:pPr>
          </w:p>
        </w:tc>
        <w:tc>
          <w:tcPr>
            <w:tcW w:w="1173" w:type="dxa"/>
            <w:vAlign w:val="center"/>
          </w:tcPr>
          <w:p>
            <w:pPr>
              <w:spacing w:before="156" w:line="240" w:lineRule="exact"/>
              <w:rPr>
                <w:rFonts w:ascii="??_GB2312" w:cs="Times New Roman"/>
                <w:sz w:val="15"/>
                <w:szCs w:val="15"/>
              </w:rPr>
            </w:pPr>
            <w:r>
              <w:rPr>
                <w:rFonts w:ascii="??_GB2312" w:cs="??_GB2312"/>
                <w:sz w:val="15"/>
                <w:szCs w:val="15"/>
              </w:rPr>
              <w:t>2.</w:t>
            </w:r>
            <w:r>
              <w:rPr>
                <w:rFonts w:hint="eastAsia" w:ascii="??_GB2312" w:cs="宋体"/>
                <w:sz w:val="15"/>
                <w:szCs w:val="15"/>
              </w:rPr>
              <w:t>质量指标</w:t>
            </w:r>
          </w:p>
        </w:tc>
        <w:tc>
          <w:tcPr>
            <w:tcW w:w="570" w:type="dxa"/>
            <w:vAlign w:val="center"/>
          </w:tcPr>
          <w:p>
            <w:pPr>
              <w:spacing w:before="156" w:line="240" w:lineRule="exact"/>
              <w:jc w:val="center"/>
              <w:rPr>
                <w:rFonts w:ascii="??_GB2312" w:cs="??_GB2312"/>
                <w:sz w:val="18"/>
                <w:szCs w:val="18"/>
              </w:rPr>
            </w:pPr>
            <w:r>
              <w:rPr>
                <w:rFonts w:ascii="??_GB2312" w:cs="??_GB2312"/>
                <w:sz w:val="18"/>
                <w:szCs w:val="18"/>
              </w:rPr>
              <w:t>8</w:t>
            </w:r>
          </w:p>
        </w:tc>
        <w:tc>
          <w:tcPr>
            <w:tcW w:w="552" w:type="dxa"/>
            <w:vAlign w:val="center"/>
          </w:tcPr>
          <w:p>
            <w:pPr>
              <w:spacing w:before="156" w:line="240" w:lineRule="exact"/>
              <w:rPr>
                <w:rFonts w:ascii="??_GB2312" w:eastAsia="Times New Roman" w:cs="Times New Roman"/>
                <w:sz w:val="18"/>
                <w:szCs w:val="18"/>
              </w:rPr>
            </w:pPr>
            <w:r>
              <w:rPr>
                <w:rFonts w:ascii="??_GB2312" w:cs="??_GB2312"/>
                <w:sz w:val="18"/>
                <w:szCs w:val="18"/>
              </w:rPr>
              <w:t>7</w:t>
            </w:r>
          </w:p>
        </w:tc>
        <w:tc>
          <w:tcPr>
            <w:tcW w:w="2268" w:type="dxa"/>
            <w:vAlign w:val="center"/>
          </w:tcPr>
          <w:p>
            <w:pPr>
              <w:spacing w:before="156" w:line="240" w:lineRule="exact"/>
              <w:rPr>
                <w:rFonts w:ascii="??_GB2312" w:cs="Times New Roman"/>
                <w:sz w:val="15"/>
                <w:szCs w:val="15"/>
              </w:rPr>
            </w:pPr>
            <w:r>
              <w:rPr>
                <w:rFonts w:hint="eastAsia" w:ascii="??_GB2312" w:cs="宋体"/>
                <w:sz w:val="15"/>
                <w:szCs w:val="15"/>
              </w:rPr>
              <w:t>根据该项目实际，考察项目质量应达到的行业标准。</w:t>
            </w:r>
          </w:p>
        </w:tc>
        <w:tc>
          <w:tcPr>
            <w:tcW w:w="2126" w:type="dxa"/>
            <w:vAlign w:val="center"/>
          </w:tcPr>
          <w:p>
            <w:pPr>
              <w:spacing w:before="156" w:line="240" w:lineRule="exact"/>
              <w:rPr>
                <w:rFonts w:ascii="??_GB2312" w:cs="Times New Roman"/>
                <w:sz w:val="15"/>
                <w:szCs w:val="15"/>
              </w:rPr>
            </w:pPr>
            <w:r>
              <w:rPr>
                <w:rFonts w:hint="eastAsia" w:ascii="??_GB2312" w:cs="宋体"/>
                <w:sz w:val="15"/>
                <w:szCs w:val="15"/>
              </w:rPr>
              <w:t>对照绩效目标、行业标准计算得分。</w:t>
            </w:r>
          </w:p>
        </w:tc>
        <w:tc>
          <w:tcPr>
            <w:tcW w:w="1369" w:type="dxa"/>
            <w:vAlign w:val="center"/>
          </w:tcPr>
          <w:p>
            <w:pPr>
              <w:spacing w:before="156" w:line="240" w:lineRule="exact"/>
              <w:rPr>
                <w:rFonts w:ascii="??_GB2312" w:cs="Times New Roman"/>
                <w:sz w:val="15"/>
                <w:szCs w:val="15"/>
              </w:rPr>
            </w:pPr>
            <w:r>
              <w:rPr>
                <w:rFonts w:hint="eastAsia" w:ascii="??_GB2312" w:cs="宋体"/>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476" w:type="dxa"/>
            <w:vMerge w:val="continue"/>
          </w:tcPr>
          <w:p>
            <w:pPr>
              <w:spacing w:before="156" w:line="240" w:lineRule="exact"/>
              <w:jc w:val="left"/>
              <w:rPr>
                <w:rFonts w:ascii="??_GB2312" w:cs="Times New Roman"/>
                <w:sz w:val="15"/>
                <w:szCs w:val="15"/>
              </w:rPr>
            </w:pPr>
          </w:p>
        </w:tc>
        <w:tc>
          <w:tcPr>
            <w:tcW w:w="640" w:type="dxa"/>
            <w:vMerge w:val="continue"/>
            <w:vAlign w:val="center"/>
          </w:tcPr>
          <w:p>
            <w:pPr>
              <w:spacing w:before="156" w:line="240" w:lineRule="exact"/>
              <w:rPr>
                <w:rFonts w:ascii="??_GB2312" w:cs="Times New Roman"/>
                <w:sz w:val="15"/>
                <w:szCs w:val="15"/>
              </w:rPr>
            </w:pPr>
          </w:p>
        </w:tc>
        <w:tc>
          <w:tcPr>
            <w:tcW w:w="1173" w:type="dxa"/>
            <w:vAlign w:val="center"/>
          </w:tcPr>
          <w:p>
            <w:pPr>
              <w:spacing w:before="156" w:line="240" w:lineRule="exact"/>
              <w:rPr>
                <w:rFonts w:ascii="??_GB2312" w:cs="Times New Roman"/>
                <w:sz w:val="15"/>
                <w:szCs w:val="15"/>
              </w:rPr>
            </w:pPr>
            <w:r>
              <w:rPr>
                <w:rFonts w:ascii="??_GB2312" w:cs="??_GB2312"/>
                <w:sz w:val="15"/>
                <w:szCs w:val="15"/>
              </w:rPr>
              <w:t>3.</w:t>
            </w:r>
            <w:r>
              <w:rPr>
                <w:rFonts w:hint="eastAsia" w:ascii="??_GB2312" w:cs="宋体"/>
                <w:sz w:val="15"/>
                <w:szCs w:val="15"/>
              </w:rPr>
              <w:t>时效指标</w:t>
            </w:r>
          </w:p>
        </w:tc>
        <w:tc>
          <w:tcPr>
            <w:tcW w:w="570" w:type="dxa"/>
            <w:vAlign w:val="center"/>
          </w:tcPr>
          <w:p>
            <w:pPr>
              <w:spacing w:before="156" w:line="240" w:lineRule="exact"/>
              <w:jc w:val="center"/>
              <w:rPr>
                <w:rFonts w:ascii="??_GB2312" w:cs="??_GB2312"/>
                <w:sz w:val="18"/>
                <w:szCs w:val="18"/>
              </w:rPr>
            </w:pPr>
            <w:r>
              <w:rPr>
                <w:rFonts w:ascii="??_GB2312" w:cs="??_GB2312"/>
                <w:sz w:val="18"/>
                <w:szCs w:val="18"/>
              </w:rPr>
              <w:t>7</w:t>
            </w:r>
          </w:p>
        </w:tc>
        <w:tc>
          <w:tcPr>
            <w:tcW w:w="552" w:type="dxa"/>
            <w:vAlign w:val="center"/>
          </w:tcPr>
          <w:p>
            <w:pPr>
              <w:spacing w:before="156" w:line="240" w:lineRule="exact"/>
              <w:rPr>
                <w:rFonts w:ascii="??_GB2312" w:eastAsia="Times New Roman" w:cs="Times New Roman"/>
                <w:sz w:val="18"/>
                <w:szCs w:val="18"/>
              </w:rPr>
            </w:pPr>
            <w:r>
              <w:rPr>
                <w:rFonts w:ascii="??_GB2312" w:cs="??_GB2312"/>
                <w:sz w:val="18"/>
                <w:szCs w:val="18"/>
              </w:rPr>
              <w:t>6</w:t>
            </w:r>
          </w:p>
        </w:tc>
        <w:tc>
          <w:tcPr>
            <w:tcW w:w="2268" w:type="dxa"/>
            <w:vAlign w:val="center"/>
          </w:tcPr>
          <w:p>
            <w:pPr>
              <w:spacing w:before="156" w:line="240" w:lineRule="exact"/>
              <w:rPr>
                <w:rFonts w:ascii="??_GB2312" w:cs="Times New Roman"/>
                <w:sz w:val="15"/>
                <w:szCs w:val="15"/>
              </w:rPr>
            </w:pPr>
            <w:r>
              <w:rPr>
                <w:rFonts w:hint="eastAsia" w:ascii="??_GB2312" w:cs="宋体"/>
                <w:sz w:val="15"/>
                <w:szCs w:val="15"/>
              </w:rPr>
              <w:t>根据该项目实际，考察项目的实际完成时间。</w:t>
            </w:r>
          </w:p>
        </w:tc>
        <w:tc>
          <w:tcPr>
            <w:tcW w:w="2126" w:type="dxa"/>
            <w:vAlign w:val="center"/>
          </w:tcPr>
          <w:p>
            <w:pPr>
              <w:spacing w:before="156" w:line="240" w:lineRule="exact"/>
              <w:rPr>
                <w:rFonts w:ascii="??_GB2312" w:cs="Times New Roman"/>
                <w:sz w:val="15"/>
                <w:szCs w:val="15"/>
              </w:rPr>
            </w:pPr>
            <w:r>
              <w:rPr>
                <w:rFonts w:hint="eastAsia" w:ascii="??_GB2312" w:cs="宋体"/>
                <w:sz w:val="15"/>
                <w:szCs w:val="15"/>
              </w:rPr>
              <w:t>对照绩效目标、按项目的实际完成时间和计划完成时间计算得分。</w:t>
            </w:r>
          </w:p>
        </w:tc>
        <w:tc>
          <w:tcPr>
            <w:tcW w:w="1369" w:type="dxa"/>
            <w:vAlign w:val="center"/>
          </w:tcPr>
          <w:p>
            <w:pPr>
              <w:spacing w:before="156" w:line="240" w:lineRule="exact"/>
              <w:rPr>
                <w:rFonts w:ascii="??_GB2312" w:cs="Times New Roman"/>
                <w:sz w:val="15"/>
                <w:szCs w:val="15"/>
              </w:rPr>
            </w:pPr>
            <w:r>
              <w:rPr>
                <w:rFonts w:hint="eastAsia" w:ascii="??_GB2312" w:cs="宋体"/>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76" w:type="dxa"/>
            <w:vMerge w:val="continue"/>
          </w:tcPr>
          <w:p>
            <w:pPr>
              <w:spacing w:before="156" w:line="240" w:lineRule="exact"/>
              <w:jc w:val="left"/>
              <w:rPr>
                <w:rFonts w:ascii="??_GB2312" w:cs="Times New Roman"/>
                <w:sz w:val="15"/>
                <w:szCs w:val="15"/>
              </w:rPr>
            </w:pPr>
          </w:p>
        </w:tc>
        <w:tc>
          <w:tcPr>
            <w:tcW w:w="640" w:type="dxa"/>
            <w:vMerge w:val="continue"/>
            <w:vAlign w:val="center"/>
          </w:tcPr>
          <w:p>
            <w:pPr>
              <w:spacing w:before="156" w:line="240" w:lineRule="exact"/>
              <w:rPr>
                <w:rFonts w:ascii="??_GB2312" w:cs="Times New Roman"/>
                <w:sz w:val="15"/>
                <w:szCs w:val="15"/>
              </w:rPr>
            </w:pPr>
          </w:p>
        </w:tc>
        <w:tc>
          <w:tcPr>
            <w:tcW w:w="1173" w:type="dxa"/>
            <w:vAlign w:val="center"/>
          </w:tcPr>
          <w:p>
            <w:pPr>
              <w:spacing w:before="156" w:line="240" w:lineRule="exact"/>
              <w:rPr>
                <w:rFonts w:ascii="??_GB2312" w:cs="Times New Roman"/>
                <w:sz w:val="15"/>
                <w:szCs w:val="15"/>
              </w:rPr>
            </w:pPr>
            <w:r>
              <w:rPr>
                <w:rFonts w:ascii="??_GB2312" w:cs="??_GB2312"/>
                <w:sz w:val="15"/>
                <w:szCs w:val="15"/>
              </w:rPr>
              <w:t>4.</w:t>
            </w:r>
            <w:r>
              <w:rPr>
                <w:rFonts w:hint="eastAsia" w:ascii="??_GB2312" w:cs="宋体"/>
                <w:sz w:val="15"/>
                <w:szCs w:val="15"/>
              </w:rPr>
              <w:t>成本指标</w:t>
            </w:r>
          </w:p>
        </w:tc>
        <w:tc>
          <w:tcPr>
            <w:tcW w:w="570" w:type="dxa"/>
            <w:vAlign w:val="center"/>
          </w:tcPr>
          <w:p>
            <w:pPr>
              <w:spacing w:before="156" w:line="240" w:lineRule="exact"/>
              <w:jc w:val="center"/>
              <w:rPr>
                <w:rFonts w:ascii="??_GB2312" w:cs="??_GB2312"/>
                <w:sz w:val="18"/>
                <w:szCs w:val="18"/>
              </w:rPr>
            </w:pPr>
            <w:r>
              <w:rPr>
                <w:rFonts w:ascii="??_GB2312" w:cs="??_GB2312"/>
                <w:sz w:val="18"/>
                <w:szCs w:val="18"/>
              </w:rPr>
              <w:t>7</w:t>
            </w:r>
          </w:p>
        </w:tc>
        <w:tc>
          <w:tcPr>
            <w:tcW w:w="552" w:type="dxa"/>
            <w:vAlign w:val="center"/>
          </w:tcPr>
          <w:p>
            <w:pPr>
              <w:spacing w:before="156" w:line="240" w:lineRule="exact"/>
              <w:rPr>
                <w:rFonts w:ascii="??_GB2312" w:eastAsia="Times New Roman" w:cs="Times New Roman"/>
                <w:sz w:val="18"/>
                <w:szCs w:val="18"/>
              </w:rPr>
            </w:pPr>
            <w:r>
              <w:rPr>
                <w:rFonts w:ascii="??_GB2312" w:cs="??_GB2312"/>
                <w:sz w:val="18"/>
                <w:szCs w:val="18"/>
              </w:rPr>
              <w:t>6</w:t>
            </w:r>
          </w:p>
        </w:tc>
        <w:tc>
          <w:tcPr>
            <w:tcW w:w="2268" w:type="dxa"/>
            <w:vAlign w:val="center"/>
          </w:tcPr>
          <w:p>
            <w:pPr>
              <w:spacing w:before="156" w:line="240" w:lineRule="exact"/>
              <w:rPr>
                <w:rFonts w:ascii="??_GB2312" w:cs="Times New Roman"/>
                <w:sz w:val="15"/>
                <w:szCs w:val="15"/>
              </w:rPr>
            </w:pPr>
            <w:r>
              <w:rPr>
                <w:rFonts w:hint="eastAsia" w:ascii="??_GB2312" w:cs="宋体"/>
                <w:sz w:val="15"/>
                <w:szCs w:val="15"/>
              </w:rPr>
              <w:t>根据该项目实际，考察项目总成本和单项成本。</w:t>
            </w:r>
          </w:p>
        </w:tc>
        <w:tc>
          <w:tcPr>
            <w:tcW w:w="2126" w:type="dxa"/>
            <w:vAlign w:val="center"/>
          </w:tcPr>
          <w:p>
            <w:pPr>
              <w:spacing w:before="156" w:line="240" w:lineRule="exact"/>
              <w:rPr>
                <w:rFonts w:ascii="??_GB2312" w:cs="Times New Roman"/>
                <w:sz w:val="15"/>
                <w:szCs w:val="15"/>
              </w:rPr>
            </w:pPr>
            <w:r>
              <w:rPr>
                <w:rFonts w:hint="eastAsia" w:ascii="??_GB2312" w:cs="宋体"/>
                <w:sz w:val="15"/>
                <w:szCs w:val="15"/>
              </w:rPr>
              <w:t>照绩效目标、按项目的实际成本和计划成本计算得分。</w:t>
            </w:r>
          </w:p>
        </w:tc>
        <w:tc>
          <w:tcPr>
            <w:tcW w:w="1369" w:type="dxa"/>
            <w:vAlign w:val="center"/>
          </w:tcPr>
          <w:p>
            <w:pPr>
              <w:spacing w:before="156" w:line="240" w:lineRule="exact"/>
              <w:rPr>
                <w:rFonts w:ascii="??_GB2312" w:cs="Times New Roman"/>
                <w:sz w:val="15"/>
                <w:szCs w:val="15"/>
              </w:rPr>
            </w:pPr>
            <w:r>
              <w:rPr>
                <w:rFonts w:hint="eastAsia" w:ascii="??_GB2312" w:cs="宋体"/>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476" w:type="dxa"/>
            <w:vMerge w:val="continue"/>
          </w:tcPr>
          <w:p>
            <w:pPr>
              <w:spacing w:before="156" w:line="240" w:lineRule="exact"/>
              <w:jc w:val="left"/>
              <w:rPr>
                <w:rFonts w:ascii="??_GB2312" w:cs="Times New Roman"/>
                <w:sz w:val="15"/>
                <w:szCs w:val="15"/>
              </w:rPr>
            </w:pPr>
          </w:p>
        </w:tc>
        <w:tc>
          <w:tcPr>
            <w:tcW w:w="640" w:type="dxa"/>
            <w:vMerge w:val="restart"/>
            <w:vAlign w:val="center"/>
          </w:tcPr>
          <w:p>
            <w:pPr>
              <w:spacing w:before="156" w:line="240" w:lineRule="exact"/>
              <w:rPr>
                <w:rFonts w:ascii="??_GB2312" w:cs="Times New Roman"/>
                <w:sz w:val="15"/>
                <w:szCs w:val="15"/>
              </w:rPr>
            </w:pPr>
            <w:r>
              <w:rPr>
                <w:rFonts w:ascii="??_GB2312" w:cs="??_GB2312"/>
                <w:sz w:val="15"/>
                <w:szCs w:val="15"/>
              </w:rPr>
              <w:t>2.</w:t>
            </w:r>
            <w:r>
              <w:rPr>
                <w:rFonts w:hint="eastAsia" w:ascii="??_GB2312" w:cs="宋体"/>
                <w:sz w:val="15"/>
                <w:szCs w:val="15"/>
              </w:rPr>
              <w:t>项目效益（</w:t>
            </w:r>
            <w:r>
              <w:rPr>
                <w:rFonts w:ascii="??_GB2312" w:cs="??_GB2312"/>
                <w:sz w:val="15"/>
                <w:szCs w:val="15"/>
              </w:rPr>
              <w:t>30</w:t>
            </w:r>
            <w:r>
              <w:rPr>
                <w:rFonts w:hint="eastAsia" w:ascii="??_GB2312" w:cs="宋体"/>
                <w:sz w:val="15"/>
                <w:szCs w:val="15"/>
              </w:rPr>
              <w:t>分）</w:t>
            </w:r>
          </w:p>
        </w:tc>
        <w:tc>
          <w:tcPr>
            <w:tcW w:w="1173" w:type="dxa"/>
            <w:vAlign w:val="center"/>
          </w:tcPr>
          <w:p>
            <w:pPr>
              <w:spacing w:before="156" w:line="240" w:lineRule="exact"/>
              <w:rPr>
                <w:rFonts w:ascii="??_GB2312" w:cs="Times New Roman"/>
                <w:sz w:val="15"/>
                <w:szCs w:val="15"/>
              </w:rPr>
            </w:pPr>
            <w:r>
              <w:rPr>
                <w:rFonts w:ascii="??_GB2312" w:cs="??_GB2312"/>
                <w:sz w:val="15"/>
                <w:szCs w:val="15"/>
              </w:rPr>
              <w:t>1.</w:t>
            </w:r>
            <w:r>
              <w:rPr>
                <w:rFonts w:hint="eastAsia" w:ascii="??_GB2312" w:cs="宋体"/>
                <w:sz w:val="15"/>
                <w:szCs w:val="15"/>
              </w:rPr>
              <w:t>经济效益</w:t>
            </w:r>
          </w:p>
        </w:tc>
        <w:tc>
          <w:tcPr>
            <w:tcW w:w="570" w:type="dxa"/>
            <w:vAlign w:val="center"/>
          </w:tcPr>
          <w:p>
            <w:pPr>
              <w:spacing w:before="156" w:line="240" w:lineRule="exact"/>
              <w:jc w:val="center"/>
              <w:rPr>
                <w:rFonts w:ascii="??_GB2312" w:cs="??_GB2312"/>
                <w:sz w:val="18"/>
                <w:szCs w:val="18"/>
              </w:rPr>
            </w:pPr>
            <w:r>
              <w:rPr>
                <w:rFonts w:ascii="??_GB2312" w:cs="??_GB2312"/>
                <w:sz w:val="18"/>
                <w:szCs w:val="18"/>
              </w:rPr>
              <w:t>3</w:t>
            </w:r>
          </w:p>
        </w:tc>
        <w:tc>
          <w:tcPr>
            <w:tcW w:w="552" w:type="dxa"/>
            <w:vAlign w:val="center"/>
          </w:tcPr>
          <w:p>
            <w:pPr>
              <w:spacing w:before="156" w:line="240" w:lineRule="exact"/>
              <w:jc w:val="left"/>
              <w:rPr>
                <w:rFonts w:ascii="??_GB2312" w:eastAsia="Times New Roman" w:cs="Times New Roman"/>
                <w:sz w:val="18"/>
                <w:szCs w:val="18"/>
              </w:rPr>
            </w:pPr>
            <w:r>
              <w:rPr>
                <w:rFonts w:ascii="??_GB2312" w:cs="??_GB2312"/>
                <w:sz w:val="18"/>
                <w:szCs w:val="18"/>
              </w:rPr>
              <w:t>2</w:t>
            </w:r>
          </w:p>
        </w:tc>
        <w:tc>
          <w:tcPr>
            <w:tcW w:w="2268" w:type="dxa"/>
            <w:vAlign w:val="center"/>
          </w:tcPr>
          <w:p>
            <w:pPr>
              <w:spacing w:before="156" w:line="240" w:lineRule="exact"/>
              <w:rPr>
                <w:rFonts w:ascii="??_GB2312" w:cs="Times New Roman"/>
                <w:sz w:val="15"/>
                <w:szCs w:val="15"/>
              </w:rPr>
            </w:pPr>
            <w:r>
              <w:rPr>
                <w:rFonts w:hint="eastAsia" w:ascii="??_GB2312" w:cs="宋体"/>
                <w:sz w:val="15"/>
                <w:szCs w:val="15"/>
              </w:rPr>
              <w:t>根据项目实际，考察项目所产生的直接或间接的经济效益。</w:t>
            </w:r>
          </w:p>
        </w:tc>
        <w:tc>
          <w:tcPr>
            <w:tcW w:w="2126" w:type="dxa"/>
            <w:vAlign w:val="center"/>
          </w:tcPr>
          <w:p>
            <w:pPr>
              <w:spacing w:before="156" w:line="240" w:lineRule="exact"/>
              <w:rPr>
                <w:rFonts w:ascii="??_GB2312" w:cs="Times New Roman"/>
                <w:sz w:val="15"/>
                <w:szCs w:val="15"/>
              </w:rPr>
            </w:pPr>
            <w:r>
              <w:rPr>
                <w:rFonts w:hint="eastAsia" w:ascii="??_GB2312" w:cs="宋体"/>
                <w:sz w:val="15"/>
                <w:szCs w:val="15"/>
              </w:rPr>
              <w:t>对照绩效目标，按经济效益实现程度计算得分。</w:t>
            </w:r>
          </w:p>
        </w:tc>
        <w:tc>
          <w:tcPr>
            <w:tcW w:w="1369" w:type="dxa"/>
            <w:vAlign w:val="center"/>
          </w:tcPr>
          <w:p>
            <w:pPr>
              <w:spacing w:before="156" w:line="240" w:lineRule="exact"/>
              <w:rPr>
                <w:rFonts w:ascii="??_GB2312" w:cs="Times New Roman"/>
                <w:sz w:val="15"/>
                <w:szCs w:val="15"/>
              </w:rPr>
            </w:pPr>
            <w:r>
              <w:rPr>
                <w:rFonts w:hint="eastAsia" w:ascii="??_GB2312" w:cs="宋体"/>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476" w:type="dxa"/>
            <w:vMerge w:val="continue"/>
          </w:tcPr>
          <w:p>
            <w:pPr>
              <w:spacing w:before="156" w:line="240" w:lineRule="exact"/>
              <w:jc w:val="left"/>
              <w:rPr>
                <w:rFonts w:ascii="??_GB2312" w:cs="Times New Roman"/>
                <w:sz w:val="15"/>
                <w:szCs w:val="15"/>
              </w:rPr>
            </w:pPr>
          </w:p>
        </w:tc>
        <w:tc>
          <w:tcPr>
            <w:tcW w:w="640" w:type="dxa"/>
            <w:vMerge w:val="continue"/>
          </w:tcPr>
          <w:p>
            <w:pPr>
              <w:spacing w:before="156" w:line="240" w:lineRule="exact"/>
              <w:jc w:val="left"/>
              <w:rPr>
                <w:rFonts w:ascii="??_GB2312" w:cs="Times New Roman"/>
                <w:sz w:val="15"/>
                <w:szCs w:val="15"/>
              </w:rPr>
            </w:pPr>
          </w:p>
        </w:tc>
        <w:tc>
          <w:tcPr>
            <w:tcW w:w="1173" w:type="dxa"/>
            <w:vAlign w:val="center"/>
          </w:tcPr>
          <w:p>
            <w:pPr>
              <w:spacing w:before="156" w:line="240" w:lineRule="exact"/>
              <w:rPr>
                <w:rFonts w:ascii="??_GB2312" w:cs="Times New Roman"/>
                <w:sz w:val="15"/>
                <w:szCs w:val="15"/>
              </w:rPr>
            </w:pPr>
            <w:r>
              <w:rPr>
                <w:rFonts w:ascii="??_GB2312" w:cs="??_GB2312"/>
                <w:sz w:val="15"/>
                <w:szCs w:val="15"/>
              </w:rPr>
              <w:t>2.</w:t>
            </w:r>
            <w:r>
              <w:rPr>
                <w:rFonts w:hint="eastAsia" w:ascii="??_GB2312" w:cs="宋体"/>
                <w:sz w:val="15"/>
                <w:szCs w:val="15"/>
              </w:rPr>
              <w:t>社会效益</w:t>
            </w:r>
          </w:p>
        </w:tc>
        <w:tc>
          <w:tcPr>
            <w:tcW w:w="570" w:type="dxa"/>
            <w:vAlign w:val="center"/>
          </w:tcPr>
          <w:p>
            <w:pPr>
              <w:spacing w:before="156" w:line="240" w:lineRule="exact"/>
              <w:jc w:val="center"/>
              <w:rPr>
                <w:rFonts w:ascii="??_GB2312" w:cs="??_GB2312"/>
                <w:sz w:val="18"/>
                <w:szCs w:val="18"/>
              </w:rPr>
            </w:pPr>
            <w:r>
              <w:rPr>
                <w:rFonts w:ascii="??_GB2312" w:cs="??_GB2312"/>
                <w:sz w:val="18"/>
                <w:szCs w:val="18"/>
              </w:rPr>
              <w:t>20</w:t>
            </w:r>
          </w:p>
        </w:tc>
        <w:tc>
          <w:tcPr>
            <w:tcW w:w="552" w:type="dxa"/>
            <w:vAlign w:val="center"/>
          </w:tcPr>
          <w:p>
            <w:pPr>
              <w:spacing w:before="156" w:line="240" w:lineRule="exact"/>
              <w:jc w:val="left"/>
              <w:rPr>
                <w:rFonts w:ascii="??_GB2312" w:eastAsia="Times New Roman" w:cs="Times New Roman"/>
                <w:sz w:val="18"/>
                <w:szCs w:val="18"/>
              </w:rPr>
            </w:pPr>
            <w:r>
              <w:rPr>
                <w:rFonts w:ascii="??_GB2312" w:cs="??_GB2312"/>
                <w:sz w:val="18"/>
                <w:szCs w:val="18"/>
              </w:rPr>
              <w:t>20</w:t>
            </w:r>
          </w:p>
        </w:tc>
        <w:tc>
          <w:tcPr>
            <w:tcW w:w="2268" w:type="dxa"/>
            <w:vAlign w:val="center"/>
          </w:tcPr>
          <w:p>
            <w:pPr>
              <w:spacing w:before="156" w:line="240" w:lineRule="exact"/>
              <w:rPr>
                <w:rFonts w:ascii="??_GB2312" w:cs="Times New Roman"/>
                <w:sz w:val="15"/>
                <w:szCs w:val="15"/>
              </w:rPr>
            </w:pPr>
            <w:r>
              <w:rPr>
                <w:rFonts w:hint="eastAsia" w:ascii="??_GB2312" w:cs="宋体"/>
                <w:sz w:val="15"/>
                <w:szCs w:val="15"/>
              </w:rPr>
              <w:t>根据项目实际，考察项目所产生的社会效益效益。</w:t>
            </w:r>
          </w:p>
        </w:tc>
        <w:tc>
          <w:tcPr>
            <w:tcW w:w="2126" w:type="dxa"/>
            <w:vAlign w:val="center"/>
          </w:tcPr>
          <w:p>
            <w:pPr>
              <w:spacing w:before="156" w:line="240" w:lineRule="exact"/>
              <w:rPr>
                <w:rFonts w:ascii="??_GB2312" w:cs="Times New Roman"/>
                <w:sz w:val="15"/>
                <w:szCs w:val="15"/>
              </w:rPr>
            </w:pPr>
            <w:r>
              <w:rPr>
                <w:rFonts w:hint="eastAsia" w:ascii="??_GB2312" w:cs="宋体"/>
                <w:sz w:val="15"/>
                <w:szCs w:val="15"/>
              </w:rPr>
              <w:t>对照绩效目标，按社会效益实现程度计算得分。</w:t>
            </w:r>
          </w:p>
        </w:tc>
        <w:tc>
          <w:tcPr>
            <w:tcW w:w="1369" w:type="dxa"/>
            <w:vAlign w:val="center"/>
          </w:tcPr>
          <w:p>
            <w:pPr>
              <w:spacing w:before="156" w:line="240" w:lineRule="exact"/>
              <w:rPr>
                <w:rFonts w:ascii="??_GB2312" w:cs="Times New Roman"/>
                <w:sz w:val="15"/>
                <w:szCs w:val="15"/>
              </w:rPr>
            </w:pPr>
            <w:r>
              <w:rPr>
                <w:rFonts w:hint="eastAsia" w:ascii="??_GB2312" w:cs="宋体"/>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before="156" w:line="240" w:lineRule="exact"/>
              <w:jc w:val="left"/>
              <w:rPr>
                <w:rFonts w:ascii="??_GB2312" w:cs="Times New Roman"/>
                <w:sz w:val="15"/>
                <w:szCs w:val="15"/>
              </w:rPr>
            </w:pPr>
          </w:p>
        </w:tc>
        <w:tc>
          <w:tcPr>
            <w:tcW w:w="640" w:type="dxa"/>
            <w:vMerge w:val="continue"/>
          </w:tcPr>
          <w:p>
            <w:pPr>
              <w:spacing w:before="156" w:line="240" w:lineRule="exact"/>
              <w:jc w:val="left"/>
              <w:rPr>
                <w:rFonts w:ascii="??_GB2312" w:cs="Times New Roman"/>
                <w:sz w:val="15"/>
                <w:szCs w:val="15"/>
              </w:rPr>
            </w:pPr>
          </w:p>
        </w:tc>
        <w:tc>
          <w:tcPr>
            <w:tcW w:w="1173" w:type="dxa"/>
            <w:vAlign w:val="center"/>
          </w:tcPr>
          <w:p>
            <w:pPr>
              <w:spacing w:before="156" w:line="240" w:lineRule="exact"/>
              <w:rPr>
                <w:rFonts w:ascii="??_GB2312" w:cs="Times New Roman"/>
                <w:sz w:val="15"/>
                <w:szCs w:val="15"/>
              </w:rPr>
            </w:pPr>
            <w:r>
              <w:rPr>
                <w:rFonts w:ascii="??_GB2312" w:cs="??_GB2312"/>
                <w:sz w:val="15"/>
                <w:szCs w:val="15"/>
              </w:rPr>
              <w:t>3.</w:t>
            </w:r>
            <w:r>
              <w:rPr>
                <w:rFonts w:hint="eastAsia" w:ascii="??_GB2312" w:cs="宋体"/>
                <w:sz w:val="15"/>
                <w:szCs w:val="15"/>
              </w:rPr>
              <w:t>生态效益</w:t>
            </w:r>
          </w:p>
        </w:tc>
        <w:tc>
          <w:tcPr>
            <w:tcW w:w="570" w:type="dxa"/>
            <w:vAlign w:val="center"/>
          </w:tcPr>
          <w:p>
            <w:pPr>
              <w:spacing w:before="156" w:line="240" w:lineRule="exact"/>
              <w:jc w:val="center"/>
              <w:rPr>
                <w:rFonts w:ascii="??_GB2312" w:cs="??_GB2312"/>
                <w:sz w:val="18"/>
                <w:szCs w:val="18"/>
              </w:rPr>
            </w:pPr>
            <w:r>
              <w:rPr>
                <w:rFonts w:ascii="??_GB2312" w:cs="??_GB2312"/>
                <w:sz w:val="18"/>
                <w:szCs w:val="18"/>
              </w:rPr>
              <w:t>2</w:t>
            </w:r>
          </w:p>
        </w:tc>
        <w:tc>
          <w:tcPr>
            <w:tcW w:w="552" w:type="dxa"/>
            <w:vAlign w:val="center"/>
          </w:tcPr>
          <w:p>
            <w:pPr>
              <w:spacing w:before="156" w:line="240" w:lineRule="exact"/>
              <w:jc w:val="left"/>
              <w:rPr>
                <w:rFonts w:ascii="??_GB2312" w:eastAsia="Times New Roman" w:cs="Times New Roman"/>
                <w:sz w:val="18"/>
                <w:szCs w:val="18"/>
              </w:rPr>
            </w:pPr>
            <w:r>
              <w:rPr>
                <w:rFonts w:ascii="??_GB2312" w:cs="??_GB2312"/>
                <w:sz w:val="18"/>
                <w:szCs w:val="18"/>
              </w:rPr>
              <w:t>2</w:t>
            </w:r>
          </w:p>
        </w:tc>
        <w:tc>
          <w:tcPr>
            <w:tcW w:w="2268" w:type="dxa"/>
            <w:vAlign w:val="center"/>
          </w:tcPr>
          <w:p>
            <w:pPr>
              <w:spacing w:before="156" w:line="240" w:lineRule="exact"/>
              <w:rPr>
                <w:rFonts w:ascii="??_GB2312" w:cs="Times New Roman"/>
                <w:sz w:val="15"/>
                <w:szCs w:val="15"/>
              </w:rPr>
            </w:pPr>
            <w:r>
              <w:rPr>
                <w:rFonts w:hint="eastAsia" w:ascii="??_GB2312" w:cs="宋体"/>
                <w:sz w:val="15"/>
                <w:szCs w:val="15"/>
              </w:rPr>
              <w:t>根据项目实际，考察项目所产生的直接或间接的生态效益。</w:t>
            </w:r>
          </w:p>
        </w:tc>
        <w:tc>
          <w:tcPr>
            <w:tcW w:w="2126" w:type="dxa"/>
            <w:vAlign w:val="center"/>
          </w:tcPr>
          <w:p>
            <w:pPr>
              <w:spacing w:before="156" w:line="240" w:lineRule="exact"/>
              <w:rPr>
                <w:rFonts w:ascii="??_GB2312" w:cs="Times New Roman"/>
                <w:sz w:val="15"/>
                <w:szCs w:val="15"/>
              </w:rPr>
            </w:pPr>
            <w:r>
              <w:rPr>
                <w:rFonts w:hint="eastAsia" w:ascii="??_GB2312" w:cs="宋体"/>
                <w:sz w:val="15"/>
                <w:szCs w:val="15"/>
              </w:rPr>
              <w:t>对照绩效目标，按生态效益实现程度计算得分。</w:t>
            </w:r>
          </w:p>
        </w:tc>
        <w:tc>
          <w:tcPr>
            <w:tcW w:w="1369" w:type="dxa"/>
            <w:vAlign w:val="center"/>
          </w:tcPr>
          <w:p>
            <w:pPr>
              <w:spacing w:before="156" w:line="240" w:lineRule="exact"/>
              <w:rPr>
                <w:rFonts w:ascii="??_GB2312" w:cs="Times New Roman"/>
                <w:sz w:val="15"/>
                <w:szCs w:val="15"/>
              </w:rPr>
            </w:pPr>
            <w:r>
              <w:rPr>
                <w:rFonts w:hint="eastAsia" w:ascii="??_GB2312" w:cs="宋体"/>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before="156" w:line="240" w:lineRule="exact"/>
              <w:jc w:val="left"/>
              <w:rPr>
                <w:rFonts w:ascii="??_GB2312" w:cs="Times New Roman"/>
                <w:sz w:val="15"/>
                <w:szCs w:val="15"/>
              </w:rPr>
            </w:pPr>
          </w:p>
        </w:tc>
        <w:tc>
          <w:tcPr>
            <w:tcW w:w="640" w:type="dxa"/>
            <w:vMerge w:val="continue"/>
            <w:vAlign w:val="center"/>
          </w:tcPr>
          <w:p>
            <w:pPr>
              <w:spacing w:before="156" w:line="240" w:lineRule="exact"/>
              <w:rPr>
                <w:rFonts w:ascii="??_GB2312" w:cs="Times New Roman"/>
                <w:sz w:val="15"/>
                <w:szCs w:val="15"/>
              </w:rPr>
            </w:pPr>
          </w:p>
        </w:tc>
        <w:tc>
          <w:tcPr>
            <w:tcW w:w="1173" w:type="dxa"/>
            <w:vAlign w:val="center"/>
          </w:tcPr>
          <w:p>
            <w:pPr>
              <w:spacing w:before="156" w:line="240" w:lineRule="exact"/>
              <w:rPr>
                <w:rFonts w:ascii="??_GB2312" w:cs="Times New Roman"/>
                <w:sz w:val="15"/>
                <w:szCs w:val="15"/>
              </w:rPr>
            </w:pPr>
            <w:r>
              <w:rPr>
                <w:rFonts w:ascii="??_GB2312" w:cs="??_GB2312"/>
                <w:sz w:val="15"/>
                <w:szCs w:val="15"/>
              </w:rPr>
              <w:t>4.</w:t>
            </w:r>
            <w:r>
              <w:rPr>
                <w:rFonts w:hint="eastAsia" w:ascii="??_GB2312" w:cs="宋体"/>
                <w:sz w:val="15"/>
                <w:szCs w:val="15"/>
              </w:rPr>
              <w:t>服务对象满意度</w:t>
            </w:r>
          </w:p>
        </w:tc>
        <w:tc>
          <w:tcPr>
            <w:tcW w:w="570" w:type="dxa"/>
            <w:vAlign w:val="center"/>
          </w:tcPr>
          <w:p>
            <w:pPr>
              <w:spacing w:before="156" w:line="240" w:lineRule="exact"/>
              <w:jc w:val="center"/>
              <w:rPr>
                <w:rFonts w:ascii="??_GB2312" w:cs="??_GB2312"/>
                <w:sz w:val="18"/>
                <w:szCs w:val="18"/>
              </w:rPr>
            </w:pPr>
            <w:r>
              <w:rPr>
                <w:rFonts w:ascii="??_GB2312" w:cs="??_GB2312"/>
                <w:sz w:val="18"/>
                <w:szCs w:val="18"/>
              </w:rPr>
              <w:t>5</w:t>
            </w:r>
          </w:p>
        </w:tc>
        <w:tc>
          <w:tcPr>
            <w:tcW w:w="552" w:type="dxa"/>
            <w:vAlign w:val="center"/>
          </w:tcPr>
          <w:p>
            <w:pPr>
              <w:spacing w:before="156" w:line="240" w:lineRule="exact"/>
              <w:jc w:val="left"/>
              <w:rPr>
                <w:rFonts w:ascii="??_GB2312" w:eastAsia="Times New Roman" w:cs="Times New Roman"/>
                <w:sz w:val="18"/>
                <w:szCs w:val="18"/>
              </w:rPr>
            </w:pPr>
            <w:r>
              <w:rPr>
                <w:rFonts w:ascii="??_GB2312" w:cs="??_GB2312"/>
                <w:sz w:val="18"/>
                <w:szCs w:val="18"/>
              </w:rPr>
              <w:t>5</w:t>
            </w:r>
          </w:p>
        </w:tc>
        <w:tc>
          <w:tcPr>
            <w:tcW w:w="2268" w:type="dxa"/>
            <w:vAlign w:val="center"/>
          </w:tcPr>
          <w:p>
            <w:pPr>
              <w:tabs>
                <w:tab w:val="left" w:pos="2604"/>
              </w:tabs>
              <w:spacing w:before="156" w:line="240" w:lineRule="exact"/>
              <w:rPr>
                <w:rFonts w:ascii="??_GB2312" w:cs="Times New Roman"/>
                <w:sz w:val="15"/>
                <w:szCs w:val="15"/>
              </w:rPr>
            </w:pPr>
            <w:r>
              <w:rPr>
                <w:rFonts w:hint="eastAsia" w:ascii="??_GB2312" w:cs="宋体"/>
                <w:sz w:val="15"/>
                <w:szCs w:val="15"/>
              </w:rPr>
              <w:t>服务对象对项目实施的满意程度。</w:t>
            </w:r>
          </w:p>
        </w:tc>
        <w:tc>
          <w:tcPr>
            <w:tcW w:w="2126" w:type="dxa"/>
            <w:vAlign w:val="center"/>
          </w:tcPr>
          <w:p>
            <w:pPr>
              <w:spacing w:before="156" w:line="240" w:lineRule="exact"/>
              <w:rPr>
                <w:rFonts w:ascii="??_GB2312" w:cs="Times New Roman"/>
                <w:sz w:val="15"/>
                <w:szCs w:val="15"/>
              </w:rPr>
            </w:pPr>
            <w:r>
              <w:rPr>
                <w:rFonts w:hint="eastAsia" w:ascii="??_GB2312" w:hAnsi="宋体" w:cs="宋体"/>
                <w:kern w:val="0"/>
                <w:sz w:val="15"/>
                <w:szCs w:val="15"/>
              </w:rPr>
              <w:t>按收集到的服务对象的满意率计算得分。</w:t>
            </w:r>
          </w:p>
        </w:tc>
        <w:tc>
          <w:tcPr>
            <w:tcW w:w="1369" w:type="dxa"/>
            <w:vAlign w:val="center"/>
          </w:tcPr>
          <w:p>
            <w:pPr>
              <w:spacing w:before="156" w:line="240" w:lineRule="exact"/>
              <w:rPr>
                <w:rFonts w:ascii="??_GB2312" w:cs="Times New Roman"/>
                <w:sz w:val="15"/>
                <w:szCs w:val="15"/>
              </w:rPr>
            </w:pPr>
            <w:r>
              <w:rPr>
                <w:rFonts w:hint="eastAsia" w:ascii="??_GB2312" w:cs="宋体"/>
                <w:sz w:val="15"/>
                <w:szCs w:val="15"/>
              </w:rPr>
              <w:t>问卷调查、访谈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289" w:type="dxa"/>
            <w:gridSpan w:val="3"/>
            <w:vAlign w:val="center"/>
          </w:tcPr>
          <w:p>
            <w:pPr>
              <w:spacing w:before="156" w:line="240" w:lineRule="exact"/>
              <w:jc w:val="center"/>
              <w:rPr>
                <w:rFonts w:ascii="??_GB2312" w:cs="Times New Roman"/>
                <w:b/>
                <w:bCs/>
                <w:sz w:val="18"/>
                <w:szCs w:val="18"/>
              </w:rPr>
            </w:pPr>
            <w:r>
              <w:rPr>
                <w:rFonts w:hint="eastAsia" w:ascii="??_GB2312" w:cs="宋体"/>
                <w:b/>
                <w:bCs/>
                <w:sz w:val="18"/>
                <w:szCs w:val="18"/>
              </w:rPr>
              <w:t>合</w:t>
            </w:r>
            <w:r>
              <w:rPr>
                <w:rFonts w:ascii="??_GB2312" w:cs="??_GB2312"/>
                <w:b/>
                <w:bCs/>
                <w:sz w:val="18"/>
                <w:szCs w:val="18"/>
              </w:rPr>
              <w:t xml:space="preserve">  </w:t>
            </w:r>
            <w:r>
              <w:rPr>
                <w:rFonts w:hint="eastAsia" w:ascii="??_GB2312" w:cs="宋体"/>
                <w:b/>
                <w:bCs/>
                <w:sz w:val="18"/>
                <w:szCs w:val="18"/>
              </w:rPr>
              <w:t>计</w:t>
            </w:r>
          </w:p>
        </w:tc>
        <w:tc>
          <w:tcPr>
            <w:tcW w:w="570" w:type="dxa"/>
            <w:vAlign w:val="center"/>
          </w:tcPr>
          <w:p>
            <w:pPr>
              <w:spacing w:before="156" w:line="240" w:lineRule="exact"/>
              <w:jc w:val="center"/>
              <w:rPr>
                <w:rFonts w:ascii="??_GB2312" w:cs="??_GB2312"/>
                <w:sz w:val="18"/>
                <w:szCs w:val="18"/>
              </w:rPr>
            </w:pPr>
            <w:r>
              <w:rPr>
                <w:rFonts w:ascii="??_GB2312" w:cs="??_GB2312"/>
                <w:sz w:val="18"/>
                <w:szCs w:val="18"/>
              </w:rPr>
              <w:t>100</w:t>
            </w:r>
          </w:p>
        </w:tc>
        <w:tc>
          <w:tcPr>
            <w:tcW w:w="552" w:type="dxa"/>
            <w:vAlign w:val="center"/>
          </w:tcPr>
          <w:p>
            <w:pPr>
              <w:spacing w:before="156" w:line="240" w:lineRule="exact"/>
              <w:jc w:val="center"/>
              <w:rPr>
                <w:rFonts w:ascii="??_GB2312" w:eastAsia="Times New Roman" w:cs="Times New Roman"/>
                <w:sz w:val="18"/>
                <w:szCs w:val="18"/>
              </w:rPr>
            </w:pPr>
            <w:r>
              <w:rPr>
                <w:rFonts w:ascii="??_GB2312" w:cs="??_GB2312"/>
                <w:sz w:val="18"/>
                <w:szCs w:val="18"/>
              </w:rPr>
              <w:t>95</w:t>
            </w:r>
          </w:p>
        </w:tc>
        <w:tc>
          <w:tcPr>
            <w:tcW w:w="5763" w:type="dxa"/>
            <w:gridSpan w:val="3"/>
            <w:vAlign w:val="center"/>
          </w:tcPr>
          <w:p>
            <w:pPr>
              <w:spacing w:before="156" w:line="240" w:lineRule="exact"/>
              <w:jc w:val="left"/>
              <w:rPr>
                <w:rFonts w:cs="Times New Roman"/>
                <w:sz w:val="18"/>
                <w:szCs w:val="18"/>
              </w:rPr>
            </w:pPr>
            <w:r>
              <w:rPr>
                <w:rFonts w:hint="eastAsia" w:ascii="??_GB2312" w:cs="宋体"/>
                <w:sz w:val="18"/>
                <w:szCs w:val="18"/>
              </w:rPr>
              <w:t>评价等次：实际得分（</w:t>
            </w:r>
            <w:r>
              <w:rPr>
                <w:rFonts w:ascii="??_GB2312" w:cs="??_GB2312"/>
                <w:sz w:val="18"/>
                <w:szCs w:val="18"/>
              </w:rPr>
              <w:t>S</w:t>
            </w:r>
            <w:r>
              <w:rPr>
                <w:rFonts w:hint="eastAsia" w:ascii="??_GB2312" w:cs="宋体"/>
                <w:sz w:val="18"/>
                <w:szCs w:val="18"/>
              </w:rPr>
              <w:t>）≥</w:t>
            </w:r>
            <w:r>
              <w:rPr>
                <w:rFonts w:ascii="??_GB2312" w:cs="??_GB2312"/>
                <w:sz w:val="18"/>
                <w:szCs w:val="18"/>
              </w:rPr>
              <w:t>90,</w:t>
            </w:r>
            <w:r>
              <w:rPr>
                <w:rFonts w:hint="eastAsia" w:ascii="??_GB2312" w:cs="宋体"/>
                <w:sz w:val="18"/>
                <w:szCs w:val="18"/>
              </w:rPr>
              <w:t>优秀；</w:t>
            </w:r>
            <w:r>
              <w:rPr>
                <w:rFonts w:ascii="??_GB2312" w:cs="??_GB2312"/>
                <w:sz w:val="18"/>
                <w:szCs w:val="18"/>
              </w:rPr>
              <w:t>90</w:t>
            </w:r>
            <w:r>
              <w:rPr>
                <w:rFonts w:hint="eastAsia" w:ascii="??_GB2312" w:cs="宋体"/>
                <w:sz w:val="18"/>
                <w:szCs w:val="18"/>
              </w:rPr>
              <w:t>＞</w:t>
            </w:r>
            <w:r>
              <w:rPr>
                <w:rFonts w:ascii="??_GB2312" w:cs="??_GB2312"/>
                <w:sz w:val="18"/>
                <w:szCs w:val="18"/>
              </w:rPr>
              <w:t>S</w:t>
            </w:r>
            <w:r>
              <w:rPr>
                <w:rFonts w:hint="eastAsia" w:ascii="??_GB2312" w:cs="宋体"/>
                <w:sz w:val="18"/>
                <w:szCs w:val="18"/>
              </w:rPr>
              <w:t>≥</w:t>
            </w:r>
            <w:r>
              <w:rPr>
                <w:rFonts w:ascii="??_GB2312" w:cs="??_GB2312"/>
                <w:sz w:val="18"/>
                <w:szCs w:val="18"/>
              </w:rPr>
              <w:t>80,</w:t>
            </w:r>
            <w:r>
              <w:rPr>
                <w:rFonts w:hint="eastAsia" w:ascii="??_GB2312" w:cs="宋体"/>
                <w:sz w:val="18"/>
                <w:szCs w:val="18"/>
              </w:rPr>
              <w:t>良好；</w:t>
            </w:r>
            <w:r>
              <w:rPr>
                <w:rFonts w:ascii="??_GB2312" w:cs="??_GB2312"/>
                <w:sz w:val="18"/>
                <w:szCs w:val="18"/>
              </w:rPr>
              <w:t>80</w:t>
            </w:r>
            <w:r>
              <w:rPr>
                <w:rFonts w:hint="eastAsia" w:ascii="??_GB2312" w:cs="宋体"/>
                <w:sz w:val="18"/>
                <w:szCs w:val="18"/>
              </w:rPr>
              <w:t>＞</w:t>
            </w:r>
            <w:r>
              <w:rPr>
                <w:rFonts w:ascii="??_GB2312" w:cs="??_GB2312"/>
                <w:sz w:val="18"/>
                <w:szCs w:val="18"/>
              </w:rPr>
              <w:t>S</w:t>
            </w:r>
            <w:r>
              <w:rPr>
                <w:rFonts w:hint="eastAsia" w:ascii="??_GB2312" w:cs="宋体"/>
                <w:sz w:val="18"/>
                <w:szCs w:val="18"/>
              </w:rPr>
              <w:t>≥</w:t>
            </w:r>
            <w:r>
              <w:rPr>
                <w:rFonts w:ascii="??_GB2312" w:cs="??_GB2312"/>
                <w:sz w:val="18"/>
                <w:szCs w:val="18"/>
              </w:rPr>
              <w:t>60,</w:t>
            </w:r>
            <w:r>
              <w:rPr>
                <w:rFonts w:hint="eastAsia" w:ascii="??_GB2312" w:cs="宋体"/>
                <w:sz w:val="18"/>
                <w:szCs w:val="18"/>
              </w:rPr>
              <w:t>合格；</w:t>
            </w:r>
            <w:r>
              <w:rPr>
                <w:rFonts w:ascii="??_GB2312" w:cs="??_GB2312"/>
                <w:sz w:val="18"/>
                <w:szCs w:val="18"/>
              </w:rPr>
              <w:t>S</w:t>
            </w:r>
            <w:r>
              <w:rPr>
                <w:rFonts w:hint="eastAsia" w:ascii="??_GB2312" w:cs="宋体"/>
                <w:sz w:val="18"/>
                <w:szCs w:val="18"/>
              </w:rPr>
              <w:t>＜</w:t>
            </w:r>
            <w:r>
              <w:rPr>
                <w:rFonts w:ascii="??_GB2312" w:cs="??_GB2312"/>
                <w:sz w:val="18"/>
                <w:szCs w:val="18"/>
              </w:rPr>
              <w:t>60</w:t>
            </w:r>
            <w:r>
              <w:rPr>
                <w:rFonts w:hint="eastAsia" w:ascii="??_GB2312" w:cs="宋体"/>
                <w:sz w:val="18"/>
                <w:szCs w:val="18"/>
              </w:rPr>
              <w:t>，不合格。</w:t>
            </w:r>
          </w:p>
        </w:tc>
      </w:tr>
    </w:tbl>
    <w:p>
      <w:pPr>
        <w:spacing w:before="156"/>
        <w:jc w:val="both"/>
        <w:rPr>
          <w:rFonts w:ascii="黑体" w:eastAsia="黑体" w:cs="Times New Roman"/>
          <w:sz w:val="36"/>
          <w:szCs w:val="36"/>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_GB2312">
    <w:altName w:val="Times New Roman"/>
    <w:panose1 w:val="00000000000000000000"/>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spacing w:before="120"/>
      <w:rPr>
        <w:rStyle w:val="7"/>
        <w:rFonts w:cs="Times New Roman"/>
      </w:rPr>
    </w:pPr>
    <w:r>
      <w:rPr>
        <w:rStyle w:val="7"/>
      </w:rPr>
      <w:fldChar w:fldCharType="begin"/>
    </w:r>
    <w:r>
      <w:rPr>
        <w:rStyle w:val="7"/>
      </w:rPr>
      <w:instrText xml:space="preserve">PAGE  </w:instrText>
    </w:r>
    <w:r>
      <w:rPr>
        <w:rStyle w:val="7"/>
      </w:rPr>
      <w:fldChar w:fldCharType="separate"/>
    </w:r>
    <w:r>
      <w:rPr>
        <w:rStyle w:val="7"/>
      </w:rPr>
      <w:t>4</w:t>
    </w:r>
    <w:r>
      <w:rPr>
        <w:rStyle w:val="7"/>
      </w:rPr>
      <w:fldChar w:fldCharType="end"/>
    </w:r>
  </w:p>
  <w:p>
    <w:pPr>
      <w:pStyle w:val="2"/>
      <w:spacing w:before="120"/>
      <w:rPr>
        <w:rFonts w:cs="Times New Roman"/>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oNotHyphenateCaps/>
  <w:drawingGridVerticalSpacing w:val="156"/>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46309"/>
    <w:rsid w:val="0006782E"/>
    <w:rsid w:val="000E023D"/>
    <w:rsid w:val="0016502B"/>
    <w:rsid w:val="0018523C"/>
    <w:rsid w:val="00194E78"/>
    <w:rsid w:val="00285961"/>
    <w:rsid w:val="00296948"/>
    <w:rsid w:val="002B71FB"/>
    <w:rsid w:val="002C7454"/>
    <w:rsid w:val="002E4809"/>
    <w:rsid w:val="00346309"/>
    <w:rsid w:val="003472E1"/>
    <w:rsid w:val="00380F28"/>
    <w:rsid w:val="003A04D1"/>
    <w:rsid w:val="00461FCD"/>
    <w:rsid w:val="004A5E67"/>
    <w:rsid w:val="00526609"/>
    <w:rsid w:val="00556C4E"/>
    <w:rsid w:val="00592E1B"/>
    <w:rsid w:val="005A7B51"/>
    <w:rsid w:val="005B557C"/>
    <w:rsid w:val="005D2A5E"/>
    <w:rsid w:val="00652069"/>
    <w:rsid w:val="006B74E1"/>
    <w:rsid w:val="006E42A2"/>
    <w:rsid w:val="006F1E81"/>
    <w:rsid w:val="00705E13"/>
    <w:rsid w:val="00783C49"/>
    <w:rsid w:val="007E20CA"/>
    <w:rsid w:val="00817A8C"/>
    <w:rsid w:val="0082094A"/>
    <w:rsid w:val="009218D5"/>
    <w:rsid w:val="00983B4B"/>
    <w:rsid w:val="00992656"/>
    <w:rsid w:val="00B81DB2"/>
    <w:rsid w:val="00BD6866"/>
    <w:rsid w:val="00C24132"/>
    <w:rsid w:val="00C25FAA"/>
    <w:rsid w:val="00C80ED2"/>
    <w:rsid w:val="00C90A10"/>
    <w:rsid w:val="00CA5F5B"/>
    <w:rsid w:val="00CC29AF"/>
    <w:rsid w:val="00D06EAC"/>
    <w:rsid w:val="00D74B94"/>
    <w:rsid w:val="00DA2DA2"/>
    <w:rsid w:val="00DF00F1"/>
    <w:rsid w:val="00E76504"/>
    <w:rsid w:val="00EA0D7B"/>
    <w:rsid w:val="00EB33B2"/>
    <w:rsid w:val="00F81123"/>
    <w:rsid w:val="00FB7AED"/>
    <w:rsid w:val="00FC3BC6"/>
    <w:rsid w:val="0101387D"/>
    <w:rsid w:val="01E33182"/>
    <w:rsid w:val="028523A6"/>
    <w:rsid w:val="05F85C4F"/>
    <w:rsid w:val="07441F76"/>
    <w:rsid w:val="07A855A6"/>
    <w:rsid w:val="08090CB0"/>
    <w:rsid w:val="0B5A4337"/>
    <w:rsid w:val="0E0F1CD4"/>
    <w:rsid w:val="0F872252"/>
    <w:rsid w:val="0F885D80"/>
    <w:rsid w:val="10DD2014"/>
    <w:rsid w:val="124223D5"/>
    <w:rsid w:val="15581C06"/>
    <w:rsid w:val="17427CB3"/>
    <w:rsid w:val="1AE17A3C"/>
    <w:rsid w:val="1BFE2B46"/>
    <w:rsid w:val="1DA34C28"/>
    <w:rsid w:val="204D2C1D"/>
    <w:rsid w:val="254D2E73"/>
    <w:rsid w:val="2B503607"/>
    <w:rsid w:val="2DC44CD0"/>
    <w:rsid w:val="2ED86864"/>
    <w:rsid w:val="31C9532C"/>
    <w:rsid w:val="33710D5C"/>
    <w:rsid w:val="3F2E56AD"/>
    <w:rsid w:val="407900B7"/>
    <w:rsid w:val="412C0FE8"/>
    <w:rsid w:val="449C6F05"/>
    <w:rsid w:val="48B67335"/>
    <w:rsid w:val="4E6B4E76"/>
    <w:rsid w:val="50636C79"/>
    <w:rsid w:val="55883A2F"/>
    <w:rsid w:val="57A70FBC"/>
    <w:rsid w:val="5A4F11A0"/>
    <w:rsid w:val="5A5A5FA7"/>
    <w:rsid w:val="5CDC6D58"/>
    <w:rsid w:val="5DEC0760"/>
    <w:rsid w:val="5DF24098"/>
    <w:rsid w:val="611F6C77"/>
    <w:rsid w:val="653E3E8B"/>
    <w:rsid w:val="67395827"/>
    <w:rsid w:val="6A60044E"/>
    <w:rsid w:val="6B840CCE"/>
    <w:rsid w:val="7227366F"/>
    <w:rsid w:val="73C92E8C"/>
    <w:rsid w:val="7BD9444F"/>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Lines="50"/>
      <w:jc w:val="both"/>
    </w:pPr>
    <w:rPr>
      <w:rFonts w:ascii="Calibri" w:hAnsi="Calibri" w:eastAsia="宋体" w:cs="Calibri"/>
      <w:kern w:val="2"/>
      <w:sz w:val="21"/>
      <w:szCs w:val="21"/>
      <w:lang w:val="en-US" w:eastAsia="zh-CN" w:bidi="ar-SA"/>
    </w:rPr>
  </w:style>
  <w:style w:type="character" w:default="1" w:styleId="5">
    <w:name w:val="Default Paragraph Font"/>
    <w:semiHidden/>
    <w:qFormat/>
    <w:uiPriority w:val="99"/>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sz w:val="18"/>
      <w:szCs w:val="18"/>
    </w:rPr>
  </w:style>
  <w:style w:type="paragraph" w:styleId="3">
    <w:name w:val="Normal (Web)"/>
    <w:basedOn w:val="1"/>
    <w:semiHidden/>
    <w:qFormat/>
    <w:uiPriority w:val="99"/>
    <w:pPr>
      <w:widowControl/>
      <w:spacing w:beforeLines="0" w:beforeAutospacing="1" w:after="100" w:afterAutospacing="1"/>
      <w:jc w:val="left"/>
    </w:pPr>
    <w:rPr>
      <w:rFonts w:ascii="宋体" w:hAnsi="宋体" w:cs="宋体"/>
      <w:kern w:val="0"/>
      <w:sz w:val="24"/>
      <w:szCs w:val="24"/>
    </w:rPr>
  </w:style>
  <w:style w:type="character" w:styleId="6">
    <w:name w:val="Strong"/>
    <w:basedOn w:val="5"/>
    <w:qFormat/>
    <w:uiPriority w:val="99"/>
    <w:rPr>
      <w:b/>
      <w:bCs/>
    </w:rPr>
  </w:style>
  <w:style w:type="character" w:styleId="7">
    <w:name w:val="page number"/>
    <w:basedOn w:val="5"/>
    <w:qFormat/>
    <w:uiPriority w:val="99"/>
  </w:style>
  <w:style w:type="character" w:customStyle="1" w:styleId="8">
    <w:name w:val="Footer Char"/>
    <w:basedOn w:val="5"/>
    <w:link w:val="2"/>
    <w:semiHidden/>
    <w:qFormat/>
    <w:locked/>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Company>CHINA</Company>
  <Pages>7</Pages>
  <Words>511</Words>
  <Characters>2916</Characters>
  <Lines>0</Lines>
  <Paragraphs>0</Paragraphs>
  <TotalTime>5</TotalTime>
  <ScaleCrop>false</ScaleCrop>
  <LinksUpToDate>false</LinksUpToDate>
  <CharactersWithSpaces>0</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2019-05-20T02:56:00Z</dcterms:created>
  <dc:creator>dreamsummit</dc:creator>
  <cp:lastModifiedBy>Administrator</cp:lastModifiedBy>
  <cp:lastPrinted>2006-12-31T20:56:00Z</cp:lastPrinted>
  <dcterms:modified xsi:type="dcterms:W3CDTF">2021-04-22T03:17:52Z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y fmtid="{D5CDD505-2E9C-101B-9397-08002B2CF9AE}" pid="3" name="KSOSaveFontToCloudKey">
    <vt:lpwstr>298663726_btnclosed</vt:lpwstr>
  </property>
  <property fmtid="{D5CDD505-2E9C-101B-9397-08002B2CF9AE}" pid="4" name="ICV">
    <vt:lpwstr>074C72DA9EE74D549F0F853EA37B9B39</vt:lpwstr>
  </property>
</Properties>
</file>