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autoSpaceDE/>
        <w:autoSpaceDN/>
        <w:bidi w:val="0"/>
        <w:adjustRightInd/>
        <w:snapToGrid/>
        <w:spacing w:line="480" w:lineRule="exact"/>
        <w:ind w:firstLine="0" w:firstLineChars="0"/>
        <w:jc w:val="center"/>
        <w:textAlignment w:val="auto"/>
        <w:rPr>
          <w:rFonts w:hint="eastAsia" w:ascii="方正小标宋_GBK" w:hAnsi="方正小标宋_GBK" w:eastAsia="方正小标宋_GBK" w:cs="方正小标宋_GBK"/>
          <w:spacing w:val="-20"/>
          <w:sz w:val="44"/>
          <w:szCs w:val="44"/>
          <w:lang w:val="en-US" w:eastAsia="zh-CN"/>
        </w:rPr>
      </w:pPr>
      <w:r>
        <w:rPr>
          <w:rFonts w:hint="eastAsia" w:ascii="方正小标宋_GBK" w:hAnsi="方正小标宋_GBK" w:eastAsia="方正小标宋_GBK" w:cs="方正小标宋_GBK"/>
          <w:spacing w:val="-20"/>
          <w:sz w:val="44"/>
          <w:szCs w:val="44"/>
          <w:lang w:val="en-US" w:eastAsia="zh-CN"/>
        </w:rPr>
        <w:t>富民县劳动就业服务局</w:t>
      </w:r>
    </w:p>
    <w:p>
      <w:pPr>
        <w:keepNext w:val="0"/>
        <w:keepLines w:val="0"/>
        <w:pageBreakBefore w:val="0"/>
        <w:widowControl w:val="0"/>
        <w:kinsoku/>
        <w:wordWrap/>
        <w:overflowPunct/>
        <w:topLinePunct/>
        <w:autoSpaceDE/>
        <w:autoSpaceDN/>
        <w:bidi w:val="0"/>
        <w:adjustRightInd/>
        <w:snapToGrid/>
        <w:spacing w:line="480" w:lineRule="exact"/>
        <w:ind w:firstLine="0" w:firstLineChars="0"/>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2020年样本</w:t>
      </w:r>
      <w:r>
        <w:rPr>
          <w:rFonts w:hint="eastAsia" w:ascii="方正小标宋_GBK" w:hAnsi="方正小标宋_GBK" w:eastAsia="方正小标宋_GBK" w:cs="方正小标宋_GBK"/>
          <w:spacing w:val="-20"/>
          <w:sz w:val="44"/>
          <w:szCs w:val="44"/>
        </w:rPr>
        <w:t>企业失业动态监测调查办公经费</w:t>
      </w:r>
      <w:r>
        <w:rPr>
          <w:rFonts w:hint="eastAsia" w:ascii="方正小标宋_GBK" w:hAnsi="方正小标宋_GBK" w:eastAsia="方正小标宋_GBK" w:cs="方正小标宋_GBK"/>
          <w:sz w:val="44"/>
          <w:szCs w:val="44"/>
        </w:rPr>
        <w:t>项目支出绩效评价报告</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center"/>
        <w:textAlignment w:val="auto"/>
        <w:rPr>
          <w:rFonts w:ascii="黑体" w:eastAsia="黑体"/>
          <w:szCs w:val="32"/>
        </w:rPr>
      </w:pP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一、项目基本情况</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楷体_GB2312" w:cs="Times New Roman"/>
          <w:b w:val="0"/>
          <w:bCs w:val="0"/>
          <w:szCs w:val="32"/>
        </w:rPr>
      </w:pPr>
      <w:r>
        <w:rPr>
          <w:rFonts w:hint="default" w:ascii="Times New Roman" w:hAnsi="Times New Roman" w:eastAsia="楷体_GB2312" w:cs="Times New Roman"/>
          <w:b w:val="0"/>
          <w:bCs w:val="0"/>
          <w:szCs w:val="32"/>
        </w:rPr>
        <w:t>（一）项目概况</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rPr>
        <w:t>1.立项背景及目的</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lang w:val="en-US"/>
        </w:rPr>
      </w:pPr>
      <w:r>
        <w:rPr>
          <w:rFonts w:hint="default" w:ascii="Times New Roman" w:hAnsi="Times New Roman" w:eastAsia="仿宋_GB2312" w:cs="Times New Roman"/>
          <w:lang w:eastAsia="zh-CN"/>
        </w:rPr>
        <w:t>为</w:t>
      </w:r>
      <w:r>
        <w:rPr>
          <w:rFonts w:hint="default" w:ascii="Times New Roman" w:hAnsi="Times New Roman" w:eastAsia="仿宋_GB2312" w:cs="Times New Roman"/>
        </w:rPr>
        <w:t>全面提升</w:t>
      </w:r>
      <w:r>
        <w:rPr>
          <w:rFonts w:hint="default" w:ascii="Times New Roman" w:hAnsi="Times New Roman" w:eastAsia="仿宋_GB2312" w:cs="Times New Roman"/>
          <w:lang w:eastAsia="zh-CN"/>
        </w:rPr>
        <w:t>城乡劳动者</w:t>
      </w:r>
      <w:r>
        <w:rPr>
          <w:rFonts w:hint="default" w:ascii="Times New Roman" w:hAnsi="Times New Roman" w:eastAsia="仿宋_GB2312" w:cs="Times New Roman"/>
        </w:rPr>
        <w:t>就业创业能力和建档立卡贫困人口务工增收脱贫</w:t>
      </w:r>
      <w:r>
        <w:rPr>
          <w:rFonts w:hint="default" w:ascii="Times New Roman" w:hAnsi="Times New Roman" w:eastAsia="仿宋_GB2312" w:cs="Times New Roman"/>
          <w:lang w:eastAsia="zh-CN"/>
        </w:rPr>
        <w:t>，</w:t>
      </w:r>
      <w:r>
        <w:rPr>
          <w:rFonts w:hint="default" w:ascii="Times New Roman" w:hAnsi="Times New Roman" w:eastAsia="仿宋_GB2312" w:cs="Times New Roman"/>
        </w:rPr>
        <w:t>坚持“就业是最大的民生”这一理念，抓住“就业脱贫”这一重点，在开发岗位、转移就业、创业带动、职业培训、信息化提升等方面寻求新突破，在就业援助、失保兜底、稳定岗位、防范风险等方面打牢新基础，努力实现更高质量和更充分就业</w:t>
      </w:r>
      <w:r>
        <w:rPr>
          <w:rFonts w:hint="default" w:ascii="Times New Roman" w:hAnsi="Times New Roman" w:eastAsia="仿宋_GB2312" w:cs="Times New Roman"/>
          <w:lang w:eastAsia="zh-CN"/>
        </w:rPr>
        <w:t>，设立</w:t>
      </w:r>
      <w:r>
        <w:rPr>
          <w:rFonts w:hint="default" w:ascii="Times New Roman" w:hAnsi="Times New Roman" w:cs="Times New Roman"/>
          <w:lang w:val="en-US" w:eastAsia="zh-CN"/>
        </w:rPr>
        <w:t>本项目。</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lang w:val="en-US" w:eastAsia="zh-CN"/>
        </w:rPr>
        <w:t>2.</w:t>
      </w:r>
      <w:r>
        <w:rPr>
          <w:rFonts w:hint="default" w:ascii="Times New Roman" w:hAnsi="Times New Roman" w:cs="Times New Roman"/>
          <w:szCs w:val="32"/>
        </w:rPr>
        <w:t>项目实施情况</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仿宋" w:cs="Times New Roman"/>
          <w:szCs w:val="32"/>
          <w:lang w:val="en-US" w:eastAsia="zh-CN"/>
        </w:rPr>
      </w:pPr>
      <w:r>
        <w:rPr>
          <w:rFonts w:hint="default" w:ascii="Times New Roman" w:hAnsi="Times New Roman" w:cs="Times New Roman"/>
          <w:szCs w:val="32"/>
          <w:lang w:val="en-US" w:eastAsia="zh-CN"/>
        </w:rPr>
        <w:t>发放2020年样本</w:t>
      </w:r>
      <w:r>
        <w:rPr>
          <w:rFonts w:hint="default" w:ascii="Times New Roman" w:hAnsi="Times New Roman" w:eastAsia="仿宋" w:cs="Times New Roman"/>
          <w:spacing w:val="-20"/>
          <w:sz w:val="32"/>
          <w:szCs w:val="32"/>
        </w:rPr>
        <w:t>企业失业动态监测调查办公经费</w:t>
      </w:r>
      <w:r>
        <w:rPr>
          <w:rFonts w:hint="default" w:ascii="Times New Roman" w:hAnsi="Times New Roman" w:eastAsia="仿宋" w:cs="Times New Roman"/>
          <w:spacing w:val="-20"/>
          <w:sz w:val="32"/>
          <w:szCs w:val="32"/>
          <w:lang w:val="en-US" w:eastAsia="zh-CN"/>
        </w:rPr>
        <w:t>10户企业，0.53万元。</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lang w:val="en-US" w:eastAsia="zh-CN"/>
        </w:rPr>
        <w:t>3.</w:t>
      </w:r>
      <w:r>
        <w:rPr>
          <w:rFonts w:hint="default" w:ascii="Times New Roman" w:hAnsi="Times New Roman" w:cs="Times New Roman"/>
          <w:szCs w:val="32"/>
        </w:rPr>
        <w:t>资金来源及使用情况</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eastAsia="仿宋_GB2312" w:cs="Times New Roman"/>
          <w:sz w:val="32"/>
          <w:szCs w:val="32"/>
          <w:lang w:val="en-US" w:eastAsia="zh-CN"/>
        </w:rPr>
        <w:t>2020</w:t>
      </w:r>
      <w:r>
        <w:rPr>
          <w:rFonts w:hint="default" w:ascii="Times New Roman" w:hAnsi="Times New Roman" w:eastAsia="仿宋_GB2312" w:cs="Times New Roman"/>
          <w:sz w:val="32"/>
          <w:szCs w:val="32"/>
        </w:rPr>
        <w:t>年</w:t>
      </w:r>
      <w:r>
        <w:rPr>
          <w:rFonts w:hint="default" w:ascii="Times New Roman" w:hAnsi="Times New Roman" w:cs="Times New Roman"/>
          <w:sz w:val="32"/>
          <w:szCs w:val="32"/>
          <w:lang w:val="en-US" w:eastAsia="zh-CN"/>
        </w:rPr>
        <w:t>收到市级下拨</w:t>
      </w:r>
      <w:r>
        <w:rPr>
          <w:rFonts w:hint="default" w:ascii="Times New Roman" w:hAnsi="Times New Roman" w:eastAsia="仿宋" w:cs="Times New Roman"/>
          <w:spacing w:val="-20"/>
          <w:sz w:val="32"/>
          <w:szCs w:val="32"/>
        </w:rPr>
        <w:t>企业失业动态监测调查办公经费</w:t>
      </w:r>
      <w:r>
        <w:rPr>
          <w:rFonts w:hint="default" w:ascii="Times New Roman" w:hAnsi="Times New Roman" w:eastAsia="仿宋" w:cs="Times New Roman"/>
          <w:spacing w:val="-20"/>
          <w:sz w:val="32"/>
          <w:szCs w:val="32"/>
          <w:lang w:val="en-US" w:eastAsia="zh-CN"/>
        </w:rPr>
        <w:t>0.53万元</w:t>
      </w:r>
      <w:r>
        <w:rPr>
          <w:rFonts w:hint="default" w:ascii="Times New Roman" w:hAnsi="Times New Roman" w:eastAsia="仿宋_GB2312" w:cs="Times New Roman"/>
          <w:sz w:val="32"/>
          <w:szCs w:val="32"/>
        </w:rPr>
        <w:t>，实际支出</w:t>
      </w:r>
      <w:r>
        <w:rPr>
          <w:rFonts w:hint="default" w:ascii="Times New Roman" w:hAnsi="Times New Roman" w:eastAsia="仿宋" w:cs="Times New Roman"/>
          <w:spacing w:val="-20"/>
          <w:sz w:val="32"/>
          <w:szCs w:val="32"/>
          <w:lang w:val="en-US" w:eastAsia="zh-CN"/>
        </w:rPr>
        <w:t>0.53</w:t>
      </w:r>
      <w:r>
        <w:rPr>
          <w:rFonts w:hint="default" w:ascii="Times New Roman" w:hAnsi="Times New Roman" w:eastAsia="仿宋_GB2312" w:cs="Times New Roman"/>
          <w:sz w:val="32"/>
          <w:szCs w:val="32"/>
        </w:rPr>
        <w:t>万元。</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 w:val="24"/>
          <w:szCs w:val="24"/>
        </w:rPr>
      </w:pPr>
      <w:r>
        <w:rPr>
          <w:rFonts w:hint="default" w:ascii="Times New Roman" w:hAnsi="Times New Roman" w:cs="Times New Roman"/>
          <w:szCs w:val="32"/>
          <w:lang w:val="en-US" w:eastAsia="zh-CN"/>
        </w:rPr>
        <w:t>4.</w:t>
      </w:r>
      <w:r>
        <w:rPr>
          <w:rFonts w:hint="default" w:ascii="Times New Roman" w:hAnsi="Times New Roman" w:cs="Times New Roman"/>
          <w:szCs w:val="32"/>
        </w:rPr>
        <w:t>组织及管理情况</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cs="Times New Roman"/>
          <w:sz w:val="24"/>
          <w:szCs w:val="24"/>
        </w:rPr>
      </w:pPr>
      <w:r>
        <w:rPr>
          <w:rFonts w:hint="default" w:ascii="Times New Roman" w:hAnsi="Times New Roman" w:eastAsia="仿宋_GB2312" w:cs="Times New Roman"/>
          <w:lang w:eastAsia="zh-CN"/>
        </w:rPr>
        <w:t>按照年初上级下达工作任务制定工作计划，根据任务要求对任务完成进度进行考核，</w:t>
      </w:r>
      <w:r>
        <w:rPr>
          <w:rFonts w:hint="default" w:ascii="Times New Roman" w:hAnsi="Times New Roman" w:eastAsia="仿宋_GB2312" w:cs="Times New Roman"/>
        </w:rPr>
        <w:t>加强对项目的实施前、实施中、实施后的监督管理。</w:t>
      </w:r>
      <w:r>
        <w:rPr>
          <w:rFonts w:hint="default" w:ascii="Times New Roman" w:hAnsi="Times New Roman" w:eastAsia="仿宋_GB2312" w:cs="Times New Roman"/>
          <w:lang w:eastAsia="zh-CN"/>
        </w:rPr>
        <w:t>项目完成后，</w:t>
      </w:r>
      <w:r>
        <w:rPr>
          <w:rFonts w:hint="default" w:ascii="Times New Roman" w:hAnsi="Times New Roman" w:eastAsia="仿宋_GB2312" w:cs="Times New Roman"/>
        </w:rPr>
        <w:t>根据年度工作安排，进行项目</w:t>
      </w:r>
      <w:r>
        <w:rPr>
          <w:rFonts w:hint="default" w:ascii="Times New Roman" w:hAnsi="Times New Roman" w:eastAsia="仿宋_GB2312" w:cs="Times New Roman"/>
          <w:lang w:eastAsia="zh-CN"/>
        </w:rPr>
        <w:t>资金</w:t>
      </w:r>
      <w:r>
        <w:rPr>
          <w:rFonts w:hint="default" w:ascii="Times New Roman" w:hAnsi="Times New Roman" w:eastAsia="仿宋_GB2312" w:cs="Times New Roman"/>
        </w:rPr>
        <w:t>申报和</w:t>
      </w:r>
      <w:r>
        <w:rPr>
          <w:rFonts w:hint="default" w:ascii="Times New Roman" w:hAnsi="Times New Roman" w:eastAsia="仿宋_GB2312" w:cs="Times New Roman"/>
          <w:lang w:eastAsia="zh-CN"/>
        </w:rPr>
        <w:t>拨付</w:t>
      </w:r>
      <w:r>
        <w:rPr>
          <w:rFonts w:hint="default" w:ascii="Times New Roman" w:hAnsi="Times New Roman" w:eastAsia="仿宋_GB2312" w:cs="Times New Roman"/>
        </w:rPr>
        <w:t>工作，</w:t>
      </w:r>
      <w:r>
        <w:rPr>
          <w:rFonts w:hint="default" w:ascii="Times New Roman" w:hAnsi="Times New Roman" w:eastAsia="仿宋_GB2312" w:cs="Times New Roman"/>
          <w:lang w:eastAsia="zh-CN"/>
        </w:rPr>
        <w:t>严格审核申报材料，确保项目资金安全。</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楷体_GB2312" w:cs="Times New Roman"/>
          <w:b w:val="0"/>
          <w:bCs w:val="0"/>
          <w:szCs w:val="32"/>
        </w:rPr>
      </w:pPr>
      <w:r>
        <w:rPr>
          <w:rFonts w:hint="default" w:ascii="Times New Roman" w:hAnsi="Times New Roman" w:eastAsia="楷体_GB2312" w:cs="Times New Roman"/>
          <w:b w:val="0"/>
          <w:bCs w:val="0"/>
          <w:szCs w:val="32"/>
        </w:rPr>
        <w:t>（二）绩效目标</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rPr>
        <w:t>1.总目标</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坚持“就业是最大的民生”这一理念，抓住“就业脱贫”这一重点，在开发岗位、转移就业、创业带动、职业培训、信息化提升等方面寻求新突破，在就业援助、失保兜底、稳定岗位、防范风险等方面打牢新基础，努力实现更高质量和更充分就业。</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rPr>
        <w:t>2.年度目标</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rPr>
        <w:t>（1）产出目标</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仿宋" w:cs="Times New Roman"/>
          <w:szCs w:val="32"/>
          <w:lang w:val="en-US" w:eastAsia="zh-CN"/>
        </w:rPr>
      </w:pPr>
      <w:r>
        <w:rPr>
          <w:rFonts w:hint="default" w:ascii="Times New Roman" w:hAnsi="Times New Roman" w:cs="Times New Roman"/>
          <w:szCs w:val="32"/>
          <w:lang w:val="en-US" w:eastAsia="zh-CN"/>
        </w:rPr>
        <w:t>按时完成2020年样本</w:t>
      </w:r>
      <w:r>
        <w:rPr>
          <w:rFonts w:hint="default" w:ascii="Times New Roman" w:hAnsi="Times New Roman" w:eastAsia="仿宋" w:cs="Times New Roman"/>
          <w:spacing w:val="-20"/>
          <w:sz w:val="32"/>
          <w:szCs w:val="32"/>
        </w:rPr>
        <w:t>企业失业动态监测调查办公经费</w:t>
      </w:r>
      <w:r>
        <w:rPr>
          <w:rFonts w:hint="default" w:ascii="Times New Roman" w:hAnsi="Times New Roman" w:eastAsia="仿宋" w:cs="Times New Roman"/>
          <w:spacing w:val="-20"/>
          <w:sz w:val="32"/>
          <w:szCs w:val="32"/>
          <w:lang w:val="en-US" w:eastAsia="zh-CN"/>
        </w:rPr>
        <w:t>发放工作，享受补贴企业10户。</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lang w:eastAsia="zh-CN"/>
        </w:rPr>
        <w:t>（</w:t>
      </w:r>
      <w:r>
        <w:rPr>
          <w:rFonts w:hint="default" w:ascii="Times New Roman" w:hAnsi="Times New Roman" w:cs="Times New Roman"/>
          <w:szCs w:val="32"/>
          <w:lang w:val="en-US" w:eastAsia="zh-CN"/>
        </w:rPr>
        <w:t>2</w:t>
      </w:r>
      <w:r>
        <w:rPr>
          <w:rFonts w:hint="default" w:ascii="Times New Roman" w:hAnsi="Times New Roman" w:cs="Times New Roman"/>
          <w:szCs w:val="32"/>
          <w:lang w:eastAsia="zh-CN"/>
        </w:rPr>
        <w:t>）</w:t>
      </w:r>
      <w:r>
        <w:rPr>
          <w:rFonts w:hint="default" w:ascii="Times New Roman" w:hAnsi="Times New Roman" w:cs="Times New Roman"/>
          <w:szCs w:val="32"/>
        </w:rPr>
        <w:t>效果目标</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lang w:val="en-US" w:eastAsia="zh-CN"/>
        </w:rPr>
      </w:pPr>
      <w:r>
        <w:rPr>
          <w:rFonts w:hint="default" w:ascii="Times New Roman" w:hAnsi="Times New Roman" w:cs="Times New Roman"/>
          <w:szCs w:val="32"/>
          <w:lang w:val="en-US" w:eastAsia="zh-CN"/>
        </w:rPr>
        <w:t>提升我县创业工作成效，统计我县企业用工情况，掌握企业职工就业失业状态，为上级部门制定就业创业政策提供数据支持。</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二、绩效评价工作情况</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lang w:eastAsia="zh-CN"/>
        </w:rPr>
      </w:pPr>
      <w:r>
        <w:rPr>
          <w:rFonts w:hint="default" w:ascii="Times New Roman" w:hAnsi="Times New Roman" w:cs="Times New Roman"/>
          <w:szCs w:val="32"/>
        </w:rPr>
        <w:t>1.绩效评价原则。</w:t>
      </w:r>
      <w:r>
        <w:rPr>
          <w:rFonts w:hint="default" w:ascii="Times New Roman" w:hAnsi="Times New Roman" w:eastAsia="仿宋_GB2312" w:cs="Times New Roman"/>
        </w:rPr>
        <w:t>财政支出绩效评价是政府绩效管理的重要组成部分，是提高政府效能、坚持厉行节约的重要举措。本次绩效评价的目的是提高支出的责任和效率，形成“花钱必问效、无效必问责”的管理理念，评价结果和整改落实情况将作为来年预算资金分配的依据。本项目绩效评价主要遵循相关性、可比性、重要性、定性和定量相结合、客观公正的原则</w:t>
      </w:r>
      <w:r>
        <w:rPr>
          <w:rFonts w:hint="default" w:ascii="Times New Roman" w:hAnsi="Times New Roman" w:cs="Times New Roman"/>
          <w:lang w:eastAsia="zh-CN"/>
        </w:rPr>
        <w:t>。</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rPr>
      </w:pPr>
      <w:r>
        <w:rPr>
          <w:rFonts w:hint="default" w:ascii="Times New Roman" w:hAnsi="Times New Roman" w:cs="Times New Roman"/>
          <w:szCs w:val="32"/>
        </w:rPr>
        <w:t>2.绩效评价方法。</w:t>
      </w:r>
      <w:r>
        <w:rPr>
          <w:rFonts w:hint="default" w:ascii="Times New Roman" w:hAnsi="Times New Roman" w:eastAsia="仿宋_GB2312" w:cs="Times New Roman"/>
        </w:rPr>
        <w:t>依据资金使用的方向和对象，围绕绩效目标，从项目的申请、管理、产出、效益等方面科学设定评价指标体系，采用公众评判、结果比较和加权重分等方式进行评价。</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rPr>
      </w:pPr>
      <w:r>
        <w:rPr>
          <w:rFonts w:hint="default" w:ascii="Times New Roman" w:hAnsi="Times New Roman" w:eastAsia="黑体" w:cs="Times New Roman"/>
          <w:szCs w:val="32"/>
        </w:rPr>
        <w:t>三、评价结论</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楷体_GB2312" w:cs="Times New Roman"/>
          <w:b w:val="0"/>
          <w:bCs w:val="0"/>
          <w:szCs w:val="32"/>
        </w:rPr>
      </w:pPr>
      <w:r>
        <w:rPr>
          <w:rFonts w:hint="default" w:ascii="Times New Roman" w:hAnsi="Times New Roman" w:eastAsia="楷体_GB2312" w:cs="Times New Roman"/>
          <w:b w:val="0"/>
          <w:bCs w:val="0"/>
          <w:szCs w:val="32"/>
        </w:rPr>
        <w:t>（一）评价结果</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eastAsia="仿宋_GB2312" w:cs="Times New Roman"/>
          <w:sz w:val="32"/>
          <w:szCs w:val="32"/>
        </w:rPr>
        <w:t>该项目实施后，资金支出、拨付规范，达到预期效果，取得了良好的经济效益和社会影响力。通过绩效考核领导小组评估，评定该项目得分9</w:t>
      </w:r>
      <w:r>
        <w:rPr>
          <w:rFonts w:hint="default" w:ascii="Times New Roman" w:hAnsi="Times New Roman" w:cs="Times New Roman"/>
          <w:sz w:val="32"/>
          <w:szCs w:val="32"/>
          <w:lang w:val="en-US" w:eastAsia="zh-CN"/>
        </w:rPr>
        <w:t>8</w:t>
      </w:r>
      <w:r>
        <w:rPr>
          <w:rFonts w:hint="default" w:ascii="Times New Roman" w:hAnsi="Times New Roman" w:eastAsia="仿宋_GB2312" w:cs="Times New Roman"/>
          <w:sz w:val="32"/>
          <w:szCs w:val="32"/>
        </w:rPr>
        <w:t>分，评估等次为优。</w:t>
      </w:r>
    </w:p>
    <w:p>
      <w:pPr>
        <w:keepNext w:val="0"/>
        <w:keepLines w:val="0"/>
        <w:pageBreakBefore w:val="0"/>
        <w:widowControl w:val="0"/>
        <w:numPr>
          <w:ilvl w:val="0"/>
          <w:numId w:val="1"/>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楷体_GB2312" w:cs="Times New Roman"/>
          <w:b w:val="0"/>
          <w:bCs w:val="0"/>
          <w:szCs w:val="32"/>
        </w:rPr>
      </w:pPr>
      <w:r>
        <w:rPr>
          <w:rFonts w:hint="default" w:ascii="Times New Roman" w:hAnsi="Times New Roman" w:eastAsia="楷体_GB2312" w:cs="Times New Roman"/>
          <w:b w:val="0"/>
          <w:bCs w:val="0"/>
          <w:szCs w:val="32"/>
        </w:rPr>
        <w:t>主要绩效</w:t>
      </w:r>
    </w:p>
    <w:p>
      <w:pPr>
        <w:keepNext w:val="0"/>
        <w:keepLines w:val="0"/>
        <w:pageBreakBefore w:val="0"/>
        <w:widowControl w:val="0"/>
        <w:numPr>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eastAsia="仿宋_GB2312" w:cs="Times New Roman"/>
          <w:sz w:val="32"/>
          <w:szCs w:val="32"/>
        </w:rPr>
        <w:t>该项目实施后，资金支出、拨付规范，达到预期效果，取得了良好的经济效益和社会影响力。保证</w:t>
      </w:r>
      <w:r>
        <w:rPr>
          <w:rFonts w:hint="default" w:ascii="Times New Roman" w:hAnsi="Times New Roman" w:eastAsia="仿宋_GB2312" w:cs="Times New Roman"/>
          <w:sz w:val="32"/>
          <w:szCs w:val="32"/>
          <w:lang w:eastAsia="zh-CN"/>
        </w:rPr>
        <w:t>了</w:t>
      </w:r>
      <w:r>
        <w:rPr>
          <w:rFonts w:hint="default" w:ascii="Times New Roman" w:hAnsi="Times New Roman" w:eastAsia="仿宋_GB2312" w:cs="Times New Roman"/>
          <w:sz w:val="32"/>
          <w:szCs w:val="32"/>
        </w:rPr>
        <w:t>我</w:t>
      </w:r>
      <w:r>
        <w:rPr>
          <w:rFonts w:hint="default" w:ascii="Times New Roman" w:hAnsi="Times New Roman" w:cs="Times New Roman"/>
          <w:sz w:val="32"/>
          <w:szCs w:val="32"/>
          <w:lang w:val="en-US" w:eastAsia="zh-CN"/>
        </w:rPr>
        <w:t>县就业创业工作正常有序开展，提升就业创业服务工作水平。</w:t>
      </w:r>
    </w:p>
    <w:p>
      <w:pPr>
        <w:keepNext w:val="0"/>
        <w:keepLines w:val="0"/>
        <w:pageBreakBefore w:val="0"/>
        <w:widowControl w:val="0"/>
        <w:numPr>
          <w:ilvl w:val="0"/>
          <w:numId w:val="2"/>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成本效益分析</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eastAsia="黑体" w:cs="Times New Roman"/>
          <w:szCs w:val="32"/>
        </w:rPr>
      </w:pPr>
      <w:r>
        <w:rPr>
          <w:rFonts w:hint="default" w:ascii="Times New Roman" w:hAnsi="Times New Roman" w:eastAsia="仿宋_GB2312" w:cs="Times New Roman"/>
          <w:sz w:val="32"/>
          <w:szCs w:val="32"/>
        </w:rPr>
        <w:t>按相关政策规定，每年按省市文件补助标准进行补助，不随意更改。该项目不存在节约情况。对支出费用的预算进行细化，补贴按时拨付，提高完成质量。该项目在</w:t>
      </w:r>
      <w:r>
        <w:rPr>
          <w:rFonts w:hint="default" w:ascii="Times New Roman" w:hAnsi="Times New Roman" w:eastAsia="仿宋_GB2312" w:cs="Times New Roman"/>
          <w:sz w:val="32"/>
          <w:szCs w:val="32"/>
          <w:lang w:val="en-US" w:eastAsia="zh-CN"/>
        </w:rPr>
        <w:t>2020</w:t>
      </w:r>
      <w:r>
        <w:rPr>
          <w:rFonts w:hint="default" w:ascii="Times New Roman" w:hAnsi="Times New Roman" w:eastAsia="仿宋_GB2312" w:cs="Times New Roman"/>
          <w:sz w:val="32"/>
          <w:szCs w:val="32"/>
        </w:rPr>
        <w:t>年度内已完成，圆满完成项目的100%。</w:t>
      </w:r>
    </w:p>
    <w:p>
      <w:pPr>
        <w:keepNext w:val="0"/>
        <w:keepLines w:val="0"/>
        <w:pageBreakBefore w:val="0"/>
        <w:widowControl w:val="0"/>
        <w:numPr>
          <w:ilvl w:val="0"/>
          <w:numId w:val="2"/>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主要经验及做法、存在的问题和建议</w:t>
      </w:r>
    </w:p>
    <w:p>
      <w:pPr>
        <w:keepNext w:val="0"/>
        <w:keepLines w:val="0"/>
        <w:pageBreakBefore w:val="0"/>
        <w:widowControl w:val="0"/>
        <w:numPr>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楷体_GB2312" w:cs="Times New Roman"/>
          <w:b w:val="0"/>
          <w:bCs w:val="0"/>
          <w:szCs w:val="32"/>
        </w:rPr>
      </w:pPr>
      <w:r>
        <w:rPr>
          <w:rFonts w:hint="eastAsia" w:eastAsia="楷体_GB2312" w:cs="Times New Roman"/>
          <w:b w:val="0"/>
          <w:bCs w:val="0"/>
          <w:szCs w:val="32"/>
          <w:lang w:eastAsia="zh-CN"/>
        </w:rPr>
        <w:t>（一）</w:t>
      </w:r>
      <w:r>
        <w:rPr>
          <w:rFonts w:hint="default" w:ascii="Times New Roman" w:hAnsi="Times New Roman" w:eastAsia="楷体_GB2312" w:cs="Times New Roman"/>
          <w:b w:val="0"/>
          <w:bCs w:val="0"/>
          <w:szCs w:val="32"/>
        </w:rPr>
        <w:t>主要经验及做法</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eastAsia="仿宋_GB2312" w:cs="Times New Roman"/>
          <w:lang w:eastAsia="zh-CN"/>
        </w:rPr>
        <w:t>富民县劳动就业服务局局</w:t>
      </w:r>
      <w:r>
        <w:rPr>
          <w:rFonts w:hint="default" w:ascii="Times New Roman" w:hAnsi="Times New Roman" w:eastAsia="仿宋_GB2312" w:cs="Times New Roman"/>
          <w:lang w:val="en-US" w:eastAsia="zh-CN"/>
        </w:rPr>
        <w:t>对财务管理进行规范化，同财政部门及时沟通学习，积极进行财政部门组织的预算、编报、审核等方面工作按时完成，认真如实填报。对预算和决算进行对比，按照规定对各项资金进行使用，该填制及时填制，该公开及时公开，该上报及时上报，把每分钱用到该用的地方，更加符合实际情况</w:t>
      </w:r>
      <w:r>
        <w:rPr>
          <w:rFonts w:hint="default" w:ascii="Times New Roman" w:hAnsi="Times New Roman" w:cs="Times New Roman"/>
          <w:lang w:val="en-US" w:eastAsia="zh-CN"/>
        </w:rPr>
        <w:t>。</w:t>
      </w:r>
    </w:p>
    <w:p>
      <w:pPr>
        <w:keepNext w:val="0"/>
        <w:keepLines w:val="0"/>
        <w:pageBreakBefore w:val="0"/>
        <w:widowControl w:val="0"/>
        <w:numPr>
          <w:numId w:val="0"/>
        </w:numPr>
        <w:kinsoku/>
        <w:wordWrap/>
        <w:overflowPunct/>
        <w:topLinePunct/>
        <w:autoSpaceDE/>
        <w:autoSpaceDN/>
        <w:bidi w:val="0"/>
        <w:adjustRightInd/>
        <w:snapToGrid/>
        <w:spacing w:line="480" w:lineRule="exact"/>
        <w:ind w:leftChars="200"/>
        <w:jc w:val="both"/>
        <w:textAlignment w:val="auto"/>
        <w:rPr>
          <w:rFonts w:hint="default" w:ascii="Times New Roman" w:hAnsi="Times New Roman" w:eastAsia="楷体_GB2312" w:cs="Times New Roman"/>
          <w:b w:val="0"/>
          <w:bCs w:val="0"/>
          <w:szCs w:val="32"/>
        </w:rPr>
      </w:pPr>
      <w:r>
        <w:rPr>
          <w:rFonts w:hint="eastAsia" w:eastAsia="楷体_GB2312" w:cs="Times New Roman"/>
          <w:b w:val="0"/>
          <w:bCs w:val="0"/>
          <w:szCs w:val="32"/>
          <w:lang w:val="en-US" w:eastAsia="zh-CN"/>
        </w:rPr>
        <w:t>（二）</w:t>
      </w:r>
      <w:r>
        <w:rPr>
          <w:rFonts w:hint="default" w:ascii="Times New Roman" w:hAnsi="Times New Roman" w:eastAsia="楷体_GB2312" w:cs="Times New Roman"/>
          <w:b w:val="0"/>
          <w:bCs w:val="0"/>
          <w:szCs w:val="32"/>
        </w:rPr>
        <w:t>存在的问题</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leftChars="0" w:firstLine="640" w:firstLineChars="200"/>
        <w:jc w:val="both"/>
        <w:textAlignment w:val="auto"/>
        <w:rPr>
          <w:rFonts w:hint="default" w:ascii="Times New Roman" w:hAnsi="Times New Roman" w:cs="Times New Roman"/>
          <w:szCs w:val="32"/>
          <w:lang w:val="en-US" w:eastAsia="zh-CN"/>
        </w:rPr>
      </w:pPr>
      <w:r>
        <w:rPr>
          <w:rFonts w:hint="default" w:ascii="Times New Roman" w:hAnsi="Times New Roman" w:cs="Times New Roman"/>
          <w:szCs w:val="32"/>
          <w:lang w:val="en-US" w:eastAsia="zh-CN"/>
        </w:rPr>
        <w:t xml:space="preserve"> 1.资金拨付流程需继续优化，资金使用效率有待进一步提高。</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leftChars="0"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lang w:val="en-US" w:eastAsia="zh-CN"/>
        </w:rPr>
        <w:t xml:space="preserve"> 2.资金绩效管理制度需进一步完善，</w:t>
      </w:r>
      <w:r>
        <w:rPr>
          <w:rFonts w:hint="default" w:ascii="Times New Roman" w:hAnsi="Times New Roman" w:eastAsia="仿宋_GB2312" w:cs="Times New Roman"/>
          <w:b w:val="0"/>
          <w:bCs w:val="0"/>
          <w:sz w:val="32"/>
          <w:szCs w:val="32"/>
          <w:lang w:val="en-US" w:eastAsia="zh-CN"/>
        </w:rPr>
        <w:t>部门和单位工作人员的绩效管理意识</w:t>
      </w:r>
      <w:r>
        <w:rPr>
          <w:rFonts w:hint="default" w:ascii="Times New Roman" w:hAnsi="Times New Roman" w:cs="Times New Roman"/>
          <w:b w:val="0"/>
          <w:bCs w:val="0"/>
          <w:sz w:val="32"/>
          <w:szCs w:val="32"/>
          <w:lang w:val="en-US" w:eastAsia="zh-CN"/>
        </w:rPr>
        <w:t>需加强。</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楷体_GB2312" w:cs="Times New Roman"/>
          <w:b w:val="0"/>
          <w:bCs w:val="0"/>
          <w:szCs w:val="32"/>
        </w:rPr>
      </w:pPr>
      <w:r>
        <w:rPr>
          <w:rFonts w:hint="default" w:ascii="Times New Roman" w:hAnsi="Times New Roman" w:eastAsia="楷体_GB2312" w:cs="Times New Roman"/>
          <w:b w:val="0"/>
          <w:bCs w:val="0"/>
          <w:szCs w:val="32"/>
        </w:rPr>
        <w:t>（三）建议和改进措施</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rPr>
      </w:pPr>
      <w:r>
        <w:rPr>
          <w:rFonts w:hint="default" w:ascii="Times New Roman" w:hAnsi="Times New Roman" w:cs="Times New Roman"/>
          <w:lang w:val="en-US" w:eastAsia="zh-CN"/>
        </w:rPr>
        <w:t>1.</w:t>
      </w:r>
      <w:r>
        <w:rPr>
          <w:rFonts w:hint="default" w:ascii="Times New Roman" w:hAnsi="Times New Roman" w:eastAsia="仿宋_GB2312" w:cs="Times New Roman"/>
        </w:rPr>
        <w:t>进一步加强预算的编制和执行管理，</w:t>
      </w:r>
      <w:r>
        <w:rPr>
          <w:rFonts w:hint="default" w:ascii="Times New Roman" w:hAnsi="Times New Roman" w:eastAsia="仿宋_GB2312" w:cs="Times New Roman"/>
          <w:lang w:eastAsia="zh-CN"/>
        </w:rPr>
        <w:t>简化各项手续，</w:t>
      </w:r>
      <w:r>
        <w:rPr>
          <w:rFonts w:hint="default" w:ascii="Times New Roman" w:hAnsi="Times New Roman" w:eastAsia="仿宋_GB2312" w:cs="Times New Roman"/>
        </w:rPr>
        <w:t>科学有效地安排各项资金支出进度，不断提高本局整体支出的经济性、效益型、有效性和可持续性。</w:t>
      </w:r>
    </w:p>
    <w:p>
      <w:pPr>
        <w:keepNext w:val="0"/>
        <w:keepLines w:val="0"/>
        <w:pageBreakBefore w:val="0"/>
        <w:widowControl w:val="0"/>
        <w:kinsoku/>
        <w:wordWrap/>
        <w:overflowPunct/>
        <w:topLinePunct w:val="0"/>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cs="Times New Roman"/>
          <w:lang w:val="en-US" w:eastAsia="zh-CN"/>
        </w:rPr>
        <w:t>2.</w:t>
      </w:r>
      <w:r>
        <w:rPr>
          <w:rFonts w:hint="default" w:ascii="Times New Roman" w:hAnsi="Times New Roman" w:eastAsia="仿宋_GB2312" w:cs="Times New Roman"/>
          <w:b w:val="0"/>
          <w:bCs w:val="0"/>
          <w:sz w:val="32"/>
          <w:szCs w:val="32"/>
          <w:lang w:val="en-US" w:eastAsia="zh-CN"/>
        </w:rPr>
        <w:t>进一步完善预算绩效管理制度。明确预算绩效管指标和标准，细化、量化预算绩效管理指标，突出绩效特色。</w:t>
      </w:r>
    </w:p>
    <w:p>
      <w:pPr>
        <w:keepNext w:val="0"/>
        <w:keepLines w:val="0"/>
        <w:pageBreakBefore w:val="0"/>
        <w:widowControl w:val="0"/>
        <w:kinsoku/>
        <w:wordWrap/>
        <w:overflowPunct/>
        <w:topLinePunct w:val="0"/>
        <w:autoSpaceDE/>
        <w:autoSpaceDN/>
        <w:bidi w:val="0"/>
        <w:adjustRightInd/>
        <w:snapToGrid/>
        <w:spacing w:before="156" w:line="480" w:lineRule="exact"/>
        <w:ind w:firstLine="4160" w:firstLineChars="1300"/>
        <w:jc w:val="both"/>
        <w:textAlignment w:val="auto"/>
        <w:rPr>
          <w:rFonts w:hint="default" w:ascii="Times New Roman" w:hAnsi="Times New Roman" w:cs="Times New Roman"/>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156" w:line="480" w:lineRule="exact"/>
        <w:ind w:firstLine="4160" w:firstLineChars="1300"/>
        <w:jc w:val="both"/>
        <w:textAlignment w:val="auto"/>
        <w:rPr>
          <w:rFonts w:hint="default" w:ascii="Times New Roman" w:hAnsi="Times New Roman" w:cs="Times New Roman"/>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156" w:line="480" w:lineRule="exact"/>
        <w:ind w:firstLine="4160" w:firstLineChars="1300"/>
        <w:jc w:val="both"/>
        <w:textAlignment w:val="auto"/>
        <w:rPr>
          <w:rFonts w:hint="default" w:ascii="Times New Roman" w:hAnsi="Times New Roman" w:cs="Times New Roman"/>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156" w:line="480" w:lineRule="exact"/>
        <w:ind w:firstLine="4160" w:firstLineChars="1300"/>
        <w:jc w:val="both"/>
        <w:textAlignment w:val="auto"/>
        <w:rPr>
          <w:rFonts w:hint="default" w:ascii="Times New Roman" w:hAnsi="Times New Roman" w:cs="Times New Roman"/>
          <w:b w:val="0"/>
          <w:bCs w:val="0"/>
          <w:sz w:val="32"/>
          <w:szCs w:val="32"/>
          <w:lang w:val="en-US" w:eastAsia="zh-CN"/>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bookmarkStart w:id="0" w:name="_GoBack"/>
      <w:bookmarkEnd w:id="0"/>
    </w:p>
    <w:p>
      <w:pPr>
        <w:rPr>
          <w:sz w:val="21"/>
          <w:szCs w:val="21"/>
        </w:rPr>
      </w:pPr>
    </w:p>
    <w:p>
      <w:pPr>
        <w:rPr>
          <w:sz w:val="21"/>
          <w:szCs w:val="21"/>
        </w:rPr>
      </w:pPr>
    </w:p>
    <w:p>
      <w:pPr>
        <w:rPr>
          <w:sz w:val="21"/>
          <w:szCs w:val="21"/>
        </w:rPr>
      </w:pPr>
    </w:p>
    <w:p>
      <w:pPr>
        <w:rPr>
          <w:rFonts w:hint="default" w:eastAsia="仿宋_GB2312"/>
          <w:sz w:val="21"/>
          <w:szCs w:val="21"/>
          <w:lang w:val="en-US" w:eastAsia="zh-CN"/>
        </w:rPr>
      </w:pPr>
      <w:r>
        <w:rPr>
          <w:rFonts w:hint="eastAsia"/>
          <w:sz w:val="21"/>
          <w:szCs w:val="21"/>
          <w:lang w:val="en-US" w:eastAsia="zh-CN"/>
        </w:rPr>
        <w:t>附表</w:t>
      </w:r>
    </w:p>
    <w:tbl>
      <w:tblPr>
        <w:tblStyle w:val="4"/>
        <w:tblW w:w="9174" w:type="dxa"/>
        <w:jc w:val="center"/>
        <w:tblLayout w:type="fixed"/>
        <w:tblCellMar>
          <w:top w:w="0" w:type="dxa"/>
          <w:left w:w="28" w:type="dxa"/>
          <w:bottom w:w="0" w:type="dxa"/>
          <w:right w:w="28" w:type="dxa"/>
        </w:tblCellMar>
      </w:tblPr>
      <w:tblGrid>
        <w:gridCol w:w="476"/>
        <w:gridCol w:w="640"/>
        <w:gridCol w:w="1173"/>
        <w:gridCol w:w="570"/>
        <w:gridCol w:w="552"/>
        <w:gridCol w:w="2268"/>
        <w:gridCol w:w="2126"/>
        <w:gridCol w:w="1369"/>
      </w:tblGrid>
      <w:tr>
        <w:tblPrEx>
          <w:tblCellMar>
            <w:top w:w="0" w:type="dxa"/>
            <w:left w:w="28" w:type="dxa"/>
            <w:bottom w:w="0" w:type="dxa"/>
            <w:right w:w="28" w:type="dxa"/>
          </w:tblCellMar>
        </w:tblPrEx>
        <w:trPr>
          <w:tblHeader/>
          <w:jc w:val="center"/>
        </w:trPr>
        <w:tc>
          <w:tcPr>
            <w:tcW w:w="9174" w:type="dxa"/>
            <w:gridSpan w:val="8"/>
            <w:tcBorders>
              <w:bottom w:val="single" w:color="auto" w:sz="4" w:space="0"/>
            </w:tcBorders>
            <w:tcMar>
              <w:top w:w="10" w:type="dxa"/>
              <w:left w:w="10" w:type="dxa"/>
              <w:bottom w:w="0" w:type="dxa"/>
              <w:right w:w="10" w:type="dxa"/>
            </w:tcMar>
            <w:vAlign w:val="center"/>
          </w:tcPr>
          <w:p>
            <w:pPr>
              <w:spacing w:afterLines="50"/>
              <w:jc w:val="center"/>
              <w:rPr>
                <w:rFonts w:ascii="黑体" w:eastAsia="黑体"/>
                <w:bCs/>
                <w:sz w:val="36"/>
                <w:szCs w:val="36"/>
              </w:rPr>
            </w:pPr>
            <w:r>
              <w:rPr>
                <w:rFonts w:ascii="黑体" w:eastAsia="黑体"/>
                <w:bCs/>
                <w:sz w:val="36"/>
                <w:szCs w:val="36"/>
              </w:rPr>
              <w:t>20</w:t>
            </w:r>
            <w:r>
              <w:rPr>
                <w:rFonts w:hint="eastAsia" w:ascii="黑体" w:eastAsia="黑体"/>
                <w:bCs/>
                <w:sz w:val="36"/>
                <w:szCs w:val="36"/>
              </w:rPr>
              <w:t>20年项目支出绩效自评指标评分表</w:t>
            </w:r>
          </w:p>
          <w:p>
            <w:pPr>
              <w:spacing w:afterLines="50"/>
              <w:jc w:val="center"/>
              <w:rPr>
                <w:rFonts w:ascii="黑体" w:eastAsia="黑体"/>
                <w:b/>
                <w:bCs/>
                <w:sz w:val="18"/>
                <w:szCs w:val="18"/>
              </w:rPr>
            </w:pPr>
          </w:p>
        </w:tc>
      </w:tr>
      <w:tr>
        <w:tblPrEx>
          <w:tblCellMar>
            <w:top w:w="0" w:type="dxa"/>
            <w:left w:w="28" w:type="dxa"/>
            <w:bottom w:w="0" w:type="dxa"/>
            <w:right w:w="28" w:type="dxa"/>
          </w:tblCellMar>
        </w:tblPrEx>
        <w:trPr>
          <w:trHeight w:val="703" w:hRule="atLeast"/>
          <w:tblHeader/>
          <w:jc w:val="center"/>
        </w:trPr>
        <w:tc>
          <w:tcPr>
            <w:tcW w:w="47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一级</w:t>
            </w:r>
            <w:r>
              <w:rPr>
                <w:bCs/>
                <w:sz w:val="21"/>
                <w:szCs w:val="21"/>
              </w:rPr>
              <w:br w:type="textWrapping"/>
            </w:r>
            <w:r>
              <w:rPr>
                <w:rFonts w:hint="eastAsia"/>
                <w:bCs/>
                <w:sz w:val="21"/>
                <w:szCs w:val="21"/>
              </w:rPr>
              <w:t>指标</w:t>
            </w:r>
          </w:p>
        </w:tc>
        <w:tc>
          <w:tcPr>
            <w:tcW w:w="64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二级</w:t>
            </w:r>
          </w:p>
          <w:p>
            <w:pPr>
              <w:jc w:val="center"/>
              <w:rPr>
                <w:bCs/>
                <w:sz w:val="21"/>
                <w:szCs w:val="21"/>
              </w:rPr>
            </w:pPr>
            <w:r>
              <w:rPr>
                <w:rFonts w:hint="eastAsia"/>
                <w:bCs/>
                <w:sz w:val="21"/>
                <w:szCs w:val="21"/>
              </w:rPr>
              <w:t>指标</w:t>
            </w: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三级</w:t>
            </w:r>
          </w:p>
          <w:p>
            <w:pPr>
              <w:jc w:val="center"/>
              <w:rPr>
                <w:bCs/>
                <w:sz w:val="21"/>
                <w:szCs w:val="21"/>
              </w:rPr>
            </w:pPr>
            <w:r>
              <w:rPr>
                <w:rFonts w:hint="eastAsia"/>
                <w:bCs/>
                <w:sz w:val="21"/>
                <w:szCs w:val="21"/>
              </w:rPr>
              <w:t>指标</w:t>
            </w:r>
          </w:p>
        </w:tc>
        <w:tc>
          <w:tcPr>
            <w:tcW w:w="57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分值</w:t>
            </w:r>
          </w:p>
        </w:tc>
        <w:tc>
          <w:tcPr>
            <w:tcW w:w="55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得分</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bCs/>
                <w:sz w:val="21"/>
                <w:szCs w:val="21"/>
              </w:rPr>
            </w:pPr>
            <w:r>
              <w:rPr>
                <w:rFonts w:hint="eastAsia"/>
                <w:bCs/>
                <w:sz w:val="21"/>
                <w:szCs w:val="21"/>
              </w:rPr>
              <w:t>指标解释</w:t>
            </w:r>
          </w:p>
        </w:tc>
        <w:tc>
          <w:tcPr>
            <w:tcW w:w="2126"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指标评分细则</w:t>
            </w:r>
          </w:p>
        </w:tc>
        <w:tc>
          <w:tcPr>
            <w:tcW w:w="1369" w:type="dxa"/>
            <w:tcBorders>
              <w:top w:val="single" w:color="auto" w:sz="4" w:space="0"/>
              <w:left w:val="nil"/>
              <w:bottom w:val="single" w:color="auto" w:sz="4" w:space="0"/>
              <w:right w:val="single" w:color="auto" w:sz="4" w:space="0"/>
            </w:tcBorders>
            <w:vAlign w:val="center"/>
          </w:tcPr>
          <w:p>
            <w:pPr>
              <w:jc w:val="center"/>
              <w:rPr>
                <w:bCs/>
                <w:sz w:val="21"/>
                <w:szCs w:val="21"/>
              </w:rPr>
            </w:pPr>
            <w:r>
              <w:rPr>
                <w:rFonts w:hint="eastAsia"/>
                <w:bCs/>
                <w:sz w:val="21"/>
                <w:szCs w:val="21"/>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476" w:type="dxa"/>
            <w:vMerge w:val="restart"/>
            <w:textDirection w:val="tbRlV"/>
            <w:vAlign w:val="bottom"/>
          </w:tcPr>
          <w:p>
            <w:pPr>
              <w:spacing w:line="240" w:lineRule="exact"/>
              <w:ind w:left="113" w:right="113"/>
              <w:jc w:val="center"/>
              <w:rPr>
                <w:rFonts w:ascii="仿宋_GB2312"/>
                <w:sz w:val="15"/>
                <w:szCs w:val="15"/>
              </w:rPr>
            </w:pPr>
            <w:r>
              <w:rPr>
                <w:rFonts w:hint="eastAsia" w:ascii="仿宋_GB2312"/>
                <w:sz w:val="15"/>
                <w:szCs w:val="15"/>
              </w:rPr>
              <w:t>一、项目决策（20分）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1项目立项(10)</w:t>
            </w:r>
          </w:p>
        </w:tc>
        <w:tc>
          <w:tcPr>
            <w:tcW w:w="1173" w:type="dxa"/>
            <w:vAlign w:val="center"/>
          </w:tcPr>
          <w:p>
            <w:pPr>
              <w:spacing w:line="240" w:lineRule="exact"/>
              <w:rPr>
                <w:rFonts w:ascii="仿宋_GB2312"/>
                <w:sz w:val="15"/>
                <w:szCs w:val="15"/>
              </w:rPr>
            </w:pPr>
            <w:r>
              <w:rPr>
                <w:rFonts w:hint="eastAsia" w:ascii="仿宋_GB2312"/>
                <w:sz w:val="15"/>
                <w:szCs w:val="15"/>
              </w:rPr>
              <w:t>1.与部门中长期规划目标适应性。</w:t>
            </w:r>
          </w:p>
        </w:tc>
        <w:tc>
          <w:tcPr>
            <w:tcW w:w="570" w:type="dxa"/>
            <w:vAlign w:val="center"/>
          </w:tcPr>
          <w:p>
            <w:pPr>
              <w:spacing w:line="240" w:lineRule="exact"/>
              <w:jc w:val="center"/>
              <w:rPr>
                <w:rFonts w:ascii="仿宋_GB2312"/>
                <w:sz w:val="18"/>
                <w:szCs w:val="18"/>
              </w:rPr>
            </w:pPr>
            <w:r>
              <w:rPr>
                <w:rFonts w:hint="eastAsia" w:ascii="仿宋_GB2312"/>
                <w:sz w:val="18"/>
                <w:szCs w:val="18"/>
              </w:rPr>
              <w:t>4</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4</w:t>
            </w:r>
          </w:p>
        </w:tc>
        <w:tc>
          <w:tcPr>
            <w:tcW w:w="2268" w:type="dxa"/>
            <w:vAlign w:val="center"/>
          </w:tcPr>
          <w:p>
            <w:pPr>
              <w:spacing w:line="240" w:lineRule="exact"/>
              <w:rPr>
                <w:rFonts w:ascii="仿宋_GB2312"/>
                <w:sz w:val="15"/>
                <w:szCs w:val="15"/>
              </w:rPr>
            </w:pPr>
            <w:r>
              <w:rPr>
                <w:rFonts w:hint="eastAsia" w:ascii="仿宋_GB2312"/>
                <w:sz w:val="15"/>
                <w:szCs w:val="15"/>
              </w:rPr>
              <w:t>考察项目与部门中长期目标是否匹配。</w:t>
            </w:r>
          </w:p>
        </w:tc>
        <w:tc>
          <w:tcPr>
            <w:tcW w:w="2126" w:type="dxa"/>
            <w:vAlign w:val="center"/>
          </w:tcPr>
          <w:p>
            <w:pPr>
              <w:spacing w:line="240" w:lineRule="exact"/>
              <w:rPr>
                <w:rFonts w:ascii="仿宋_GB2312"/>
                <w:sz w:val="15"/>
                <w:szCs w:val="15"/>
              </w:rPr>
            </w:pPr>
            <w:r>
              <w:rPr>
                <w:rFonts w:hint="eastAsia" w:ascii="仿宋_GB2312"/>
                <w:sz w:val="15"/>
                <w:szCs w:val="15"/>
              </w:rPr>
              <w:t>①部门年度工作目标是否明确设定，得2分；②年度工作目标与部门中长期规划目标一致，得2分。</w:t>
            </w:r>
          </w:p>
        </w:tc>
        <w:tc>
          <w:tcPr>
            <w:tcW w:w="1369" w:type="dxa"/>
            <w:vAlign w:val="center"/>
          </w:tcPr>
          <w:p>
            <w:pPr>
              <w:spacing w:line="240" w:lineRule="exact"/>
              <w:rPr>
                <w:rFonts w:ascii="仿宋_GB2312"/>
                <w:sz w:val="15"/>
                <w:szCs w:val="15"/>
              </w:rPr>
            </w:pPr>
            <w:r>
              <w:rPr>
                <w:rFonts w:hint="eastAsia" w:ascii="仿宋_GB2312"/>
                <w:sz w:val="15"/>
                <w:szCs w:val="15"/>
              </w:rPr>
              <w:t>部门中长期规划目标。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2.立项依据充分性。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考察项目是否符合政府相关发展规划和政府决策</w:t>
            </w:r>
          </w:p>
        </w:tc>
        <w:tc>
          <w:tcPr>
            <w:tcW w:w="2126" w:type="dxa"/>
            <w:vAlign w:val="center"/>
          </w:tcPr>
          <w:p>
            <w:pPr>
              <w:spacing w:line="240" w:lineRule="exact"/>
              <w:rPr>
                <w:rFonts w:ascii="仿宋_GB2312"/>
                <w:sz w:val="15"/>
                <w:szCs w:val="15"/>
              </w:rPr>
            </w:pPr>
            <w:r>
              <w:rPr>
                <w:rFonts w:hint="eastAsia" w:ascii="仿宋_GB2312"/>
                <w:sz w:val="15"/>
                <w:szCs w:val="15"/>
              </w:rPr>
              <w:t>符合，得满分；不符合，不得分。</w:t>
            </w:r>
          </w:p>
        </w:tc>
        <w:tc>
          <w:tcPr>
            <w:tcW w:w="1369" w:type="dxa"/>
            <w:vAlign w:val="center"/>
          </w:tcPr>
          <w:p>
            <w:pPr>
              <w:spacing w:line="240" w:lineRule="exact"/>
              <w:rPr>
                <w:rFonts w:ascii="仿宋_GB2312"/>
                <w:sz w:val="15"/>
                <w:szCs w:val="15"/>
              </w:rPr>
            </w:pPr>
            <w:r>
              <w:rPr>
                <w:rFonts w:hint="eastAsia" w:ascii="仿宋_GB2312"/>
                <w:sz w:val="15"/>
                <w:szCs w:val="15"/>
              </w:rPr>
              <w:t>政府相关规划、决策、批复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3.项目立项规范性。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考察项目是否与部门职责密切相关。</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部门职责文件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2项目目标(10)</w:t>
            </w:r>
          </w:p>
        </w:tc>
        <w:tc>
          <w:tcPr>
            <w:tcW w:w="1173" w:type="dxa"/>
            <w:vAlign w:val="center"/>
          </w:tcPr>
          <w:p>
            <w:pPr>
              <w:spacing w:line="240" w:lineRule="exact"/>
              <w:rPr>
                <w:rFonts w:ascii="仿宋_GB2312"/>
                <w:sz w:val="15"/>
                <w:szCs w:val="15"/>
              </w:rPr>
            </w:pPr>
            <w:r>
              <w:rPr>
                <w:rFonts w:hint="eastAsia" w:ascii="仿宋_GB2312"/>
                <w:sz w:val="15"/>
                <w:szCs w:val="15"/>
              </w:rPr>
              <w:t>1.绩效目标设定的合理性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考察设定的绩效目标是是否与事业发展规划相关；是否完整地反应预期产出和效果；是否与年度预算相匹配。</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2.绩效指标设定的明确性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考察是否将绩效目标细化分解为清晰、可衡量的绩效指标；是否与年度工作任务相对应。</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绩效目标申报表、立项申请、批复文件、年度工作任务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restart"/>
            <w:textDirection w:val="tbRlV"/>
          </w:tcPr>
          <w:p>
            <w:pPr>
              <w:spacing w:line="240" w:lineRule="exact"/>
              <w:ind w:left="113" w:right="113"/>
              <w:jc w:val="center"/>
              <w:rPr>
                <w:rFonts w:ascii="仿宋_GB2312"/>
                <w:sz w:val="18"/>
                <w:szCs w:val="18"/>
              </w:rPr>
            </w:pPr>
            <w:r>
              <w:rPr>
                <w:rFonts w:hint="eastAsia" w:ascii="仿宋_GB2312"/>
                <w:sz w:val="18"/>
                <w:szCs w:val="18"/>
              </w:rPr>
              <w:t>二、项目管理（20分）</w:t>
            </w:r>
          </w:p>
        </w:tc>
        <w:tc>
          <w:tcPr>
            <w:tcW w:w="640" w:type="dxa"/>
            <w:vMerge w:val="restart"/>
            <w:vAlign w:val="center"/>
          </w:tcPr>
          <w:p>
            <w:pPr>
              <w:spacing w:line="240" w:lineRule="exact"/>
              <w:rPr>
                <w:rFonts w:ascii="仿宋_GB2312"/>
                <w:sz w:val="18"/>
                <w:szCs w:val="18"/>
              </w:rPr>
            </w:pPr>
            <w:r>
              <w:rPr>
                <w:rFonts w:hint="eastAsia" w:ascii="仿宋_GB2312"/>
                <w:sz w:val="15"/>
                <w:szCs w:val="15"/>
              </w:rPr>
              <w:t>1投入管理（4）</w:t>
            </w:r>
          </w:p>
        </w:tc>
        <w:tc>
          <w:tcPr>
            <w:tcW w:w="1173" w:type="dxa"/>
            <w:vAlign w:val="center"/>
          </w:tcPr>
          <w:p>
            <w:pPr>
              <w:spacing w:line="240" w:lineRule="exact"/>
              <w:rPr>
                <w:rFonts w:ascii="仿宋_GB2312"/>
                <w:sz w:val="15"/>
                <w:szCs w:val="15"/>
              </w:rPr>
            </w:pPr>
            <w:r>
              <w:rPr>
                <w:rFonts w:hint="eastAsia" w:ascii="仿宋_GB2312"/>
                <w:sz w:val="15"/>
                <w:szCs w:val="15"/>
              </w:rPr>
              <w:t>1.预算编制合理性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2</w:t>
            </w:r>
          </w:p>
        </w:tc>
        <w:tc>
          <w:tcPr>
            <w:tcW w:w="2268" w:type="dxa"/>
            <w:vAlign w:val="center"/>
          </w:tcPr>
          <w:p>
            <w:pPr>
              <w:spacing w:line="240" w:lineRule="exact"/>
              <w:rPr>
                <w:rFonts w:ascii="仿宋_GB2312"/>
                <w:sz w:val="15"/>
                <w:szCs w:val="15"/>
              </w:rPr>
            </w:pPr>
            <w:r>
              <w:rPr>
                <w:rFonts w:hint="eastAsia" w:ascii="仿宋_GB2312"/>
                <w:sz w:val="15"/>
                <w:szCs w:val="15"/>
              </w:rPr>
              <w:t>考察预算编制是否充分、合理，预计项目支出是否完整反应。</w:t>
            </w:r>
          </w:p>
        </w:tc>
        <w:tc>
          <w:tcPr>
            <w:tcW w:w="2126" w:type="dxa"/>
            <w:vAlign w:val="center"/>
          </w:tcPr>
          <w:p>
            <w:pPr>
              <w:spacing w:line="240" w:lineRule="exact"/>
              <w:rPr>
                <w:rFonts w:ascii="仿宋_GB2312"/>
                <w:sz w:val="15"/>
                <w:szCs w:val="15"/>
              </w:rPr>
            </w:pPr>
            <w:r>
              <w:rPr>
                <w:rFonts w:hint="eastAsia" w:ascii="仿宋_GB2312"/>
                <w:sz w:val="15"/>
                <w:szCs w:val="15"/>
              </w:rPr>
              <w:t>合理得满分；存在一项不合理，扣0.5分，扣完为止。</w:t>
            </w:r>
          </w:p>
        </w:tc>
        <w:tc>
          <w:tcPr>
            <w:tcW w:w="1369" w:type="dxa"/>
            <w:vAlign w:val="center"/>
          </w:tcPr>
          <w:p>
            <w:pPr>
              <w:spacing w:line="240" w:lineRule="exact"/>
              <w:rPr>
                <w:rFonts w:ascii="仿宋_GB2312"/>
                <w:sz w:val="15"/>
                <w:szCs w:val="15"/>
              </w:rPr>
            </w:pPr>
            <w:r>
              <w:rPr>
                <w:rFonts w:hint="eastAsia" w:ascii="仿宋_GB2312"/>
                <w:sz w:val="15"/>
                <w:szCs w:val="15"/>
              </w:rPr>
              <w:t>预算批复。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2.预算执行率</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2</w:t>
            </w:r>
          </w:p>
        </w:tc>
        <w:tc>
          <w:tcPr>
            <w:tcW w:w="2268" w:type="dxa"/>
            <w:vAlign w:val="center"/>
          </w:tcPr>
          <w:p>
            <w:pPr>
              <w:spacing w:line="240" w:lineRule="exact"/>
              <w:rPr>
                <w:rFonts w:ascii="仿宋_GB2312"/>
                <w:sz w:val="15"/>
                <w:szCs w:val="15"/>
              </w:rPr>
            </w:pPr>
            <w:r>
              <w:rPr>
                <w:rFonts w:hint="eastAsia" w:ascii="仿宋_GB2312"/>
                <w:sz w:val="15"/>
                <w:szCs w:val="15"/>
              </w:rPr>
              <w:t>考察项目预算执行的进度。预算执行率=实际支出金额/项目预算金额×100%</w:t>
            </w:r>
          </w:p>
        </w:tc>
        <w:tc>
          <w:tcPr>
            <w:tcW w:w="2126" w:type="dxa"/>
            <w:vAlign w:val="center"/>
          </w:tcPr>
          <w:p>
            <w:pPr>
              <w:spacing w:line="240" w:lineRule="exact"/>
              <w:rPr>
                <w:rFonts w:ascii="仿宋_GB2312"/>
                <w:sz w:val="15"/>
                <w:szCs w:val="15"/>
              </w:rPr>
            </w:pPr>
            <w:r>
              <w:rPr>
                <w:rFonts w:hint="eastAsia" w:ascii="仿宋_GB2312"/>
                <w:sz w:val="15"/>
                <w:szCs w:val="15"/>
              </w:rPr>
              <w:t>预算执行率95%以上，得满分；低于95%，每下降1%扣权重的1%；预算执行率60%以下，不计分。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sz w:val="15"/>
                <w:szCs w:val="15"/>
              </w:rPr>
            </w:pPr>
            <w:r>
              <w:rPr>
                <w:rFonts w:hint="eastAsia" w:ascii="仿宋_GB2312"/>
                <w:sz w:val="15"/>
                <w:szCs w:val="15"/>
              </w:rPr>
              <w:t>2.财务管理（6）</w:t>
            </w:r>
          </w:p>
        </w:tc>
        <w:tc>
          <w:tcPr>
            <w:tcW w:w="1173" w:type="dxa"/>
            <w:vAlign w:val="center"/>
          </w:tcPr>
          <w:p>
            <w:pPr>
              <w:spacing w:line="240" w:lineRule="exact"/>
              <w:rPr>
                <w:rFonts w:ascii="仿宋_GB2312"/>
                <w:sz w:val="15"/>
                <w:szCs w:val="15"/>
              </w:rPr>
            </w:pPr>
            <w:r>
              <w:rPr>
                <w:rFonts w:hint="eastAsia" w:ascii="仿宋_GB2312"/>
                <w:sz w:val="15"/>
                <w:szCs w:val="15"/>
              </w:rPr>
              <w:t>1.资金使用情况</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考察项目资金使用是否符合预算批复的用途，是否存在截留、挤占、挪用、虚列支出等情况。</w:t>
            </w:r>
          </w:p>
        </w:tc>
        <w:tc>
          <w:tcPr>
            <w:tcW w:w="2126" w:type="dxa"/>
            <w:vAlign w:val="center"/>
          </w:tcPr>
          <w:p>
            <w:pPr>
              <w:spacing w:line="240" w:lineRule="exact"/>
              <w:rPr>
                <w:rFonts w:ascii="仿宋_GB2312"/>
                <w:sz w:val="15"/>
                <w:szCs w:val="15"/>
              </w:rPr>
            </w:pPr>
            <w:r>
              <w:rPr>
                <w:rFonts w:hint="eastAsia" w:ascii="仿宋_GB2312"/>
                <w:sz w:val="15"/>
                <w:szCs w:val="15"/>
              </w:rPr>
              <w:t>合规，得满分；存在一项不合规，扣1分，扣完为止。</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2.财务管理制度健全性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考察项目的财务制度是否健全、完善、有效。</w:t>
            </w:r>
          </w:p>
        </w:tc>
        <w:tc>
          <w:tcPr>
            <w:tcW w:w="2126" w:type="dxa"/>
            <w:vAlign w:val="center"/>
          </w:tcPr>
          <w:p>
            <w:pPr>
              <w:spacing w:line="240" w:lineRule="exact"/>
              <w:rPr>
                <w:rFonts w:ascii="仿宋_GB2312"/>
                <w:sz w:val="15"/>
                <w:szCs w:val="15"/>
              </w:rPr>
            </w:pPr>
            <w:r>
              <w:rPr>
                <w:rFonts w:hint="eastAsia" w:ascii="仿宋_GB2312"/>
                <w:sz w:val="15"/>
                <w:szCs w:val="15"/>
              </w:rPr>
              <w:t xml:space="preserve">a.是否已制定相应的财务管理办法；b.项目财务管理办法是否符合相关财务会计制度的规定；符合所有条件，得满分； 一项不符合，扣1分，扣完为止。                                                                  </w:t>
            </w:r>
          </w:p>
        </w:tc>
        <w:tc>
          <w:tcPr>
            <w:tcW w:w="1369" w:type="dxa"/>
            <w:vAlign w:val="center"/>
          </w:tcPr>
          <w:p>
            <w:pPr>
              <w:spacing w:line="240" w:lineRule="exact"/>
              <w:rPr>
                <w:rFonts w:ascii="仿宋_GB2312"/>
                <w:sz w:val="15"/>
                <w:szCs w:val="15"/>
              </w:rPr>
            </w:pPr>
            <w:r>
              <w:rPr>
                <w:rFonts w:hint="eastAsia" w:ascii="仿宋_GB2312"/>
                <w:sz w:val="15"/>
                <w:szCs w:val="15"/>
              </w:rPr>
              <w:t>财务管理制度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3.项目实施（10）</w:t>
            </w:r>
          </w:p>
        </w:tc>
        <w:tc>
          <w:tcPr>
            <w:tcW w:w="1173" w:type="dxa"/>
            <w:vAlign w:val="center"/>
          </w:tcPr>
          <w:p>
            <w:pPr>
              <w:spacing w:line="240" w:lineRule="exact"/>
              <w:rPr>
                <w:rFonts w:ascii="仿宋_GB2312"/>
                <w:sz w:val="15"/>
                <w:szCs w:val="15"/>
              </w:rPr>
            </w:pPr>
            <w:r>
              <w:rPr>
                <w:rFonts w:hint="eastAsia" w:ascii="仿宋_GB2312"/>
                <w:sz w:val="15"/>
                <w:szCs w:val="15"/>
              </w:rPr>
              <w:t>1.项目管理制度健全性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项目实施单位为保障项目顺利实施制订的与项目直接相关的业务管理制度是否健全、完善和有效。</w:t>
            </w:r>
          </w:p>
        </w:tc>
        <w:tc>
          <w:tcPr>
            <w:tcW w:w="2126" w:type="dxa"/>
            <w:vAlign w:val="center"/>
          </w:tcPr>
          <w:p>
            <w:pPr>
              <w:spacing w:line="240" w:lineRule="exact"/>
              <w:rPr>
                <w:rFonts w:ascii="仿宋_GB2312"/>
                <w:sz w:val="15"/>
                <w:szCs w:val="15"/>
              </w:rPr>
            </w:pPr>
            <w:r>
              <w:rPr>
                <w:rFonts w:hint="eastAsia" w:ascii="仿宋_GB2312"/>
                <w:sz w:val="15"/>
                <w:szCs w:val="15"/>
              </w:rPr>
              <w:t>制订制度或采取措施，得满分；制度不完善或措施不明确，得权重的60%；没有相关制度或措施，不得分。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项目实施单位管理制度、访谈、现场调查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sz w:val="18"/>
                <w:szCs w:val="18"/>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2.项目管理制度执行有效性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考察项目实施单位制订的管理制度是否有效执行。</w:t>
            </w:r>
          </w:p>
        </w:tc>
        <w:tc>
          <w:tcPr>
            <w:tcW w:w="2126" w:type="dxa"/>
            <w:vAlign w:val="center"/>
          </w:tcPr>
          <w:p>
            <w:pPr>
              <w:spacing w:line="240" w:lineRule="exact"/>
              <w:rPr>
                <w:rFonts w:ascii="仿宋_GB2312"/>
                <w:sz w:val="15"/>
                <w:szCs w:val="15"/>
              </w:rPr>
            </w:pPr>
            <w:r>
              <w:rPr>
                <w:rFonts w:hint="eastAsia" w:ascii="仿宋_GB2312"/>
                <w:sz w:val="15"/>
                <w:szCs w:val="15"/>
              </w:rPr>
              <w:t>有效执行，得满分；部分执行，得权重的60%；未执行，不得分。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476" w:type="dxa"/>
            <w:vMerge w:val="restart"/>
            <w:textDirection w:val="tbRlV"/>
            <w:vAlign w:val="center"/>
          </w:tcPr>
          <w:p>
            <w:pPr>
              <w:spacing w:line="240" w:lineRule="exact"/>
              <w:ind w:left="113" w:right="113"/>
              <w:jc w:val="center"/>
              <w:rPr>
                <w:rFonts w:ascii="仿宋_GB2312"/>
                <w:sz w:val="18"/>
                <w:szCs w:val="18"/>
              </w:rPr>
            </w:pPr>
            <w:r>
              <w:rPr>
                <w:rFonts w:hint="eastAsia" w:ascii="仿宋_GB2312"/>
                <w:sz w:val="18"/>
                <w:szCs w:val="18"/>
              </w:rPr>
              <w:t>三、项目绩效（60分）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1.项目产出（30分</w:t>
            </w:r>
          </w:p>
        </w:tc>
        <w:tc>
          <w:tcPr>
            <w:tcW w:w="1173" w:type="dxa"/>
            <w:vAlign w:val="center"/>
          </w:tcPr>
          <w:p>
            <w:pPr>
              <w:spacing w:line="240" w:lineRule="exact"/>
              <w:rPr>
                <w:rFonts w:ascii="仿宋_GB2312"/>
                <w:sz w:val="15"/>
                <w:szCs w:val="15"/>
              </w:rPr>
            </w:pPr>
            <w:r>
              <w:rPr>
                <w:rFonts w:hint="eastAsia" w:ascii="仿宋_GB2312"/>
                <w:sz w:val="15"/>
                <w:szCs w:val="15"/>
              </w:rPr>
              <w:t>1.数量指标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根据该项目实际，考察产出数量的实际完成情况。</w:t>
            </w:r>
          </w:p>
        </w:tc>
        <w:tc>
          <w:tcPr>
            <w:tcW w:w="2126" w:type="dxa"/>
            <w:vAlign w:val="center"/>
          </w:tcPr>
          <w:p>
            <w:pPr>
              <w:spacing w:line="240" w:lineRule="exact"/>
              <w:rPr>
                <w:rFonts w:ascii="仿宋_GB2312"/>
                <w:sz w:val="15"/>
                <w:szCs w:val="15"/>
              </w:rPr>
            </w:pPr>
            <w:r>
              <w:rPr>
                <w:rFonts w:hint="eastAsia" w:ascii="仿宋_GB2312"/>
                <w:sz w:val="15"/>
                <w:szCs w:val="15"/>
              </w:rPr>
              <w:t>对照绩效目标，按实际产出数量和计划产出数计算得分。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2.质量指标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根据该项目实际，考察项目质量应达到的行业标准。</w:t>
            </w:r>
          </w:p>
        </w:tc>
        <w:tc>
          <w:tcPr>
            <w:tcW w:w="2126" w:type="dxa"/>
            <w:vAlign w:val="center"/>
          </w:tcPr>
          <w:p>
            <w:pPr>
              <w:spacing w:line="240" w:lineRule="exact"/>
              <w:rPr>
                <w:rFonts w:ascii="仿宋_GB2312"/>
                <w:sz w:val="15"/>
                <w:szCs w:val="15"/>
              </w:rPr>
            </w:pPr>
            <w:r>
              <w:rPr>
                <w:rFonts w:hint="eastAsia" w:ascii="仿宋_GB2312"/>
                <w:sz w:val="15"/>
                <w:szCs w:val="15"/>
              </w:rPr>
              <w:t>对照绩效目标、行业标准计算得分。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3.时效指标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根据该项目实际，考察项目的实际完成时间。</w:t>
            </w:r>
          </w:p>
        </w:tc>
        <w:tc>
          <w:tcPr>
            <w:tcW w:w="2126" w:type="dxa"/>
            <w:vAlign w:val="center"/>
          </w:tcPr>
          <w:p>
            <w:pPr>
              <w:spacing w:line="240" w:lineRule="exact"/>
              <w:rPr>
                <w:rFonts w:ascii="仿宋_GB2312"/>
                <w:sz w:val="15"/>
                <w:szCs w:val="15"/>
              </w:rPr>
            </w:pPr>
            <w:r>
              <w:rPr>
                <w:rFonts w:hint="eastAsia" w:ascii="仿宋_GB2312"/>
                <w:sz w:val="15"/>
                <w:szCs w:val="15"/>
              </w:rPr>
              <w:t>对照绩效目标、按项目的实际完成时间和计划完成时间计算得分。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4.成本指标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根据该项目实际，考察项目总成本和单项成本。</w:t>
            </w:r>
          </w:p>
        </w:tc>
        <w:tc>
          <w:tcPr>
            <w:tcW w:w="2126" w:type="dxa"/>
            <w:vAlign w:val="center"/>
          </w:tcPr>
          <w:p>
            <w:pPr>
              <w:spacing w:line="240" w:lineRule="exact"/>
              <w:rPr>
                <w:rFonts w:ascii="仿宋_GB2312"/>
                <w:sz w:val="15"/>
                <w:szCs w:val="15"/>
              </w:rPr>
            </w:pPr>
            <w:r>
              <w:rPr>
                <w:rFonts w:hint="eastAsia" w:ascii="仿宋_GB2312"/>
                <w:sz w:val="15"/>
                <w:szCs w:val="15"/>
              </w:rPr>
              <w:t>照绩效目标、按项目的实际成本和计划成本计算得分。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2.项目效益（30分）</w:t>
            </w:r>
          </w:p>
        </w:tc>
        <w:tc>
          <w:tcPr>
            <w:tcW w:w="1173" w:type="dxa"/>
            <w:vAlign w:val="center"/>
          </w:tcPr>
          <w:p>
            <w:pPr>
              <w:spacing w:line="240" w:lineRule="exact"/>
              <w:rPr>
                <w:rFonts w:ascii="仿宋_GB2312"/>
                <w:sz w:val="15"/>
                <w:szCs w:val="15"/>
              </w:rPr>
            </w:pPr>
            <w:r>
              <w:rPr>
                <w:rFonts w:hint="eastAsia" w:ascii="仿宋_GB2312"/>
                <w:sz w:val="15"/>
                <w:szCs w:val="15"/>
              </w:rPr>
              <w:t>1.经济效益</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jc w:val="center"/>
              <w:rPr>
                <w:rFonts w:ascii="仿宋_GB2312"/>
                <w:sz w:val="18"/>
                <w:szCs w:val="18"/>
              </w:rPr>
            </w:pP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根据项目实际，考察项目所产生的直接或间接的经济效益。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对照绩效目标，按经济效益实现程度计算得分。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2.社会效益</w:t>
            </w:r>
          </w:p>
        </w:tc>
        <w:tc>
          <w:tcPr>
            <w:tcW w:w="570" w:type="dxa"/>
            <w:vAlign w:val="center"/>
          </w:tcPr>
          <w:p>
            <w:pPr>
              <w:spacing w:line="240" w:lineRule="exact"/>
              <w:jc w:val="center"/>
              <w:rPr>
                <w:rFonts w:ascii="仿宋_GB2312"/>
                <w:sz w:val="18"/>
                <w:szCs w:val="18"/>
              </w:rPr>
            </w:pPr>
            <w:r>
              <w:rPr>
                <w:rFonts w:hint="eastAsia" w:ascii="仿宋_GB2312"/>
                <w:sz w:val="18"/>
                <w:szCs w:val="18"/>
              </w:rPr>
              <w:t>20</w:t>
            </w:r>
          </w:p>
        </w:tc>
        <w:tc>
          <w:tcPr>
            <w:tcW w:w="552" w:type="dxa"/>
            <w:vAlign w:val="center"/>
          </w:tcPr>
          <w:p>
            <w:pPr>
              <w:spacing w:line="240" w:lineRule="exact"/>
              <w:jc w:val="center"/>
              <w:rPr>
                <w:rFonts w:hint="default" w:ascii="仿宋_GB2312" w:eastAsia="仿宋_GB2312"/>
                <w:sz w:val="18"/>
                <w:szCs w:val="18"/>
                <w:lang w:val="en-US" w:eastAsia="zh-CN"/>
              </w:rPr>
            </w:pPr>
            <w:r>
              <w:rPr>
                <w:rFonts w:hint="eastAsia" w:ascii="仿宋_GB2312"/>
                <w:sz w:val="18"/>
                <w:szCs w:val="18"/>
                <w:lang w:val="en-US" w:eastAsia="zh-CN"/>
              </w:rPr>
              <w:t>20</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根据项目实际，考察项目所产生的社会效益效益。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对照绩效目标，按社会效益实现程度计算得分。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3.生态效益</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jc w:val="center"/>
              <w:rPr>
                <w:rFonts w:hint="eastAsia" w:ascii="仿宋_GB2312" w:eastAsia="仿宋_GB2312"/>
                <w:sz w:val="18"/>
                <w:szCs w:val="18"/>
                <w:lang w:val="en-US" w:eastAsia="zh-CN"/>
              </w:rPr>
            </w:pPr>
            <w:r>
              <w:rPr>
                <w:rFonts w:hint="eastAsia" w:ascii="仿宋_GB2312"/>
                <w:sz w:val="18"/>
                <w:szCs w:val="18"/>
                <w:lang w:val="en-US" w:eastAsia="zh-CN"/>
              </w:rPr>
              <w:t>0</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根据项目实际，考察项目所产生的直接或间接的生态效益。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对照绩效目标，按生态效益实现程度计算得分。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4.服务对象满意度</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jc w:val="center"/>
              <w:rPr>
                <w:rFonts w:hint="eastAsia" w:ascii="仿宋_GB2312" w:eastAsia="仿宋_GB2312"/>
                <w:sz w:val="18"/>
                <w:szCs w:val="18"/>
                <w:lang w:val="en-US" w:eastAsia="zh-CN"/>
              </w:rPr>
            </w:pPr>
            <w:r>
              <w:rPr>
                <w:rFonts w:hint="eastAsia" w:ascii="仿宋_GB2312"/>
                <w:sz w:val="18"/>
                <w:szCs w:val="18"/>
                <w:lang w:val="en-US" w:eastAsia="zh-CN"/>
              </w:rPr>
              <w:t>5</w:t>
            </w:r>
          </w:p>
        </w:tc>
        <w:tc>
          <w:tcPr>
            <w:tcW w:w="2268" w:type="dxa"/>
            <w:vAlign w:val="center"/>
          </w:tcPr>
          <w:p>
            <w:pPr>
              <w:tabs>
                <w:tab w:val="left" w:pos="2604"/>
              </w:tabs>
              <w:spacing w:line="240" w:lineRule="exact"/>
              <w:rPr>
                <w:rFonts w:ascii="仿宋_GB2312"/>
                <w:sz w:val="15"/>
                <w:szCs w:val="15"/>
              </w:rPr>
            </w:pPr>
            <w:r>
              <w:rPr>
                <w:rFonts w:hint="eastAsia" w:ascii="仿宋_GB2312"/>
                <w:sz w:val="15"/>
                <w:szCs w:val="15"/>
              </w:rPr>
              <w:t>服务对象对项目实施的满意程度。</w:t>
            </w:r>
          </w:p>
        </w:tc>
        <w:tc>
          <w:tcPr>
            <w:tcW w:w="2126" w:type="dxa"/>
            <w:vAlign w:val="center"/>
          </w:tcPr>
          <w:p>
            <w:pPr>
              <w:spacing w:line="240" w:lineRule="exact"/>
              <w:rPr>
                <w:rFonts w:ascii="仿宋_GB2312"/>
                <w:sz w:val="15"/>
                <w:szCs w:val="15"/>
              </w:rPr>
            </w:pPr>
            <w:r>
              <w:rPr>
                <w:rFonts w:hint="eastAsia" w:ascii="仿宋_GB2312" w:hAnsi="宋体" w:cs="宋体"/>
                <w:kern w:val="0"/>
                <w:sz w:val="15"/>
                <w:szCs w:val="15"/>
              </w:rPr>
              <w:t>按收集到的服务对象的满意率计算得分。</w:t>
            </w:r>
          </w:p>
        </w:tc>
        <w:tc>
          <w:tcPr>
            <w:tcW w:w="1369" w:type="dxa"/>
            <w:vAlign w:val="center"/>
          </w:tcPr>
          <w:p>
            <w:pPr>
              <w:spacing w:line="240" w:lineRule="exact"/>
              <w:rPr>
                <w:rFonts w:ascii="仿宋_GB2312"/>
                <w:sz w:val="15"/>
                <w:szCs w:val="15"/>
              </w:rPr>
            </w:pPr>
            <w:r>
              <w:rPr>
                <w:rFonts w:hint="eastAsia" w:ascii="仿宋_GB2312"/>
                <w:sz w:val="15"/>
                <w:szCs w:val="15"/>
              </w:rPr>
              <w:t>问卷调查、访谈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289" w:type="dxa"/>
            <w:gridSpan w:val="3"/>
            <w:vAlign w:val="center"/>
          </w:tcPr>
          <w:p>
            <w:pPr>
              <w:spacing w:line="240" w:lineRule="exact"/>
              <w:jc w:val="center"/>
              <w:rPr>
                <w:rFonts w:ascii="仿宋_GB2312"/>
                <w:b/>
                <w:sz w:val="18"/>
                <w:szCs w:val="18"/>
              </w:rPr>
            </w:pPr>
            <w:r>
              <w:rPr>
                <w:rFonts w:hint="eastAsia" w:ascii="仿宋_GB2312"/>
                <w:b/>
                <w:sz w:val="18"/>
                <w:szCs w:val="18"/>
              </w:rPr>
              <w:t>合  计</w:t>
            </w:r>
          </w:p>
        </w:tc>
        <w:tc>
          <w:tcPr>
            <w:tcW w:w="570" w:type="dxa"/>
            <w:vAlign w:val="center"/>
          </w:tcPr>
          <w:p>
            <w:pPr>
              <w:spacing w:line="240" w:lineRule="exact"/>
              <w:jc w:val="center"/>
              <w:rPr>
                <w:rFonts w:ascii="仿宋_GB2312"/>
                <w:sz w:val="18"/>
                <w:szCs w:val="18"/>
              </w:rPr>
            </w:pPr>
            <w:r>
              <w:rPr>
                <w:rFonts w:hint="eastAsia" w:ascii="仿宋_GB2312"/>
                <w:sz w:val="18"/>
                <w:szCs w:val="18"/>
              </w:rPr>
              <w:t>100</w:t>
            </w:r>
          </w:p>
        </w:tc>
        <w:tc>
          <w:tcPr>
            <w:tcW w:w="552" w:type="dxa"/>
            <w:vAlign w:val="center"/>
          </w:tcPr>
          <w:p>
            <w:pPr>
              <w:spacing w:line="240" w:lineRule="exact"/>
              <w:jc w:val="center"/>
              <w:rPr>
                <w:rFonts w:hint="default" w:ascii="仿宋_GB2312" w:eastAsia="仿宋_GB2312"/>
                <w:sz w:val="18"/>
                <w:szCs w:val="18"/>
                <w:lang w:val="en-US" w:eastAsia="zh-CN"/>
              </w:rPr>
            </w:pPr>
            <w:r>
              <w:rPr>
                <w:rFonts w:hint="eastAsia" w:ascii="仿宋_GB2312"/>
                <w:sz w:val="18"/>
                <w:szCs w:val="18"/>
                <w:lang w:val="en-US" w:eastAsia="zh-CN"/>
              </w:rPr>
              <w:t>98</w:t>
            </w:r>
          </w:p>
        </w:tc>
        <w:tc>
          <w:tcPr>
            <w:tcW w:w="5763" w:type="dxa"/>
            <w:gridSpan w:val="3"/>
            <w:vAlign w:val="center"/>
          </w:tcPr>
          <w:p>
            <w:pPr>
              <w:spacing w:line="240" w:lineRule="exact"/>
              <w:jc w:val="left"/>
              <w:rPr>
                <w:sz w:val="18"/>
                <w:szCs w:val="18"/>
              </w:rPr>
            </w:pPr>
            <w:r>
              <w:rPr>
                <w:rFonts w:hint="eastAsia" w:ascii="仿宋_GB2312"/>
                <w:sz w:val="18"/>
                <w:szCs w:val="18"/>
              </w:rPr>
              <w:t>评价等次：实际得分（S）≥90,优秀；90＞S≥80,良好；80＞S≥60,合格；S＜60，不合格。</w:t>
            </w:r>
          </w:p>
        </w:tc>
      </w:tr>
    </w:tbl>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038F84FF-237F-475D-89D8-B3B4AF204E78}"/>
  </w:font>
  <w:font w:name="Arial">
    <w:panose1 w:val="020B0604020202020204"/>
    <w:charset w:val="01"/>
    <w:family w:val="swiss"/>
    <w:pitch w:val="default"/>
    <w:sig w:usb0="E0002AFF" w:usb1="C0007843" w:usb2="00000009" w:usb3="00000000" w:csb0="400001FF" w:csb1="FFFF0000"/>
    <w:embedRegular r:id="rId2" w:fontKey="{70B5962F-083F-489A-922D-0C8E568F50B0}"/>
  </w:font>
  <w:font w:name="黑体">
    <w:panose1 w:val="02010609060101010101"/>
    <w:charset w:val="86"/>
    <w:family w:val="auto"/>
    <w:pitch w:val="default"/>
    <w:sig w:usb0="800002BF" w:usb1="38CF7CFA" w:usb2="00000016" w:usb3="00000000" w:csb0="00040001" w:csb1="00000000"/>
    <w:embedRegular r:id="rId3" w:fontKey="{5B9D7D87-B2C8-47C2-9CBA-DA95D675796A}"/>
  </w:font>
  <w:font w:name="Courier New">
    <w:panose1 w:val="02070309020205020404"/>
    <w:charset w:val="01"/>
    <w:family w:val="modern"/>
    <w:pitch w:val="default"/>
    <w:sig w:usb0="E0002AFF" w:usb1="C0007843" w:usb2="00000009" w:usb3="00000000" w:csb0="400001FF" w:csb1="FFFF0000"/>
    <w:embedRegular r:id="rId4" w:fontKey="{0DC247FC-9117-4CF1-B29A-58DA9932B9C0}"/>
  </w:font>
  <w:font w:name="Symbol">
    <w:panose1 w:val="05050102010706020507"/>
    <w:charset w:val="02"/>
    <w:family w:val="roman"/>
    <w:pitch w:val="default"/>
    <w:sig w:usb0="00000000" w:usb1="00000000" w:usb2="00000000" w:usb3="00000000" w:csb0="80000000" w:csb1="00000000"/>
    <w:embedRegular r:id="rId5" w:fontKey="{C9F2DBB2-A708-42D9-95DD-3AE4650EFFA8}"/>
  </w:font>
  <w:font w:name="Calibri">
    <w:panose1 w:val="020F0502020204030204"/>
    <w:charset w:val="00"/>
    <w:family w:val="swiss"/>
    <w:pitch w:val="default"/>
    <w:sig w:usb0="E00002FF" w:usb1="4000ACFF" w:usb2="00000001" w:usb3="00000000" w:csb0="2000019F" w:csb1="00000000"/>
    <w:embedRegular r:id="rId6" w:fontKey="{574A4E25-ACE6-4702-A201-6041B42E44DC}"/>
  </w:font>
  <w:font w:name="仿宋_GB2312">
    <w:panose1 w:val="02010609030101010101"/>
    <w:charset w:val="86"/>
    <w:family w:val="modern"/>
    <w:pitch w:val="default"/>
    <w:sig w:usb0="00000001" w:usb1="080E0000" w:usb2="00000000" w:usb3="00000000" w:csb0="00040000" w:csb1="00000000"/>
    <w:embedRegular r:id="rId7" w:fontKey="{DBCE7C18-56C3-470C-8923-2FC49F6B5741}"/>
  </w:font>
  <w:font w:name="方正小标宋_GBK">
    <w:panose1 w:val="03000509000000000000"/>
    <w:charset w:val="86"/>
    <w:family w:val="auto"/>
    <w:pitch w:val="default"/>
    <w:sig w:usb0="00000001" w:usb1="080E0000" w:usb2="00000000" w:usb3="00000000" w:csb0="00040000" w:csb1="00000000"/>
    <w:embedRegular r:id="rId8" w:fontKey="{1089EF56-C597-4152-AFEE-7DF8FB7E943D}"/>
  </w:font>
  <w:font w:name="楷体_GB2312">
    <w:panose1 w:val="02010609030101010101"/>
    <w:charset w:val="86"/>
    <w:family w:val="auto"/>
    <w:pitch w:val="default"/>
    <w:sig w:usb0="00000001" w:usb1="080E0000" w:usb2="00000000" w:usb3="00000000" w:csb0="00040000" w:csb1="00000000"/>
    <w:embedRegular r:id="rId9" w:fontKey="{D03D7718-D575-4DAC-8371-39DA7680E160}"/>
  </w:font>
  <w:font w:name="仿宋">
    <w:panose1 w:val="02010609060101010101"/>
    <w:charset w:val="86"/>
    <w:family w:val="modern"/>
    <w:pitch w:val="default"/>
    <w:sig w:usb0="800002BF" w:usb1="38CF7CFA" w:usb2="00000016" w:usb3="00000000" w:csb0="00040001" w:csb1="00000000"/>
    <w:embedRegular r:id="rId10" w:fontKey="{4AEF2A5F-79B3-4B51-9FBA-865F15D4142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190C9A9"/>
    <w:multiLevelType w:val="singleLevel"/>
    <w:tmpl w:val="E190C9A9"/>
    <w:lvl w:ilvl="0" w:tentative="0">
      <w:start w:val="4"/>
      <w:numFmt w:val="chineseCounting"/>
      <w:suff w:val="nothing"/>
      <w:lvlText w:val="%1、"/>
      <w:lvlJc w:val="left"/>
      <w:rPr>
        <w:rFonts w:hint="eastAsia"/>
      </w:rPr>
    </w:lvl>
  </w:abstractNum>
  <w:abstractNum w:abstractNumId="1">
    <w:nsid w:val="5786623F"/>
    <w:multiLevelType w:val="singleLevel"/>
    <w:tmpl w:val="5786623F"/>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TrueType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1657"/>
    <w:rsid w:val="00076B47"/>
    <w:rsid w:val="000A2E4C"/>
    <w:rsid w:val="000D37FE"/>
    <w:rsid w:val="000F16B4"/>
    <w:rsid w:val="001104B7"/>
    <w:rsid w:val="00110577"/>
    <w:rsid w:val="00127A2F"/>
    <w:rsid w:val="00175AAC"/>
    <w:rsid w:val="00197507"/>
    <w:rsid w:val="001C5DCB"/>
    <w:rsid w:val="00246DAD"/>
    <w:rsid w:val="0025715A"/>
    <w:rsid w:val="00282102"/>
    <w:rsid w:val="002C1657"/>
    <w:rsid w:val="002E3518"/>
    <w:rsid w:val="003033E4"/>
    <w:rsid w:val="00341940"/>
    <w:rsid w:val="00364740"/>
    <w:rsid w:val="003777D5"/>
    <w:rsid w:val="003C2470"/>
    <w:rsid w:val="003D7DDC"/>
    <w:rsid w:val="003E1CE8"/>
    <w:rsid w:val="004404E8"/>
    <w:rsid w:val="004E1CFF"/>
    <w:rsid w:val="0059730F"/>
    <w:rsid w:val="005B6DCE"/>
    <w:rsid w:val="005C4EBC"/>
    <w:rsid w:val="0068776A"/>
    <w:rsid w:val="006B646E"/>
    <w:rsid w:val="006C69CD"/>
    <w:rsid w:val="006E11EF"/>
    <w:rsid w:val="007A2AEE"/>
    <w:rsid w:val="007B15FD"/>
    <w:rsid w:val="007D6B96"/>
    <w:rsid w:val="008200F2"/>
    <w:rsid w:val="00825412"/>
    <w:rsid w:val="008429E3"/>
    <w:rsid w:val="008C67AB"/>
    <w:rsid w:val="008D1B0B"/>
    <w:rsid w:val="00907C08"/>
    <w:rsid w:val="00971170"/>
    <w:rsid w:val="00991C6C"/>
    <w:rsid w:val="00993DEC"/>
    <w:rsid w:val="009A7C71"/>
    <w:rsid w:val="009D4A58"/>
    <w:rsid w:val="009E55C2"/>
    <w:rsid w:val="00A3508F"/>
    <w:rsid w:val="00A4158F"/>
    <w:rsid w:val="00A70BC2"/>
    <w:rsid w:val="00A7249B"/>
    <w:rsid w:val="00A730D7"/>
    <w:rsid w:val="00A9345F"/>
    <w:rsid w:val="00B27C69"/>
    <w:rsid w:val="00B540B6"/>
    <w:rsid w:val="00B7368C"/>
    <w:rsid w:val="00CA7DE8"/>
    <w:rsid w:val="00CC0BDC"/>
    <w:rsid w:val="00CF6D07"/>
    <w:rsid w:val="00D20A5D"/>
    <w:rsid w:val="00D263E1"/>
    <w:rsid w:val="00D96A1D"/>
    <w:rsid w:val="00D96B8D"/>
    <w:rsid w:val="00DA414F"/>
    <w:rsid w:val="00DF5C8E"/>
    <w:rsid w:val="00E07C05"/>
    <w:rsid w:val="00E30C53"/>
    <w:rsid w:val="00E36750"/>
    <w:rsid w:val="00E560DB"/>
    <w:rsid w:val="00EA0572"/>
    <w:rsid w:val="00EA3D4A"/>
    <w:rsid w:val="00EF279E"/>
    <w:rsid w:val="00FA1C86"/>
    <w:rsid w:val="00FA1DD3"/>
    <w:rsid w:val="00FF23ED"/>
    <w:rsid w:val="00FF7E55"/>
    <w:rsid w:val="01B15DE3"/>
    <w:rsid w:val="0E3006FE"/>
    <w:rsid w:val="0E90251E"/>
    <w:rsid w:val="0F6310BD"/>
    <w:rsid w:val="111E3C91"/>
    <w:rsid w:val="13602BE4"/>
    <w:rsid w:val="20C05C3F"/>
    <w:rsid w:val="244A4751"/>
    <w:rsid w:val="3AEF4895"/>
    <w:rsid w:val="446061A7"/>
    <w:rsid w:val="4B2A387F"/>
    <w:rsid w:val="5728060B"/>
    <w:rsid w:val="5B2A0A34"/>
    <w:rsid w:val="5F4B592B"/>
    <w:rsid w:val="64965635"/>
    <w:rsid w:val="6B5F0A62"/>
    <w:rsid w:val="74DF1675"/>
    <w:rsid w:val="7D637110"/>
    <w:rsid w:val="7E121E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kern w:val="2"/>
      <w:sz w:val="18"/>
      <w:szCs w:val="18"/>
    </w:rPr>
  </w:style>
  <w:style w:type="character" w:customStyle="1" w:styleId="7">
    <w:name w:val="页脚 Char"/>
    <w:basedOn w:val="5"/>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C3960E8-9153-453B-B4A2-B72646F1E5D9}">
  <ds:schemaRefs/>
</ds:datastoreItem>
</file>

<file path=docProps/app.xml><?xml version="1.0" encoding="utf-8"?>
<Properties xmlns="http://schemas.openxmlformats.org/officeDocument/2006/extended-properties" xmlns:vt="http://schemas.openxmlformats.org/officeDocument/2006/docPropsVTypes">
  <Template>Normal</Template>
  <Company>fmczj</Company>
  <Pages>4</Pages>
  <Words>410</Words>
  <Characters>2341</Characters>
  <Lines>19</Lines>
  <Paragraphs>5</Paragraphs>
  <TotalTime>1</TotalTime>
  <ScaleCrop>false</ScaleCrop>
  <LinksUpToDate>false</LinksUpToDate>
  <CharactersWithSpaces>2746</CharactersWithSpaces>
  <Application>WPS Office_11.3.0.9228_F1E327BC-269C-435d-A152-05C5408002CA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2019-04-25T06:15:00Z</dcterms:created>
  <dc:creator>张子明</dc:creator>
  <cp:lastModifiedBy>Administrator</cp:lastModifiedBy>
  <cp:lastPrinted>2021-04-16T02:29:00Z</cp:lastPrinted>
  <dcterms:modified xsi:type="dcterms:W3CDTF">2021-04-22T03:25:06Z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y fmtid="{D5CDD505-2E9C-101B-9397-08002B2CF9AE}" pid="3" name="ICV">
    <vt:lpwstr>A897EEC29F2142528FF42E0B5783C457</vt:lpwstr>
  </property>
  <property fmtid="{D5CDD505-2E9C-101B-9397-08002B2CF9AE}" pid="4" name="KSOSaveFontToCloudKey">
    <vt:lpwstr>298663726_embed</vt:lpwstr>
  </property>
</Properties>
</file>