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adjustRightInd/>
        <w:snapToGrid/>
        <w:spacing w:line="360" w:lineRule="auto"/>
        <w:ind w:firstLine="0" w:firstLineChars="0"/>
        <w:contextualSpacing/>
        <w:jc w:val="center"/>
        <w:rPr>
          <w:b/>
          <w:bCs/>
          <w:color w:val="auto"/>
          <w:spacing w:val="85"/>
          <w:sz w:val="52"/>
          <w:szCs w:val="52"/>
        </w:rPr>
      </w:pPr>
      <w:bookmarkStart w:id="0" w:name="_Toc19524"/>
      <w:bookmarkStart w:id="1" w:name="_Toc3519"/>
      <w:bookmarkStart w:id="2" w:name="_Toc5095"/>
    </w:p>
    <w:p>
      <w:pPr>
        <w:pStyle w:val="3"/>
        <w:adjustRightInd/>
        <w:snapToGrid/>
        <w:spacing w:line="360" w:lineRule="auto"/>
        <w:ind w:firstLine="0" w:firstLineChars="0"/>
        <w:contextualSpacing/>
        <w:jc w:val="center"/>
        <w:rPr>
          <w:b/>
          <w:bCs/>
          <w:color w:val="auto"/>
          <w:spacing w:val="85"/>
          <w:sz w:val="52"/>
          <w:szCs w:val="52"/>
        </w:rPr>
      </w:pPr>
    </w:p>
    <w:p>
      <w:pPr>
        <w:pStyle w:val="3"/>
        <w:adjustRightInd/>
        <w:snapToGrid/>
        <w:spacing w:line="360" w:lineRule="auto"/>
        <w:ind w:firstLine="0" w:firstLineChars="0"/>
        <w:contextualSpacing/>
        <w:jc w:val="center"/>
        <w:rPr>
          <w:b/>
          <w:bCs/>
          <w:color w:val="auto"/>
          <w:spacing w:val="20"/>
          <w:sz w:val="52"/>
          <w:szCs w:val="52"/>
        </w:rPr>
      </w:pPr>
      <w:r>
        <w:rPr>
          <w:b/>
          <w:bCs/>
          <w:color w:val="auto"/>
          <w:spacing w:val="85"/>
          <w:sz w:val="52"/>
          <w:szCs w:val="52"/>
        </w:rPr>
        <w:t>建设项目环境影响报告表</w:t>
      </w:r>
      <w:bookmarkEnd w:id="0"/>
    </w:p>
    <w:p>
      <w:pPr>
        <w:pStyle w:val="3"/>
        <w:adjustRightInd/>
        <w:snapToGrid/>
        <w:spacing w:line="360" w:lineRule="auto"/>
        <w:ind w:firstLine="0" w:firstLineChars="0"/>
        <w:contextualSpacing/>
        <w:jc w:val="center"/>
        <w:rPr>
          <w:color w:val="auto"/>
          <w:spacing w:val="20"/>
          <w:sz w:val="30"/>
          <w:szCs w:val="30"/>
        </w:rPr>
      </w:pPr>
      <w:bookmarkStart w:id="3" w:name="_Toc26002"/>
      <w:r>
        <w:rPr>
          <w:color w:val="auto"/>
          <w:spacing w:val="20"/>
          <w:sz w:val="30"/>
          <w:szCs w:val="30"/>
        </w:rPr>
        <w:t>(</w:t>
      </w:r>
      <w:r>
        <w:rPr>
          <w:rFonts w:hint="eastAsia"/>
          <w:color w:val="auto"/>
          <w:spacing w:val="20"/>
          <w:sz w:val="30"/>
          <w:szCs w:val="30"/>
          <w:lang w:val="en-US" w:eastAsia="zh-CN"/>
        </w:rPr>
        <w:t>报批稿</w:t>
      </w:r>
      <w:r>
        <w:rPr>
          <w:color w:val="auto"/>
          <w:spacing w:val="20"/>
          <w:sz w:val="30"/>
          <w:szCs w:val="30"/>
        </w:rPr>
        <w:t>)</w:t>
      </w:r>
      <w:bookmarkEnd w:id="3"/>
    </w:p>
    <w:p>
      <w:pPr>
        <w:spacing w:line="273" w:lineRule="auto"/>
        <w:ind w:firstLine="480"/>
        <w:contextualSpacing/>
        <w:rPr>
          <w:color w:val="auto"/>
        </w:rPr>
      </w:pPr>
    </w:p>
    <w:p>
      <w:pPr>
        <w:spacing w:line="273" w:lineRule="auto"/>
        <w:ind w:firstLine="480"/>
        <w:contextualSpacing/>
        <w:rPr>
          <w:color w:val="auto"/>
        </w:rPr>
      </w:pPr>
    </w:p>
    <w:p>
      <w:pPr>
        <w:ind w:firstLine="480"/>
        <w:contextualSpacing/>
        <w:rPr>
          <w:color w:val="auto"/>
        </w:rPr>
      </w:pPr>
    </w:p>
    <w:p>
      <w:pPr>
        <w:ind w:firstLine="480"/>
        <w:contextualSpacing/>
        <w:rPr>
          <w:color w:val="auto"/>
        </w:rPr>
      </w:pPr>
    </w:p>
    <w:p>
      <w:pPr>
        <w:ind w:firstLine="480"/>
        <w:contextualSpacing/>
        <w:rPr>
          <w:color w:val="auto"/>
        </w:rPr>
      </w:pPr>
    </w:p>
    <w:p>
      <w:pPr>
        <w:autoSpaceDE w:val="0"/>
        <w:autoSpaceDN w:val="0"/>
        <w:adjustRightInd/>
        <w:snapToGrid/>
        <w:spacing w:line="240" w:lineRule="auto"/>
        <w:ind w:firstLine="0" w:firstLineChars="0"/>
        <w:contextualSpacing/>
        <w:jc w:val="center"/>
        <w:rPr>
          <w:color w:val="auto"/>
          <w:sz w:val="32"/>
          <w:szCs w:val="32"/>
        </w:rPr>
      </w:pPr>
    </w:p>
    <w:p>
      <w:pPr>
        <w:autoSpaceDE w:val="0"/>
        <w:autoSpaceDN w:val="0"/>
        <w:adjustRightInd/>
        <w:snapToGrid/>
        <w:spacing w:line="240" w:lineRule="auto"/>
        <w:ind w:firstLine="0" w:firstLineChars="0"/>
        <w:contextualSpacing/>
        <w:jc w:val="center"/>
        <w:rPr>
          <w:color w:val="auto"/>
          <w:sz w:val="32"/>
          <w:szCs w:val="32"/>
        </w:rPr>
      </w:pPr>
    </w:p>
    <w:p>
      <w:pPr>
        <w:autoSpaceDE w:val="0"/>
        <w:autoSpaceDN w:val="0"/>
        <w:adjustRightInd/>
        <w:snapToGrid/>
        <w:spacing w:line="240" w:lineRule="auto"/>
        <w:ind w:firstLine="0" w:firstLineChars="0"/>
        <w:contextualSpacing/>
        <w:jc w:val="center"/>
        <w:rPr>
          <w:color w:val="auto"/>
          <w:sz w:val="32"/>
          <w:szCs w:val="32"/>
        </w:rPr>
      </w:pPr>
    </w:p>
    <w:p>
      <w:pPr>
        <w:autoSpaceDE w:val="0"/>
        <w:autoSpaceDN w:val="0"/>
        <w:adjustRightInd/>
        <w:snapToGrid/>
        <w:spacing w:line="240" w:lineRule="auto"/>
        <w:ind w:firstLine="640"/>
        <w:contextualSpacing/>
        <w:rPr>
          <w:color w:val="auto"/>
          <w:sz w:val="32"/>
          <w:szCs w:val="32"/>
        </w:rPr>
      </w:pPr>
    </w:p>
    <w:p>
      <w:pPr>
        <w:autoSpaceDE w:val="0"/>
        <w:autoSpaceDN w:val="0"/>
        <w:adjustRightInd/>
        <w:snapToGrid/>
        <w:spacing w:line="240" w:lineRule="auto"/>
        <w:ind w:firstLine="640"/>
        <w:contextualSpacing/>
        <w:rPr>
          <w:color w:val="auto"/>
          <w:sz w:val="32"/>
          <w:szCs w:val="32"/>
        </w:rPr>
      </w:pPr>
    </w:p>
    <w:p>
      <w:pPr>
        <w:autoSpaceDE w:val="0"/>
        <w:autoSpaceDN w:val="0"/>
        <w:adjustRightInd/>
        <w:snapToGrid/>
        <w:spacing w:line="240" w:lineRule="auto"/>
        <w:ind w:firstLine="640"/>
        <w:contextualSpacing/>
        <w:jc w:val="center"/>
        <w:rPr>
          <w:color w:val="auto"/>
          <w:sz w:val="28"/>
          <w:szCs w:val="28"/>
          <w:u w:val="single"/>
        </w:rPr>
      </w:pPr>
      <w:r>
        <w:rPr>
          <w:color w:val="auto"/>
          <w:sz w:val="28"/>
          <w:szCs w:val="28"/>
          <w:u w:val="none"/>
        </w:rPr>
        <w:t>项目名</w:t>
      </w:r>
      <w:r>
        <w:rPr>
          <w:rFonts w:hint="eastAsia"/>
          <w:color w:val="auto"/>
          <w:sz w:val="28"/>
          <w:szCs w:val="28"/>
          <w:u w:val="none"/>
        </w:rPr>
        <w:t>称：</w:t>
      </w:r>
      <w:r>
        <w:rPr>
          <w:rFonts w:hint="eastAsia"/>
          <w:color w:val="auto"/>
          <w:sz w:val="28"/>
          <w:szCs w:val="28"/>
          <w:u w:val="single"/>
        </w:rPr>
        <w:t>网络通讯机箱机柜、5G机房、监控操作台生产项目</w:t>
      </w:r>
    </w:p>
    <w:p>
      <w:pPr>
        <w:autoSpaceDE w:val="0"/>
        <w:autoSpaceDN w:val="0"/>
        <w:adjustRightInd/>
        <w:snapToGrid/>
        <w:spacing w:line="240" w:lineRule="auto"/>
        <w:ind w:firstLine="0" w:firstLineChars="0"/>
        <w:contextualSpacing/>
        <w:rPr>
          <w:color w:val="auto"/>
          <w:sz w:val="28"/>
          <w:szCs w:val="28"/>
        </w:rPr>
      </w:pPr>
    </w:p>
    <w:p>
      <w:pPr>
        <w:autoSpaceDE w:val="0"/>
        <w:autoSpaceDN w:val="0"/>
        <w:adjustRightInd/>
        <w:snapToGrid/>
        <w:spacing w:line="240" w:lineRule="auto"/>
        <w:ind w:firstLine="0" w:firstLineChars="0"/>
        <w:contextualSpacing/>
        <w:rPr>
          <w:color w:val="auto"/>
          <w:sz w:val="28"/>
          <w:szCs w:val="28"/>
        </w:rPr>
      </w:pPr>
    </w:p>
    <w:p>
      <w:pPr>
        <w:autoSpaceDE w:val="0"/>
        <w:autoSpaceDN w:val="0"/>
        <w:adjustRightInd/>
        <w:snapToGrid/>
        <w:spacing w:line="240" w:lineRule="auto"/>
        <w:ind w:firstLine="640"/>
        <w:contextualSpacing/>
        <w:rPr>
          <w:rFonts w:hint="eastAsia" w:eastAsia="宋体"/>
          <w:color w:val="auto"/>
          <w:sz w:val="32"/>
          <w:szCs w:val="32"/>
          <w:lang w:val="en-US" w:eastAsia="zh-CN"/>
        </w:rPr>
      </w:pPr>
      <w:r>
        <w:rPr>
          <w:color w:val="auto"/>
          <w:sz w:val="28"/>
          <w:szCs w:val="28"/>
        </w:rPr>
        <w:t>建设单位</w:t>
      </w:r>
      <w:r>
        <w:rPr>
          <w:rFonts w:hint="eastAsia"/>
          <w:color w:val="auto"/>
          <w:sz w:val="28"/>
          <w:szCs w:val="28"/>
        </w:rPr>
        <w:t>（盖章）：</w:t>
      </w:r>
      <w:r>
        <w:rPr>
          <w:rFonts w:hint="eastAsia"/>
          <w:color w:val="auto"/>
          <w:sz w:val="28"/>
          <w:szCs w:val="28"/>
          <w:u w:val="single"/>
          <w:lang w:val="en-US" w:eastAsia="zh-CN"/>
        </w:rPr>
        <w:t xml:space="preserve">   </w:t>
      </w:r>
      <w:r>
        <w:rPr>
          <w:rFonts w:hint="eastAsia"/>
          <w:color w:val="auto"/>
          <w:sz w:val="28"/>
          <w:szCs w:val="28"/>
          <w:u w:val="single"/>
        </w:rPr>
        <w:t>昆明云茂通信设备有限责任公司</w:t>
      </w:r>
      <w:r>
        <w:rPr>
          <w:rFonts w:hint="eastAsia"/>
          <w:color w:val="auto"/>
          <w:sz w:val="28"/>
          <w:szCs w:val="28"/>
          <w:u w:val="single"/>
          <w:lang w:val="en-US" w:eastAsia="zh-CN"/>
        </w:rPr>
        <w:t xml:space="preserve">      </w:t>
      </w:r>
    </w:p>
    <w:p>
      <w:pPr>
        <w:adjustRightInd/>
        <w:snapToGrid/>
        <w:ind w:firstLine="1920" w:firstLineChars="600"/>
        <w:contextualSpacing/>
        <w:rPr>
          <w:color w:val="auto"/>
          <w:sz w:val="32"/>
          <w:szCs w:val="32"/>
        </w:rPr>
      </w:pPr>
    </w:p>
    <w:p>
      <w:pPr>
        <w:adjustRightInd/>
        <w:snapToGrid/>
        <w:ind w:firstLine="1920" w:firstLineChars="600"/>
        <w:contextualSpacing/>
        <w:rPr>
          <w:color w:val="auto"/>
          <w:sz w:val="32"/>
          <w:szCs w:val="32"/>
        </w:rPr>
      </w:pPr>
    </w:p>
    <w:p>
      <w:pPr>
        <w:adjustRightInd/>
        <w:snapToGrid/>
        <w:ind w:firstLine="1920" w:firstLineChars="600"/>
        <w:contextualSpacing/>
        <w:rPr>
          <w:color w:val="auto"/>
          <w:sz w:val="32"/>
          <w:szCs w:val="32"/>
        </w:rPr>
      </w:pPr>
    </w:p>
    <w:p>
      <w:pPr>
        <w:adjustRightInd/>
        <w:snapToGrid/>
        <w:ind w:firstLine="0" w:firstLineChars="0"/>
        <w:contextualSpacing/>
        <w:rPr>
          <w:color w:val="auto"/>
          <w:sz w:val="32"/>
          <w:szCs w:val="32"/>
        </w:rPr>
      </w:pPr>
    </w:p>
    <w:p>
      <w:pPr>
        <w:adjustRightInd/>
        <w:snapToGrid/>
        <w:ind w:firstLine="1920" w:firstLineChars="600"/>
        <w:contextualSpacing/>
        <w:rPr>
          <w:color w:val="auto"/>
          <w:sz w:val="32"/>
          <w:szCs w:val="32"/>
        </w:rPr>
      </w:pPr>
    </w:p>
    <w:p>
      <w:pPr>
        <w:adjustRightInd/>
        <w:snapToGrid/>
        <w:ind w:firstLine="0" w:firstLineChars="0"/>
        <w:contextualSpacing/>
        <w:jc w:val="center"/>
        <w:rPr>
          <w:color w:val="auto"/>
          <w:sz w:val="32"/>
          <w:szCs w:val="32"/>
        </w:rPr>
      </w:pPr>
      <w:r>
        <w:rPr>
          <w:color w:val="auto"/>
          <w:sz w:val="32"/>
          <w:szCs w:val="32"/>
        </w:rPr>
        <w:t>编制日期：</w:t>
      </w:r>
      <w:r>
        <w:rPr>
          <w:rFonts w:hint="eastAsia"/>
          <w:color w:val="auto"/>
          <w:sz w:val="32"/>
          <w:szCs w:val="32"/>
        </w:rPr>
        <w:t>202</w:t>
      </w:r>
      <w:r>
        <w:rPr>
          <w:rFonts w:hint="eastAsia"/>
          <w:color w:val="auto"/>
          <w:sz w:val="32"/>
          <w:szCs w:val="32"/>
          <w:lang w:val="en-US" w:eastAsia="zh-CN"/>
        </w:rPr>
        <w:t>1</w:t>
      </w:r>
      <w:r>
        <w:rPr>
          <w:color w:val="auto"/>
          <w:sz w:val="32"/>
          <w:szCs w:val="32"/>
        </w:rPr>
        <w:t>年</w:t>
      </w:r>
      <w:r>
        <w:rPr>
          <w:rFonts w:hint="eastAsia"/>
          <w:color w:val="auto"/>
          <w:sz w:val="32"/>
          <w:szCs w:val="32"/>
          <w:lang w:val="en-US" w:eastAsia="zh-CN"/>
        </w:rPr>
        <w:t>4</w:t>
      </w:r>
      <w:r>
        <w:rPr>
          <w:color w:val="auto"/>
          <w:sz w:val="32"/>
          <w:szCs w:val="32"/>
        </w:rPr>
        <w:t>月</w:t>
      </w:r>
    </w:p>
    <w:p>
      <w:pPr>
        <w:adjustRightInd/>
        <w:snapToGrid/>
        <w:ind w:firstLine="0" w:firstLineChars="0"/>
        <w:contextualSpacing/>
        <w:jc w:val="center"/>
        <w:rPr>
          <w:color w:val="auto"/>
          <w:sz w:val="32"/>
          <w:szCs w:val="32"/>
        </w:rPr>
        <w:sectPr>
          <w:headerReference r:id="rId5" w:type="first"/>
          <w:footerReference r:id="rId8" w:type="first"/>
          <w:headerReference r:id="rId3" w:type="default"/>
          <w:footerReference r:id="rId6" w:type="default"/>
          <w:headerReference r:id="rId4" w:type="even"/>
          <w:footerReference r:id="rId7" w:type="even"/>
          <w:pgSz w:w="11905" w:h="16838"/>
          <w:pgMar w:top="1440" w:right="1800" w:bottom="1440" w:left="1800" w:header="720" w:footer="720" w:gutter="0"/>
          <w:cols w:space="720" w:num="1"/>
        </w:sectPr>
      </w:pPr>
    </w:p>
    <w:p>
      <w:pPr>
        <w:pStyle w:val="15"/>
        <w:ind w:left="1200" w:hanging="720"/>
        <w:contextualSpacing/>
        <w:jc w:val="center"/>
        <w:rPr>
          <w:rFonts w:ascii="宋体" w:hAnsi="宋体" w:cs="宋体"/>
          <w:color w:val="auto"/>
          <w:sz w:val="28"/>
          <w:szCs w:val="28"/>
        </w:rPr>
      </w:pPr>
      <w:r>
        <w:rPr>
          <w:color w:val="auto"/>
          <w:sz w:val="36"/>
          <w:szCs w:val="36"/>
          <w:lang w:val="zh-CN"/>
        </w:rPr>
        <w:t>目  录</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TOC \o "1-3" \h \z \u </w:instrText>
      </w:r>
      <w:r>
        <w:rPr>
          <w:rFonts w:hint="eastAsia" w:ascii="宋体" w:hAnsi="宋体" w:cs="宋体"/>
          <w:color w:val="auto"/>
          <w:sz w:val="28"/>
          <w:szCs w:val="28"/>
        </w:rPr>
        <w:fldChar w:fldCharType="separate"/>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"_Toc5095"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一、建设项目基本情况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_Toc5095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1</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"_Toc12698"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二、建设项目所在地自然环境简况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_Toc12698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1</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"_Toc22554"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三、环境质量状况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_Toc22554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15</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"_Toc14530"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四、评价适用标准</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_Toc14530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21</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"_Toc24961"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五、建设项目工程分析</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_Toc24961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25</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"_Toc29068"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六、项目主要污染物产生及预计排放情况</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_Toc29068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36</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"_Toc9027"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七、环境影响分析</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_Toc9027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37</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"_Toc9866"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八、建设项目拟采取的防治措施及预期治理效果</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_Toc9866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72</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pStyle w:val="5"/>
        <w:tabs>
          <w:tab w:val="right" w:leader="dot" w:pos="8686"/>
        </w:tabs>
        <w:ind w:left="0" w:firstLine="0" w:firstLineChars="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\l "_Toc22944" </w:instrText>
      </w:r>
      <w:r>
        <w:rPr>
          <w:rFonts w:hint="default" w:ascii="Times New Roman" w:hAnsi="Times New Roman" w:cs="Times New Roman"/>
          <w:color w:val="auto"/>
          <w:sz w:val="24"/>
          <w:szCs w:val="24"/>
        </w:rPr>
        <w:fldChar w:fldCharType="separate"/>
      </w:r>
      <w:r>
        <w:rPr>
          <w:rFonts w:hint="default" w:ascii="Times New Roman" w:hAnsi="Times New Roman" w:cs="Times New Roman"/>
          <w:bCs/>
          <w:color w:val="auto"/>
          <w:sz w:val="24"/>
          <w:szCs w:val="24"/>
        </w:rPr>
        <w:t>九、结论与建议</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PAGEREF _Toc22944 </w:instrText>
      </w:r>
      <w:r>
        <w:rPr>
          <w:rFonts w:hint="default" w:ascii="Times New Roman" w:hAnsi="Times New Roman" w:cs="Times New Roman"/>
          <w:color w:val="auto"/>
          <w:sz w:val="24"/>
          <w:szCs w:val="24"/>
        </w:rPr>
        <w:fldChar w:fldCharType="separate"/>
      </w:r>
      <w:r>
        <w:rPr>
          <w:rFonts w:hint="default" w:ascii="Times New Roman" w:hAnsi="Times New Roman" w:cs="Times New Roman"/>
          <w:color w:val="auto"/>
          <w:sz w:val="24"/>
          <w:szCs w:val="24"/>
        </w:rPr>
        <w:t>73</w:t>
      </w:r>
      <w:r>
        <w:rPr>
          <w:rFonts w:hint="default" w:ascii="Times New Roman" w:hAnsi="Times New Roman" w:cs="Times New Roman"/>
          <w:color w:val="auto"/>
          <w:sz w:val="24"/>
          <w:szCs w:val="24"/>
        </w:rPr>
        <w:fldChar w:fldCharType="end"/>
      </w:r>
      <w:r>
        <w:rPr>
          <w:rFonts w:hint="default" w:ascii="Times New Roman" w:hAnsi="Times New Roman" w:cs="Times New Roman"/>
          <w:color w:val="auto"/>
          <w:sz w:val="24"/>
          <w:szCs w:val="24"/>
        </w:rPr>
        <w:fldChar w:fldCharType="end"/>
      </w:r>
    </w:p>
    <w:p>
      <w:pPr>
        <w:ind w:firstLine="0" w:firstLineChars="0"/>
        <w:contextualSpacing/>
        <w:jc w:val="left"/>
        <w:rPr>
          <w:rFonts w:ascii="宋体" w:hAnsi="宋体" w:cs="宋体"/>
          <w:bCs/>
          <w:color w:val="auto"/>
          <w:sz w:val="28"/>
          <w:szCs w:val="28"/>
          <w:lang w:val="zh-CN"/>
        </w:rPr>
      </w:pPr>
      <w:r>
        <w:rPr>
          <w:rFonts w:hint="eastAsia" w:ascii="宋体" w:hAnsi="宋体" w:cs="宋体"/>
          <w:bCs/>
          <w:color w:val="auto"/>
          <w:sz w:val="28"/>
          <w:szCs w:val="28"/>
          <w:lang w:val="zh-CN"/>
        </w:rPr>
        <w:fldChar w:fldCharType="end"/>
      </w:r>
    </w:p>
    <w:p>
      <w:pPr>
        <w:ind w:firstLine="0" w:firstLineChars="0"/>
        <w:rPr>
          <w:b/>
          <w:bCs/>
          <w:color w:val="auto"/>
        </w:rPr>
      </w:pPr>
      <w:r>
        <w:rPr>
          <w:rFonts w:hint="eastAsia" w:ascii="宋体" w:hAnsi="宋体" w:cs="宋体"/>
          <w:bCs/>
          <w:color w:val="auto"/>
          <w:sz w:val="28"/>
          <w:szCs w:val="28"/>
          <w:lang w:val="zh-CN"/>
        </w:rPr>
        <w:br w:type="page"/>
      </w:r>
      <w:r>
        <w:rPr>
          <w:b/>
          <w:color w:val="auto"/>
        </w:rPr>
        <w:t>附表：</w:t>
      </w:r>
    </w:p>
    <w:p>
      <w:pPr>
        <w:ind w:firstLine="480"/>
        <w:jc w:val="left"/>
        <w:rPr>
          <w:color w:val="auto"/>
        </w:rPr>
      </w:pPr>
      <w:r>
        <w:rPr>
          <w:color w:val="auto"/>
        </w:rPr>
        <w:t>附表1 建设项目环评审批基础信息表</w:t>
      </w:r>
    </w:p>
    <w:p>
      <w:pPr>
        <w:ind w:firstLine="480"/>
        <w:jc w:val="left"/>
        <w:rPr>
          <w:color w:val="auto"/>
        </w:rPr>
      </w:pPr>
      <w:r>
        <w:rPr>
          <w:color w:val="auto"/>
        </w:rPr>
        <w:t>附表2 建设项目大气环境影响评价自查表</w:t>
      </w:r>
    </w:p>
    <w:p>
      <w:pPr>
        <w:ind w:firstLine="0" w:firstLineChars="0"/>
        <w:contextualSpacing/>
        <w:jc w:val="left"/>
        <w:rPr>
          <w:b/>
          <w:color w:val="auto"/>
        </w:rPr>
      </w:pPr>
      <w:r>
        <w:rPr>
          <w:b/>
          <w:color w:val="auto"/>
        </w:rPr>
        <w:t>附件：</w:t>
      </w:r>
    </w:p>
    <w:p>
      <w:pPr>
        <w:pStyle w:val="15"/>
        <w:ind w:left="0" w:leftChars="0" w:firstLine="480" w:firstLineChars="200"/>
        <w:contextualSpacing/>
        <w:rPr>
          <w:color w:val="auto"/>
        </w:rPr>
      </w:pPr>
      <w:r>
        <w:rPr>
          <w:color w:val="auto"/>
        </w:rPr>
        <w:t>附件1 委托书</w:t>
      </w:r>
    </w:p>
    <w:p>
      <w:pPr>
        <w:pStyle w:val="15"/>
        <w:ind w:left="0" w:leftChars="0" w:firstLine="480" w:firstLineChars="200"/>
        <w:contextualSpacing/>
        <w:rPr>
          <w:color w:val="auto"/>
        </w:rPr>
      </w:pPr>
      <w:r>
        <w:rPr>
          <w:color w:val="auto"/>
        </w:rPr>
        <w:t xml:space="preserve">附件2 </w:t>
      </w:r>
      <w:r>
        <w:rPr>
          <w:rFonts w:hint="eastAsia"/>
          <w:color w:val="auto"/>
        </w:rPr>
        <w:t>园区会议纪要</w:t>
      </w:r>
    </w:p>
    <w:p>
      <w:pPr>
        <w:pStyle w:val="15"/>
        <w:ind w:left="0" w:leftChars="0" w:firstLine="480" w:firstLineChars="200"/>
        <w:contextualSpacing/>
        <w:rPr>
          <w:color w:val="auto"/>
        </w:rPr>
      </w:pPr>
      <w:r>
        <w:rPr>
          <w:color w:val="auto"/>
        </w:rPr>
        <w:t>附件3 入园</w:t>
      </w:r>
      <w:r>
        <w:rPr>
          <w:rFonts w:hint="eastAsia"/>
          <w:color w:val="auto"/>
        </w:rPr>
        <w:t>证明</w:t>
      </w:r>
    </w:p>
    <w:p>
      <w:pPr>
        <w:pStyle w:val="15"/>
        <w:ind w:left="0" w:leftChars="0" w:firstLine="480" w:firstLineChars="200"/>
        <w:contextualSpacing/>
        <w:rPr>
          <w:color w:val="auto"/>
        </w:rPr>
      </w:pPr>
      <w:r>
        <w:rPr>
          <w:color w:val="auto"/>
        </w:rPr>
        <w:t>附件4 投资项目备案证</w:t>
      </w:r>
    </w:p>
    <w:p>
      <w:pPr>
        <w:pStyle w:val="15"/>
        <w:ind w:left="0" w:leftChars="0" w:firstLine="480" w:firstLineChars="200"/>
        <w:contextualSpacing/>
        <w:rPr>
          <w:color w:val="auto"/>
        </w:rPr>
      </w:pPr>
      <w:r>
        <w:rPr>
          <w:color w:val="auto"/>
        </w:rPr>
        <w:t>附件</w:t>
      </w:r>
      <w:r>
        <w:rPr>
          <w:rFonts w:hint="eastAsia"/>
          <w:color w:val="auto"/>
        </w:rPr>
        <w:t>5厂房租赁合同</w:t>
      </w:r>
    </w:p>
    <w:p>
      <w:pPr>
        <w:pStyle w:val="15"/>
        <w:ind w:left="98" w:leftChars="0" w:hanging="98" w:hangingChars="41"/>
        <w:contextualSpacing/>
        <w:rPr>
          <w:color w:val="auto"/>
        </w:rPr>
      </w:pPr>
      <w:r>
        <w:rPr>
          <w:color w:val="auto"/>
        </w:rPr>
        <w:t xml:space="preserve">    附件</w:t>
      </w:r>
      <w:r>
        <w:rPr>
          <w:rFonts w:hint="eastAsia"/>
          <w:color w:val="auto"/>
        </w:rPr>
        <w:t>6 现状监测报告</w:t>
      </w:r>
    </w:p>
    <w:p>
      <w:pPr>
        <w:pStyle w:val="15"/>
        <w:ind w:left="0" w:leftChars="0" w:firstLine="480" w:firstLineChars="200"/>
        <w:contextualSpacing/>
        <w:rPr>
          <w:color w:val="auto"/>
        </w:rPr>
      </w:pPr>
      <w:r>
        <w:rPr>
          <w:color w:val="auto"/>
        </w:rPr>
        <w:t>附件</w:t>
      </w:r>
      <w:r>
        <w:rPr>
          <w:rFonts w:hint="eastAsia"/>
          <w:color w:val="auto"/>
        </w:rPr>
        <w:t>7 昆明力线电缆公司环评批复</w:t>
      </w:r>
    </w:p>
    <w:p>
      <w:pPr>
        <w:pStyle w:val="15"/>
        <w:ind w:left="0" w:leftChars="0" w:firstLine="480" w:firstLineChars="200"/>
        <w:contextualSpacing/>
        <w:rPr>
          <w:rFonts w:hint="eastAsia"/>
          <w:color w:val="auto"/>
        </w:rPr>
      </w:pPr>
      <w:r>
        <w:rPr>
          <w:rFonts w:hint="eastAsia"/>
          <w:color w:val="auto"/>
        </w:rPr>
        <w:t>附件8昆明力线电缆公司验收批复</w:t>
      </w:r>
    </w:p>
    <w:p>
      <w:pPr>
        <w:pStyle w:val="15"/>
        <w:ind w:left="0" w:leftChars="0" w:firstLine="480" w:firstLineChars="200"/>
        <w:contextualSpacing/>
        <w:rPr>
          <w:color w:val="auto"/>
        </w:rPr>
      </w:pPr>
      <w:r>
        <w:rPr>
          <w:color w:val="auto"/>
        </w:rPr>
        <w:t>附件</w:t>
      </w:r>
      <w:r>
        <w:rPr>
          <w:rFonts w:hint="eastAsia"/>
          <w:color w:val="auto"/>
          <w:lang w:val="en-US" w:eastAsia="zh-CN"/>
        </w:rPr>
        <w:t>9</w:t>
      </w:r>
      <w:r>
        <w:rPr>
          <w:rFonts w:hint="eastAsia"/>
          <w:color w:val="auto"/>
        </w:rPr>
        <w:t>富民规划环评审查意见的函</w:t>
      </w:r>
    </w:p>
    <w:p>
      <w:pPr>
        <w:pStyle w:val="15"/>
        <w:ind w:left="0" w:leftChars="0" w:firstLine="0" w:firstLineChars="0"/>
        <w:contextualSpacing/>
        <w:rPr>
          <w:b/>
          <w:color w:val="auto"/>
        </w:rPr>
      </w:pPr>
      <w:r>
        <w:rPr>
          <w:b/>
          <w:color w:val="auto"/>
        </w:rPr>
        <w:t>附图：</w:t>
      </w:r>
    </w:p>
    <w:p>
      <w:pPr>
        <w:pStyle w:val="15"/>
        <w:ind w:left="0" w:leftChars="0" w:firstLine="480" w:firstLineChars="200"/>
        <w:contextualSpacing/>
        <w:rPr>
          <w:color w:val="auto"/>
        </w:rPr>
      </w:pPr>
      <w:r>
        <w:rPr>
          <w:color w:val="auto"/>
        </w:rPr>
        <w:t>附图1 项目地理位置图</w:t>
      </w:r>
    </w:p>
    <w:p>
      <w:pPr>
        <w:pStyle w:val="15"/>
        <w:ind w:left="0" w:leftChars="0" w:firstLine="480" w:firstLineChars="200"/>
        <w:contextualSpacing/>
        <w:rPr>
          <w:color w:val="auto"/>
        </w:rPr>
      </w:pPr>
      <w:r>
        <w:rPr>
          <w:color w:val="auto"/>
        </w:rPr>
        <w:t>附图2 项目区域水系图</w:t>
      </w:r>
    </w:p>
    <w:p>
      <w:pPr>
        <w:pStyle w:val="15"/>
        <w:ind w:left="0" w:leftChars="0" w:firstLine="480" w:firstLineChars="200"/>
        <w:contextualSpacing/>
        <w:rPr>
          <w:color w:val="auto"/>
        </w:rPr>
      </w:pPr>
      <w:r>
        <w:rPr>
          <w:color w:val="auto"/>
        </w:rPr>
        <w:t>附图3 项目平面布置示意图</w:t>
      </w:r>
    </w:p>
    <w:p>
      <w:pPr>
        <w:pStyle w:val="15"/>
        <w:ind w:left="0" w:leftChars="0" w:firstLine="480" w:firstLineChars="200"/>
        <w:contextualSpacing/>
        <w:rPr>
          <w:color w:val="auto"/>
        </w:rPr>
      </w:pPr>
      <w:r>
        <w:rPr>
          <w:color w:val="auto"/>
        </w:rPr>
        <w:t xml:space="preserve">附图4 </w:t>
      </w:r>
      <w:r>
        <w:rPr>
          <w:rFonts w:hint="eastAsia"/>
          <w:color w:val="auto"/>
        </w:rPr>
        <w:t>项目与大营-茨塘片区用地规划图</w:t>
      </w:r>
    </w:p>
    <w:p>
      <w:pPr>
        <w:pStyle w:val="15"/>
        <w:ind w:left="0" w:leftChars="0" w:firstLine="480" w:firstLineChars="200"/>
        <w:contextualSpacing/>
        <w:rPr>
          <w:color w:val="auto"/>
        </w:rPr>
      </w:pPr>
      <w:r>
        <w:rPr>
          <w:color w:val="auto"/>
        </w:rPr>
        <w:t>附图5项目周边关系图</w:t>
      </w:r>
    </w:p>
    <w:p>
      <w:pPr>
        <w:ind w:firstLine="480"/>
        <w:rPr>
          <w:color w:val="auto"/>
        </w:rPr>
      </w:pPr>
      <w:r>
        <w:rPr>
          <w:rFonts w:hint="eastAsia"/>
          <w:color w:val="auto"/>
        </w:rPr>
        <w:t>附图6 项目大气评价范围图</w:t>
      </w:r>
    </w:p>
    <w:p>
      <w:pPr>
        <w:ind w:firstLine="480"/>
        <w:rPr>
          <w:b/>
          <w:color w:val="auto"/>
          <w:sz w:val="28"/>
        </w:rPr>
      </w:pPr>
      <w:r>
        <w:rPr>
          <w:rFonts w:hint="eastAsia"/>
          <w:color w:val="auto"/>
        </w:rPr>
        <w:t>附图7 项目信息公示截图</w:t>
      </w:r>
      <w:r>
        <w:rPr>
          <w:b/>
          <w:color w:val="auto"/>
          <w:sz w:val="28"/>
        </w:rPr>
        <w:br w:type="page"/>
      </w:r>
    </w:p>
    <w:p>
      <w:pPr>
        <w:pStyle w:val="15"/>
        <w:adjustRightInd/>
        <w:snapToGrid/>
        <w:ind w:left="481" w:leftChars="0" w:hanging="481" w:hangingChars="171"/>
        <w:contextualSpacing/>
        <w:jc w:val="center"/>
        <w:rPr>
          <w:b/>
          <w:color w:val="auto"/>
          <w:sz w:val="28"/>
        </w:rPr>
      </w:pPr>
      <w:r>
        <w:rPr>
          <w:b/>
          <w:color w:val="auto"/>
          <w:sz w:val="28"/>
        </w:rPr>
        <w:t>《建设项目环境影响报告表》编制说明</w:t>
      </w:r>
    </w:p>
    <w:p>
      <w:pPr>
        <w:spacing w:line="500" w:lineRule="atLeast"/>
        <w:ind w:firstLine="560"/>
        <w:rPr>
          <w:color w:val="auto"/>
          <w:sz w:val="28"/>
        </w:rPr>
      </w:pPr>
    </w:p>
    <w:p>
      <w:pPr>
        <w:adjustRightInd/>
        <w:snapToGrid/>
        <w:spacing w:line="500" w:lineRule="atLeast"/>
        <w:ind w:firstLine="560"/>
        <w:rPr>
          <w:color w:val="auto"/>
          <w:sz w:val="28"/>
        </w:rPr>
      </w:pPr>
      <w:r>
        <w:rPr>
          <w:color w:val="auto"/>
          <w:sz w:val="28"/>
        </w:rPr>
        <w:t>《建设项目环境影响报告表》由具有从事环境影响评价工作资质的单位编制。</w:t>
      </w:r>
    </w:p>
    <w:p>
      <w:pPr>
        <w:pStyle w:val="15"/>
        <w:numPr>
          <w:ilvl w:val="0"/>
          <w:numId w:val="1"/>
        </w:numPr>
        <w:adjustRightInd/>
        <w:snapToGrid/>
        <w:spacing w:line="500" w:lineRule="atLeast"/>
        <w:ind w:leftChars="0" w:firstLineChars="0"/>
        <w:contextualSpacing/>
        <w:rPr>
          <w:color w:val="auto"/>
          <w:sz w:val="28"/>
        </w:rPr>
      </w:pPr>
      <w:r>
        <w:rPr>
          <w:color w:val="auto"/>
          <w:sz w:val="28"/>
        </w:rPr>
        <w:t>项目名称——指项目立项批复时的名称，应不超过30个字（两个英文字段作一个汉字）。</w:t>
      </w:r>
    </w:p>
    <w:p>
      <w:pPr>
        <w:pStyle w:val="15"/>
        <w:numPr>
          <w:ilvl w:val="0"/>
          <w:numId w:val="1"/>
        </w:numPr>
        <w:adjustRightInd/>
        <w:snapToGrid/>
        <w:spacing w:line="500" w:lineRule="atLeast"/>
        <w:ind w:leftChars="0" w:firstLineChars="0"/>
        <w:contextualSpacing/>
        <w:rPr>
          <w:color w:val="auto"/>
          <w:sz w:val="28"/>
        </w:rPr>
      </w:pPr>
      <w:r>
        <w:rPr>
          <w:color w:val="auto"/>
          <w:sz w:val="28"/>
        </w:rPr>
        <w:t>建设地点——指项目所在地详细地址，公路、铁路应填写起止地点。</w:t>
      </w:r>
    </w:p>
    <w:p>
      <w:pPr>
        <w:pStyle w:val="15"/>
        <w:numPr>
          <w:ilvl w:val="0"/>
          <w:numId w:val="1"/>
        </w:numPr>
        <w:adjustRightInd/>
        <w:snapToGrid/>
        <w:spacing w:line="500" w:lineRule="atLeast"/>
        <w:ind w:leftChars="0" w:firstLineChars="0"/>
        <w:contextualSpacing/>
        <w:rPr>
          <w:color w:val="auto"/>
          <w:sz w:val="28"/>
        </w:rPr>
      </w:pPr>
      <w:r>
        <w:rPr>
          <w:color w:val="auto"/>
          <w:sz w:val="28"/>
        </w:rPr>
        <w:t>行业类别——按国标填写。</w:t>
      </w:r>
    </w:p>
    <w:p>
      <w:pPr>
        <w:pStyle w:val="15"/>
        <w:numPr>
          <w:ilvl w:val="0"/>
          <w:numId w:val="1"/>
        </w:numPr>
        <w:adjustRightInd/>
        <w:snapToGrid/>
        <w:spacing w:line="500" w:lineRule="atLeast"/>
        <w:ind w:leftChars="0" w:firstLineChars="0"/>
        <w:contextualSpacing/>
        <w:rPr>
          <w:color w:val="auto"/>
          <w:sz w:val="28"/>
        </w:rPr>
      </w:pPr>
      <w:r>
        <w:rPr>
          <w:color w:val="auto"/>
          <w:sz w:val="28"/>
        </w:rPr>
        <w:t>总投资——指项目投资总额。</w:t>
      </w:r>
    </w:p>
    <w:p>
      <w:pPr>
        <w:pStyle w:val="15"/>
        <w:numPr>
          <w:ilvl w:val="0"/>
          <w:numId w:val="1"/>
        </w:numPr>
        <w:adjustRightInd/>
        <w:snapToGrid/>
        <w:spacing w:line="500" w:lineRule="atLeast"/>
        <w:ind w:leftChars="0" w:firstLineChars="0"/>
        <w:contextualSpacing/>
        <w:rPr>
          <w:color w:val="auto"/>
          <w:sz w:val="28"/>
        </w:rPr>
      </w:pPr>
      <w:r>
        <w:rPr>
          <w:color w:val="auto"/>
          <w:sz w:val="28"/>
        </w:rPr>
        <w:t>主要环境保护目标——指项目区周围一定范围内集中居民住宅区、学校、医院、保护文物、风景名胜区、水源地和生态敏感点等，应尽可能给出保护目标、性质、规模和距厂界距离等。</w:t>
      </w:r>
    </w:p>
    <w:p>
      <w:pPr>
        <w:pStyle w:val="15"/>
        <w:numPr>
          <w:ilvl w:val="0"/>
          <w:numId w:val="1"/>
        </w:numPr>
        <w:adjustRightInd/>
        <w:snapToGrid/>
        <w:spacing w:line="500" w:lineRule="atLeast"/>
        <w:ind w:leftChars="0" w:firstLineChars="0"/>
        <w:contextualSpacing/>
        <w:rPr>
          <w:color w:val="auto"/>
          <w:sz w:val="28"/>
        </w:rPr>
      </w:pPr>
      <w:r>
        <w:rPr>
          <w:color w:val="auto"/>
          <w:sz w:val="28"/>
        </w:rPr>
        <w:t>结论与建议——给出本项目清洁生产、达标排放和总量控制的分析结论，确定污染防治措施的有效性，说明本项目对环境造成的影响，给出建设项目环境可行性的明确结论。同时提出减少环境影响的其他建议。</w:t>
      </w:r>
    </w:p>
    <w:p>
      <w:pPr>
        <w:pStyle w:val="15"/>
        <w:numPr>
          <w:ilvl w:val="0"/>
          <w:numId w:val="1"/>
        </w:numPr>
        <w:adjustRightInd/>
        <w:snapToGrid/>
        <w:spacing w:line="500" w:lineRule="atLeast"/>
        <w:ind w:leftChars="0" w:firstLineChars="0"/>
        <w:contextualSpacing/>
        <w:rPr>
          <w:color w:val="auto"/>
          <w:sz w:val="28"/>
        </w:rPr>
      </w:pPr>
      <w:r>
        <w:rPr>
          <w:color w:val="auto"/>
          <w:sz w:val="28"/>
        </w:rPr>
        <w:t>预审意见——由行业主管部门填写答复意见，无主管部门项目，可不填。</w:t>
      </w:r>
    </w:p>
    <w:p>
      <w:pPr>
        <w:pStyle w:val="15"/>
        <w:numPr>
          <w:ilvl w:val="0"/>
          <w:numId w:val="1"/>
        </w:numPr>
        <w:adjustRightInd/>
        <w:snapToGrid/>
        <w:spacing w:line="500" w:lineRule="atLeast"/>
        <w:ind w:leftChars="0" w:firstLineChars="0"/>
        <w:contextualSpacing/>
        <w:rPr>
          <w:color w:val="auto"/>
          <w:sz w:val="28"/>
        </w:rPr>
        <w:sectPr>
          <w:headerReference r:id="rId9" w:type="default"/>
          <w:footerReference r:id="rId10" w:type="default"/>
          <w:pgSz w:w="11906" w:h="16838"/>
          <w:pgMar w:top="1440" w:right="1800" w:bottom="1440" w:left="1800" w:header="851" w:footer="992" w:gutter="0"/>
          <w:pgNumType w:start="1"/>
          <w:cols w:space="720" w:num="1"/>
          <w:docGrid w:type="lines" w:linePitch="312" w:charSpace="0"/>
        </w:sectPr>
      </w:pPr>
      <w:r>
        <w:rPr>
          <w:color w:val="auto"/>
          <w:sz w:val="28"/>
        </w:rPr>
        <w:t>审批意见——由负责审批该项目的环境保护行政主管部门批复。</w:t>
      </w:r>
    </w:p>
    <w:p>
      <w:pPr>
        <w:pStyle w:val="4"/>
        <w:ind w:firstLine="0" w:firstLineChars="0"/>
        <w:contextualSpacing/>
        <w:jc w:val="both"/>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一、建设项目基本情况</w:t>
      </w:r>
      <w:bookmarkEnd w:id="1"/>
      <w:bookmarkEnd w:id="2"/>
    </w:p>
    <w:tbl>
      <w:tblPr>
        <w:tblStyle w:val="36"/>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1116"/>
        <w:gridCol w:w="1787"/>
        <w:gridCol w:w="1026"/>
        <w:gridCol w:w="870"/>
        <w:gridCol w:w="1389"/>
        <w:gridCol w:w="1474"/>
        <w:gridCol w:w="1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8"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项目名称</w:t>
            </w:r>
          </w:p>
        </w:tc>
        <w:tc>
          <w:tcPr>
            <w:tcW w:w="7965" w:type="dxa"/>
            <w:gridSpan w:val="6"/>
            <w:vAlign w:val="center"/>
          </w:tcPr>
          <w:p>
            <w:pPr>
              <w:adjustRightInd/>
              <w:snapToGrid/>
              <w:spacing w:line="240" w:lineRule="auto"/>
              <w:ind w:firstLine="0" w:firstLineChars="0"/>
              <w:contextualSpacing/>
              <w:jc w:val="center"/>
              <w:rPr>
                <w:color w:val="auto"/>
              </w:rPr>
            </w:pPr>
            <w:r>
              <w:rPr>
                <w:rFonts w:hint="eastAsia"/>
                <w:color w:val="auto"/>
              </w:rPr>
              <w:t>网络通讯机箱机柜、5G机房、监控操作台生产项目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1"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建设单位</w:t>
            </w:r>
          </w:p>
        </w:tc>
        <w:tc>
          <w:tcPr>
            <w:tcW w:w="7965" w:type="dxa"/>
            <w:gridSpan w:val="6"/>
            <w:vAlign w:val="center"/>
          </w:tcPr>
          <w:p>
            <w:pPr>
              <w:adjustRightInd/>
              <w:snapToGrid/>
              <w:spacing w:line="240" w:lineRule="auto"/>
              <w:ind w:firstLine="0" w:firstLineChars="0"/>
              <w:contextualSpacing/>
              <w:jc w:val="center"/>
              <w:rPr>
                <w:color w:val="auto"/>
              </w:rPr>
            </w:pPr>
            <w:r>
              <w:rPr>
                <w:rFonts w:hint="eastAsia"/>
                <w:color w:val="auto"/>
              </w:rPr>
              <w:t>昆明云茂通信设备有限责任公司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92"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法人代表</w:t>
            </w:r>
          </w:p>
        </w:tc>
        <w:tc>
          <w:tcPr>
            <w:tcW w:w="3683" w:type="dxa"/>
            <w:gridSpan w:val="3"/>
            <w:vAlign w:val="center"/>
          </w:tcPr>
          <w:p>
            <w:pPr>
              <w:adjustRightInd/>
              <w:snapToGrid/>
              <w:spacing w:line="240" w:lineRule="auto"/>
              <w:ind w:firstLine="0" w:firstLineChars="0"/>
              <w:contextualSpacing/>
              <w:jc w:val="center"/>
              <w:rPr>
                <w:color w:val="auto"/>
              </w:rPr>
            </w:pPr>
            <w:r>
              <w:rPr>
                <w:rFonts w:hint="eastAsia"/>
                <w:color w:val="auto"/>
              </w:rPr>
              <w:t>王天云</w:t>
            </w:r>
          </w:p>
        </w:tc>
        <w:tc>
          <w:tcPr>
            <w:tcW w:w="1389" w:type="dxa"/>
            <w:vAlign w:val="center"/>
          </w:tcPr>
          <w:p>
            <w:pPr>
              <w:adjustRightInd/>
              <w:snapToGrid/>
              <w:spacing w:line="240" w:lineRule="auto"/>
              <w:ind w:firstLine="0" w:firstLineChars="0"/>
              <w:contextualSpacing/>
              <w:jc w:val="center"/>
              <w:rPr>
                <w:color w:val="auto"/>
              </w:rPr>
            </w:pPr>
            <w:r>
              <w:rPr>
                <w:color w:val="auto"/>
              </w:rPr>
              <w:t>联系人</w:t>
            </w:r>
          </w:p>
        </w:tc>
        <w:tc>
          <w:tcPr>
            <w:tcW w:w="2893" w:type="dxa"/>
            <w:gridSpan w:val="2"/>
            <w:vAlign w:val="center"/>
          </w:tcPr>
          <w:p>
            <w:pPr>
              <w:adjustRightInd/>
              <w:snapToGrid/>
              <w:spacing w:line="240" w:lineRule="auto"/>
              <w:ind w:firstLine="0" w:firstLineChars="0"/>
              <w:contextualSpacing/>
              <w:jc w:val="center"/>
              <w:rPr>
                <w:color w:val="auto"/>
              </w:rPr>
            </w:pPr>
            <w:r>
              <w:rPr>
                <w:rFonts w:hint="eastAsia"/>
                <w:color w:val="auto"/>
              </w:rPr>
              <w:t>李星炜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80"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通讯地址</w:t>
            </w:r>
          </w:p>
        </w:tc>
        <w:tc>
          <w:tcPr>
            <w:tcW w:w="7965" w:type="dxa"/>
            <w:gridSpan w:val="6"/>
            <w:vAlign w:val="center"/>
          </w:tcPr>
          <w:p>
            <w:pPr>
              <w:adjustRightInd/>
              <w:snapToGrid/>
              <w:spacing w:line="240" w:lineRule="auto"/>
              <w:ind w:firstLine="0" w:firstLineChars="0"/>
              <w:contextualSpacing/>
              <w:jc w:val="center"/>
              <w:rPr>
                <w:color w:val="auto"/>
              </w:rPr>
            </w:pPr>
            <w:r>
              <w:rPr>
                <w:color w:val="auto"/>
              </w:rPr>
              <w:t>昆明市</w:t>
            </w:r>
            <w:r>
              <w:rPr>
                <w:rFonts w:hint="eastAsia"/>
                <w:color w:val="auto"/>
              </w:rPr>
              <w:t>富民工业园区大营五金建材园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74"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联系电话</w:t>
            </w:r>
          </w:p>
        </w:tc>
        <w:tc>
          <w:tcPr>
            <w:tcW w:w="2813" w:type="dxa"/>
            <w:gridSpan w:val="2"/>
            <w:vAlign w:val="center"/>
          </w:tcPr>
          <w:p>
            <w:pPr>
              <w:adjustRightInd/>
              <w:snapToGrid/>
              <w:spacing w:line="240" w:lineRule="auto"/>
              <w:ind w:firstLine="0" w:firstLineChars="0"/>
              <w:contextualSpacing/>
              <w:jc w:val="center"/>
              <w:rPr>
                <w:color w:val="auto"/>
              </w:rPr>
            </w:pPr>
            <w:r>
              <w:rPr>
                <w:rFonts w:hint="eastAsia"/>
                <w:color w:val="auto"/>
              </w:rPr>
              <w:t>13388804444</w:t>
            </w:r>
          </w:p>
        </w:tc>
        <w:tc>
          <w:tcPr>
            <w:tcW w:w="870" w:type="dxa"/>
            <w:vAlign w:val="center"/>
          </w:tcPr>
          <w:p>
            <w:pPr>
              <w:adjustRightInd/>
              <w:snapToGrid/>
              <w:spacing w:line="240" w:lineRule="auto"/>
              <w:ind w:firstLine="0" w:firstLineChars="0"/>
              <w:contextualSpacing/>
              <w:rPr>
                <w:color w:val="auto"/>
              </w:rPr>
            </w:pPr>
            <w:r>
              <w:rPr>
                <w:color w:val="auto"/>
              </w:rPr>
              <w:t>传真</w:t>
            </w:r>
          </w:p>
        </w:tc>
        <w:tc>
          <w:tcPr>
            <w:tcW w:w="1389" w:type="dxa"/>
            <w:vAlign w:val="center"/>
          </w:tcPr>
          <w:p>
            <w:pPr>
              <w:adjustRightInd/>
              <w:snapToGrid/>
              <w:spacing w:line="240" w:lineRule="auto"/>
              <w:ind w:firstLine="0" w:firstLineChars="0"/>
              <w:contextualSpacing/>
              <w:jc w:val="center"/>
              <w:rPr>
                <w:color w:val="auto"/>
              </w:rPr>
            </w:pPr>
            <w:r>
              <w:rPr>
                <w:color w:val="auto"/>
              </w:rPr>
              <w:t>——</w:t>
            </w:r>
          </w:p>
        </w:tc>
        <w:tc>
          <w:tcPr>
            <w:tcW w:w="1474" w:type="dxa"/>
            <w:vAlign w:val="center"/>
          </w:tcPr>
          <w:p>
            <w:pPr>
              <w:adjustRightInd/>
              <w:snapToGrid/>
              <w:spacing w:line="240" w:lineRule="auto"/>
              <w:ind w:firstLine="0" w:firstLineChars="0"/>
              <w:contextualSpacing/>
              <w:jc w:val="center"/>
              <w:rPr>
                <w:color w:val="auto"/>
              </w:rPr>
            </w:pPr>
            <w:r>
              <w:rPr>
                <w:color w:val="auto"/>
              </w:rPr>
              <w:t>邮政编码</w:t>
            </w:r>
          </w:p>
        </w:tc>
        <w:tc>
          <w:tcPr>
            <w:tcW w:w="1419" w:type="dxa"/>
            <w:vAlign w:val="center"/>
          </w:tcPr>
          <w:p>
            <w:pPr>
              <w:adjustRightInd/>
              <w:snapToGrid/>
              <w:spacing w:line="240" w:lineRule="auto"/>
              <w:ind w:firstLine="0" w:firstLineChars="0"/>
              <w:contextualSpacing/>
              <w:jc w:val="center"/>
              <w:rPr>
                <w:color w:val="auto"/>
              </w:rPr>
            </w:pPr>
            <w:r>
              <w:rPr>
                <w:color w:val="auto"/>
              </w:rPr>
              <w:t>6506</w:t>
            </w:r>
            <w:r>
              <w:rPr>
                <w:rFonts w:hint="eastAsia"/>
                <w:color w:val="auto"/>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47" w:hRule="atLeast"/>
          <w:jc w:val="center"/>
        </w:trPr>
        <w:tc>
          <w:tcPr>
            <w:tcW w:w="1116" w:type="dxa"/>
            <w:vAlign w:val="center"/>
          </w:tcPr>
          <w:p>
            <w:pPr>
              <w:adjustRightInd/>
              <w:snapToGrid/>
              <w:spacing w:line="240" w:lineRule="auto"/>
              <w:ind w:firstLine="0" w:firstLineChars="0"/>
              <w:contextualSpacing/>
              <w:jc w:val="center"/>
              <w:rPr>
                <w:color w:val="auto"/>
              </w:rPr>
            </w:pPr>
            <w:r>
              <w:rPr>
                <w:rFonts w:hint="eastAsia"/>
                <w:color w:val="auto"/>
              </w:rPr>
              <w:t>建设地点</w:t>
            </w:r>
          </w:p>
        </w:tc>
        <w:tc>
          <w:tcPr>
            <w:tcW w:w="7965" w:type="dxa"/>
            <w:gridSpan w:val="6"/>
            <w:vAlign w:val="center"/>
          </w:tcPr>
          <w:p>
            <w:pPr>
              <w:adjustRightInd/>
              <w:snapToGrid/>
              <w:spacing w:line="240" w:lineRule="auto"/>
              <w:ind w:firstLine="0" w:firstLineChars="0"/>
              <w:contextualSpacing/>
              <w:jc w:val="center"/>
              <w:rPr>
                <w:color w:val="auto"/>
              </w:rPr>
            </w:pPr>
            <w:r>
              <w:rPr>
                <w:rFonts w:hint="eastAsia"/>
                <w:color w:val="auto"/>
              </w:rPr>
              <w:t>昆明市富民工业园区大营五金建材园昆明力线电缆制造有限公司厂房内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09"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立项</w:t>
            </w:r>
          </w:p>
          <w:p>
            <w:pPr>
              <w:adjustRightInd/>
              <w:snapToGrid/>
              <w:spacing w:line="240" w:lineRule="auto"/>
              <w:ind w:firstLine="0" w:firstLineChars="0"/>
              <w:contextualSpacing/>
              <w:jc w:val="center"/>
              <w:rPr>
                <w:color w:val="auto"/>
              </w:rPr>
            </w:pPr>
            <w:r>
              <w:rPr>
                <w:color w:val="auto"/>
              </w:rPr>
              <w:t>审批部门</w:t>
            </w:r>
          </w:p>
        </w:tc>
        <w:tc>
          <w:tcPr>
            <w:tcW w:w="3683" w:type="dxa"/>
            <w:gridSpan w:val="3"/>
            <w:vAlign w:val="center"/>
          </w:tcPr>
          <w:p>
            <w:pPr>
              <w:adjustRightInd/>
              <w:snapToGrid/>
              <w:spacing w:line="240" w:lineRule="auto"/>
              <w:ind w:firstLine="0" w:firstLineChars="0"/>
              <w:contextualSpacing/>
              <w:jc w:val="center"/>
              <w:rPr>
                <w:color w:val="auto"/>
              </w:rPr>
            </w:pPr>
            <w:r>
              <w:rPr>
                <w:color w:val="auto"/>
              </w:rPr>
              <w:t>昆明市</w:t>
            </w:r>
            <w:r>
              <w:rPr>
                <w:rFonts w:hint="eastAsia"/>
                <w:color w:val="auto"/>
                <w:lang w:val="en-US" w:eastAsia="zh-CN"/>
              </w:rPr>
              <w:t>富民县</w:t>
            </w:r>
            <w:r>
              <w:rPr>
                <w:color w:val="auto"/>
              </w:rPr>
              <w:t>发展和改革局</w:t>
            </w:r>
          </w:p>
        </w:tc>
        <w:tc>
          <w:tcPr>
            <w:tcW w:w="1389" w:type="dxa"/>
            <w:vAlign w:val="center"/>
          </w:tcPr>
          <w:p>
            <w:pPr>
              <w:adjustRightInd/>
              <w:snapToGrid/>
              <w:spacing w:line="240" w:lineRule="auto"/>
              <w:ind w:firstLine="0" w:firstLineChars="0"/>
              <w:contextualSpacing/>
              <w:jc w:val="center"/>
              <w:rPr>
                <w:rFonts w:hint="eastAsia" w:eastAsia="宋体"/>
                <w:color w:val="auto"/>
                <w:lang w:eastAsia="zh-CN"/>
              </w:rPr>
            </w:pPr>
            <w:r>
              <w:rPr>
                <w:rFonts w:hint="eastAsia"/>
                <w:color w:val="auto"/>
                <w:lang w:val="en-US" w:eastAsia="zh-CN"/>
              </w:rPr>
              <w:t>项目代码</w:t>
            </w:r>
          </w:p>
        </w:tc>
        <w:tc>
          <w:tcPr>
            <w:tcW w:w="2893" w:type="dxa"/>
            <w:gridSpan w:val="2"/>
            <w:vAlign w:val="center"/>
          </w:tcPr>
          <w:p>
            <w:pPr>
              <w:adjustRightInd/>
              <w:snapToGrid/>
              <w:spacing w:line="240" w:lineRule="auto"/>
              <w:ind w:firstLine="0" w:firstLineChars="0"/>
              <w:contextualSpacing/>
              <w:jc w:val="center"/>
              <w:rPr>
                <w:color w:val="auto"/>
              </w:rPr>
            </w:pPr>
            <w:r>
              <w:rPr>
                <w:rFonts w:hint="eastAsia"/>
                <w:color w:val="auto"/>
              </w:rPr>
              <w:t>2101-530124-04-01-516299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7"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建设性质</w:t>
            </w:r>
          </w:p>
        </w:tc>
        <w:tc>
          <w:tcPr>
            <w:tcW w:w="3683" w:type="dxa"/>
            <w:gridSpan w:val="3"/>
            <w:vAlign w:val="center"/>
          </w:tcPr>
          <w:p>
            <w:pPr>
              <w:adjustRightInd/>
              <w:snapToGrid/>
              <w:spacing w:line="240" w:lineRule="auto"/>
              <w:ind w:firstLine="0" w:firstLineChars="0"/>
              <w:contextualSpacing/>
              <w:jc w:val="center"/>
              <w:rPr>
                <w:color w:val="auto"/>
              </w:rPr>
            </w:pPr>
            <w:r>
              <w:rPr>
                <w:color w:val="auto"/>
              </w:rPr>
              <w:t>新建</w:t>
            </w:r>
            <w:r>
              <w:rPr>
                <w:color w:val="auto"/>
                <w:szCs w:val="21"/>
              </w:rPr>
              <w:sym w:font="Wingdings 2" w:char="0052"/>
            </w:r>
            <w:r>
              <w:rPr>
                <w:color w:val="auto"/>
              </w:rPr>
              <w:t>改扩建□技改□</w:t>
            </w:r>
          </w:p>
        </w:tc>
        <w:tc>
          <w:tcPr>
            <w:tcW w:w="1389" w:type="dxa"/>
            <w:vAlign w:val="center"/>
          </w:tcPr>
          <w:p>
            <w:pPr>
              <w:adjustRightInd/>
              <w:snapToGrid/>
              <w:spacing w:line="240" w:lineRule="auto"/>
              <w:ind w:firstLine="0" w:firstLineChars="0"/>
              <w:contextualSpacing/>
              <w:jc w:val="center"/>
              <w:rPr>
                <w:color w:val="auto"/>
              </w:rPr>
            </w:pPr>
            <w:r>
              <w:rPr>
                <w:color w:val="auto"/>
              </w:rPr>
              <w:t>行业类别</w:t>
            </w:r>
          </w:p>
          <w:p>
            <w:pPr>
              <w:adjustRightInd/>
              <w:snapToGrid/>
              <w:spacing w:line="240" w:lineRule="auto"/>
              <w:ind w:firstLine="0" w:firstLineChars="0"/>
              <w:contextualSpacing/>
              <w:jc w:val="center"/>
              <w:rPr>
                <w:color w:val="auto"/>
              </w:rPr>
            </w:pPr>
            <w:r>
              <w:rPr>
                <w:color w:val="auto"/>
              </w:rPr>
              <w:t>及代码</w:t>
            </w:r>
          </w:p>
        </w:tc>
        <w:tc>
          <w:tcPr>
            <w:tcW w:w="2893" w:type="dxa"/>
            <w:gridSpan w:val="2"/>
            <w:vAlign w:val="center"/>
          </w:tcPr>
          <w:p>
            <w:pPr>
              <w:adjustRightInd/>
              <w:snapToGrid/>
              <w:spacing w:line="240" w:lineRule="auto"/>
              <w:ind w:firstLine="0" w:firstLineChars="0"/>
              <w:contextualSpacing/>
              <w:jc w:val="center"/>
              <w:rPr>
                <w:color w:val="auto"/>
              </w:rPr>
            </w:pPr>
            <w:r>
              <w:rPr>
                <w:rFonts w:hint="eastAsia"/>
                <w:color w:val="auto"/>
              </w:rPr>
              <w:t>金属结构制造（C3311）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9"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占地面积</w:t>
            </w:r>
          </w:p>
          <w:p>
            <w:pPr>
              <w:adjustRightInd/>
              <w:snapToGrid/>
              <w:spacing w:line="240" w:lineRule="auto"/>
              <w:ind w:firstLine="0" w:firstLineChars="0"/>
              <w:contextualSpacing/>
              <w:jc w:val="center"/>
              <w:rPr>
                <w:color w:val="auto"/>
              </w:rPr>
            </w:pPr>
            <w:r>
              <w:rPr>
                <w:color w:val="auto"/>
              </w:rPr>
              <w:t>(平方米)</w:t>
            </w:r>
          </w:p>
        </w:tc>
        <w:tc>
          <w:tcPr>
            <w:tcW w:w="3683" w:type="dxa"/>
            <w:gridSpan w:val="3"/>
            <w:vAlign w:val="center"/>
          </w:tcPr>
          <w:p>
            <w:pPr>
              <w:adjustRightInd/>
              <w:snapToGrid/>
              <w:spacing w:line="240" w:lineRule="auto"/>
              <w:ind w:firstLine="0" w:firstLineChars="0"/>
              <w:contextualSpacing/>
              <w:jc w:val="center"/>
              <w:rPr>
                <w:color w:val="auto"/>
              </w:rPr>
            </w:pPr>
            <w:r>
              <w:rPr>
                <w:rFonts w:hint="eastAsia"/>
                <w:color w:val="auto"/>
              </w:rPr>
              <w:t>1500</w:t>
            </w:r>
          </w:p>
        </w:tc>
        <w:tc>
          <w:tcPr>
            <w:tcW w:w="1389" w:type="dxa"/>
            <w:vAlign w:val="center"/>
          </w:tcPr>
          <w:p>
            <w:pPr>
              <w:adjustRightInd/>
              <w:snapToGrid/>
              <w:spacing w:line="240" w:lineRule="auto"/>
              <w:ind w:firstLine="0" w:firstLineChars="0"/>
              <w:contextualSpacing/>
              <w:jc w:val="center"/>
              <w:rPr>
                <w:color w:val="auto"/>
              </w:rPr>
            </w:pPr>
            <w:r>
              <w:rPr>
                <w:rFonts w:hint="eastAsia"/>
                <w:color w:val="auto"/>
              </w:rPr>
              <w:t>绿化面积</w:t>
            </w:r>
            <w:r>
              <w:rPr>
                <w:color w:val="auto"/>
              </w:rPr>
              <w:t>(平方米)</w:t>
            </w:r>
          </w:p>
        </w:tc>
        <w:tc>
          <w:tcPr>
            <w:tcW w:w="2893" w:type="dxa"/>
            <w:gridSpan w:val="2"/>
            <w:vAlign w:val="center"/>
          </w:tcPr>
          <w:p>
            <w:pPr>
              <w:adjustRightInd/>
              <w:snapToGrid/>
              <w:spacing w:line="240" w:lineRule="auto"/>
              <w:ind w:firstLine="0" w:firstLineChars="0"/>
              <w:contextualSpacing/>
              <w:jc w:val="center"/>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总投资</w:t>
            </w:r>
          </w:p>
          <w:p>
            <w:pPr>
              <w:adjustRightInd/>
              <w:snapToGrid/>
              <w:spacing w:line="240" w:lineRule="auto"/>
              <w:ind w:firstLine="0" w:firstLineChars="0"/>
              <w:contextualSpacing/>
              <w:jc w:val="center"/>
              <w:rPr>
                <w:color w:val="auto"/>
              </w:rPr>
            </w:pPr>
            <w:r>
              <w:rPr>
                <w:color w:val="auto"/>
              </w:rPr>
              <w:t>(万元)</w:t>
            </w:r>
          </w:p>
        </w:tc>
        <w:tc>
          <w:tcPr>
            <w:tcW w:w="1787" w:type="dxa"/>
            <w:vAlign w:val="center"/>
          </w:tcPr>
          <w:p>
            <w:pPr>
              <w:adjustRightInd/>
              <w:snapToGrid/>
              <w:spacing w:line="240" w:lineRule="auto"/>
              <w:ind w:firstLine="0" w:firstLineChars="0"/>
              <w:contextualSpacing/>
              <w:jc w:val="center"/>
              <w:rPr>
                <w:color w:val="auto"/>
              </w:rPr>
            </w:pPr>
            <w:r>
              <w:rPr>
                <w:rFonts w:hint="eastAsia"/>
                <w:color w:val="auto"/>
              </w:rPr>
              <w:t>1000</w:t>
            </w:r>
          </w:p>
        </w:tc>
        <w:tc>
          <w:tcPr>
            <w:tcW w:w="1896" w:type="dxa"/>
            <w:gridSpan w:val="2"/>
            <w:vAlign w:val="center"/>
          </w:tcPr>
          <w:p>
            <w:pPr>
              <w:adjustRightInd/>
              <w:snapToGrid/>
              <w:spacing w:line="240" w:lineRule="auto"/>
              <w:ind w:firstLine="0" w:firstLineChars="0"/>
              <w:contextualSpacing/>
              <w:jc w:val="center"/>
              <w:rPr>
                <w:color w:val="auto"/>
              </w:rPr>
            </w:pPr>
            <w:r>
              <w:rPr>
                <w:color w:val="auto"/>
              </w:rPr>
              <w:t>其中：环保</w:t>
            </w:r>
          </w:p>
          <w:p>
            <w:pPr>
              <w:adjustRightInd/>
              <w:snapToGrid/>
              <w:spacing w:line="240" w:lineRule="auto"/>
              <w:ind w:firstLine="0" w:firstLineChars="0"/>
              <w:contextualSpacing/>
              <w:jc w:val="center"/>
              <w:rPr>
                <w:color w:val="auto"/>
              </w:rPr>
            </w:pPr>
            <w:r>
              <w:rPr>
                <w:color w:val="auto"/>
              </w:rPr>
              <w:t>投资(万元)</w:t>
            </w:r>
          </w:p>
        </w:tc>
        <w:tc>
          <w:tcPr>
            <w:tcW w:w="1389" w:type="dxa"/>
            <w:vAlign w:val="center"/>
          </w:tcPr>
          <w:p>
            <w:pPr>
              <w:adjustRightInd/>
              <w:snapToGrid/>
              <w:spacing w:line="240" w:lineRule="auto"/>
              <w:ind w:firstLine="0" w:firstLineChars="0"/>
              <w:contextualSpacing/>
              <w:jc w:val="center"/>
              <w:rPr>
                <w:color w:val="auto"/>
              </w:rPr>
            </w:pPr>
            <w:r>
              <w:rPr>
                <w:rFonts w:hint="eastAsia"/>
                <w:color w:val="auto"/>
              </w:rPr>
              <w:t>2</w:t>
            </w:r>
            <w:r>
              <w:rPr>
                <w:rFonts w:hint="eastAsia"/>
                <w:color w:val="auto"/>
                <w:lang w:val="en-US" w:eastAsia="zh-CN"/>
              </w:rPr>
              <w:t>9</w:t>
            </w:r>
            <w:r>
              <w:rPr>
                <w:rFonts w:hint="eastAsia"/>
                <w:color w:val="auto"/>
              </w:rPr>
              <w:t>.5</w:t>
            </w:r>
          </w:p>
        </w:tc>
        <w:tc>
          <w:tcPr>
            <w:tcW w:w="1474" w:type="dxa"/>
            <w:vAlign w:val="center"/>
          </w:tcPr>
          <w:p>
            <w:pPr>
              <w:adjustRightInd/>
              <w:snapToGrid/>
              <w:spacing w:line="240" w:lineRule="auto"/>
              <w:ind w:firstLine="0" w:firstLineChars="0"/>
              <w:contextualSpacing/>
              <w:jc w:val="center"/>
              <w:rPr>
                <w:color w:val="auto"/>
              </w:rPr>
            </w:pPr>
            <w:r>
              <w:rPr>
                <w:color w:val="auto"/>
              </w:rPr>
              <w:t>环保投资占总投资比例</w:t>
            </w:r>
          </w:p>
        </w:tc>
        <w:tc>
          <w:tcPr>
            <w:tcW w:w="1419" w:type="dxa"/>
            <w:vAlign w:val="center"/>
          </w:tcPr>
          <w:p>
            <w:pPr>
              <w:adjustRightInd/>
              <w:snapToGrid/>
              <w:spacing w:line="240" w:lineRule="auto"/>
              <w:ind w:firstLine="0" w:firstLineChars="0"/>
              <w:contextualSpacing/>
              <w:jc w:val="center"/>
              <w:rPr>
                <w:color w:val="auto"/>
              </w:rPr>
            </w:pPr>
            <w:r>
              <w:rPr>
                <w:rFonts w:hint="eastAsia"/>
                <w:color w:val="auto"/>
              </w:rPr>
              <w:t>2.</w:t>
            </w:r>
            <w:r>
              <w:rPr>
                <w:rFonts w:hint="eastAsia"/>
                <w:color w:val="auto"/>
                <w:lang w:val="en-US" w:eastAsia="zh-CN"/>
              </w:rPr>
              <w:t>9</w:t>
            </w:r>
            <w:r>
              <w:rPr>
                <w:rFonts w:hint="eastAsia"/>
                <w:color w:val="auto"/>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4" w:hRule="atLeast"/>
          <w:jc w:val="center"/>
        </w:trPr>
        <w:tc>
          <w:tcPr>
            <w:tcW w:w="1116" w:type="dxa"/>
            <w:vAlign w:val="center"/>
          </w:tcPr>
          <w:p>
            <w:pPr>
              <w:adjustRightInd/>
              <w:snapToGrid/>
              <w:spacing w:line="240" w:lineRule="auto"/>
              <w:ind w:firstLine="0" w:firstLineChars="0"/>
              <w:contextualSpacing/>
              <w:jc w:val="center"/>
              <w:rPr>
                <w:color w:val="auto"/>
              </w:rPr>
            </w:pPr>
            <w:r>
              <w:rPr>
                <w:color w:val="auto"/>
              </w:rPr>
              <w:t>评价经费</w:t>
            </w:r>
          </w:p>
          <w:p>
            <w:pPr>
              <w:adjustRightInd/>
              <w:snapToGrid/>
              <w:spacing w:line="240" w:lineRule="auto"/>
              <w:ind w:firstLine="0" w:firstLineChars="0"/>
              <w:contextualSpacing/>
              <w:jc w:val="center"/>
              <w:rPr>
                <w:color w:val="auto"/>
              </w:rPr>
            </w:pPr>
            <w:r>
              <w:rPr>
                <w:color w:val="auto"/>
              </w:rPr>
              <w:t>(万元)</w:t>
            </w:r>
          </w:p>
        </w:tc>
        <w:tc>
          <w:tcPr>
            <w:tcW w:w="1787" w:type="dxa"/>
            <w:vAlign w:val="center"/>
          </w:tcPr>
          <w:p>
            <w:pPr>
              <w:adjustRightInd/>
              <w:snapToGrid/>
              <w:spacing w:line="240" w:lineRule="auto"/>
              <w:ind w:firstLine="0" w:firstLineChars="0"/>
              <w:contextualSpacing/>
              <w:jc w:val="center"/>
              <w:rPr>
                <w:color w:val="auto"/>
              </w:rPr>
            </w:pPr>
            <w:r>
              <w:rPr>
                <w:color w:val="auto"/>
              </w:rPr>
              <w:t>/</w:t>
            </w:r>
          </w:p>
        </w:tc>
        <w:tc>
          <w:tcPr>
            <w:tcW w:w="1896" w:type="dxa"/>
            <w:gridSpan w:val="2"/>
            <w:vAlign w:val="center"/>
          </w:tcPr>
          <w:p>
            <w:pPr>
              <w:adjustRightInd/>
              <w:snapToGrid/>
              <w:spacing w:line="240" w:lineRule="auto"/>
              <w:ind w:firstLine="0" w:firstLineChars="0"/>
              <w:contextualSpacing/>
              <w:jc w:val="center"/>
              <w:rPr>
                <w:color w:val="auto"/>
              </w:rPr>
            </w:pPr>
            <w:r>
              <w:rPr>
                <w:color w:val="auto"/>
              </w:rPr>
              <w:t>预计投产日期</w:t>
            </w:r>
          </w:p>
        </w:tc>
        <w:tc>
          <w:tcPr>
            <w:tcW w:w="4282" w:type="dxa"/>
            <w:gridSpan w:val="3"/>
            <w:vAlign w:val="center"/>
          </w:tcPr>
          <w:p>
            <w:pPr>
              <w:adjustRightInd/>
              <w:snapToGrid/>
              <w:spacing w:line="240" w:lineRule="auto"/>
              <w:ind w:firstLine="0" w:firstLineChars="0"/>
              <w:contextualSpacing/>
              <w:jc w:val="center"/>
              <w:rPr>
                <w:color w:val="auto"/>
              </w:rPr>
            </w:pPr>
            <w:r>
              <w:rPr>
                <w:rFonts w:hint="eastAsia"/>
                <w:color w:val="auto"/>
              </w:rPr>
              <w:t>2021</w:t>
            </w:r>
            <w:r>
              <w:rPr>
                <w:color w:val="auto"/>
              </w:rPr>
              <w:t>年</w:t>
            </w:r>
            <w:r>
              <w:rPr>
                <w:rFonts w:hint="eastAsia"/>
                <w:color w:val="auto"/>
                <w:lang w:val="en-US" w:eastAsia="zh-CN"/>
              </w:rPr>
              <w:t>8</w:t>
            </w:r>
            <w:r>
              <w:rPr>
                <w:color w:val="auto"/>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23" w:hRule="atLeast"/>
          <w:jc w:val="center"/>
        </w:trPr>
        <w:tc>
          <w:tcPr>
            <w:tcW w:w="9081" w:type="dxa"/>
            <w:gridSpan w:val="7"/>
            <w:vAlign w:val="center"/>
          </w:tcPr>
          <w:p>
            <w:pPr>
              <w:adjustRightInd/>
              <w:snapToGrid/>
              <w:ind w:firstLine="480"/>
              <w:contextualSpacing/>
              <w:rPr>
                <w:color w:val="auto"/>
              </w:rPr>
            </w:pPr>
            <w:r>
              <w:rPr>
                <w:color w:val="auto"/>
              </w:rPr>
              <w:t>工程内容及规模：</w:t>
            </w:r>
          </w:p>
          <w:p>
            <w:pPr>
              <w:adjustRightInd/>
              <w:snapToGrid/>
              <w:ind w:firstLine="480"/>
              <w:contextualSpacing/>
              <w:rPr>
                <w:color w:val="auto"/>
              </w:rPr>
            </w:pPr>
            <w:r>
              <w:rPr>
                <w:color w:val="auto"/>
              </w:rPr>
              <w:t>1、项目背景及由来</w:t>
            </w:r>
          </w:p>
          <w:p>
            <w:pPr>
              <w:widowControl/>
              <w:ind w:firstLine="480"/>
              <w:contextualSpacing/>
              <w:rPr>
                <w:color w:val="auto"/>
              </w:rPr>
            </w:pPr>
            <w:r>
              <w:rPr>
                <w:rFonts w:hint="eastAsia"/>
                <w:color w:val="auto"/>
              </w:rPr>
              <w:t>5G通信及信息化等战略性新兴产业逐渐成为我国的重要经济增长点，并在未来很长段时间内保持如此态势。其次，通信及信息战略性新兴产业的发展将在“十四五”期间对传统产业的升级改造中发挥重要作用。在此背景下，昆明云茂通信设备有限责任公司租用昆明市富民工业园区大营—茨塘片区大营五金建材园昆明力线电缆制造有限公司的部分生产厂房，进行“网络通讯机箱机柜、5G机房、监控操作台生产项目”（以下简称本项目），项目建设后年产网络机箱机柜产品1500台，5G机房800座，监控操作台1000台</w:t>
            </w:r>
            <w:r>
              <w:rPr>
                <w:color w:val="auto"/>
              </w:rPr>
              <w:t>。</w:t>
            </w:r>
          </w:p>
          <w:p>
            <w:pPr>
              <w:widowControl/>
              <w:adjustRightInd/>
              <w:ind w:firstLine="480"/>
              <w:contextualSpacing/>
              <w:rPr>
                <w:color w:val="auto"/>
              </w:rPr>
            </w:pPr>
            <w:r>
              <w:rPr>
                <w:rFonts w:hint="eastAsia"/>
                <w:color w:val="auto"/>
              </w:rPr>
              <w:t>根据《中华人民共和国环境影响评价法》，项目建设单位需开展环境影响评价工作。根据《建设项目环境影响评价分类管理名录》（2021年版）中三十、金属制品业第66项结构性金属制品制造33</w:t>
            </w:r>
            <w:bookmarkStart w:id="26" w:name="_GoBack"/>
            <w:bookmarkEnd w:id="26"/>
            <w:r>
              <w:rPr>
                <w:rFonts w:hint="eastAsia"/>
                <w:color w:val="auto"/>
              </w:rPr>
              <w:t>1，有电镀工艺的；年用溶剂型涂料（含稀释剂）10吨及以上的应编制环境影响报告书，其他（仅分割、焊接、组装的除外；年用非溶剂型低VOCs含量涂料10吨以下的除外）应编制环境影响评价报告表，仅分割、焊接、组装的应编制环境影响登记表。本项目主要进行网络机箱机柜、5G机房、监控操作台加工，无电镀、喷漆工艺，有喷塑、固化等工艺，属于其他，需编制环境影响报告表。</w:t>
            </w:r>
          </w:p>
          <w:p>
            <w:pPr>
              <w:widowControl/>
              <w:ind w:firstLine="480"/>
              <w:contextualSpacing/>
              <w:rPr>
                <w:color w:val="auto"/>
              </w:rPr>
            </w:pPr>
            <w:r>
              <w:rPr>
                <w:color w:val="auto"/>
              </w:rPr>
              <w:t>为此，</w:t>
            </w:r>
            <w:r>
              <w:rPr>
                <w:rFonts w:hint="eastAsia"/>
                <w:color w:val="auto"/>
              </w:rPr>
              <w:t>昆明云茂通信设备有限责任公司（以下简称“</w:t>
            </w:r>
            <w:r>
              <w:rPr>
                <w:color w:val="auto"/>
              </w:rPr>
              <w:t>建设单位</w:t>
            </w:r>
            <w:r>
              <w:rPr>
                <w:rFonts w:hint="eastAsia"/>
                <w:color w:val="auto"/>
              </w:rPr>
              <w:t>”）</w:t>
            </w:r>
            <w:r>
              <w:rPr>
                <w:color w:val="auto"/>
              </w:rPr>
              <w:t>委托</w:t>
            </w:r>
            <w:r>
              <w:rPr>
                <w:rFonts w:hint="eastAsia"/>
                <w:color w:val="auto"/>
              </w:rPr>
              <w:t>云南绿蓝环境科技有限公司</w:t>
            </w:r>
            <w:r>
              <w:rPr>
                <w:color w:val="auto"/>
              </w:rPr>
              <w:t>为</w:t>
            </w:r>
            <w:r>
              <w:rPr>
                <w:rFonts w:hint="eastAsia"/>
                <w:color w:val="auto"/>
              </w:rPr>
              <w:t>本项目</w:t>
            </w:r>
            <w:r>
              <w:rPr>
                <w:color w:val="auto"/>
              </w:rPr>
              <w:t>编制环境影响报告表（附件1）。环评单位接受委托后，开展了现场踏勘、资料的收集和整理工作。在掌握了充分的资料数据基础上，对有关环境现状和可能产生的环境影响进行分析，根据国家建设项目环境管理的有关规定，按照环境影响评价有关技术规范，编制完成《</w:t>
            </w:r>
            <w:r>
              <w:rPr>
                <w:rFonts w:hint="eastAsia"/>
                <w:color w:val="auto"/>
              </w:rPr>
              <w:t>网络通讯机箱机柜、5G机房、监控操作台生产项目</w:t>
            </w:r>
            <w:r>
              <w:rPr>
                <w:color w:val="auto"/>
              </w:rPr>
              <w:t>环境影响报告表》</w:t>
            </w:r>
            <w:r>
              <w:rPr>
                <w:rFonts w:hint="eastAsia"/>
                <w:color w:val="auto"/>
              </w:rPr>
              <w:t>（送审稿）</w:t>
            </w:r>
            <w:r>
              <w:rPr>
                <w:color w:val="auto"/>
              </w:rPr>
              <w:t>，供建设单位上报行政主管部门审批，并作为环境管理的依据。</w:t>
            </w:r>
          </w:p>
          <w:p>
            <w:pPr>
              <w:adjustRightInd/>
              <w:snapToGrid/>
              <w:ind w:firstLine="480"/>
              <w:contextualSpacing/>
              <w:rPr>
                <w:color w:val="auto"/>
              </w:rPr>
            </w:pPr>
            <w:r>
              <w:rPr>
                <w:color w:val="auto"/>
              </w:rPr>
              <w:t>2、项目建设内容及规模</w:t>
            </w:r>
          </w:p>
          <w:p>
            <w:pPr>
              <w:adjustRightInd/>
              <w:snapToGrid/>
              <w:ind w:firstLine="480"/>
              <w:contextualSpacing/>
              <w:rPr>
                <w:color w:val="auto"/>
              </w:rPr>
            </w:pPr>
            <w:r>
              <w:rPr>
                <w:color w:val="auto"/>
              </w:rPr>
              <w:t>（1）项目基本情况</w:t>
            </w:r>
          </w:p>
          <w:p>
            <w:pPr>
              <w:ind w:firstLine="480"/>
              <w:contextualSpacing/>
              <w:rPr>
                <w:color w:val="auto"/>
              </w:rPr>
            </w:pPr>
            <w:r>
              <w:rPr>
                <w:color w:val="auto"/>
              </w:rPr>
              <w:t>①项目名称：</w:t>
            </w:r>
            <w:r>
              <w:rPr>
                <w:rFonts w:hint="eastAsia"/>
                <w:color w:val="auto"/>
              </w:rPr>
              <w:t>网络通讯机箱机柜、5G机房、监控操作台生产项目</w:t>
            </w:r>
          </w:p>
          <w:p>
            <w:pPr>
              <w:ind w:firstLine="480"/>
              <w:contextualSpacing/>
              <w:rPr>
                <w:color w:val="auto"/>
              </w:rPr>
            </w:pPr>
            <w:r>
              <w:rPr>
                <w:color w:val="auto"/>
              </w:rPr>
              <w:t>②建设地点：</w:t>
            </w:r>
            <w:r>
              <w:rPr>
                <w:rFonts w:hint="eastAsia"/>
                <w:color w:val="auto"/>
              </w:rPr>
              <w:t>昆明市富民工业园区大营—茨塘片区大营五金建材园昆明力线电缆制造有限公司厂房内</w:t>
            </w:r>
          </w:p>
          <w:p>
            <w:pPr>
              <w:ind w:firstLine="480"/>
              <w:contextualSpacing/>
              <w:rPr>
                <w:color w:val="auto"/>
              </w:rPr>
            </w:pPr>
            <w:r>
              <w:rPr>
                <w:color w:val="auto"/>
              </w:rPr>
              <w:t>③建设单位：</w:t>
            </w:r>
            <w:r>
              <w:rPr>
                <w:rFonts w:hint="eastAsia"/>
                <w:color w:val="auto"/>
              </w:rPr>
              <w:t>昆明云茂通信设备有限责任公司</w:t>
            </w:r>
          </w:p>
          <w:p>
            <w:pPr>
              <w:ind w:firstLine="480"/>
              <w:contextualSpacing/>
              <w:rPr>
                <w:color w:val="auto"/>
              </w:rPr>
            </w:pPr>
            <w:r>
              <w:rPr>
                <w:color w:val="auto"/>
              </w:rPr>
              <w:t>④占地面积：</w:t>
            </w:r>
            <w:r>
              <w:rPr>
                <w:rFonts w:hint="eastAsia"/>
                <w:color w:val="auto"/>
              </w:rPr>
              <w:t>1500</w:t>
            </w:r>
            <w:r>
              <w:rPr>
                <w:color w:val="auto"/>
              </w:rPr>
              <w:t>m</w:t>
            </w:r>
            <w:r>
              <w:rPr>
                <w:color w:val="auto"/>
                <w:vertAlign w:val="superscript"/>
              </w:rPr>
              <w:t>2</w:t>
            </w:r>
          </w:p>
          <w:p>
            <w:pPr>
              <w:ind w:firstLine="480"/>
              <w:contextualSpacing/>
              <w:rPr>
                <w:color w:val="auto"/>
              </w:rPr>
            </w:pPr>
            <w:r>
              <w:rPr>
                <w:color w:val="auto"/>
              </w:rPr>
              <w:t>⑤总建筑面积：</w:t>
            </w:r>
            <w:r>
              <w:rPr>
                <w:rFonts w:hint="eastAsia"/>
                <w:color w:val="auto"/>
              </w:rPr>
              <w:t>1680</w:t>
            </w:r>
            <w:r>
              <w:rPr>
                <w:color w:val="auto"/>
              </w:rPr>
              <w:t>m</w:t>
            </w:r>
            <w:r>
              <w:rPr>
                <w:color w:val="auto"/>
                <w:vertAlign w:val="superscript"/>
              </w:rPr>
              <w:t>2</w:t>
            </w:r>
          </w:p>
          <w:p>
            <w:pPr>
              <w:ind w:firstLine="480"/>
              <w:contextualSpacing/>
              <w:rPr>
                <w:color w:val="auto"/>
              </w:rPr>
            </w:pPr>
            <w:r>
              <w:rPr>
                <w:color w:val="auto"/>
              </w:rPr>
              <w:fldChar w:fldCharType="begin"/>
            </w:r>
            <w:r>
              <w:rPr>
                <w:color w:val="auto"/>
              </w:rPr>
              <w:instrText xml:space="preserve"> = 6 \* GB3 \* MERGEFORMAT </w:instrText>
            </w:r>
            <w:r>
              <w:rPr>
                <w:color w:val="auto"/>
              </w:rPr>
              <w:fldChar w:fldCharType="separate"/>
            </w:r>
            <w:r>
              <w:rPr>
                <w:color w:val="auto"/>
              </w:rPr>
              <w:t>⑥</w:t>
            </w:r>
            <w:r>
              <w:rPr>
                <w:color w:val="auto"/>
              </w:rPr>
              <w:fldChar w:fldCharType="end"/>
            </w:r>
            <w:r>
              <w:rPr>
                <w:color w:val="auto"/>
              </w:rPr>
              <w:t>建设性质：新建</w:t>
            </w:r>
          </w:p>
          <w:p>
            <w:pPr>
              <w:ind w:firstLine="480"/>
              <w:contextualSpacing/>
              <w:rPr>
                <w:color w:val="auto"/>
              </w:rPr>
            </w:pPr>
            <w:r>
              <w:rPr>
                <w:color w:val="auto"/>
              </w:rPr>
              <w:fldChar w:fldCharType="begin"/>
            </w:r>
            <w:r>
              <w:rPr>
                <w:color w:val="auto"/>
              </w:rPr>
              <w:instrText xml:space="preserve"> = 7 \* GB3 </w:instrText>
            </w:r>
            <w:r>
              <w:rPr>
                <w:color w:val="auto"/>
              </w:rPr>
              <w:fldChar w:fldCharType="separate"/>
            </w:r>
            <w:r>
              <w:rPr>
                <w:color w:val="auto"/>
              </w:rPr>
              <w:t>⑦</w:t>
            </w:r>
            <w:r>
              <w:rPr>
                <w:color w:val="auto"/>
              </w:rPr>
              <w:fldChar w:fldCharType="end"/>
            </w:r>
            <w:r>
              <w:rPr>
                <w:color w:val="auto"/>
              </w:rPr>
              <w:t>项目总投资：</w:t>
            </w:r>
            <w:r>
              <w:rPr>
                <w:rFonts w:hint="eastAsia"/>
                <w:color w:val="auto"/>
              </w:rPr>
              <w:t>1000</w:t>
            </w:r>
            <w:r>
              <w:rPr>
                <w:color w:val="auto"/>
              </w:rPr>
              <w:t>万元</w:t>
            </w:r>
          </w:p>
          <w:p>
            <w:pPr>
              <w:ind w:firstLine="480"/>
              <w:contextualSpacing/>
              <w:rPr>
                <w:color w:val="auto"/>
              </w:rPr>
            </w:pPr>
            <w:r>
              <w:rPr>
                <w:color w:val="auto"/>
              </w:rPr>
              <w:t>（2）项目建设内容</w:t>
            </w:r>
          </w:p>
          <w:p>
            <w:pPr>
              <w:ind w:firstLine="480"/>
              <w:rPr>
                <w:color w:val="auto"/>
              </w:rPr>
            </w:pPr>
            <w:r>
              <w:rPr>
                <w:color w:val="auto"/>
              </w:rPr>
              <w:t>本项目租用</w:t>
            </w:r>
            <w:r>
              <w:rPr>
                <w:rFonts w:hint="eastAsia"/>
                <w:color w:val="auto"/>
              </w:rPr>
              <w:t>昆明力线电缆制造有限公司的部分生产厂房</w:t>
            </w:r>
            <w:r>
              <w:rPr>
                <w:color w:val="auto"/>
              </w:rPr>
              <w:t>进行生产建设，总占地面积</w:t>
            </w:r>
            <w:r>
              <w:rPr>
                <w:rFonts w:hint="eastAsia"/>
                <w:color w:val="auto"/>
              </w:rPr>
              <w:t>1500</w:t>
            </w:r>
            <w:r>
              <w:rPr>
                <w:color w:val="auto"/>
              </w:rPr>
              <w:t>m</w:t>
            </w:r>
            <w:r>
              <w:rPr>
                <w:color w:val="auto"/>
                <w:vertAlign w:val="superscript"/>
              </w:rPr>
              <w:t>2</w:t>
            </w:r>
            <w:r>
              <w:rPr>
                <w:color w:val="auto"/>
              </w:rPr>
              <w:t>，总建筑面积</w:t>
            </w:r>
            <w:r>
              <w:rPr>
                <w:rFonts w:hint="eastAsia"/>
                <w:color w:val="auto"/>
              </w:rPr>
              <w:t>1680</w:t>
            </w:r>
            <w:r>
              <w:rPr>
                <w:color w:val="auto"/>
              </w:rPr>
              <w:t>m</w:t>
            </w:r>
            <w:r>
              <w:rPr>
                <w:color w:val="auto"/>
                <w:vertAlign w:val="superscript"/>
              </w:rPr>
              <w:t>2</w:t>
            </w:r>
            <w:r>
              <w:rPr>
                <w:color w:val="auto"/>
              </w:rPr>
              <w:t>。项目共设置</w:t>
            </w:r>
            <w:r>
              <w:rPr>
                <w:rFonts w:hint="eastAsia"/>
                <w:color w:val="auto"/>
              </w:rPr>
              <w:t>1条网络机箱机柜、5G机房、监控操作台生产线，</w:t>
            </w:r>
            <w:r>
              <w:rPr>
                <w:color w:val="auto"/>
              </w:rPr>
              <w:t>配套环保设备</w:t>
            </w:r>
            <w:r>
              <w:rPr>
                <w:rFonts w:hint="eastAsia"/>
                <w:color w:val="auto"/>
              </w:rPr>
              <w:t>。项目区不设</w:t>
            </w:r>
            <w:r>
              <w:rPr>
                <w:color w:val="auto"/>
              </w:rPr>
              <w:t>职工宿舍、食堂、卫生间等辅助设施。</w:t>
            </w:r>
            <w:r>
              <w:rPr>
                <w:rFonts w:hint="eastAsia"/>
                <w:color w:val="auto"/>
              </w:rPr>
              <w:t>项目距离大营街道较近，员工住在附近村庄，三餐以餐补形式发放，自由就餐。卫生间使用昆明力线电缆制造有限公司已建成公共卫生间。</w:t>
            </w:r>
            <w:r>
              <w:rPr>
                <w:color w:val="auto"/>
              </w:rPr>
              <w:t>本项目工程内容主要包括主体工程、储运工程、公用工程和环保工程，项目总体工程组成详见表1-1。</w:t>
            </w:r>
          </w:p>
          <w:p>
            <w:pPr>
              <w:pStyle w:val="48"/>
              <w:ind w:firstLine="0" w:firstLineChars="0"/>
              <w:rPr>
                <w:color w:val="auto"/>
              </w:rPr>
            </w:pPr>
            <w:r>
              <w:rPr>
                <w:color w:val="auto"/>
              </w:rPr>
              <w:t>表1-1  项目建设内容一览表</w:t>
            </w:r>
          </w:p>
          <w:tbl>
            <w:tblPr>
              <w:tblStyle w:val="36"/>
              <w:tblW w:w="0" w:type="auto"/>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693"/>
              <w:gridCol w:w="503"/>
              <w:gridCol w:w="160"/>
              <w:gridCol w:w="1117"/>
              <w:gridCol w:w="5804"/>
              <w:gridCol w:w="6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工程</w:t>
                  </w:r>
                </w:p>
                <w:p>
                  <w:pPr>
                    <w:pStyle w:val="57"/>
                    <w:adjustRightInd/>
                    <w:snapToGrid/>
                    <w:spacing w:line="160" w:lineRule="atLeast"/>
                    <w:rPr>
                      <w:color w:val="auto"/>
                    </w:rPr>
                  </w:pPr>
                  <w:r>
                    <w:rPr>
                      <w:color w:val="auto"/>
                    </w:rPr>
                    <w:t>类别</w:t>
                  </w: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工程名称</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 xml:space="preserve">建设内容及规模 </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restart"/>
                  <w:tcBorders>
                    <w:left w:val="single" w:color="auto" w:sz="4" w:space="0"/>
                    <w:right w:val="single" w:color="auto" w:sz="4" w:space="0"/>
                    <w:tl2br w:val="nil"/>
                    <w:tr2bl w:val="nil"/>
                  </w:tcBorders>
                  <w:vAlign w:val="center"/>
                </w:tcPr>
                <w:p>
                  <w:pPr>
                    <w:pStyle w:val="57"/>
                    <w:adjustRightInd/>
                    <w:snapToGrid/>
                    <w:spacing w:line="160" w:lineRule="atLeast"/>
                    <w:jc w:val="both"/>
                    <w:rPr>
                      <w:color w:val="auto"/>
                    </w:rPr>
                  </w:pPr>
                </w:p>
                <w:p>
                  <w:pPr>
                    <w:pStyle w:val="57"/>
                    <w:adjustRightInd/>
                    <w:snapToGrid/>
                    <w:spacing w:line="160" w:lineRule="atLeast"/>
                    <w:jc w:val="both"/>
                    <w:rPr>
                      <w:color w:val="auto"/>
                    </w:rPr>
                  </w:pPr>
                </w:p>
                <w:p>
                  <w:pPr>
                    <w:pStyle w:val="57"/>
                    <w:adjustRightInd/>
                    <w:snapToGrid/>
                    <w:spacing w:line="160" w:lineRule="atLeast"/>
                    <w:jc w:val="both"/>
                    <w:rPr>
                      <w:color w:val="auto"/>
                    </w:rPr>
                  </w:pPr>
                  <w:r>
                    <w:rPr>
                      <w:color w:val="auto"/>
                    </w:rPr>
                    <w:t>主体</w:t>
                  </w:r>
                </w:p>
                <w:p>
                  <w:pPr>
                    <w:pStyle w:val="57"/>
                    <w:adjustRightInd/>
                    <w:snapToGrid/>
                    <w:spacing w:line="160" w:lineRule="atLeast"/>
                    <w:rPr>
                      <w:color w:val="auto"/>
                    </w:rPr>
                  </w:pPr>
                  <w:r>
                    <w:rPr>
                      <w:color w:val="auto"/>
                    </w:rPr>
                    <w:t>工程</w:t>
                  </w:r>
                </w:p>
              </w:tc>
              <w:tc>
                <w:tcPr>
                  <w:tcW w:w="1780" w:type="dxa"/>
                  <w:gridSpan w:val="3"/>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生产厂房</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建筑</w:t>
                  </w:r>
                  <w:r>
                    <w:rPr>
                      <w:color w:val="auto"/>
                    </w:rPr>
                    <w:t>面积</w:t>
                  </w:r>
                  <w:r>
                    <w:rPr>
                      <w:rFonts w:hint="eastAsia"/>
                      <w:color w:val="auto"/>
                    </w:rPr>
                    <w:t>1680</w:t>
                  </w:r>
                  <w:r>
                    <w:rPr>
                      <w:color w:val="auto"/>
                    </w:rPr>
                    <w:t>m</w:t>
                  </w:r>
                  <w:r>
                    <w:rPr>
                      <w:color w:val="auto"/>
                      <w:vertAlign w:val="superscript"/>
                    </w:rPr>
                    <w:t>2</w:t>
                  </w:r>
                  <w:r>
                    <w:rPr>
                      <w:color w:val="auto"/>
                    </w:rPr>
                    <w:t>，</w:t>
                  </w:r>
                  <w:r>
                    <w:rPr>
                      <w:rFonts w:hint="eastAsia"/>
                      <w:color w:val="auto"/>
                    </w:rPr>
                    <w:t>2层框架结构，1层由东向西设置板材加工区、焊接区、机加工区、大旋风粉房自动线、配件仓库、固废暂存间、危废暂存间等，</w:t>
                  </w:r>
                  <w:r>
                    <w:rPr>
                      <w:color w:val="auto"/>
                    </w:rPr>
                    <w:t>设置</w:t>
                  </w:r>
                  <w:r>
                    <w:rPr>
                      <w:rFonts w:hint="eastAsia"/>
                      <w:color w:val="auto"/>
                    </w:rPr>
                    <w:t>1条网络机箱机柜、5G机房、监控操作台部件生产线；2层装配区，设置1条组装线。</w:t>
                  </w:r>
                </w:p>
              </w:tc>
              <w:tc>
                <w:tcPr>
                  <w:tcW w:w="642" w:type="dxa"/>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租用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p>
                  <w:pPr>
                    <w:pStyle w:val="57"/>
                    <w:adjustRightInd/>
                    <w:snapToGrid/>
                    <w:spacing w:line="160" w:lineRule="atLeast"/>
                    <w:rPr>
                      <w:color w:val="auto"/>
                    </w:rPr>
                  </w:pPr>
                </w:p>
                <w:p>
                  <w:pPr>
                    <w:pStyle w:val="57"/>
                    <w:adjustRightInd/>
                    <w:snapToGrid/>
                    <w:spacing w:line="160" w:lineRule="atLeast"/>
                    <w:rPr>
                      <w:color w:val="auto"/>
                    </w:rPr>
                  </w:pPr>
                  <w:r>
                    <w:rPr>
                      <w:rFonts w:hint="eastAsia"/>
                      <w:color w:val="auto"/>
                    </w:rPr>
                    <w:t>其中</w:t>
                  </w: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板材加工区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位于厂房1层东北侧，</w:t>
                  </w:r>
                  <w:r>
                    <w:rPr>
                      <w:color w:val="auto"/>
                    </w:rPr>
                    <w:t>占地面积</w:t>
                  </w:r>
                  <w:r>
                    <w:rPr>
                      <w:rFonts w:hint="eastAsia"/>
                      <w:color w:val="auto"/>
                    </w:rPr>
                    <w:t>400</w:t>
                  </w:r>
                  <w:r>
                    <w:rPr>
                      <w:color w:val="auto"/>
                    </w:rPr>
                    <w:t>m</w:t>
                  </w:r>
                  <w:r>
                    <w:rPr>
                      <w:color w:val="auto"/>
                      <w:vertAlign w:val="superscript"/>
                    </w:rPr>
                    <w:t>2</w:t>
                  </w:r>
                  <w:r>
                    <w:rPr>
                      <w:color w:val="auto"/>
                    </w:rPr>
                    <w:t>，</w:t>
                  </w:r>
                  <w:r>
                    <w:rPr>
                      <w:rFonts w:hint="eastAsia"/>
                      <w:color w:val="auto"/>
                    </w:rPr>
                    <w:t>对原料进行裁剪、切割折弯等工艺。主要有剪板机、切割机、折弯机等设备。</w:t>
                  </w:r>
                </w:p>
              </w:tc>
              <w:tc>
                <w:tcPr>
                  <w:tcW w:w="642"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p>
                  <w:pPr>
                    <w:pStyle w:val="57"/>
                    <w:adjustRightInd/>
                    <w:snapToGrid/>
                    <w:spacing w:line="160" w:lineRule="atLeast"/>
                    <w:rPr>
                      <w:color w:val="auto"/>
                    </w:rPr>
                  </w:pPr>
                  <w:r>
                    <w:rPr>
                      <w:rFonts w:hint="eastAsia"/>
                      <w:color w:val="auto"/>
                    </w:rPr>
                    <w:t>租用昆明力线电缆公司闲置厂房</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焊接区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位于厂房1层东南侧，</w:t>
                  </w:r>
                  <w:r>
                    <w:rPr>
                      <w:color w:val="auto"/>
                    </w:rPr>
                    <w:t>占地面积</w:t>
                  </w:r>
                  <w:r>
                    <w:rPr>
                      <w:rFonts w:hint="eastAsia"/>
                      <w:color w:val="auto"/>
                    </w:rPr>
                    <w:t>280</w:t>
                  </w:r>
                  <w:r>
                    <w:rPr>
                      <w:color w:val="auto"/>
                    </w:rPr>
                    <w:t>m</w:t>
                  </w:r>
                  <w:r>
                    <w:rPr>
                      <w:color w:val="auto"/>
                      <w:vertAlign w:val="superscript"/>
                    </w:rPr>
                    <w:t>2</w:t>
                  </w:r>
                  <w:r>
                    <w:rPr>
                      <w:color w:val="auto"/>
                    </w:rPr>
                    <w:t>，</w:t>
                  </w:r>
                  <w:r>
                    <w:rPr>
                      <w:rFonts w:hint="eastAsia"/>
                      <w:color w:val="auto"/>
                    </w:rPr>
                    <w:t>用于焊接金属构件框体、支架等，主要有气保焊机、点焊机等。</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机加工区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位于厂房1层西南侧，</w:t>
                  </w:r>
                  <w:r>
                    <w:rPr>
                      <w:color w:val="auto"/>
                    </w:rPr>
                    <w:t>占地面积</w:t>
                  </w:r>
                  <w:r>
                    <w:rPr>
                      <w:rFonts w:hint="eastAsia"/>
                      <w:color w:val="auto"/>
                    </w:rPr>
                    <w:t>320</w:t>
                  </w:r>
                  <w:r>
                    <w:rPr>
                      <w:color w:val="auto"/>
                    </w:rPr>
                    <w:t>m</w:t>
                  </w:r>
                  <w:r>
                    <w:rPr>
                      <w:color w:val="auto"/>
                      <w:vertAlign w:val="superscript"/>
                    </w:rPr>
                    <w:t>2</w:t>
                  </w:r>
                  <w:r>
                    <w:rPr>
                      <w:color w:val="auto"/>
                    </w:rPr>
                    <w:t>，</w:t>
                  </w:r>
                  <w:r>
                    <w:rPr>
                      <w:rFonts w:hint="eastAsia"/>
                      <w:color w:val="auto"/>
                    </w:rPr>
                    <w:t>对已切割板材进行多点位打孔、折弯等工艺。主要有多吨位的各型冲床、切角机等设备；另设1套电热固化炉和2套气热固化炉对喷塑后金属构件进行固化。</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大旋风粉房自动线</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位于厂房1层西北侧，</w:t>
                  </w:r>
                  <w:r>
                    <w:rPr>
                      <w:color w:val="auto"/>
                    </w:rPr>
                    <w:t>占地面积</w:t>
                  </w:r>
                  <w:r>
                    <w:rPr>
                      <w:rFonts w:hint="eastAsia"/>
                      <w:color w:val="auto"/>
                    </w:rPr>
                    <w:t>300</w:t>
                  </w:r>
                  <w:r>
                    <w:rPr>
                      <w:color w:val="auto"/>
                    </w:rPr>
                    <w:t>m</w:t>
                  </w:r>
                  <w:r>
                    <w:rPr>
                      <w:color w:val="auto"/>
                      <w:vertAlign w:val="superscript"/>
                    </w:rPr>
                    <w:t>2</w:t>
                  </w:r>
                  <w:r>
                    <w:rPr>
                      <w:color w:val="auto"/>
                    </w:rPr>
                    <w:t>，</w:t>
                  </w:r>
                  <w:r>
                    <w:rPr>
                      <w:rFonts w:hint="eastAsia"/>
                      <w:color w:val="auto"/>
                    </w:rPr>
                    <w:t>设置1个喷塑房，1条自动吊挂线，对通讯设备机箱机体进行喷塑处理。</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配件仓库</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位于厂房1层西南侧，</w:t>
                  </w:r>
                  <w:r>
                    <w:rPr>
                      <w:color w:val="auto"/>
                    </w:rPr>
                    <w:t>占地面积</w:t>
                  </w:r>
                  <w:r>
                    <w:rPr>
                      <w:rFonts w:hint="eastAsia"/>
                      <w:color w:val="auto"/>
                    </w:rPr>
                    <w:t>100</w:t>
                  </w:r>
                  <w:r>
                    <w:rPr>
                      <w:color w:val="auto"/>
                    </w:rPr>
                    <w:t>m</w:t>
                  </w:r>
                  <w:r>
                    <w:rPr>
                      <w:color w:val="auto"/>
                      <w:vertAlign w:val="superscript"/>
                    </w:rPr>
                    <w:t>2</w:t>
                  </w:r>
                  <w:r>
                    <w:rPr>
                      <w:color w:val="auto"/>
                    </w:rPr>
                    <w:t>，设置</w:t>
                  </w:r>
                  <w:r>
                    <w:rPr>
                      <w:rFonts w:hint="eastAsia"/>
                      <w:color w:val="auto"/>
                    </w:rPr>
                    <w:t>产品五金</w:t>
                  </w:r>
                  <w:r>
                    <w:rPr>
                      <w:color w:val="auto"/>
                    </w:rPr>
                    <w:t>配件仓库</w:t>
                  </w:r>
                  <w:r>
                    <w:rPr>
                      <w:rFonts w:hint="eastAsia"/>
                      <w:color w:val="auto"/>
                    </w:rPr>
                    <w:t>。</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50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277"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装配区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位于厂房西南侧2层，建筑</w:t>
                  </w:r>
                  <w:r>
                    <w:rPr>
                      <w:color w:val="auto"/>
                    </w:rPr>
                    <w:t>面积</w:t>
                  </w:r>
                  <w:r>
                    <w:rPr>
                      <w:rFonts w:hint="eastAsia"/>
                      <w:color w:val="auto"/>
                    </w:rPr>
                    <w:t>180</w:t>
                  </w:r>
                  <w:r>
                    <w:rPr>
                      <w:color w:val="auto"/>
                    </w:rPr>
                    <w:t>m</w:t>
                  </w:r>
                  <w:r>
                    <w:rPr>
                      <w:color w:val="auto"/>
                      <w:vertAlign w:val="superscript"/>
                    </w:rPr>
                    <w:t>2</w:t>
                  </w:r>
                  <w:r>
                    <w:rPr>
                      <w:color w:val="auto"/>
                    </w:rPr>
                    <w:t>，</w:t>
                  </w:r>
                  <w:r>
                    <w:rPr>
                      <w:rFonts w:hint="eastAsia"/>
                      <w:color w:val="auto"/>
                    </w:rPr>
                    <w:t>设置1条组装线。</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restart"/>
                  <w:tcBorders>
                    <w:top w:val="single" w:color="auto" w:sz="4" w:space="0"/>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辅助工程</w:t>
                  </w: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办公室</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租用昆明力线电缆公司综合办公楼2楼一间闲置办公室</w:t>
                  </w:r>
                  <w:r>
                    <w:rPr>
                      <w:color w:val="auto"/>
                    </w:rPr>
                    <w:t>，建筑</w:t>
                  </w:r>
                  <w:r>
                    <w:rPr>
                      <w:rFonts w:hint="eastAsia"/>
                      <w:color w:val="auto"/>
                    </w:rPr>
                    <w:t>面积10m</w:t>
                  </w:r>
                  <w:r>
                    <w:rPr>
                      <w:rFonts w:hint="eastAsia"/>
                      <w:color w:val="auto"/>
                      <w:vertAlign w:val="superscript"/>
                    </w:rPr>
                    <w:t>2</w:t>
                  </w:r>
                  <w:r>
                    <w:rPr>
                      <w:rFonts w:hint="eastAsia"/>
                      <w:color w:val="auto"/>
                    </w:rPr>
                    <w:t>，用于项目办公。</w:t>
                  </w:r>
                </w:p>
              </w:tc>
              <w:tc>
                <w:tcPr>
                  <w:tcW w:w="642" w:type="dxa"/>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租用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原材料堆放区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color w:val="auto"/>
                    </w:rPr>
                    <w:t>位于厂</w:t>
                  </w:r>
                  <w:r>
                    <w:rPr>
                      <w:rFonts w:hint="eastAsia"/>
                      <w:color w:val="auto"/>
                    </w:rPr>
                    <w:t>房东侧</w:t>
                  </w:r>
                  <w:r>
                    <w:rPr>
                      <w:color w:val="auto"/>
                    </w:rPr>
                    <w:t>入口</w:t>
                  </w:r>
                  <w:r>
                    <w:rPr>
                      <w:rFonts w:hint="eastAsia"/>
                      <w:color w:val="auto"/>
                    </w:rPr>
                    <w:t>通道两侧设置4个板材堆放位置</w:t>
                  </w:r>
                  <w:r>
                    <w:rPr>
                      <w:color w:val="auto"/>
                    </w:rPr>
                    <w:t>，</w:t>
                  </w:r>
                  <w:r>
                    <w:rPr>
                      <w:rFonts w:hint="eastAsia"/>
                      <w:color w:val="auto"/>
                    </w:rPr>
                    <w:t>面积80</w:t>
                  </w:r>
                  <w:r>
                    <w:rPr>
                      <w:color w:val="auto"/>
                    </w:rPr>
                    <w:t>m</w:t>
                  </w:r>
                  <w:r>
                    <w:rPr>
                      <w:color w:val="auto"/>
                      <w:vertAlign w:val="superscript"/>
                    </w:rPr>
                    <w:t>2</w:t>
                  </w:r>
                  <w:r>
                    <w:rPr>
                      <w:color w:val="auto"/>
                    </w:rPr>
                    <w:t>，用于</w:t>
                  </w:r>
                  <w:r>
                    <w:rPr>
                      <w:rFonts w:hint="eastAsia"/>
                      <w:color w:val="auto"/>
                    </w:rPr>
                    <w:t>原材料冷轧</w:t>
                  </w:r>
                  <w:r>
                    <w:rPr>
                      <w:color w:val="auto"/>
                    </w:rPr>
                    <w:t>钢板</w:t>
                  </w:r>
                  <w:r>
                    <w:rPr>
                      <w:rFonts w:hint="eastAsia"/>
                      <w:color w:val="auto"/>
                    </w:rPr>
                    <w:t>、覆铝锌钢板、PU板等原</w:t>
                  </w:r>
                  <w:r>
                    <w:rPr>
                      <w:color w:val="auto"/>
                    </w:rPr>
                    <w:t>辅料堆存</w:t>
                  </w:r>
                  <w:r>
                    <w:rPr>
                      <w:rFonts w:hint="eastAsia"/>
                      <w:color w:val="auto"/>
                    </w:rPr>
                    <w:t>。</w:t>
                  </w:r>
                </w:p>
              </w:tc>
              <w:tc>
                <w:tcPr>
                  <w:tcW w:w="642"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成品堆放区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color w:val="auto"/>
                    </w:rPr>
                    <w:t>位于</w:t>
                  </w:r>
                  <w:r>
                    <w:rPr>
                      <w:rFonts w:hint="eastAsia"/>
                      <w:color w:val="auto"/>
                    </w:rPr>
                    <w:t>装配区</w:t>
                  </w:r>
                  <w:r>
                    <w:rPr>
                      <w:color w:val="auto"/>
                    </w:rPr>
                    <w:t>，</w:t>
                  </w:r>
                  <w:r>
                    <w:rPr>
                      <w:rFonts w:hint="eastAsia"/>
                      <w:color w:val="auto"/>
                    </w:rPr>
                    <w:t>面积</w:t>
                  </w:r>
                  <w:r>
                    <w:rPr>
                      <w:color w:val="auto"/>
                    </w:rPr>
                    <w:t>约</w:t>
                  </w:r>
                  <w:r>
                    <w:rPr>
                      <w:rFonts w:hint="eastAsia"/>
                      <w:color w:val="auto"/>
                    </w:rPr>
                    <w:t>100</w:t>
                  </w:r>
                  <w:r>
                    <w:rPr>
                      <w:color w:val="auto"/>
                    </w:rPr>
                    <w:t>m</w:t>
                  </w:r>
                  <w:r>
                    <w:rPr>
                      <w:color w:val="auto"/>
                      <w:vertAlign w:val="superscript"/>
                    </w:rPr>
                    <w:t>2</w:t>
                  </w:r>
                  <w:r>
                    <w:rPr>
                      <w:color w:val="auto"/>
                    </w:rPr>
                    <w:t>，用于成品暂存</w:t>
                  </w:r>
                  <w:r>
                    <w:rPr>
                      <w:rFonts w:hint="eastAsia"/>
                      <w:color w:val="auto"/>
                    </w:rPr>
                    <w:t>。</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rFonts w:hint="eastAsia" w:eastAsia="宋体"/>
                      <w:color w:val="auto"/>
                      <w:lang w:val="en-US" w:eastAsia="zh-CN"/>
                    </w:rPr>
                  </w:pPr>
                  <w:r>
                    <w:rPr>
                      <w:rFonts w:hint="eastAsia"/>
                      <w:color w:val="auto"/>
                      <w:lang w:val="en-US" w:eastAsia="zh-CN"/>
                    </w:rPr>
                    <w:t>储罐区</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rFonts w:hint="default" w:eastAsia="宋体"/>
                      <w:color w:val="auto"/>
                      <w:lang w:val="en-US" w:eastAsia="zh-CN"/>
                    </w:rPr>
                  </w:pPr>
                  <w:r>
                    <w:rPr>
                      <w:rFonts w:hint="eastAsia"/>
                      <w:color w:val="auto"/>
                      <w:lang w:val="en-US" w:eastAsia="zh-CN"/>
                    </w:rPr>
                    <w:t>位于固化炉旁，面积约10m</w:t>
                  </w:r>
                  <w:r>
                    <w:rPr>
                      <w:rFonts w:hint="eastAsia"/>
                      <w:color w:val="auto"/>
                      <w:vertAlign w:val="superscript"/>
                      <w:lang w:val="en-US" w:eastAsia="zh-CN"/>
                    </w:rPr>
                    <w:t>2</w:t>
                  </w:r>
                  <w:r>
                    <w:rPr>
                      <w:rFonts w:hint="eastAsia"/>
                      <w:color w:val="auto"/>
                      <w:lang w:val="en-US" w:eastAsia="zh-CN"/>
                    </w:rPr>
                    <w:t>，用于放置液化天然气储罐。</w:t>
                  </w:r>
                </w:p>
              </w:tc>
              <w:tc>
                <w:tcPr>
                  <w:tcW w:w="642" w:type="dxa"/>
                  <w:tcBorders>
                    <w:left w:val="single" w:color="auto" w:sz="4" w:space="0"/>
                    <w:right w:val="single" w:color="auto" w:sz="4" w:space="0"/>
                    <w:tl2br w:val="nil"/>
                    <w:tr2bl w:val="nil"/>
                  </w:tcBorders>
                  <w:vAlign w:val="center"/>
                </w:tcPr>
                <w:p>
                  <w:pPr>
                    <w:pStyle w:val="57"/>
                    <w:adjustRightInd/>
                    <w:snapToGrid/>
                    <w:spacing w:line="160" w:lineRule="atLeast"/>
                    <w:rPr>
                      <w:rFonts w:hint="eastAsia" w:eastAsia="宋体"/>
                      <w:color w:val="auto"/>
                      <w:lang w:val="en-US" w:eastAsia="zh-CN"/>
                    </w:rPr>
                  </w:pPr>
                  <w:r>
                    <w:rPr>
                      <w:rFonts w:hint="eastAsia"/>
                      <w:color w:val="auto"/>
                      <w:lang w:val="en-US" w:eastAsia="zh-CN"/>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restart"/>
                  <w:tcBorders>
                    <w:top w:val="single" w:color="auto" w:sz="4" w:space="0"/>
                    <w:left w:val="single" w:color="auto" w:sz="4" w:space="0"/>
                    <w:right w:val="single" w:color="auto" w:sz="4" w:space="0"/>
                    <w:tl2br w:val="nil"/>
                    <w:tr2bl w:val="nil"/>
                  </w:tcBorders>
                  <w:vAlign w:val="center"/>
                </w:tcPr>
                <w:p>
                  <w:pPr>
                    <w:pStyle w:val="57"/>
                    <w:adjustRightInd/>
                    <w:snapToGrid/>
                    <w:spacing w:line="160" w:lineRule="atLeast"/>
                    <w:rPr>
                      <w:color w:val="auto"/>
                    </w:rPr>
                  </w:pPr>
                </w:p>
                <w:p>
                  <w:pPr>
                    <w:pStyle w:val="57"/>
                    <w:adjustRightInd/>
                    <w:snapToGrid/>
                    <w:spacing w:line="160" w:lineRule="atLeast"/>
                    <w:rPr>
                      <w:color w:val="auto"/>
                    </w:rPr>
                  </w:pPr>
                  <w:r>
                    <w:rPr>
                      <w:color w:val="auto"/>
                    </w:rPr>
                    <w:t>公</w:t>
                  </w:r>
                </w:p>
                <w:p>
                  <w:pPr>
                    <w:pStyle w:val="57"/>
                    <w:adjustRightInd/>
                    <w:snapToGrid/>
                    <w:spacing w:line="160" w:lineRule="atLeast"/>
                    <w:rPr>
                      <w:color w:val="auto"/>
                    </w:rPr>
                  </w:pPr>
                  <w:r>
                    <w:rPr>
                      <w:color w:val="auto"/>
                    </w:rPr>
                    <w:t>用</w:t>
                  </w:r>
                </w:p>
                <w:p>
                  <w:pPr>
                    <w:pStyle w:val="57"/>
                    <w:adjustRightInd/>
                    <w:snapToGrid/>
                    <w:spacing w:line="160" w:lineRule="atLeast"/>
                    <w:rPr>
                      <w:color w:val="auto"/>
                    </w:rPr>
                  </w:pPr>
                  <w:r>
                    <w:rPr>
                      <w:color w:val="auto"/>
                    </w:rPr>
                    <w:t>工</w:t>
                  </w:r>
                </w:p>
                <w:p>
                  <w:pPr>
                    <w:pStyle w:val="57"/>
                    <w:adjustRightInd/>
                    <w:snapToGrid/>
                    <w:spacing w:line="160" w:lineRule="atLeast"/>
                    <w:rPr>
                      <w:color w:val="auto"/>
                    </w:rPr>
                  </w:pPr>
                  <w:r>
                    <w:rPr>
                      <w:color w:val="auto"/>
                    </w:rPr>
                    <w:t>程</w:t>
                  </w: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供水系统</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color w:val="auto"/>
                    </w:rPr>
                    <w:t>由园区供水管网供给。</w:t>
                  </w:r>
                </w:p>
              </w:tc>
              <w:tc>
                <w:tcPr>
                  <w:tcW w:w="642"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依托昆明力线电缆</w:t>
                  </w:r>
                  <w:r>
                    <w:rPr>
                      <w:color w:val="auto"/>
                    </w:rPr>
                    <w:t>公司</w:t>
                  </w:r>
                  <w:r>
                    <w:rPr>
                      <w:rFonts w:hint="eastAsia"/>
                      <w:color w:val="auto"/>
                    </w:rPr>
                    <w:t>的雨污系统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排水系统</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color w:val="auto"/>
                    </w:rPr>
                    <w:t>严格实施雨污分流体制。</w:t>
                  </w:r>
                </w:p>
                <w:p>
                  <w:pPr>
                    <w:pStyle w:val="57"/>
                    <w:adjustRightInd/>
                    <w:snapToGrid/>
                    <w:spacing w:line="160" w:lineRule="atLeast"/>
                    <w:jc w:val="left"/>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color w:val="auto"/>
                    </w:rPr>
                    <w:t>雨水：</w:t>
                  </w:r>
                  <w:r>
                    <w:rPr>
                      <w:rFonts w:hint="eastAsia" w:ascii="宋体" w:hAnsi="宋体" w:cs="宋体"/>
                      <w:color w:val="auto"/>
                    </w:rPr>
                    <w:t>产生的雨水通过项目区的雨水管道排入厂区外的雨水沟</w:t>
                  </w:r>
                  <w:r>
                    <w:rPr>
                      <w:color w:val="auto"/>
                    </w:rPr>
                    <w:t>。</w:t>
                  </w:r>
                </w:p>
                <w:p>
                  <w:pPr>
                    <w:pStyle w:val="57"/>
                    <w:adjustRightInd/>
                    <w:snapToGrid/>
                    <w:spacing w:line="160" w:lineRule="atLeast"/>
                    <w:jc w:val="left"/>
                    <w:rPr>
                      <w:color w:val="auto"/>
                    </w:rPr>
                  </w:pPr>
                  <w:r>
                    <w:rPr>
                      <w:color w:val="auto"/>
                    </w:rPr>
                    <w:t>②污水：</w:t>
                  </w:r>
                  <w:r>
                    <w:rPr>
                      <w:rFonts w:hint="eastAsia"/>
                      <w:color w:val="auto"/>
                    </w:rPr>
                    <w:t>项目区不设职工宿舍、食堂、卫生间等辅助设施</w:t>
                  </w:r>
                  <w:r>
                    <w:rPr>
                      <w:color w:val="auto"/>
                    </w:rPr>
                    <w:t>；卫生间使用</w:t>
                  </w:r>
                  <w:r>
                    <w:rPr>
                      <w:rFonts w:hint="eastAsia"/>
                      <w:color w:val="auto"/>
                    </w:rPr>
                    <w:t>昆明力线电缆制造有限公司</w:t>
                  </w:r>
                  <w:r>
                    <w:rPr>
                      <w:color w:val="auto"/>
                    </w:rPr>
                    <w:t>已建成公共卫生间，</w:t>
                  </w:r>
                  <w:r>
                    <w:rPr>
                      <w:rFonts w:hint="eastAsia"/>
                      <w:color w:val="auto"/>
                    </w:rPr>
                    <w:t>据调查公共卫生间旁设置了一个总容积为10m</w:t>
                  </w:r>
                  <w:r>
                    <w:rPr>
                      <w:rFonts w:hint="eastAsia"/>
                      <w:color w:val="auto"/>
                      <w:vertAlign w:val="superscript"/>
                    </w:rPr>
                    <w:t>3</w:t>
                  </w:r>
                  <w:r>
                    <w:rPr>
                      <w:rFonts w:hint="eastAsia"/>
                      <w:color w:val="auto"/>
                    </w:rPr>
                    <w:t>的化粪池，卫生间冲厕废水依托昆明力线电缆制造有限公司已建设的化粪池及一体化污水处理设备处理（处理规模为10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w:t>
                  </w:r>
                  <w:r>
                    <w:rPr>
                      <w:rFonts w:hint="eastAsia"/>
                      <w:color w:val="auto"/>
                    </w:rPr>
                    <w:t>标准后回用于绿化及道路清扫，不外排</w:t>
                  </w:r>
                  <w:r>
                    <w:rPr>
                      <w:rFonts w:hint="eastAsia" w:ascii="宋体" w:hAnsi="宋体" w:cs="宋体"/>
                      <w:color w:val="auto"/>
                    </w:rPr>
                    <w:t>。</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780"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供电系统</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由园区电网</w:t>
                  </w:r>
                  <w:r>
                    <w:rPr>
                      <w:color w:val="auto"/>
                    </w:rPr>
                    <w:t>供电。</w:t>
                  </w:r>
                </w:p>
              </w:tc>
              <w:tc>
                <w:tcPr>
                  <w:tcW w:w="642" w:type="dxa"/>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新建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rFonts w:hint="eastAsia" w:eastAsia="宋体"/>
                      <w:color w:val="auto"/>
                      <w:lang w:val="en-US" w:eastAsia="zh-CN"/>
                    </w:rPr>
                  </w:pPr>
                  <w:r>
                    <w:rPr>
                      <w:rFonts w:hint="eastAsia"/>
                      <w:color w:val="auto"/>
                      <w:lang w:val="en-US" w:eastAsia="zh-CN"/>
                    </w:rPr>
                    <w:t>环保工程</w:t>
                  </w:r>
                </w:p>
              </w:tc>
              <w:tc>
                <w:tcPr>
                  <w:tcW w:w="663" w:type="dxa"/>
                  <w:gridSpan w:val="2"/>
                  <w:vMerge w:val="restart"/>
                  <w:tcBorders>
                    <w:top w:val="single" w:color="auto" w:sz="4" w:space="0"/>
                    <w:left w:val="single" w:color="auto" w:sz="4" w:space="0"/>
                    <w:right w:val="single" w:color="auto" w:sz="4" w:space="0"/>
                    <w:tl2br w:val="nil"/>
                    <w:tr2bl w:val="nil"/>
                  </w:tcBorders>
                  <w:vAlign w:val="center"/>
                </w:tcPr>
                <w:p>
                  <w:pPr>
                    <w:pStyle w:val="57"/>
                    <w:adjustRightInd/>
                    <w:snapToGrid/>
                    <w:spacing w:line="160" w:lineRule="atLeast"/>
                    <w:rPr>
                      <w:color w:val="auto"/>
                    </w:rPr>
                  </w:pPr>
                </w:p>
                <w:p>
                  <w:pPr>
                    <w:pStyle w:val="57"/>
                    <w:adjustRightInd/>
                    <w:snapToGrid/>
                    <w:spacing w:line="160" w:lineRule="atLeast"/>
                    <w:rPr>
                      <w:color w:val="auto"/>
                    </w:rPr>
                  </w:pPr>
                  <w:r>
                    <w:rPr>
                      <w:color w:val="auto"/>
                    </w:rPr>
                    <w:t>废气</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焊接烟尘</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设置多虑筒焊烟净化设备2台，烟尘收集净化效率为80%</w:t>
                  </w:r>
                  <w:r>
                    <w:rPr>
                      <w:rFonts w:hint="eastAsia"/>
                      <w:color w:val="auto"/>
                      <w:lang w:eastAsia="zh-CN"/>
                    </w:rPr>
                    <w:t>，收集处理后于车间无组织排放</w:t>
                  </w:r>
                  <w:r>
                    <w:rPr>
                      <w:rFonts w:hint="eastAsia"/>
                      <w:color w:val="auto"/>
                    </w:rPr>
                    <w:t>。</w:t>
                  </w:r>
                </w:p>
              </w:tc>
              <w:tc>
                <w:tcPr>
                  <w:tcW w:w="642" w:type="dxa"/>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环评提出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喷塑粉尘</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拟设置一套二级滤芯脉冲除尘装置，二级滤芯脉冲除尘效率为98%，处理后经一个15m高（1#）排气筒外排。</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天然气燃烧废气</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喷塑后固化设置1套电热固化炉和2套气热固化炉，气热固化炉采用天然气热风循环方式加热，热风进入炉膛直接加热产品进行固化，燃烧产生的废气</w:t>
                  </w:r>
                  <w:r>
                    <w:rPr>
                      <w:rFonts w:hint="eastAsia"/>
                      <w:color w:val="auto"/>
                      <w:lang w:val="en-US" w:eastAsia="zh-CN"/>
                    </w:rPr>
                    <w:t>与固化废气一同经过一套UV光氧+活性炭吸附装置处理后</w:t>
                  </w:r>
                  <w:r>
                    <w:rPr>
                      <w:rFonts w:hint="eastAsia"/>
                      <w:color w:val="auto"/>
                    </w:rPr>
                    <w:t>通过15m高（2#）排气筒排放。</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固化废气</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both"/>
                    <w:rPr>
                      <w:color w:val="auto"/>
                    </w:rPr>
                  </w:pPr>
                  <w:r>
                    <w:rPr>
                      <w:rFonts w:hint="eastAsia"/>
                      <w:color w:val="auto"/>
                    </w:rPr>
                    <w:t>采用1套电热固化炉和2套气热固化炉烘塑固化，电热固化炉为封闭加热固化炉，气热固化炉为天然气封闭热风循环固化炉，三台固化炉共用一个排气筒</w:t>
                  </w:r>
                  <w:r>
                    <w:rPr>
                      <w:rFonts w:hint="eastAsia"/>
                      <w:color w:val="auto"/>
                      <w:lang w:eastAsia="zh-CN"/>
                    </w:rPr>
                    <w:t>，</w:t>
                  </w:r>
                  <w:r>
                    <w:rPr>
                      <w:rFonts w:hint="eastAsia"/>
                      <w:color w:val="auto"/>
                      <w:lang w:val="en-US" w:eastAsia="zh-CN"/>
                    </w:rPr>
                    <w:t>产生的固化废气与天然气燃烧废气一同经过一套UV光氧+活性炭吸附装置处理后</w:t>
                  </w:r>
                  <w:r>
                    <w:rPr>
                      <w:rFonts w:hint="eastAsia"/>
                      <w:color w:val="auto"/>
                    </w:rPr>
                    <w:t>通过15m高（2#）排气筒排放。</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vMerge w:val="restart"/>
                  <w:tcBorders>
                    <w:left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固</w:t>
                  </w:r>
                </w:p>
                <w:p>
                  <w:pPr>
                    <w:pStyle w:val="57"/>
                    <w:adjustRightInd/>
                    <w:snapToGrid/>
                    <w:spacing w:line="160" w:lineRule="atLeast"/>
                    <w:rPr>
                      <w:color w:val="auto"/>
                    </w:rPr>
                  </w:pPr>
                  <w:r>
                    <w:rPr>
                      <w:color w:val="auto"/>
                    </w:rPr>
                    <w:t>废</w:t>
                  </w:r>
                </w:p>
              </w:tc>
              <w:tc>
                <w:tcPr>
                  <w:tcW w:w="1117" w:type="dxa"/>
                  <w:tcBorders>
                    <w:top w:val="single" w:color="auto" w:sz="4" w:space="0"/>
                    <w:left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一般固废暂存间</w:t>
                  </w:r>
                </w:p>
              </w:tc>
              <w:tc>
                <w:tcPr>
                  <w:tcW w:w="5804" w:type="dxa"/>
                  <w:tcBorders>
                    <w:top w:val="single" w:color="auto" w:sz="4" w:space="0"/>
                    <w:left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拟</w:t>
                  </w:r>
                  <w:r>
                    <w:rPr>
                      <w:color w:val="auto"/>
                    </w:rPr>
                    <w:t>位于厂房</w:t>
                  </w:r>
                  <w:r>
                    <w:rPr>
                      <w:rFonts w:hint="eastAsia"/>
                      <w:color w:val="auto"/>
                    </w:rPr>
                    <w:t>1层</w:t>
                  </w:r>
                  <w:r>
                    <w:rPr>
                      <w:color w:val="auto"/>
                    </w:rPr>
                    <w:t>东南</w:t>
                  </w:r>
                  <w:r>
                    <w:rPr>
                      <w:rFonts w:hint="eastAsia"/>
                      <w:color w:val="auto"/>
                    </w:rPr>
                    <w:t>侧焊接区设置</w:t>
                  </w:r>
                  <w:r>
                    <w:rPr>
                      <w:color w:val="auto"/>
                    </w:rPr>
                    <w:t>，面积</w:t>
                  </w:r>
                  <w:r>
                    <w:rPr>
                      <w:rFonts w:hint="eastAsia"/>
                      <w:color w:val="auto"/>
                    </w:rPr>
                    <w:t>6</w:t>
                  </w:r>
                  <w:r>
                    <w:rPr>
                      <w:color w:val="auto"/>
                    </w:rPr>
                    <w:t>m</w:t>
                  </w:r>
                  <w:r>
                    <w:rPr>
                      <w:color w:val="auto"/>
                      <w:vertAlign w:val="superscript"/>
                    </w:rPr>
                    <w:t>2</w:t>
                  </w:r>
                  <w:r>
                    <w:rPr>
                      <w:rFonts w:hint="eastAsia"/>
                      <w:color w:val="auto"/>
                    </w:rPr>
                    <w:t>，用于收集</w:t>
                  </w:r>
                  <w:r>
                    <w:rPr>
                      <w:color w:val="auto"/>
                    </w:rPr>
                    <w:t>废弃金属边角料等</w:t>
                  </w:r>
                  <w:r>
                    <w:rPr>
                      <w:rFonts w:hint="eastAsia"/>
                      <w:color w:val="auto"/>
                    </w:rPr>
                    <w:t>。</w:t>
                  </w:r>
                </w:p>
              </w:tc>
              <w:tc>
                <w:tcPr>
                  <w:tcW w:w="642" w:type="dxa"/>
                  <w:vMerge w:val="continue"/>
                  <w:tcBorders>
                    <w:left w:val="single" w:color="auto" w:sz="4" w:space="0"/>
                    <w:right w:val="single" w:color="auto" w:sz="4" w:space="0"/>
                    <w:tl2br w:val="nil"/>
                    <w:tr2bl w:val="nil"/>
                  </w:tcBorders>
                  <w:vAlign w:val="center"/>
                </w:tcPr>
                <w:p>
                  <w:pPr>
                    <w:pStyle w:val="57"/>
                    <w:adjustRightInd/>
                    <w:snapToGrid/>
                    <w:spacing w:line="160" w:lineRule="atLeast"/>
                    <w:jc w:val="lef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vMerge w:val="continue"/>
                  <w:tcBorders>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危废暂存间</w:t>
                  </w:r>
                </w:p>
              </w:tc>
              <w:tc>
                <w:tcPr>
                  <w:tcW w:w="5804"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jc w:val="left"/>
                    <w:rPr>
                      <w:color w:val="auto"/>
                    </w:rPr>
                  </w:pPr>
                  <w:r>
                    <w:rPr>
                      <w:rFonts w:hint="eastAsia"/>
                      <w:color w:val="auto"/>
                    </w:rPr>
                    <w:t>拟位于厂房1层南侧机加工区设置，面积5m</w:t>
                  </w:r>
                  <w:r>
                    <w:rPr>
                      <w:rFonts w:hint="eastAsia"/>
                      <w:color w:val="auto"/>
                      <w:vertAlign w:val="superscript"/>
                    </w:rPr>
                    <w:t>2</w:t>
                  </w:r>
                  <w:r>
                    <w:rPr>
                      <w:rFonts w:hint="eastAsia"/>
                      <w:color w:val="auto"/>
                    </w:rPr>
                    <w:t>，用于存放废活性炭，以及维修设备时所产生的废润滑油和废油桶等，并委托有资质的单位处置。</w:t>
                  </w:r>
                </w:p>
              </w:tc>
              <w:tc>
                <w:tcPr>
                  <w:tcW w:w="642" w:type="dxa"/>
                  <w:vMerge w:val="continue"/>
                  <w:tcBorders>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color w:val="auto"/>
                    </w:rPr>
                    <w:t>噪声</w:t>
                  </w:r>
                </w:p>
              </w:tc>
              <w:tc>
                <w:tcPr>
                  <w:tcW w:w="7563" w:type="dxa"/>
                  <w:gridSpan w:val="3"/>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color w:val="auto"/>
                    </w:rPr>
                  </w:pPr>
                  <w:r>
                    <w:rPr>
                      <w:rFonts w:hint="eastAsia"/>
                      <w:color w:val="auto"/>
                    </w:rPr>
                    <w:t>选用低噪设备、厂房隔声、风机消声、安装减震垫。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trPr>
              <w:tc>
                <w:tcPr>
                  <w:tcW w:w="693" w:type="dxa"/>
                  <w:vMerge w:val="continue"/>
                  <w:tcBorders>
                    <w:left w:val="single" w:color="auto" w:sz="4" w:space="0"/>
                    <w:right w:val="single" w:color="auto" w:sz="4" w:space="0"/>
                    <w:tl2br w:val="nil"/>
                    <w:tr2bl w:val="nil"/>
                  </w:tcBorders>
                  <w:vAlign w:val="center"/>
                </w:tcPr>
                <w:p>
                  <w:pPr>
                    <w:pStyle w:val="57"/>
                    <w:adjustRightInd/>
                    <w:snapToGrid/>
                    <w:spacing w:line="160" w:lineRule="atLeast"/>
                    <w:rPr>
                      <w:color w:val="auto"/>
                    </w:rPr>
                  </w:pPr>
                </w:p>
              </w:tc>
              <w:tc>
                <w:tcPr>
                  <w:tcW w:w="663"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rFonts w:hint="eastAsia" w:eastAsia="宋体"/>
                      <w:color w:val="auto"/>
                      <w:lang w:val="en-US" w:eastAsia="zh-CN"/>
                    </w:rPr>
                  </w:pPr>
                  <w:r>
                    <w:rPr>
                      <w:rFonts w:hint="eastAsia"/>
                      <w:color w:val="auto"/>
                      <w:lang w:val="en-US" w:eastAsia="zh-CN"/>
                    </w:rPr>
                    <w:t>防渗</w:t>
                  </w:r>
                </w:p>
              </w:tc>
              <w:tc>
                <w:tcPr>
                  <w:tcW w:w="6921" w:type="dxa"/>
                  <w:gridSpan w:val="2"/>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rFonts w:hint="eastAsia"/>
                      <w:color w:val="auto"/>
                    </w:rPr>
                  </w:pPr>
                  <w:r>
                    <w:rPr>
                      <w:rFonts w:hint="eastAsia" w:cs="Times New Roman"/>
                      <w:color w:val="auto"/>
                      <w:lang w:val="en-US" w:eastAsia="zh-CN"/>
                    </w:rPr>
                    <w:t>项目区域需要进行分区防渗，其中危险废物暂存间需要进行重点防渗处理，储罐区等进行</w:t>
                  </w:r>
                  <w:r>
                    <w:rPr>
                      <w:rFonts w:hint="default" w:ascii="Times New Roman" w:hAnsi="Times New Roman" w:cs="Times New Roman"/>
                      <w:color w:val="auto"/>
                    </w:rPr>
                    <w:t>一般防渗</w:t>
                  </w:r>
                </w:p>
              </w:tc>
              <w:tc>
                <w:tcPr>
                  <w:tcW w:w="642" w:type="dxa"/>
                  <w:tcBorders>
                    <w:top w:val="single" w:color="auto" w:sz="4" w:space="0"/>
                    <w:left w:val="single" w:color="auto" w:sz="4" w:space="0"/>
                    <w:bottom w:val="single" w:color="auto" w:sz="4" w:space="0"/>
                    <w:right w:val="single" w:color="auto" w:sz="4" w:space="0"/>
                    <w:tl2br w:val="nil"/>
                    <w:tr2bl w:val="nil"/>
                  </w:tcBorders>
                  <w:vAlign w:val="center"/>
                </w:tcPr>
                <w:p>
                  <w:pPr>
                    <w:pStyle w:val="57"/>
                    <w:adjustRightInd/>
                    <w:snapToGrid/>
                    <w:spacing w:line="160" w:lineRule="atLeast"/>
                    <w:rPr>
                      <w:rFonts w:hint="default" w:eastAsia="宋体"/>
                      <w:color w:val="auto"/>
                      <w:lang w:val="en-US" w:eastAsia="zh-CN"/>
                    </w:rPr>
                  </w:pPr>
                  <w:r>
                    <w:rPr>
                      <w:rFonts w:hint="eastAsia"/>
                      <w:color w:val="auto"/>
                      <w:lang w:val="en-US" w:eastAsia="zh-CN"/>
                    </w:rPr>
                    <w:t>环评提出</w:t>
                  </w:r>
                </w:p>
              </w:tc>
            </w:tr>
          </w:tbl>
          <w:p>
            <w:pPr>
              <w:adjustRightInd/>
              <w:snapToGrid/>
              <w:ind w:firstLine="480"/>
              <w:contextualSpacing/>
              <w:rPr>
                <w:color w:val="auto"/>
              </w:rPr>
            </w:pPr>
            <w:r>
              <w:rPr>
                <w:color w:val="auto"/>
              </w:rPr>
              <w:t>3、项目总平面布置</w:t>
            </w:r>
          </w:p>
          <w:p>
            <w:pPr>
              <w:ind w:firstLine="480"/>
              <w:contextualSpacing/>
              <w:rPr>
                <w:color w:val="auto"/>
              </w:rPr>
            </w:pPr>
            <w:r>
              <w:rPr>
                <w:rFonts w:hint="eastAsia"/>
                <w:color w:val="auto"/>
              </w:rPr>
              <w:t>项目租用昆明力线电缆制造有限公司厂房进行建设，不设置生活区，厂房平面布局分为板材加工区、焊接区、机加工区、大旋风粉房自动线、配件仓库、固废暂存间、危废暂存间等。1层由东向西设置板材加工区、焊接区、机加工区、大旋风粉房自动线、配件仓库、固废暂存间、危废暂存间等，设置1条网络机箱机柜、5G机房、监控操作台部件生产线；2层装配区，设置1条组装线。根据平面布置图分析，整个厂房布置根据生产工艺流程的要求贯穿成一条畅通的金属构件生产以及组合装配流水线。厂房东西分别有两个门，且离项目出入口近，方便原材料以及成品的运输。项目总体布局利于生产，平面布置合理，项目总平面布置见附图3</w:t>
            </w:r>
            <w:r>
              <w:rPr>
                <w:color w:val="auto"/>
              </w:rPr>
              <w:t>。</w:t>
            </w:r>
          </w:p>
          <w:p>
            <w:pPr>
              <w:adjustRightInd/>
              <w:snapToGrid/>
              <w:ind w:firstLine="480"/>
              <w:contextualSpacing/>
              <w:rPr>
                <w:color w:val="auto"/>
              </w:rPr>
            </w:pPr>
            <w:r>
              <w:rPr>
                <w:color w:val="auto"/>
              </w:rPr>
              <w:t>4、产品方案</w:t>
            </w:r>
          </w:p>
          <w:p>
            <w:pPr>
              <w:ind w:firstLine="480"/>
              <w:contextualSpacing/>
              <w:rPr>
                <w:color w:val="auto"/>
              </w:rPr>
            </w:pPr>
            <w:r>
              <w:rPr>
                <w:color w:val="auto"/>
              </w:rPr>
              <w:t>本项目主要产品是</w:t>
            </w:r>
            <w:r>
              <w:rPr>
                <w:rFonts w:hint="eastAsia"/>
                <w:color w:val="auto"/>
              </w:rPr>
              <w:t>网络机箱机柜、5G机房、监控操作台</w:t>
            </w:r>
            <w:r>
              <w:rPr>
                <w:color w:val="auto"/>
              </w:rPr>
              <w:t>。本项目产品方案见表1-2。</w:t>
            </w:r>
          </w:p>
          <w:p>
            <w:pPr>
              <w:pStyle w:val="48"/>
              <w:overflowPunct w:val="0"/>
              <w:adjustRightInd/>
              <w:snapToGrid/>
              <w:ind w:firstLine="422"/>
              <w:contextualSpacing/>
              <w:rPr>
                <w:color w:val="auto"/>
              </w:rPr>
            </w:pPr>
            <w:r>
              <w:rPr>
                <w:color w:val="auto"/>
              </w:rPr>
              <w:t>表1-2 本项目产品方案</w:t>
            </w:r>
          </w:p>
          <w:tbl>
            <w:tblPr>
              <w:tblStyle w:val="36"/>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605"/>
              <w:gridCol w:w="1876"/>
              <w:gridCol w:w="1650"/>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835" w:type="dxa"/>
                  <w:vAlign w:val="center"/>
                </w:tcPr>
                <w:p>
                  <w:pPr>
                    <w:pStyle w:val="50"/>
                    <w:rPr>
                      <w:color w:val="auto"/>
                    </w:rPr>
                  </w:pPr>
                  <w:r>
                    <w:rPr>
                      <w:color w:val="auto"/>
                    </w:rPr>
                    <w:t>序号</w:t>
                  </w:r>
                </w:p>
              </w:tc>
              <w:tc>
                <w:tcPr>
                  <w:tcW w:w="1605" w:type="dxa"/>
                  <w:vAlign w:val="center"/>
                </w:tcPr>
                <w:p>
                  <w:pPr>
                    <w:pStyle w:val="50"/>
                    <w:rPr>
                      <w:color w:val="auto"/>
                    </w:rPr>
                  </w:pPr>
                  <w:r>
                    <w:rPr>
                      <w:color w:val="auto"/>
                    </w:rPr>
                    <w:t>产品</w:t>
                  </w:r>
                </w:p>
              </w:tc>
              <w:tc>
                <w:tcPr>
                  <w:tcW w:w="1876" w:type="dxa"/>
                  <w:vAlign w:val="center"/>
                </w:tcPr>
                <w:p>
                  <w:pPr>
                    <w:pStyle w:val="50"/>
                    <w:rPr>
                      <w:color w:val="auto"/>
                    </w:rPr>
                  </w:pPr>
                  <w:r>
                    <w:rPr>
                      <w:color w:val="auto"/>
                    </w:rPr>
                    <w:t>规格</w:t>
                  </w:r>
                </w:p>
              </w:tc>
              <w:tc>
                <w:tcPr>
                  <w:tcW w:w="1650" w:type="dxa"/>
                  <w:vAlign w:val="center"/>
                </w:tcPr>
                <w:p>
                  <w:pPr>
                    <w:pStyle w:val="50"/>
                    <w:rPr>
                      <w:color w:val="auto"/>
                    </w:rPr>
                  </w:pPr>
                  <w:r>
                    <w:rPr>
                      <w:color w:val="auto"/>
                    </w:rPr>
                    <w:t>年产量</w:t>
                  </w:r>
                </w:p>
              </w:tc>
              <w:tc>
                <w:tcPr>
                  <w:tcW w:w="2991" w:type="dxa"/>
                  <w:vAlign w:val="center"/>
                </w:tcPr>
                <w:p>
                  <w:pPr>
                    <w:pStyle w:val="50"/>
                    <w:rPr>
                      <w:color w:val="auto"/>
                    </w:rPr>
                  </w:pPr>
                  <w:r>
                    <w:rPr>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835" w:type="dxa"/>
                  <w:vAlign w:val="center"/>
                </w:tcPr>
                <w:p>
                  <w:pPr>
                    <w:pStyle w:val="50"/>
                    <w:rPr>
                      <w:color w:val="auto"/>
                    </w:rPr>
                  </w:pPr>
                  <w:r>
                    <w:rPr>
                      <w:rFonts w:hint="eastAsia"/>
                      <w:color w:val="auto"/>
                    </w:rPr>
                    <w:t>1</w:t>
                  </w:r>
                </w:p>
              </w:tc>
              <w:tc>
                <w:tcPr>
                  <w:tcW w:w="1605" w:type="dxa"/>
                  <w:vAlign w:val="center"/>
                </w:tcPr>
                <w:p>
                  <w:pPr>
                    <w:pStyle w:val="50"/>
                    <w:rPr>
                      <w:color w:val="auto"/>
                    </w:rPr>
                  </w:pPr>
                  <w:r>
                    <w:rPr>
                      <w:rFonts w:hint="eastAsia"/>
                      <w:color w:val="auto"/>
                    </w:rPr>
                    <w:t>网络机箱机柜</w:t>
                  </w:r>
                </w:p>
              </w:tc>
              <w:tc>
                <w:tcPr>
                  <w:tcW w:w="1876" w:type="dxa"/>
                  <w:vAlign w:val="center"/>
                </w:tcPr>
                <w:p>
                  <w:pPr>
                    <w:pStyle w:val="50"/>
                    <w:rPr>
                      <w:color w:val="auto"/>
                    </w:rPr>
                  </w:pPr>
                  <w:r>
                    <w:rPr>
                      <w:rFonts w:hint="eastAsia"/>
                      <w:color w:val="auto"/>
                    </w:rPr>
                    <w:t>依客户要求</w:t>
                  </w:r>
                </w:p>
              </w:tc>
              <w:tc>
                <w:tcPr>
                  <w:tcW w:w="1650" w:type="dxa"/>
                  <w:vAlign w:val="center"/>
                </w:tcPr>
                <w:p>
                  <w:pPr>
                    <w:pStyle w:val="50"/>
                    <w:rPr>
                      <w:color w:val="auto"/>
                    </w:rPr>
                  </w:pPr>
                  <w:r>
                    <w:rPr>
                      <w:rFonts w:hint="eastAsia"/>
                      <w:color w:val="auto"/>
                    </w:rPr>
                    <w:t>1500台</w:t>
                  </w:r>
                </w:p>
              </w:tc>
              <w:tc>
                <w:tcPr>
                  <w:tcW w:w="2991" w:type="dxa"/>
                  <w:vAlign w:val="center"/>
                </w:tcPr>
                <w:p>
                  <w:pPr>
                    <w:pStyle w:val="50"/>
                    <w:rPr>
                      <w:color w:val="auto"/>
                    </w:rPr>
                  </w:pPr>
                  <w:r>
                    <w:rPr>
                      <w:rFonts w:hint="eastAsia"/>
                      <w:color w:val="auto"/>
                    </w:rPr>
                    <w:t>网络配套设备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835" w:type="dxa"/>
                  <w:vAlign w:val="center"/>
                </w:tcPr>
                <w:p>
                  <w:pPr>
                    <w:pStyle w:val="50"/>
                    <w:rPr>
                      <w:color w:val="auto"/>
                    </w:rPr>
                  </w:pPr>
                  <w:r>
                    <w:rPr>
                      <w:rFonts w:hint="eastAsia"/>
                      <w:color w:val="auto"/>
                    </w:rPr>
                    <w:t>2</w:t>
                  </w:r>
                </w:p>
              </w:tc>
              <w:tc>
                <w:tcPr>
                  <w:tcW w:w="1605" w:type="dxa"/>
                  <w:vAlign w:val="center"/>
                </w:tcPr>
                <w:p>
                  <w:pPr>
                    <w:pStyle w:val="50"/>
                    <w:rPr>
                      <w:color w:val="auto"/>
                    </w:rPr>
                  </w:pPr>
                  <w:r>
                    <w:rPr>
                      <w:rFonts w:hint="eastAsia"/>
                      <w:color w:val="auto"/>
                    </w:rPr>
                    <w:t>5G机房</w:t>
                  </w:r>
                </w:p>
              </w:tc>
              <w:tc>
                <w:tcPr>
                  <w:tcW w:w="1876" w:type="dxa"/>
                  <w:vAlign w:val="center"/>
                </w:tcPr>
                <w:p>
                  <w:pPr>
                    <w:pStyle w:val="50"/>
                    <w:rPr>
                      <w:color w:val="auto"/>
                    </w:rPr>
                  </w:pPr>
                  <w:r>
                    <w:rPr>
                      <w:rFonts w:hint="eastAsia"/>
                      <w:color w:val="auto"/>
                    </w:rPr>
                    <w:t>依客户要求</w:t>
                  </w:r>
                </w:p>
              </w:tc>
              <w:tc>
                <w:tcPr>
                  <w:tcW w:w="1650" w:type="dxa"/>
                  <w:vAlign w:val="center"/>
                </w:tcPr>
                <w:p>
                  <w:pPr>
                    <w:pStyle w:val="50"/>
                    <w:rPr>
                      <w:color w:val="auto"/>
                    </w:rPr>
                  </w:pPr>
                  <w:r>
                    <w:rPr>
                      <w:rFonts w:hint="eastAsia"/>
                      <w:color w:val="auto"/>
                    </w:rPr>
                    <w:t>800座</w:t>
                  </w:r>
                </w:p>
              </w:tc>
              <w:tc>
                <w:tcPr>
                  <w:tcW w:w="2991" w:type="dxa"/>
                  <w:vAlign w:val="center"/>
                </w:tcPr>
                <w:p>
                  <w:pPr>
                    <w:pStyle w:val="50"/>
                    <w:rPr>
                      <w:color w:val="auto"/>
                    </w:rPr>
                  </w:pPr>
                  <w:r>
                    <w:rPr>
                      <w:rFonts w:hint="eastAsia"/>
                      <w:color w:val="auto"/>
                    </w:rPr>
                    <w:t>5G通信配套设备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835" w:type="dxa"/>
                  <w:vAlign w:val="center"/>
                </w:tcPr>
                <w:p>
                  <w:pPr>
                    <w:pStyle w:val="50"/>
                    <w:rPr>
                      <w:color w:val="auto"/>
                    </w:rPr>
                  </w:pPr>
                  <w:r>
                    <w:rPr>
                      <w:rFonts w:hint="eastAsia"/>
                      <w:color w:val="auto"/>
                    </w:rPr>
                    <w:t>3</w:t>
                  </w:r>
                </w:p>
              </w:tc>
              <w:tc>
                <w:tcPr>
                  <w:tcW w:w="1605" w:type="dxa"/>
                  <w:vAlign w:val="center"/>
                </w:tcPr>
                <w:p>
                  <w:pPr>
                    <w:pStyle w:val="50"/>
                    <w:rPr>
                      <w:color w:val="auto"/>
                    </w:rPr>
                  </w:pPr>
                  <w:r>
                    <w:rPr>
                      <w:rFonts w:hint="eastAsia"/>
                      <w:color w:val="auto"/>
                    </w:rPr>
                    <w:t>监控操作台</w:t>
                  </w:r>
                </w:p>
              </w:tc>
              <w:tc>
                <w:tcPr>
                  <w:tcW w:w="1876" w:type="dxa"/>
                  <w:vAlign w:val="center"/>
                </w:tcPr>
                <w:p>
                  <w:pPr>
                    <w:pStyle w:val="50"/>
                    <w:rPr>
                      <w:color w:val="auto"/>
                    </w:rPr>
                  </w:pPr>
                  <w:r>
                    <w:rPr>
                      <w:rFonts w:hint="eastAsia"/>
                      <w:color w:val="auto"/>
                    </w:rPr>
                    <w:t>依客户要求</w:t>
                  </w:r>
                </w:p>
              </w:tc>
              <w:tc>
                <w:tcPr>
                  <w:tcW w:w="1650" w:type="dxa"/>
                  <w:vAlign w:val="center"/>
                </w:tcPr>
                <w:p>
                  <w:pPr>
                    <w:pStyle w:val="50"/>
                    <w:rPr>
                      <w:color w:val="auto"/>
                    </w:rPr>
                  </w:pPr>
                  <w:r>
                    <w:rPr>
                      <w:rFonts w:hint="eastAsia"/>
                      <w:color w:val="auto"/>
                    </w:rPr>
                    <w:t>1000台</w:t>
                  </w:r>
                </w:p>
              </w:tc>
              <w:tc>
                <w:tcPr>
                  <w:tcW w:w="2991" w:type="dxa"/>
                  <w:vAlign w:val="center"/>
                </w:tcPr>
                <w:p>
                  <w:pPr>
                    <w:pStyle w:val="50"/>
                    <w:rPr>
                      <w:color w:val="auto"/>
                    </w:rPr>
                  </w:pPr>
                  <w:r>
                    <w:rPr>
                      <w:rFonts w:hint="eastAsia"/>
                      <w:color w:val="auto"/>
                    </w:rPr>
                    <w:t>监控室配套设备</w:t>
                  </w:r>
                </w:p>
              </w:tc>
            </w:tr>
          </w:tbl>
          <w:p>
            <w:pPr>
              <w:adjustRightInd/>
              <w:snapToGrid/>
              <w:ind w:firstLine="480"/>
              <w:contextualSpacing/>
              <w:rPr>
                <w:color w:val="auto"/>
              </w:rPr>
            </w:pPr>
            <w:r>
              <w:rPr>
                <w:color w:val="auto"/>
              </w:rPr>
              <w:t>5、本项目主要生产设备</w:t>
            </w:r>
          </w:p>
          <w:p>
            <w:pPr>
              <w:ind w:firstLine="480"/>
              <w:contextualSpacing/>
              <w:rPr>
                <w:color w:val="auto"/>
              </w:rPr>
            </w:pPr>
            <w:r>
              <w:rPr>
                <w:color w:val="auto"/>
              </w:rPr>
              <w:t>对照《产业结构调整指导目录(201</w:t>
            </w:r>
            <w:r>
              <w:rPr>
                <w:rFonts w:hint="eastAsia"/>
                <w:color w:val="auto"/>
              </w:rPr>
              <w:t>9本</w:t>
            </w:r>
            <w:r>
              <w:rPr>
                <w:color w:val="auto"/>
              </w:rPr>
              <w:t>)》及《高耗能落后机电设备(产品) 淘汰目录(第二批)》本项目生产设备不属于其中的淘汰类。本项目主要生产设备见表1-3。</w:t>
            </w:r>
          </w:p>
          <w:p>
            <w:pPr>
              <w:pStyle w:val="48"/>
              <w:ind w:firstLine="422"/>
              <w:rPr>
                <w:color w:val="auto"/>
              </w:rPr>
            </w:pPr>
            <w:r>
              <w:rPr>
                <w:color w:val="auto"/>
              </w:rPr>
              <w:t>表1-3 本项目主要设备清单</w:t>
            </w:r>
          </w:p>
          <w:tbl>
            <w:tblPr>
              <w:tblStyle w:val="36"/>
              <w:tblW w:w="895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0" w:type="dxa"/>
                <w:bottom w:w="0" w:type="dxa"/>
                <w:right w:w="0" w:type="dxa"/>
              </w:tblCellMar>
            </w:tblPr>
            <w:tblGrid>
              <w:gridCol w:w="664"/>
              <w:gridCol w:w="2465"/>
              <w:gridCol w:w="2412"/>
              <w:gridCol w:w="1146"/>
              <w:gridCol w:w="1091"/>
              <w:gridCol w:w="1179"/>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color w:val="auto"/>
                    </w:rPr>
                    <w:t>序号</w:t>
                  </w:r>
                </w:p>
              </w:tc>
              <w:tc>
                <w:tcPr>
                  <w:tcW w:w="2465" w:type="dxa"/>
                  <w:vAlign w:val="center"/>
                </w:tcPr>
                <w:p>
                  <w:pPr>
                    <w:pStyle w:val="50"/>
                    <w:rPr>
                      <w:color w:val="auto"/>
                    </w:rPr>
                  </w:pPr>
                  <w:r>
                    <w:rPr>
                      <w:color w:val="auto"/>
                    </w:rPr>
                    <w:t>设备名称</w:t>
                  </w:r>
                </w:p>
              </w:tc>
              <w:tc>
                <w:tcPr>
                  <w:tcW w:w="2412" w:type="dxa"/>
                  <w:vAlign w:val="center"/>
                </w:tcPr>
                <w:p>
                  <w:pPr>
                    <w:pStyle w:val="50"/>
                    <w:rPr>
                      <w:color w:val="auto"/>
                    </w:rPr>
                  </w:pPr>
                  <w:r>
                    <w:rPr>
                      <w:color w:val="auto"/>
                    </w:rPr>
                    <w:t>型号规格</w:t>
                  </w:r>
                </w:p>
              </w:tc>
              <w:tc>
                <w:tcPr>
                  <w:tcW w:w="1146" w:type="dxa"/>
                  <w:vAlign w:val="center"/>
                </w:tcPr>
                <w:p>
                  <w:pPr>
                    <w:pStyle w:val="50"/>
                    <w:rPr>
                      <w:color w:val="auto"/>
                    </w:rPr>
                  </w:pPr>
                  <w:r>
                    <w:rPr>
                      <w:color w:val="auto"/>
                    </w:rPr>
                    <w:t>单位</w:t>
                  </w:r>
                </w:p>
              </w:tc>
              <w:tc>
                <w:tcPr>
                  <w:tcW w:w="1091" w:type="dxa"/>
                  <w:vAlign w:val="center"/>
                </w:tcPr>
                <w:p>
                  <w:pPr>
                    <w:pStyle w:val="50"/>
                    <w:rPr>
                      <w:color w:val="auto"/>
                    </w:rPr>
                  </w:pPr>
                  <w:r>
                    <w:rPr>
                      <w:color w:val="auto"/>
                    </w:rPr>
                    <w:t>数量</w:t>
                  </w:r>
                </w:p>
              </w:tc>
              <w:tc>
                <w:tcPr>
                  <w:tcW w:w="1179" w:type="dxa"/>
                  <w:vAlign w:val="center"/>
                </w:tcPr>
                <w:p>
                  <w:pPr>
                    <w:pStyle w:val="50"/>
                    <w:rPr>
                      <w:color w:val="auto"/>
                    </w:rPr>
                  </w:pPr>
                  <w:r>
                    <w:rPr>
                      <w:color w:val="auto"/>
                    </w:rPr>
                    <w:t>备注</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8957" w:type="dxa"/>
                  <w:gridSpan w:val="6"/>
                  <w:vAlign w:val="center"/>
                </w:tcPr>
                <w:p>
                  <w:pPr>
                    <w:pStyle w:val="50"/>
                    <w:rPr>
                      <w:color w:val="auto"/>
                    </w:rPr>
                  </w:pPr>
                  <w:r>
                    <w:rPr>
                      <w:rFonts w:hint="eastAsia"/>
                      <w:color w:val="auto"/>
                    </w:rPr>
                    <w:t>网络机箱机柜、5G机房、监控操作台生产设备</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1.1</w:t>
                  </w:r>
                </w:p>
              </w:tc>
              <w:tc>
                <w:tcPr>
                  <w:tcW w:w="2465" w:type="dxa"/>
                  <w:vAlign w:val="center"/>
                </w:tcPr>
                <w:p>
                  <w:pPr>
                    <w:pStyle w:val="50"/>
                    <w:rPr>
                      <w:color w:val="auto"/>
                    </w:rPr>
                  </w:pPr>
                  <w:r>
                    <w:rPr>
                      <w:rFonts w:hint="eastAsia"/>
                      <w:color w:val="auto"/>
                    </w:rPr>
                    <w:t>激光切割机</w:t>
                  </w:r>
                </w:p>
              </w:tc>
              <w:tc>
                <w:tcPr>
                  <w:tcW w:w="2412" w:type="dxa"/>
                  <w:vAlign w:val="center"/>
                </w:tcPr>
                <w:p>
                  <w:pPr>
                    <w:pStyle w:val="50"/>
                    <w:rPr>
                      <w:color w:val="auto"/>
                    </w:rPr>
                  </w:pPr>
                  <w:r>
                    <w:rPr>
                      <w:rFonts w:hint="eastAsia"/>
                      <w:color w:val="auto"/>
                    </w:rPr>
                    <w:t xml:space="preserve"> SPINDLE</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1.2</w:t>
                  </w:r>
                </w:p>
              </w:tc>
              <w:tc>
                <w:tcPr>
                  <w:tcW w:w="2465" w:type="dxa"/>
                  <w:vAlign w:val="center"/>
                </w:tcPr>
                <w:p>
                  <w:pPr>
                    <w:pStyle w:val="50"/>
                    <w:rPr>
                      <w:color w:val="auto"/>
                    </w:rPr>
                  </w:pPr>
                  <w:r>
                    <w:rPr>
                      <w:rFonts w:hint="eastAsia"/>
                      <w:color w:val="auto"/>
                    </w:rPr>
                    <w:t>大旋风涂装流水线</w:t>
                  </w:r>
                </w:p>
              </w:tc>
              <w:tc>
                <w:tcPr>
                  <w:tcW w:w="2412" w:type="dxa"/>
                  <w:vAlign w:val="center"/>
                </w:tcPr>
                <w:p>
                  <w:pPr>
                    <w:pStyle w:val="50"/>
                    <w:rPr>
                      <w:color w:val="auto"/>
                    </w:rPr>
                  </w:pPr>
                  <w:r>
                    <w:rPr>
                      <w:rFonts w:hint="eastAsia"/>
                      <w:color w:val="auto"/>
                    </w:rPr>
                    <w:t>TEMA3200JUN</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1.3</w:t>
                  </w:r>
                </w:p>
              </w:tc>
              <w:tc>
                <w:tcPr>
                  <w:tcW w:w="2465" w:type="dxa"/>
                  <w:vAlign w:val="center"/>
                </w:tcPr>
                <w:p>
                  <w:pPr>
                    <w:pStyle w:val="50"/>
                    <w:rPr>
                      <w:color w:val="auto"/>
                    </w:rPr>
                  </w:pPr>
                  <w:r>
                    <w:rPr>
                      <w:rFonts w:hint="eastAsia"/>
                      <w:color w:val="auto"/>
                    </w:rPr>
                    <w:t>行车5吨</w:t>
                  </w:r>
                </w:p>
              </w:tc>
              <w:tc>
                <w:tcPr>
                  <w:tcW w:w="2412" w:type="dxa"/>
                  <w:vAlign w:val="center"/>
                </w:tcPr>
                <w:p>
                  <w:pPr>
                    <w:pStyle w:val="50"/>
                    <w:rPr>
                      <w:color w:val="auto"/>
                    </w:rPr>
                  </w:pPr>
                  <w:r>
                    <w:rPr>
                      <w:rFonts w:hint="eastAsia"/>
                      <w:color w:val="auto"/>
                    </w:rPr>
                    <w:t>PAOLONI</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1.4</w:t>
                  </w:r>
                </w:p>
              </w:tc>
              <w:tc>
                <w:tcPr>
                  <w:tcW w:w="2465" w:type="dxa"/>
                  <w:vAlign w:val="center"/>
                </w:tcPr>
                <w:p>
                  <w:pPr>
                    <w:pStyle w:val="50"/>
                    <w:rPr>
                      <w:color w:val="auto"/>
                    </w:rPr>
                  </w:pPr>
                  <w:r>
                    <w:rPr>
                      <w:rFonts w:hint="eastAsia"/>
                      <w:color w:val="auto"/>
                    </w:rPr>
                    <w:t>激光水冷机</w:t>
                  </w:r>
                </w:p>
              </w:tc>
              <w:tc>
                <w:tcPr>
                  <w:tcW w:w="2412" w:type="dxa"/>
                  <w:vAlign w:val="center"/>
                </w:tcPr>
                <w:p>
                  <w:pPr>
                    <w:pStyle w:val="50"/>
                    <w:rPr>
                      <w:color w:val="auto"/>
                    </w:rPr>
                  </w:pPr>
                  <w:r>
                    <w:rPr>
                      <w:rFonts w:hint="eastAsia"/>
                      <w:color w:val="auto"/>
                    </w:rPr>
                    <w:t>GB330</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1.5</w:t>
                  </w:r>
                </w:p>
              </w:tc>
              <w:tc>
                <w:tcPr>
                  <w:tcW w:w="2465" w:type="dxa"/>
                  <w:vAlign w:val="center"/>
                </w:tcPr>
                <w:p>
                  <w:pPr>
                    <w:pStyle w:val="50"/>
                    <w:rPr>
                      <w:color w:val="auto"/>
                    </w:rPr>
                  </w:pPr>
                  <w:r>
                    <w:rPr>
                      <w:rFonts w:hint="eastAsia"/>
                      <w:color w:val="auto"/>
                    </w:rPr>
                    <w:t>激光空压机</w:t>
                  </w:r>
                </w:p>
              </w:tc>
              <w:tc>
                <w:tcPr>
                  <w:tcW w:w="2412" w:type="dxa"/>
                  <w:vAlign w:val="center"/>
                </w:tcPr>
                <w:p>
                  <w:pPr>
                    <w:pStyle w:val="50"/>
                    <w:rPr>
                      <w:color w:val="auto"/>
                    </w:rPr>
                  </w:pPr>
                  <w:r>
                    <w:rPr>
                      <w:rFonts w:hint="eastAsia"/>
                      <w:color w:val="auto"/>
                    </w:rPr>
                    <w:t xml:space="preserve">HI0S </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1.6</w:t>
                  </w:r>
                </w:p>
              </w:tc>
              <w:tc>
                <w:tcPr>
                  <w:tcW w:w="2465" w:type="dxa"/>
                  <w:vAlign w:val="center"/>
                </w:tcPr>
                <w:p>
                  <w:pPr>
                    <w:pStyle w:val="50"/>
                    <w:rPr>
                      <w:color w:val="auto"/>
                    </w:rPr>
                  </w:pPr>
                  <w:r>
                    <w:rPr>
                      <w:rFonts w:hint="eastAsia"/>
                      <w:color w:val="auto"/>
                    </w:rPr>
                    <w:t>激光空气过滤机</w:t>
                  </w:r>
                </w:p>
              </w:tc>
              <w:tc>
                <w:tcPr>
                  <w:tcW w:w="2412" w:type="dxa"/>
                  <w:vAlign w:val="center"/>
                </w:tcPr>
                <w:p>
                  <w:pPr>
                    <w:pStyle w:val="50"/>
                    <w:rPr>
                      <w:color w:val="auto"/>
                    </w:rPr>
                  </w:pPr>
                  <w:r>
                    <w:rPr>
                      <w:rFonts w:hint="eastAsia"/>
                      <w:color w:val="auto"/>
                    </w:rPr>
                    <w:t xml:space="preserve">TSO2600 </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1.7</w:t>
                  </w:r>
                </w:p>
              </w:tc>
              <w:tc>
                <w:tcPr>
                  <w:tcW w:w="2465" w:type="dxa"/>
                  <w:vAlign w:val="center"/>
                </w:tcPr>
                <w:p>
                  <w:pPr>
                    <w:pStyle w:val="50"/>
                    <w:rPr>
                      <w:color w:val="auto"/>
                    </w:rPr>
                  </w:pPr>
                  <w:r>
                    <w:rPr>
                      <w:rFonts w:hint="eastAsia"/>
                      <w:color w:val="auto"/>
                    </w:rPr>
                    <w:t>数控折弯机</w:t>
                  </w:r>
                </w:p>
              </w:tc>
              <w:tc>
                <w:tcPr>
                  <w:tcW w:w="2412" w:type="dxa"/>
                  <w:vAlign w:val="center"/>
                </w:tcPr>
                <w:p>
                  <w:pPr>
                    <w:pStyle w:val="50"/>
                    <w:rPr>
                      <w:color w:val="auto"/>
                    </w:rPr>
                  </w:pPr>
                  <w:r>
                    <w:rPr>
                      <w:rFonts w:hint="eastAsia"/>
                      <w:color w:val="auto"/>
                    </w:rPr>
                    <w:t xml:space="preserve">FW-MINI630 </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1.8</w:t>
                  </w:r>
                </w:p>
              </w:tc>
              <w:tc>
                <w:tcPr>
                  <w:tcW w:w="2465" w:type="dxa"/>
                  <w:vAlign w:val="center"/>
                </w:tcPr>
                <w:p>
                  <w:pPr>
                    <w:pStyle w:val="50"/>
                    <w:rPr>
                      <w:color w:val="auto"/>
                    </w:rPr>
                  </w:pPr>
                  <w:r>
                    <w:rPr>
                      <w:rFonts w:hint="eastAsia"/>
                      <w:color w:val="auto"/>
                    </w:rPr>
                    <w:t>剪板机</w:t>
                  </w:r>
                </w:p>
              </w:tc>
              <w:tc>
                <w:tcPr>
                  <w:tcW w:w="2412" w:type="dxa"/>
                  <w:vAlign w:val="center"/>
                </w:tcPr>
                <w:p>
                  <w:pPr>
                    <w:pStyle w:val="50"/>
                    <w:rPr>
                      <w:color w:val="auto"/>
                    </w:rPr>
                  </w:pPr>
                  <w:r>
                    <w:rPr>
                      <w:rFonts w:hint="eastAsia"/>
                      <w:color w:val="auto"/>
                    </w:rPr>
                    <w:t>KHL2</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1.9</w:t>
                  </w:r>
                </w:p>
              </w:tc>
              <w:tc>
                <w:tcPr>
                  <w:tcW w:w="2465" w:type="dxa"/>
                  <w:vAlign w:val="center"/>
                </w:tcPr>
                <w:p>
                  <w:pPr>
                    <w:pStyle w:val="50"/>
                    <w:rPr>
                      <w:color w:val="auto"/>
                    </w:rPr>
                  </w:pPr>
                  <w:r>
                    <w:rPr>
                      <w:rFonts w:hint="eastAsia"/>
                      <w:color w:val="auto"/>
                    </w:rPr>
                    <w:t>冲床（80吨）</w:t>
                  </w:r>
                </w:p>
              </w:tc>
              <w:tc>
                <w:tcPr>
                  <w:tcW w:w="2412" w:type="dxa"/>
                  <w:vAlign w:val="center"/>
                </w:tcPr>
                <w:p>
                  <w:pPr>
                    <w:pStyle w:val="50"/>
                    <w:rPr>
                      <w:color w:val="auto"/>
                    </w:rPr>
                  </w:pPr>
                  <w:r>
                    <w:rPr>
                      <w:rFonts w:hint="eastAsia"/>
                      <w:color w:val="auto"/>
                    </w:rPr>
                    <w:t xml:space="preserve">NPC8/120 </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2</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2.0</w:t>
                  </w:r>
                </w:p>
              </w:tc>
              <w:tc>
                <w:tcPr>
                  <w:tcW w:w="2465" w:type="dxa"/>
                  <w:vAlign w:val="center"/>
                </w:tcPr>
                <w:p>
                  <w:pPr>
                    <w:pStyle w:val="50"/>
                    <w:rPr>
                      <w:color w:val="auto"/>
                    </w:rPr>
                  </w:pPr>
                  <w:r>
                    <w:rPr>
                      <w:rFonts w:hint="eastAsia"/>
                      <w:color w:val="auto"/>
                    </w:rPr>
                    <w:t>步冲机</w:t>
                  </w:r>
                </w:p>
              </w:tc>
              <w:tc>
                <w:tcPr>
                  <w:tcW w:w="2412" w:type="dxa"/>
                  <w:vAlign w:val="center"/>
                </w:tcPr>
                <w:p>
                  <w:pPr>
                    <w:pStyle w:val="50"/>
                    <w:rPr>
                      <w:color w:val="auto"/>
                    </w:rPr>
                  </w:pPr>
                  <w:r>
                    <w:rPr>
                      <w:rFonts w:hint="eastAsia"/>
                      <w:color w:val="auto"/>
                    </w:rPr>
                    <w:t>P30/3</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2.1</w:t>
                  </w:r>
                </w:p>
              </w:tc>
              <w:tc>
                <w:tcPr>
                  <w:tcW w:w="2465" w:type="dxa"/>
                  <w:vAlign w:val="center"/>
                </w:tcPr>
                <w:p>
                  <w:pPr>
                    <w:pStyle w:val="50"/>
                    <w:rPr>
                      <w:color w:val="auto"/>
                    </w:rPr>
                  </w:pPr>
                  <w:r>
                    <w:rPr>
                      <w:rFonts w:hint="eastAsia"/>
                      <w:color w:val="auto"/>
                    </w:rPr>
                    <w:t>气保电焊机</w:t>
                  </w:r>
                </w:p>
              </w:tc>
              <w:tc>
                <w:tcPr>
                  <w:tcW w:w="2412" w:type="dxa"/>
                  <w:vAlign w:val="center"/>
                </w:tcPr>
                <w:p>
                  <w:pPr>
                    <w:pStyle w:val="50"/>
                    <w:rPr>
                      <w:color w:val="auto"/>
                    </w:rPr>
                  </w:pPr>
                  <w:r>
                    <w:rPr>
                      <w:rFonts w:hint="eastAsia"/>
                      <w:color w:val="auto"/>
                    </w:rPr>
                    <w:t>MX5116/T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3</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2.2</w:t>
                  </w:r>
                </w:p>
              </w:tc>
              <w:tc>
                <w:tcPr>
                  <w:tcW w:w="2465" w:type="dxa"/>
                  <w:vAlign w:val="center"/>
                </w:tcPr>
                <w:p>
                  <w:pPr>
                    <w:pStyle w:val="50"/>
                    <w:rPr>
                      <w:color w:val="auto"/>
                    </w:rPr>
                  </w:pPr>
                  <w:r>
                    <w:rPr>
                      <w:rFonts w:hint="eastAsia"/>
                      <w:color w:val="auto"/>
                    </w:rPr>
                    <w:t>冲床（40吨）</w:t>
                  </w:r>
                </w:p>
              </w:tc>
              <w:tc>
                <w:tcPr>
                  <w:tcW w:w="2412" w:type="dxa"/>
                  <w:vAlign w:val="center"/>
                </w:tcPr>
                <w:p>
                  <w:pPr>
                    <w:pStyle w:val="50"/>
                    <w:rPr>
                      <w:color w:val="auto"/>
                    </w:rPr>
                  </w:pPr>
                  <w:r>
                    <w:rPr>
                      <w:rFonts w:hint="eastAsia"/>
                      <w:color w:val="auto"/>
                    </w:rPr>
                    <w:t>MC3340</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2.3</w:t>
                  </w:r>
                </w:p>
              </w:tc>
              <w:tc>
                <w:tcPr>
                  <w:tcW w:w="2465" w:type="dxa"/>
                  <w:vAlign w:val="center"/>
                </w:tcPr>
                <w:p>
                  <w:pPr>
                    <w:pStyle w:val="50"/>
                    <w:rPr>
                      <w:color w:val="auto"/>
                    </w:rPr>
                  </w:pPr>
                  <w:r>
                    <w:rPr>
                      <w:rFonts w:hint="eastAsia"/>
                      <w:color w:val="auto"/>
                    </w:rPr>
                    <w:t>冲床（16吨)</w:t>
                  </w:r>
                </w:p>
              </w:tc>
              <w:tc>
                <w:tcPr>
                  <w:tcW w:w="2412" w:type="dxa"/>
                  <w:vAlign w:val="center"/>
                </w:tcPr>
                <w:p>
                  <w:pPr>
                    <w:pStyle w:val="50"/>
                    <w:rPr>
                      <w:color w:val="auto"/>
                    </w:rPr>
                  </w:pPr>
                  <w:r>
                    <w:rPr>
                      <w:rFonts w:hint="eastAsia"/>
                      <w:color w:val="auto"/>
                    </w:rPr>
                    <w:t>NR-231</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2.4</w:t>
                  </w:r>
                </w:p>
              </w:tc>
              <w:tc>
                <w:tcPr>
                  <w:tcW w:w="2465" w:type="dxa"/>
                  <w:vAlign w:val="center"/>
                </w:tcPr>
                <w:p>
                  <w:pPr>
                    <w:pStyle w:val="50"/>
                    <w:rPr>
                      <w:color w:val="auto"/>
                    </w:rPr>
                  </w:pPr>
                  <w:r>
                    <w:rPr>
                      <w:rFonts w:hint="eastAsia"/>
                      <w:color w:val="auto"/>
                    </w:rPr>
                    <w:t>冲床（25吨）</w:t>
                  </w:r>
                </w:p>
              </w:tc>
              <w:tc>
                <w:tcPr>
                  <w:tcW w:w="2412" w:type="dxa"/>
                  <w:vAlign w:val="center"/>
                </w:tcPr>
                <w:p>
                  <w:pPr>
                    <w:pStyle w:val="50"/>
                    <w:rPr>
                      <w:color w:val="auto"/>
                    </w:rPr>
                  </w:pPr>
                  <w:r>
                    <w:rPr>
                      <w:rFonts w:hint="eastAsia"/>
                      <w:color w:val="auto"/>
                    </w:rPr>
                    <w:t>CF3200NC</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2.5</w:t>
                  </w:r>
                </w:p>
              </w:tc>
              <w:tc>
                <w:tcPr>
                  <w:tcW w:w="2465" w:type="dxa"/>
                  <w:vAlign w:val="center"/>
                </w:tcPr>
                <w:p>
                  <w:pPr>
                    <w:pStyle w:val="50"/>
                    <w:rPr>
                      <w:color w:val="auto"/>
                    </w:rPr>
                  </w:pPr>
                  <w:r>
                    <w:rPr>
                      <w:rFonts w:hint="eastAsia"/>
                      <w:color w:val="auto"/>
                    </w:rPr>
                    <w:t>气保电焊机</w:t>
                  </w:r>
                </w:p>
              </w:tc>
              <w:tc>
                <w:tcPr>
                  <w:tcW w:w="2412" w:type="dxa"/>
                  <w:vAlign w:val="center"/>
                </w:tcPr>
                <w:p>
                  <w:pPr>
                    <w:pStyle w:val="50"/>
                    <w:rPr>
                      <w:color w:val="auto"/>
                    </w:rPr>
                  </w:pPr>
                  <w:r>
                    <w:rPr>
                      <w:rFonts w:hint="eastAsia"/>
                      <w:color w:val="auto"/>
                    </w:rPr>
                    <w:t>SB15威霸</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6</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2.6</w:t>
                  </w:r>
                </w:p>
              </w:tc>
              <w:tc>
                <w:tcPr>
                  <w:tcW w:w="2465" w:type="dxa"/>
                  <w:vAlign w:val="center"/>
                </w:tcPr>
                <w:p>
                  <w:pPr>
                    <w:pStyle w:val="50"/>
                    <w:rPr>
                      <w:color w:val="auto"/>
                    </w:rPr>
                  </w:pPr>
                  <w:r>
                    <w:rPr>
                      <w:rFonts w:hint="eastAsia"/>
                      <w:color w:val="auto"/>
                    </w:rPr>
                    <w:t>折弯机（100吨）</w:t>
                  </w:r>
                </w:p>
              </w:tc>
              <w:tc>
                <w:tcPr>
                  <w:tcW w:w="2412" w:type="dxa"/>
                  <w:vAlign w:val="center"/>
                </w:tcPr>
                <w:p>
                  <w:pPr>
                    <w:pStyle w:val="50"/>
                    <w:rPr>
                      <w:color w:val="auto"/>
                    </w:rPr>
                  </w:pPr>
                  <w:r>
                    <w:rPr>
                      <w:rFonts w:hint="eastAsia"/>
                      <w:color w:val="auto"/>
                    </w:rPr>
                    <w:t>RAPID MAP7</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2.7</w:t>
                  </w:r>
                </w:p>
              </w:tc>
              <w:tc>
                <w:tcPr>
                  <w:tcW w:w="2465" w:type="dxa"/>
                  <w:vAlign w:val="center"/>
                </w:tcPr>
                <w:p>
                  <w:pPr>
                    <w:pStyle w:val="50"/>
                    <w:rPr>
                      <w:color w:val="auto"/>
                    </w:rPr>
                  </w:pPr>
                  <w:r>
                    <w:rPr>
                      <w:rFonts w:hint="eastAsia"/>
                      <w:color w:val="auto"/>
                    </w:rPr>
                    <w:t>液压切角机</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2.8</w:t>
                  </w:r>
                </w:p>
              </w:tc>
              <w:tc>
                <w:tcPr>
                  <w:tcW w:w="2465" w:type="dxa"/>
                  <w:vAlign w:val="center"/>
                </w:tcPr>
                <w:p>
                  <w:pPr>
                    <w:pStyle w:val="50"/>
                    <w:rPr>
                      <w:color w:val="auto"/>
                    </w:rPr>
                  </w:pPr>
                  <w:r>
                    <w:rPr>
                      <w:rFonts w:hint="eastAsia"/>
                      <w:color w:val="auto"/>
                    </w:rPr>
                    <w:t>点焊机</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2</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2.9</w:t>
                  </w:r>
                </w:p>
              </w:tc>
              <w:tc>
                <w:tcPr>
                  <w:tcW w:w="2465" w:type="dxa"/>
                  <w:vAlign w:val="center"/>
                </w:tcPr>
                <w:p>
                  <w:pPr>
                    <w:pStyle w:val="50"/>
                    <w:rPr>
                      <w:color w:val="auto"/>
                    </w:rPr>
                  </w:pPr>
                  <w:r>
                    <w:rPr>
                      <w:rFonts w:hint="eastAsia"/>
                      <w:color w:val="auto"/>
                    </w:rPr>
                    <w:t>摇臂钻床</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2</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3.0</w:t>
                  </w:r>
                </w:p>
              </w:tc>
              <w:tc>
                <w:tcPr>
                  <w:tcW w:w="2465" w:type="dxa"/>
                  <w:vAlign w:val="center"/>
                </w:tcPr>
                <w:p>
                  <w:pPr>
                    <w:pStyle w:val="50"/>
                    <w:rPr>
                      <w:color w:val="auto"/>
                    </w:rPr>
                  </w:pPr>
                  <w:r>
                    <w:rPr>
                      <w:rFonts w:hint="eastAsia"/>
                      <w:color w:val="auto"/>
                    </w:rPr>
                    <w:t>铜牌折弯机</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3</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3.1</w:t>
                  </w:r>
                </w:p>
              </w:tc>
              <w:tc>
                <w:tcPr>
                  <w:tcW w:w="2465" w:type="dxa"/>
                  <w:vAlign w:val="center"/>
                </w:tcPr>
                <w:p>
                  <w:pPr>
                    <w:pStyle w:val="50"/>
                    <w:rPr>
                      <w:color w:val="auto"/>
                    </w:rPr>
                  </w:pPr>
                  <w:r>
                    <w:rPr>
                      <w:rFonts w:hint="eastAsia"/>
                      <w:color w:val="auto"/>
                    </w:rPr>
                    <w:t>空压机</w:t>
                  </w:r>
                </w:p>
              </w:tc>
              <w:tc>
                <w:tcPr>
                  <w:tcW w:w="2412" w:type="dxa"/>
                  <w:vAlign w:val="center"/>
                </w:tcPr>
                <w:p>
                  <w:pPr>
                    <w:pStyle w:val="50"/>
                    <w:rPr>
                      <w:color w:val="auto"/>
                    </w:rPr>
                  </w:pPr>
                  <w:r>
                    <w:rPr>
                      <w:rFonts w:hint="eastAsia"/>
                      <w:color w:val="auto"/>
                    </w:rPr>
                    <w:t>MIULDER</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3.2</w:t>
                  </w:r>
                </w:p>
              </w:tc>
              <w:tc>
                <w:tcPr>
                  <w:tcW w:w="2465" w:type="dxa"/>
                  <w:vAlign w:val="center"/>
                </w:tcPr>
                <w:p>
                  <w:pPr>
                    <w:pStyle w:val="50"/>
                    <w:rPr>
                      <w:color w:val="auto"/>
                    </w:rPr>
                  </w:pPr>
                  <w:r>
                    <w:rPr>
                      <w:rFonts w:hint="eastAsia"/>
                      <w:color w:val="auto"/>
                    </w:rPr>
                    <w:t>冷冻干燥机</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台</w:t>
                  </w:r>
                </w:p>
              </w:tc>
              <w:tc>
                <w:tcPr>
                  <w:tcW w:w="1091" w:type="dxa"/>
                  <w:vAlign w:val="center"/>
                </w:tcPr>
                <w:p>
                  <w:pPr>
                    <w:pStyle w:val="50"/>
                    <w:rPr>
                      <w:color w:val="auto"/>
                    </w:rPr>
                  </w:pPr>
                  <w:r>
                    <w:rPr>
                      <w:rFonts w:hint="eastAsia"/>
                      <w:color w:val="auto"/>
                    </w:rPr>
                    <w:t>2</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3.3</w:t>
                  </w:r>
                </w:p>
              </w:tc>
              <w:tc>
                <w:tcPr>
                  <w:tcW w:w="2465" w:type="dxa"/>
                  <w:vAlign w:val="center"/>
                </w:tcPr>
                <w:p>
                  <w:pPr>
                    <w:pStyle w:val="50"/>
                    <w:rPr>
                      <w:color w:val="auto"/>
                    </w:rPr>
                  </w:pPr>
                  <w:r>
                    <w:rPr>
                      <w:rFonts w:hint="eastAsia"/>
                      <w:color w:val="auto"/>
                    </w:rPr>
                    <w:t>电热固化炉</w:t>
                  </w:r>
                </w:p>
              </w:tc>
              <w:tc>
                <w:tcPr>
                  <w:tcW w:w="2412" w:type="dxa"/>
                  <w:vAlign w:val="center"/>
                </w:tcPr>
                <w:p>
                  <w:pPr>
                    <w:pStyle w:val="50"/>
                    <w:rPr>
                      <w:color w:val="auto"/>
                    </w:rPr>
                  </w:pPr>
                  <w:r>
                    <w:rPr>
                      <w:rFonts w:hint="eastAsia"/>
                      <w:color w:val="auto"/>
                    </w:rPr>
                    <w:t>DGBE/L40</w:t>
                  </w:r>
                </w:p>
              </w:tc>
              <w:tc>
                <w:tcPr>
                  <w:tcW w:w="1146" w:type="dxa"/>
                  <w:vAlign w:val="center"/>
                </w:tcPr>
                <w:p>
                  <w:pPr>
                    <w:pStyle w:val="50"/>
                    <w:rPr>
                      <w:color w:val="auto"/>
                    </w:rPr>
                  </w:pPr>
                  <w:r>
                    <w:rPr>
                      <w:rFonts w:hint="eastAsia"/>
                      <w:color w:val="auto"/>
                    </w:rPr>
                    <w:t>套</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3.4</w:t>
                  </w:r>
                </w:p>
              </w:tc>
              <w:tc>
                <w:tcPr>
                  <w:tcW w:w="2465" w:type="dxa"/>
                  <w:vAlign w:val="center"/>
                </w:tcPr>
                <w:p>
                  <w:pPr>
                    <w:pStyle w:val="50"/>
                    <w:rPr>
                      <w:color w:val="auto"/>
                    </w:rPr>
                  </w:pPr>
                  <w:r>
                    <w:rPr>
                      <w:rFonts w:hint="eastAsia"/>
                      <w:color w:val="auto"/>
                    </w:rPr>
                    <w:t>气热固化炉</w:t>
                  </w:r>
                </w:p>
              </w:tc>
              <w:tc>
                <w:tcPr>
                  <w:tcW w:w="2412" w:type="dxa"/>
                  <w:vAlign w:val="center"/>
                </w:tcPr>
                <w:p>
                  <w:pPr>
                    <w:pStyle w:val="50"/>
                    <w:rPr>
                      <w:color w:val="auto"/>
                    </w:rPr>
                  </w:pPr>
                  <w:r>
                    <w:rPr>
                      <w:rFonts w:hint="eastAsia"/>
                      <w:color w:val="auto"/>
                    </w:rPr>
                    <w:t>QTDGB/L</w:t>
                  </w:r>
                </w:p>
              </w:tc>
              <w:tc>
                <w:tcPr>
                  <w:tcW w:w="1146" w:type="dxa"/>
                  <w:vAlign w:val="center"/>
                </w:tcPr>
                <w:p>
                  <w:pPr>
                    <w:pStyle w:val="50"/>
                    <w:rPr>
                      <w:color w:val="auto"/>
                    </w:rPr>
                  </w:pPr>
                  <w:r>
                    <w:rPr>
                      <w:rFonts w:hint="eastAsia"/>
                      <w:color w:val="auto"/>
                    </w:rPr>
                    <w:t>套</w:t>
                  </w:r>
                </w:p>
              </w:tc>
              <w:tc>
                <w:tcPr>
                  <w:tcW w:w="1091" w:type="dxa"/>
                  <w:vAlign w:val="center"/>
                </w:tcPr>
                <w:p>
                  <w:pPr>
                    <w:pStyle w:val="50"/>
                    <w:rPr>
                      <w:color w:val="auto"/>
                    </w:rPr>
                  </w:pPr>
                  <w:r>
                    <w:rPr>
                      <w:rFonts w:hint="eastAsia"/>
                      <w:color w:val="auto"/>
                    </w:rPr>
                    <w:t>2</w:t>
                  </w:r>
                </w:p>
              </w:tc>
              <w:tc>
                <w:tcPr>
                  <w:tcW w:w="1179" w:type="dxa"/>
                  <w:vAlign w:val="center"/>
                </w:tcPr>
                <w:p>
                  <w:pPr>
                    <w:pStyle w:val="50"/>
                    <w:rPr>
                      <w:color w:val="auto"/>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664" w:type="dxa"/>
                  <w:vAlign w:val="center"/>
                </w:tcPr>
                <w:p>
                  <w:pPr>
                    <w:pStyle w:val="50"/>
                    <w:rPr>
                      <w:color w:val="auto"/>
                    </w:rPr>
                  </w:pPr>
                  <w:r>
                    <w:rPr>
                      <w:rFonts w:hint="eastAsia"/>
                      <w:color w:val="auto"/>
                    </w:rPr>
                    <w:t>3.5</w:t>
                  </w:r>
                </w:p>
              </w:tc>
              <w:tc>
                <w:tcPr>
                  <w:tcW w:w="2465" w:type="dxa"/>
                  <w:vAlign w:val="center"/>
                </w:tcPr>
                <w:p>
                  <w:pPr>
                    <w:pStyle w:val="50"/>
                    <w:rPr>
                      <w:color w:val="auto"/>
                    </w:rPr>
                  </w:pPr>
                  <w:r>
                    <w:rPr>
                      <w:rFonts w:hint="eastAsia"/>
                      <w:color w:val="auto"/>
                      <w:kern w:val="2"/>
                      <w:lang w:val="en-US" w:eastAsia="zh-CN"/>
                    </w:rPr>
                    <w:t>UV光氧+</w:t>
                  </w:r>
                  <w:r>
                    <w:rPr>
                      <w:rFonts w:hint="eastAsia"/>
                      <w:color w:val="auto"/>
                      <w:kern w:val="2"/>
                    </w:rPr>
                    <w:t>活性炭吸附设备</w:t>
                  </w:r>
                </w:p>
              </w:tc>
              <w:tc>
                <w:tcPr>
                  <w:tcW w:w="2412" w:type="dxa"/>
                  <w:vAlign w:val="center"/>
                </w:tcPr>
                <w:p>
                  <w:pPr>
                    <w:pStyle w:val="50"/>
                    <w:rPr>
                      <w:color w:val="auto"/>
                    </w:rPr>
                  </w:pPr>
                  <w:r>
                    <w:rPr>
                      <w:rFonts w:hint="eastAsia"/>
                      <w:color w:val="auto"/>
                    </w:rPr>
                    <w:t>/</w:t>
                  </w:r>
                </w:p>
              </w:tc>
              <w:tc>
                <w:tcPr>
                  <w:tcW w:w="1146" w:type="dxa"/>
                  <w:vAlign w:val="center"/>
                </w:tcPr>
                <w:p>
                  <w:pPr>
                    <w:pStyle w:val="50"/>
                    <w:rPr>
                      <w:color w:val="auto"/>
                    </w:rPr>
                  </w:pPr>
                  <w:r>
                    <w:rPr>
                      <w:rFonts w:hint="eastAsia"/>
                      <w:color w:val="auto"/>
                    </w:rPr>
                    <w:t>套</w:t>
                  </w:r>
                </w:p>
              </w:tc>
              <w:tc>
                <w:tcPr>
                  <w:tcW w:w="1091" w:type="dxa"/>
                  <w:vAlign w:val="center"/>
                </w:tcPr>
                <w:p>
                  <w:pPr>
                    <w:pStyle w:val="50"/>
                    <w:rPr>
                      <w:color w:val="auto"/>
                    </w:rPr>
                  </w:pPr>
                  <w:r>
                    <w:rPr>
                      <w:rFonts w:hint="eastAsia"/>
                      <w:color w:val="auto"/>
                    </w:rPr>
                    <w:t>1</w:t>
                  </w:r>
                </w:p>
              </w:tc>
              <w:tc>
                <w:tcPr>
                  <w:tcW w:w="1179" w:type="dxa"/>
                  <w:vAlign w:val="center"/>
                </w:tcPr>
                <w:p>
                  <w:pPr>
                    <w:pStyle w:val="50"/>
                    <w:rPr>
                      <w:color w:val="auto"/>
                    </w:rPr>
                  </w:pPr>
                  <w:r>
                    <w:rPr>
                      <w:rFonts w:hint="eastAsia"/>
                      <w:color w:val="auto"/>
                    </w:rPr>
                    <w:t>外购</w:t>
                  </w:r>
                </w:p>
              </w:tc>
            </w:tr>
          </w:tbl>
          <w:p>
            <w:pPr>
              <w:adjustRightInd/>
              <w:snapToGrid/>
              <w:ind w:firstLine="480"/>
              <w:contextualSpacing/>
              <w:rPr>
                <w:color w:val="auto"/>
              </w:rPr>
            </w:pPr>
            <w:r>
              <w:rPr>
                <w:color w:val="auto"/>
              </w:rPr>
              <w:t>6、产品的主要</w:t>
            </w:r>
            <w:r>
              <w:rPr>
                <w:rFonts w:hint="eastAsia"/>
                <w:color w:val="auto"/>
              </w:rPr>
              <w:t>原</w:t>
            </w:r>
            <w:r>
              <w:rPr>
                <w:color w:val="auto"/>
              </w:rPr>
              <w:t>辅材料名称及年消耗量</w:t>
            </w:r>
          </w:p>
          <w:p>
            <w:pPr>
              <w:ind w:firstLine="480"/>
              <w:contextualSpacing/>
              <w:rPr>
                <w:color w:val="auto"/>
              </w:rPr>
            </w:pPr>
            <w:r>
              <w:rPr>
                <w:rFonts w:hint="eastAsia"/>
                <w:color w:val="auto"/>
              </w:rPr>
              <w:t>项目原辅材料主要为钢管、冷轧钢板、覆铝锌钢板、铝合金型材、五金配件、木板、防水胶条、塑粉、PU板、气泡膜等。</w:t>
            </w:r>
            <w:r>
              <w:rPr>
                <w:color w:val="auto"/>
              </w:rPr>
              <w:t>主要原辅材料</w:t>
            </w:r>
            <w:r>
              <w:rPr>
                <w:rFonts w:hint="eastAsia"/>
                <w:color w:val="auto"/>
              </w:rPr>
              <w:t>及能源</w:t>
            </w:r>
            <w:r>
              <w:rPr>
                <w:color w:val="auto"/>
              </w:rPr>
              <w:t>消耗量见表1-4。</w:t>
            </w:r>
          </w:p>
          <w:p>
            <w:pPr>
              <w:pStyle w:val="48"/>
              <w:ind w:firstLine="422"/>
              <w:rPr>
                <w:color w:val="auto"/>
              </w:rPr>
            </w:pPr>
            <w:r>
              <w:rPr>
                <w:color w:val="auto"/>
              </w:rPr>
              <w:t>表1-4 本项目主要原辅材料及能源消耗</w:t>
            </w:r>
          </w:p>
          <w:tbl>
            <w:tblPr>
              <w:tblStyle w:val="37"/>
              <w:tblW w:w="8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871"/>
              <w:gridCol w:w="1844"/>
              <w:gridCol w:w="1740"/>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rPr>
                      <w:color w:val="auto"/>
                    </w:rPr>
                  </w:pPr>
                  <w:r>
                    <w:rPr>
                      <w:color w:val="auto"/>
                    </w:rPr>
                    <w:t>序号</w:t>
                  </w:r>
                </w:p>
              </w:tc>
              <w:tc>
                <w:tcPr>
                  <w:tcW w:w="1871" w:type="dxa"/>
                  <w:tcBorders>
                    <w:left w:val="single" w:color="auto" w:sz="4" w:space="0"/>
                    <w:tl2br w:val="nil"/>
                    <w:tr2bl w:val="nil"/>
                  </w:tcBorders>
                  <w:vAlign w:val="center"/>
                </w:tcPr>
                <w:p>
                  <w:pPr>
                    <w:pStyle w:val="50"/>
                    <w:rPr>
                      <w:color w:val="auto"/>
                    </w:rPr>
                  </w:pPr>
                  <w:r>
                    <w:rPr>
                      <w:color w:val="auto"/>
                    </w:rPr>
                    <w:t>名称</w:t>
                  </w:r>
                </w:p>
              </w:tc>
              <w:tc>
                <w:tcPr>
                  <w:tcW w:w="1844" w:type="dxa"/>
                  <w:tcBorders>
                    <w:tl2br w:val="nil"/>
                    <w:tr2bl w:val="nil"/>
                  </w:tcBorders>
                  <w:vAlign w:val="center"/>
                </w:tcPr>
                <w:p>
                  <w:pPr>
                    <w:pStyle w:val="50"/>
                    <w:rPr>
                      <w:color w:val="auto"/>
                    </w:rPr>
                  </w:pPr>
                  <w:r>
                    <w:rPr>
                      <w:color w:val="auto"/>
                    </w:rPr>
                    <w:t>单位</w:t>
                  </w:r>
                </w:p>
              </w:tc>
              <w:tc>
                <w:tcPr>
                  <w:tcW w:w="1740" w:type="dxa"/>
                  <w:tcBorders>
                    <w:tl2br w:val="nil"/>
                    <w:tr2bl w:val="nil"/>
                  </w:tcBorders>
                  <w:vAlign w:val="center"/>
                </w:tcPr>
                <w:p>
                  <w:pPr>
                    <w:pStyle w:val="50"/>
                    <w:rPr>
                      <w:color w:val="auto"/>
                    </w:rPr>
                  </w:pPr>
                  <w:r>
                    <w:rPr>
                      <w:color w:val="auto"/>
                    </w:rPr>
                    <w:t>消耗量</w:t>
                  </w:r>
                </w:p>
              </w:tc>
              <w:tc>
                <w:tcPr>
                  <w:tcW w:w="2681" w:type="dxa"/>
                  <w:tcBorders>
                    <w:tl2br w:val="nil"/>
                    <w:tr2bl w:val="nil"/>
                  </w:tcBorders>
                  <w:vAlign w:val="center"/>
                </w:tcPr>
                <w:p>
                  <w:pPr>
                    <w:pStyle w:val="50"/>
                    <w:rPr>
                      <w:color w:val="auto"/>
                    </w:rPr>
                  </w:pPr>
                  <w:r>
                    <w:rPr>
                      <w:color w:val="auto"/>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钢管</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50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2</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冷轧钢板</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200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3</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覆铝锌钢板</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240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4</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铝合金型材</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5</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5</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塑粉</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14</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6</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五金配件</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3</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7</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PU板</w:t>
                  </w:r>
                </w:p>
              </w:tc>
              <w:tc>
                <w:tcPr>
                  <w:tcW w:w="1844" w:type="dxa"/>
                  <w:tcBorders>
                    <w:tl2br w:val="nil"/>
                    <w:tr2bl w:val="nil"/>
                  </w:tcBorders>
                  <w:vAlign w:val="center"/>
                </w:tcPr>
                <w:p>
                  <w:pPr>
                    <w:pStyle w:val="50"/>
                    <w:textAlignment w:val="center"/>
                    <w:rPr>
                      <w:color w:val="auto"/>
                      <w:kern w:val="2"/>
                    </w:rPr>
                  </w:pPr>
                  <w:r>
                    <w:rPr>
                      <w:rFonts w:hint="eastAsia"/>
                      <w:color w:val="auto"/>
                      <w:kern w:val="2"/>
                    </w:rPr>
                    <w:t>张/a</w:t>
                  </w:r>
                </w:p>
              </w:tc>
              <w:tc>
                <w:tcPr>
                  <w:tcW w:w="1740" w:type="dxa"/>
                  <w:tcBorders>
                    <w:tl2br w:val="nil"/>
                    <w:tr2bl w:val="nil"/>
                  </w:tcBorders>
                  <w:vAlign w:val="center"/>
                </w:tcPr>
                <w:p>
                  <w:pPr>
                    <w:pStyle w:val="50"/>
                    <w:textAlignment w:val="center"/>
                    <w:rPr>
                      <w:color w:val="auto"/>
                      <w:kern w:val="2"/>
                    </w:rPr>
                  </w:pPr>
                  <w:r>
                    <w:rPr>
                      <w:rFonts w:hint="eastAsia"/>
                      <w:color w:val="auto"/>
                      <w:kern w:val="2"/>
                    </w:rPr>
                    <w:t>11200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定制，外购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8</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木油</w:t>
                  </w:r>
                </w:p>
              </w:tc>
              <w:tc>
                <w:tcPr>
                  <w:tcW w:w="1844" w:type="dxa"/>
                  <w:tcBorders>
                    <w:tl2br w:val="nil"/>
                    <w:tr2bl w:val="nil"/>
                  </w:tcBorders>
                  <w:vAlign w:val="center"/>
                </w:tcPr>
                <w:p>
                  <w:pPr>
                    <w:pStyle w:val="50"/>
                    <w:textAlignment w:val="center"/>
                    <w:rPr>
                      <w:color w:val="auto"/>
                      <w:kern w:val="2"/>
                    </w:rPr>
                  </w:pPr>
                  <w:r>
                    <w:rPr>
                      <w:rFonts w:hint="eastAsia"/>
                      <w:color w:val="auto"/>
                      <w:kern w:val="2"/>
                    </w:rPr>
                    <w:t>t/a</w:t>
                  </w:r>
                </w:p>
              </w:tc>
              <w:tc>
                <w:tcPr>
                  <w:tcW w:w="1740" w:type="dxa"/>
                  <w:tcBorders>
                    <w:tl2br w:val="nil"/>
                    <w:tr2bl w:val="nil"/>
                  </w:tcBorders>
                  <w:vAlign w:val="center"/>
                </w:tcPr>
                <w:p>
                  <w:pPr>
                    <w:pStyle w:val="50"/>
                    <w:textAlignment w:val="center"/>
                    <w:rPr>
                      <w:color w:val="auto"/>
                      <w:kern w:val="2"/>
                    </w:rPr>
                  </w:pPr>
                  <w:r>
                    <w:rPr>
                      <w:rFonts w:hint="eastAsia"/>
                      <w:color w:val="auto"/>
                      <w:kern w:val="2"/>
                    </w:rPr>
                    <w:t>1</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9</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气泡膜</w:t>
                  </w:r>
                </w:p>
              </w:tc>
              <w:tc>
                <w:tcPr>
                  <w:tcW w:w="1844" w:type="dxa"/>
                  <w:tcBorders>
                    <w:tl2br w:val="nil"/>
                    <w:tr2bl w:val="nil"/>
                  </w:tcBorders>
                  <w:vAlign w:val="center"/>
                </w:tcPr>
                <w:p>
                  <w:pPr>
                    <w:pStyle w:val="50"/>
                    <w:textAlignment w:val="center"/>
                    <w:rPr>
                      <w:color w:val="auto"/>
                      <w:kern w:val="2"/>
                    </w:rPr>
                  </w:pPr>
                  <w:r>
                    <w:rPr>
                      <w:rFonts w:hint="eastAsia"/>
                      <w:color w:val="auto"/>
                      <w:kern w:val="2"/>
                    </w:rPr>
                    <w:t>卷/a</w:t>
                  </w:r>
                </w:p>
              </w:tc>
              <w:tc>
                <w:tcPr>
                  <w:tcW w:w="1740" w:type="dxa"/>
                  <w:tcBorders>
                    <w:tl2br w:val="nil"/>
                    <w:tr2bl w:val="nil"/>
                  </w:tcBorders>
                  <w:vAlign w:val="center"/>
                </w:tcPr>
                <w:p>
                  <w:pPr>
                    <w:pStyle w:val="50"/>
                    <w:textAlignment w:val="center"/>
                    <w:rPr>
                      <w:color w:val="auto"/>
                      <w:kern w:val="2"/>
                    </w:rPr>
                  </w:pPr>
                  <w:r>
                    <w:rPr>
                      <w:rFonts w:hint="eastAsia"/>
                      <w:color w:val="auto"/>
                      <w:kern w:val="2"/>
                    </w:rPr>
                    <w:t>50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10</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木板</w:t>
                  </w:r>
                </w:p>
              </w:tc>
              <w:tc>
                <w:tcPr>
                  <w:tcW w:w="1844" w:type="dxa"/>
                  <w:tcBorders>
                    <w:tl2br w:val="nil"/>
                    <w:tr2bl w:val="nil"/>
                  </w:tcBorders>
                  <w:vAlign w:val="center"/>
                </w:tcPr>
                <w:p>
                  <w:pPr>
                    <w:pStyle w:val="50"/>
                    <w:textAlignment w:val="center"/>
                    <w:rPr>
                      <w:color w:val="auto"/>
                      <w:kern w:val="2"/>
                    </w:rPr>
                  </w:pPr>
                  <w:r>
                    <w:rPr>
                      <w:rFonts w:hint="eastAsia"/>
                      <w:color w:val="auto"/>
                      <w:kern w:val="2"/>
                    </w:rPr>
                    <w:t>立方/a</w:t>
                  </w:r>
                </w:p>
              </w:tc>
              <w:tc>
                <w:tcPr>
                  <w:tcW w:w="1740" w:type="dxa"/>
                  <w:tcBorders>
                    <w:tl2br w:val="nil"/>
                    <w:tr2bl w:val="nil"/>
                  </w:tcBorders>
                  <w:vAlign w:val="center"/>
                </w:tcPr>
                <w:p>
                  <w:pPr>
                    <w:pStyle w:val="50"/>
                    <w:textAlignment w:val="center"/>
                    <w:rPr>
                      <w:color w:val="auto"/>
                      <w:kern w:val="2"/>
                    </w:rPr>
                  </w:pPr>
                  <w:r>
                    <w:rPr>
                      <w:rFonts w:hint="eastAsia"/>
                      <w:color w:val="auto"/>
                      <w:kern w:val="2"/>
                    </w:rPr>
                    <w:t>600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定制，外购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11</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防水胶条</w:t>
                  </w:r>
                </w:p>
              </w:tc>
              <w:tc>
                <w:tcPr>
                  <w:tcW w:w="1844" w:type="dxa"/>
                  <w:tcBorders>
                    <w:tl2br w:val="nil"/>
                    <w:tr2bl w:val="nil"/>
                  </w:tcBorders>
                  <w:vAlign w:val="center"/>
                </w:tcPr>
                <w:p>
                  <w:pPr>
                    <w:pStyle w:val="50"/>
                    <w:textAlignment w:val="center"/>
                    <w:rPr>
                      <w:color w:val="auto"/>
                      <w:kern w:val="2"/>
                    </w:rPr>
                  </w:pPr>
                  <w:r>
                    <w:rPr>
                      <w:rFonts w:hint="eastAsia"/>
                      <w:color w:val="auto"/>
                      <w:kern w:val="2"/>
                    </w:rPr>
                    <w:t>m/a</w:t>
                  </w:r>
                </w:p>
              </w:tc>
              <w:tc>
                <w:tcPr>
                  <w:tcW w:w="1740" w:type="dxa"/>
                  <w:tcBorders>
                    <w:tl2br w:val="nil"/>
                    <w:tr2bl w:val="nil"/>
                  </w:tcBorders>
                  <w:vAlign w:val="center"/>
                </w:tcPr>
                <w:p>
                  <w:pPr>
                    <w:pStyle w:val="50"/>
                    <w:textAlignment w:val="center"/>
                    <w:rPr>
                      <w:color w:val="auto"/>
                      <w:kern w:val="2"/>
                    </w:rPr>
                  </w:pPr>
                  <w:r>
                    <w:rPr>
                      <w:rFonts w:hint="eastAsia"/>
                      <w:color w:val="auto"/>
                      <w:kern w:val="2"/>
                    </w:rPr>
                    <w:t>90000</w:t>
                  </w:r>
                </w:p>
              </w:tc>
              <w:tc>
                <w:tcPr>
                  <w:tcW w:w="2681" w:type="dxa"/>
                  <w:tcBorders>
                    <w:tl2br w:val="nil"/>
                    <w:tr2bl w:val="nil"/>
                  </w:tcBorders>
                  <w:vAlign w:val="center"/>
                </w:tcPr>
                <w:p>
                  <w:pPr>
                    <w:pStyle w:val="50"/>
                    <w:textAlignment w:val="center"/>
                    <w:rPr>
                      <w:color w:val="auto"/>
                      <w:kern w:val="2"/>
                    </w:rPr>
                  </w:pPr>
                  <w:r>
                    <w:rPr>
                      <w:rFonts w:hint="eastAsia"/>
                      <w:color w:val="auto"/>
                      <w:kern w:val="2"/>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12</w:t>
                  </w:r>
                </w:p>
              </w:tc>
              <w:tc>
                <w:tcPr>
                  <w:tcW w:w="1871" w:type="dxa"/>
                  <w:tcBorders>
                    <w:left w:val="single" w:color="auto" w:sz="4" w:space="0"/>
                    <w:tl2br w:val="nil"/>
                    <w:tr2bl w:val="nil"/>
                  </w:tcBorders>
                  <w:vAlign w:val="center"/>
                </w:tcPr>
                <w:p>
                  <w:pPr>
                    <w:pStyle w:val="50"/>
                    <w:rPr>
                      <w:color w:val="auto"/>
                      <w:kern w:val="2"/>
                    </w:rPr>
                  </w:pPr>
                  <w:r>
                    <w:rPr>
                      <w:color w:val="auto"/>
                    </w:rPr>
                    <w:t>焊</w:t>
                  </w:r>
                  <w:r>
                    <w:rPr>
                      <w:rFonts w:hint="eastAsia"/>
                      <w:color w:val="auto"/>
                    </w:rPr>
                    <w:t>丝</w:t>
                  </w:r>
                </w:p>
              </w:tc>
              <w:tc>
                <w:tcPr>
                  <w:tcW w:w="1844" w:type="dxa"/>
                  <w:tcBorders>
                    <w:tl2br w:val="nil"/>
                    <w:tr2bl w:val="nil"/>
                  </w:tcBorders>
                  <w:vAlign w:val="center"/>
                </w:tcPr>
                <w:p>
                  <w:pPr>
                    <w:pStyle w:val="50"/>
                    <w:rPr>
                      <w:color w:val="auto"/>
                      <w:kern w:val="2"/>
                    </w:rPr>
                  </w:pPr>
                  <w:r>
                    <w:rPr>
                      <w:rFonts w:hint="eastAsia"/>
                      <w:color w:val="auto"/>
                    </w:rPr>
                    <w:t>t/a</w:t>
                  </w:r>
                </w:p>
              </w:tc>
              <w:tc>
                <w:tcPr>
                  <w:tcW w:w="1740" w:type="dxa"/>
                  <w:tcBorders>
                    <w:tl2br w:val="nil"/>
                    <w:tr2bl w:val="nil"/>
                  </w:tcBorders>
                  <w:vAlign w:val="center"/>
                </w:tcPr>
                <w:p>
                  <w:pPr>
                    <w:pStyle w:val="50"/>
                    <w:rPr>
                      <w:color w:val="auto"/>
                      <w:kern w:val="2"/>
                    </w:rPr>
                  </w:pPr>
                  <w:r>
                    <w:rPr>
                      <w:rFonts w:hint="eastAsia"/>
                      <w:color w:val="auto"/>
                    </w:rPr>
                    <w:t>2</w:t>
                  </w:r>
                </w:p>
              </w:tc>
              <w:tc>
                <w:tcPr>
                  <w:tcW w:w="2681" w:type="dxa"/>
                  <w:tcBorders>
                    <w:tl2br w:val="nil"/>
                    <w:tr2bl w:val="nil"/>
                  </w:tcBorders>
                  <w:vAlign w:val="center"/>
                </w:tcPr>
                <w:p>
                  <w:pPr>
                    <w:pStyle w:val="50"/>
                    <w:rPr>
                      <w:color w:val="auto"/>
                      <w:kern w:val="2"/>
                    </w:rPr>
                  </w:pPr>
                  <w:r>
                    <w:rPr>
                      <w:rFonts w:hint="eastAsia"/>
                      <w:color w:val="auto"/>
                    </w:rPr>
                    <w:t>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13</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二氧化碳</w:t>
                  </w:r>
                </w:p>
              </w:tc>
              <w:tc>
                <w:tcPr>
                  <w:tcW w:w="1844" w:type="dxa"/>
                  <w:tcBorders>
                    <w:tl2br w:val="nil"/>
                    <w:tr2bl w:val="nil"/>
                  </w:tcBorders>
                  <w:vAlign w:val="center"/>
                </w:tcPr>
                <w:p>
                  <w:pPr>
                    <w:pStyle w:val="50"/>
                    <w:textAlignment w:val="center"/>
                    <w:rPr>
                      <w:color w:val="auto"/>
                      <w:kern w:val="2"/>
                    </w:rPr>
                  </w:pPr>
                  <w:r>
                    <w:rPr>
                      <w:rFonts w:hint="eastAsia"/>
                      <w:color w:val="auto"/>
                      <w:kern w:val="2"/>
                    </w:rPr>
                    <w:t>瓶/a</w:t>
                  </w:r>
                </w:p>
              </w:tc>
              <w:tc>
                <w:tcPr>
                  <w:tcW w:w="1740" w:type="dxa"/>
                  <w:tcBorders>
                    <w:tl2br w:val="nil"/>
                    <w:tr2bl w:val="nil"/>
                  </w:tcBorders>
                  <w:vAlign w:val="center"/>
                </w:tcPr>
                <w:p>
                  <w:pPr>
                    <w:pStyle w:val="50"/>
                    <w:textAlignment w:val="center"/>
                    <w:rPr>
                      <w:color w:val="auto"/>
                      <w:kern w:val="2"/>
                    </w:rPr>
                  </w:pPr>
                  <w:r>
                    <w:rPr>
                      <w:rFonts w:hint="eastAsia"/>
                      <w:color w:val="auto"/>
                      <w:kern w:val="2"/>
                    </w:rPr>
                    <w:t>30</w:t>
                  </w:r>
                </w:p>
              </w:tc>
              <w:tc>
                <w:tcPr>
                  <w:tcW w:w="2681" w:type="dxa"/>
                  <w:tcBorders>
                    <w:tl2br w:val="nil"/>
                    <w:tr2bl w:val="nil"/>
                  </w:tcBorders>
                  <w:vAlign w:val="center"/>
                </w:tcPr>
                <w:p>
                  <w:pPr>
                    <w:pStyle w:val="50"/>
                    <w:textAlignment w:val="center"/>
                    <w:rPr>
                      <w:color w:val="auto"/>
                      <w:kern w:val="2"/>
                    </w:rPr>
                  </w:pPr>
                  <w:r>
                    <w:rPr>
                      <w:rFonts w:hint="eastAsia"/>
                      <w:color w:val="auto"/>
                      <w:kern w:val="2"/>
                    </w:rPr>
                    <w:t>25kg/瓶，外购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14</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氧气</w:t>
                  </w:r>
                </w:p>
              </w:tc>
              <w:tc>
                <w:tcPr>
                  <w:tcW w:w="1844" w:type="dxa"/>
                  <w:tcBorders>
                    <w:tl2br w:val="nil"/>
                    <w:tr2bl w:val="nil"/>
                  </w:tcBorders>
                  <w:vAlign w:val="center"/>
                </w:tcPr>
                <w:p>
                  <w:pPr>
                    <w:pStyle w:val="50"/>
                    <w:textAlignment w:val="center"/>
                    <w:rPr>
                      <w:color w:val="auto"/>
                      <w:kern w:val="2"/>
                    </w:rPr>
                  </w:pPr>
                  <w:r>
                    <w:rPr>
                      <w:rFonts w:hint="eastAsia"/>
                      <w:color w:val="auto"/>
                      <w:kern w:val="2"/>
                    </w:rPr>
                    <w:t>瓶/a</w:t>
                  </w:r>
                </w:p>
              </w:tc>
              <w:tc>
                <w:tcPr>
                  <w:tcW w:w="1740" w:type="dxa"/>
                  <w:tcBorders>
                    <w:tl2br w:val="nil"/>
                    <w:tr2bl w:val="nil"/>
                  </w:tcBorders>
                  <w:vAlign w:val="center"/>
                </w:tcPr>
                <w:p>
                  <w:pPr>
                    <w:pStyle w:val="50"/>
                    <w:textAlignment w:val="center"/>
                    <w:rPr>
                      <w:color w:val="auto"/>
                      <w:kern w:val="2"/>
                    </w:rPr>
                  </w:pPr>
                  <w:r>
                    <w:rPr>
                      <w:rFonts w:hint="eastAsia"/>
                      <w:color w:val="auto"/>
                      <w:kern w:val="2"/>
                    </w:rPr>
                    <w:t>30</w:t>
                  </w:r>
                </w:p>
              </w:tc>
              <w:tc>
                <w:tcPr>
                  <w:tcW w:w="2681" w:type="dxa"/>
                  <w:tcBorders>
                    <w:tl2br w:val="nil"/>
                    <w:tr2bl w:val="nil"/>
                  </w:tcBorders>
                  <w:vAlign w:val="center"/>
                </w:tcPr>
                <w:p>
                  <w:pPr>
                    <w:pStyle w:val="50"/>
                    <w:textAlignment w:val="center"/>
                    <w:rPr>
                      <w:color w:val="auto"/>
                      <w:kern w:val="2"/>
                    </w:rPr>
                  </w:pPr>
                  <w:r>
                    <w:rPr>
                      <w:rFonts w:hint="eastAsia"/>
                      <w:color w:val="auto"/>
                      <w:kern w:val="2"/>
                    </w:rPr>
                    <w:t>25kg/瓶，外购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15</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乙炔</w:t>
                  </w:r>
                </w:p>
              </w:tc>
              <w:tc>
                <w:tcPr>
                  <w:tcW w:w="1844" w:type="dxa"/>
                  <w:tcBorders>
                    <w:tl2br w:val="nil"/>
                    <w:tr2bl w:val="nil"/>
                  </w:tcBorders>
                  <w:vAlign w:val="center"/>
                </w:tcPr>
                <w:p>
                  <w:pPr>
                    <w:pStyle w:val="50"/>
                    <w:textAlignment w:val="center"/>
                    <w:rPr>
                      <w:color w:val="auto"/>
                      <w:kern w:val="2"/>
                    </w:rPr>
                  </w:pPr>
                  <w:r>
                    <w:rPr>
                      <w:rFonts w:hint="eastAsia"/>
                      <w:color w:val="auto"/>
                      <w:kern w:val="2"/>
                    </w:rPr>
                    <w:t>瓶/a</w:t>
                  </w:r>
                </w:p>
              </w:tc>
              <w:tc>
                <w:tcPr>
                  <w:tcW w:w="1740" w:type="dxa"/>
                  <w:tcBorders>
                    <w:tl2br w:val="nil"/>
                    <w:tr2bl w:val="nil"/>
                  </w:tcBorders>
                  <w:vAlign w:val="center"/>
                </w:tcPr>
                <w:p>
                  <w:pPr>
                    <w:pStyle w:val="50"/>
                    <w:textAlignment w:val="center"/>
                    <w:rPr>
                      <w:color w:val="auto"/>
                      <w:kern w:val="2"/>
                    </w:rPr>
                  </w:pPr>
                  <w:r>
                    <w:rPr>
                      <w:rFonts w:hint="eastAsia"/>
                      <w:color w:val="auto"/>
                      <w:kern w:val="2"/>
                    </w:rPr>
                    <w:t>20</w:t>
                  </w:r>
                </w:p>
              </w:tc>
              <w:tc>
                <w:tcPr>
                  <w:tcW w:w="2681" w:type="dxa"/>
                  <w:tcBorders>
                    <w:tl2br w:val="nil"/>
                    <w:tr2bl w:val="nil"/>
                  </w:tcBorders>
                  <w:vAlign w:val="center"/>
                </w:tcPr>
                <w:p>
                  <w:pPr>
                    <w:pStyle w:val="50"/>
                    <w:textAlignment w:val="center"/>
                    <w:rPr>
                      <w:color w:val="auto"/>
                      <w:kern w:val="2"/>
                    </w:rPr>
                  </w:pPr>
                  <w:r>
                    <w:rPr>
                      <w:rFonts w:hint="eastAsia"/>
                      <w:color w:val="auto"/>
                      <w:kern w:val="2"/>
                    </w:rPr>
                    <w:t>25kg/瓶，外购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textAlignment w:val="center"/>
                    <w:rPr>
                      <w:color w:val="auto"/>
                      <w:kern w:val="2"/>
                    </w:rPr>
                  </w:pPr>
                  <w:r>
                    <w:rPr>
                      <w:rFonts w:hint="eastAsia"/>
                      <w:color w:val="auto"/>
                      <w:kern w:val="2"/>
                    </w:rPr>
                    <w:t>16</w:t>
                  </w:r>
                </w:p>
              </w:tc>
              <w:tc>
                <w:tcPr>
                  <w:tcW w:w="1871" w:type="dxa"/>
                  <w:tcBorders>
                    <w:left w:val="single" w:color="auto" w:sz="4" w:space="0"/>
                    <w:tl2br w:val="nil"/>
                    <w:tr2bl w:val="nil"/>
                  </w:tcBorders>
                  <w:vAlign w:val="center"/>
                </w:tcPr>
                <w:p>
                  <w:pPr>
                    <w:pStyle w:val="50"/>
                    <w:textAlignment w:val="center"/>
                    <w:rPr>
                      <w:color w:val="auto"/>
                      <w:kern w:val="2"/>
                    </w:rPr>
                  </w:pPr>
                  <w:r>
                    <w:rPr>
                      <w:rFonts w:hint="eastAsia"/>
                      <w:color w:val="auto"/>
                      <w:kern w:val="2"/>
                    </w:rPr>
                    <w:t>氩气</w:t>
                  </w:r>
                </w:p>
              </w:tc>
              <w:tc>
                <w:tcPr>
                  <w:tcW w:w="1844" w:type="dxa"/>
                  <w:tcBorders>
                    <w:tl2br w:val="nil"/>
                    <w:tr2bl w:val="nil"/>
                  </w:tcBorders>
                  <w:vAlign w:val="center"/>
                </w:tcPr>
                <w:p>
                  <w:pPr>
                    <w:pStyle w:val="50"/>
                    <w:textAlignment w:val="center"/>
                    <w:rPr>
                      <w:color w:val="auto"/>
                      <w:kern w:val="2"/>
                    </w:rPr>
                  </w:pPr>
                  <w:r>
                    <w:rPr>
                      <w:rFonts w:hint="eastAsia"/>
                      <w:color w:val="auto"/>
                      <w:kern w:val="2"/>
                    </w:rPr>
                    <w:t>瓶/a</w:t>
                  </w:r>
                </w:p>
              </w:tc>
              <w:tc>
                <w:tcPr>
                  <w:tcW w:w="1740" w:type="dxa"/>
                  <w:tcBorders>
                    <w:tl2br w:val="nil"/>
                    <w:tr2bl w:val="nil"/>
                  </w:tcBorders>
                  <w:vAlign w:val="center"/>
                </w:tcPr>
                <w:p>
                  <w:pPr>
                    <w:pStyle w:val="50"/>
                    <w:textAlignment w:val="center"/>
                    <w:rPr>
                      <w:color w:val="auto"/>
                      <w:kern w:val="2"/>
                    </w:rPr>
                  </w:pPr>
                  <w:r>
                    <w:rPr>
                      <w:rFonts w:hint="eastAsia"/>
                      <w:color w:val="auto"/>
                      <w:kern w:val="2"/>
                    </w:rPr>
                    <w:t>20</w:t>
                  </w:r>
                </w:p>
              </w:tc>
              <w:tc>
                <w:tcPr>
                  <w:tcW w:w="2681" w:type="dxa"/>
                  <w:tcBorders>
                    <w:tl2br w:val="nil"/>
                    <w:tr2bl w:val="nil"/>
                  </w:tcBorders>
                  <w:vAlign w:val="center"/>
                </w:tcPr>
                <w:p>
                  <w:pPr>
                    <w:pStyle w:val="50"/>
                    <w:textAlignment w:val="center"/>
                    <w:rPr>
                      <w:color w:val="auto"/>
                      <w:kern w:val="2"/>
                    </w:rPr>
                  </w:pPr>
                  <w:r>
                    <w:rPr>
                      <w:rFonts w:hint="eastAsia"/>
                      <w:color w:val="auto"/>
                      <w:kern w:val="2"/>
                    </w:rPr>
                    <w:t>25kg/瓶，外购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47" w:type="dxa"/>
                  <w:gridSpan w:val="5"/>
                  <w:tcBorders>
                    <w:tl2br w:val="nil"/>
                    <w:tr2bl w:val="nil"/>
                  </w:tcBorders>
                  <w:vAlign w:val="center"/>
                </w:tcPr>
                <w:p>
                  <w:pPr>
                    <w:pStyle w:val="50"/>
                    <w:rPr>
                      <w:color w:val="auto"/>
                      <w:kern w:val="2"/>
                    </w:rPr>
                  </w:pPr>
                  <w:r>
                    <w:rPr>
                      <w:rFonts w:hint="eastAsia"/>
                      <w:color w:val="auto"/>
                    </w:rPr>
                    <w:t>能源消耗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rPr>
                      <w:color w:val="auto"/>
                    </w:rPr>
                  </w:pPr>
                  <w:r>
                    <w:rPr>
                      <w:rFonts w:hint="eastAsia"/>
                      <w:color w:val="auto"/>
                    </w:rPr>
                    <w:t>1</w:t>
                  </w:r>
                </w:p>
              </w:tc>
              <w:tc>
                <w:tcPr>
                  <w:tcW w:w="1871" w:type="dxa"/>
                  <w:tcBorders>
                    <w:left w:val="single" w:color="auto" w:sz="4" w:space="0"/>
                    <w:tl2br w:val="nil"/>
                    <w:tr2bl w:val="nil"/>
                  </w:tcBorders>
                  <w:vAlign w:val="center"/>
                </w:tcPr>
                <w:p>
                  <w:pPr>
                    <w:pStyle w:val="50"/>
                    <w:rPr>
                      <w:color w:val="auto"/>
                      <w:kern w:val="2"/>
                    </w:rPr>
                  </w:pPr>
                  <w:r>
                    <w:rPr>
                      <w:rFonts w:ascii="Calibri" w:hAnsi="Calibri" w:cs="宋体"/>
                      <w:color w:val="auto"/>
                    </w:rPr>
                    <w:t>水</w:t>
                  </w:r>
                </w:p>
              </w:tc>
              <w:tc>
                <w:tcPr>
                  <w:tcW w:w="1844" w:type="dxa"/>
                  <w:tcBorders>
                    <w:tl2br w:val="nil"/>
                    <w:tr2bl w:val="nil"/>
                  </w:tcBorders>
                  <w:vAlign w:val="center"/>
                </w:tcPr>
                <w:p>
                  <w:pPr>
                    <w:pStyle w:val="50"/>
                    <w:rPr>
                      <w:color w:val="auto"/>
                    </w:rPr>
                  </w:pPr>
                  <w:r>
                    <w:rPr>
                      <w:color w:val="auto"/>
                    </w:rPr>
                    <w:t>m</w:t>
                  </w:r>
                  <w:r>
                    <w:rPr>
                      <w:color w:val="auto"/>
                      <w:vertAlign w:val="superscript"/>
                    </w:rPr>
                    <w:t>3</w:t>
                  </w:r>
                </w:p>
              </w:tc>
              <w:tc>
                <w:tcPr>
                  <w:tcW w:w="1740" w:type="dxa"/>
                  <w:tcBorders>
                    <w:tl2br w:val="nil"/>
                    <w:tr2bl w:val="nil"/>
                  </w:tcBorders>
                  <w:vAlign w:val="center"/>
                </w:tcPr>
                <w:p>
                  <w:pPr>
                    <w:pStyle w:val="50"/>
                    <w:rPr>
                      <w:color w:val="auto"/>
                    </w:rPr>
                  </w:pPr>
                  <w:r>
                    <w:rPr>
                      <w:rFonts w:hint="eastAsia"/>
                      <w:color w:val="auto"/>
                    </w:rPr>
                    <w:t>2530</w:t>
                  </w:r>
                </w:p>
              </w:tc>
              <w:tc>
                <w:tcPr>
                  <w:tcW w:w="2681" w:type="dxa"/>
                  <w:tcBorders>
                    <w:tl2br w:val="nil"/>
                    <w:tr2bl w:val="nil"/>
                  </w:tcBorders>
                  <w:vAlign w:val="center"/>
                </w:tcPr>
                <w:p>
                  <w:pPr>
                    <w:pStyle w:val="50"/>
                    <w:rPr>
                      <w:color w:val="auto"/>
                    </w:rPr>
                  </w:pPr>
                  <w:r>
                    <w:rPr>
                      <w:rFonts w:hint="eastAsia"/>
                      <w:color w:val="auto"/>
                    </w:rPr>
                    <w:t>园区供水管网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trPr>
              <w:tc>
                <w:tcPr>
                  <w:tcW w:w="811" w:type="dxa"/>
                  <w:tcBorders>
                    <w:tl2br w:val="nil"/>
                    <w:tr2bl w:val="nil"/>
                  </w:tcBorders>
                  <w:vAlign w:val="center"/>
                </w:tcPr>
                <w:p>
                  <w:pPr>
                    <w:pStyle w:val="50"/>
                    <w:rPr>
                      <w:color w:val="auto"/>
                    </w:rPr>
                  </w:pPr>
                  <w:r>
                    <w:rPr>
                      <w:rFonts w:hint="eastAsia"/>
                      <w:color w:val="auto"/>
                    </w:rPr>
                    <w:t>2</w:t>
                  </w:r>
                </w:p>
              </w:tc>
              <w:tc>
                <w:tcPr>
                  <w:tcW w:w="1871" w:type="dxa"/>
                  <w:tcBorders>
                    <w:left w:val="single" w:color="auto" w:sz="4" w:space="0"/>
                    <w:tl2br w:val="nil"/>
                    <w:tr2bl w:val="nil"/>
                  </w:tcBorders>
                  <w:vAlign w:val="center"/>
                </w:tcPr>
                <w:p>
                  <w:pPr>
                    <w:pStyle w:val="50"/>
                    <w:rPr>
                      <w:color w:val="auto"/>
                      <w:kern w:val="2"/>
                    </w:rPr>
                  </w:pPr>
                  <w:r>
                    <w:rPr>
                      <w:rFonts w:ascii="Calibri" w:hAnsi="Calibri" w:cs="宋体"/>
                      <w:color w:val="auto"/>
                    </w:rPr>
                    <w:t>电</w:t>
                  </w:r>
                </w:p>
              </w:tc>
              <w:tc>
                <w:tcPr>
                  <w:tcW w:w="1844" w:type="dxa"/>
                  <w:tcBorders>
                    <w:tl2br w:val="nil"/>
                    <w:tr2bl w:val="nil"/>
                  </w:tcBorders>
                  <w:vAlign w:val="center"/>
                </w:tcPr>
                <w:p>
                  <w:pPr>
                    <w:pStyle w:val="50"/>
                    <w:rPr>
                      <w:color w:val="auto"/>
                    </w:rPr>
                  </w:pPr>
                  <w:r>
                    <w:rPr>
                      <w:rFonts w:hint="eastAsia"/>
                      <w:color w:val="auto"/>
                    </w:rPr>
                    <w:t>万</w:t>
                  </w:r>
                  <w:r>
                    <w:rPr>
                      <w:color w:val="auto"/>
                    </w:rPr>
                    <w:t>KW/h</w:t>
                  </w:r>
                </w:p>
              </w:tc>
              <w:tc>
                <w:tcPr>
                  <w:tcW w:w="1740" w:type="dxa"/>
                  <w:tcBorders>
                    <w:tl2br w:val="nil"/>
                    <w:tr2bl w:val="nil"/>
                  </w:tcBorders>
                  <w:vAlign w:val="center"/>
                </w:tcPr>
                <w:p>
                  <w:pPr>
                    <w:pStyle w:val="50"/>
                    <w:rPr>
                      <w:color w:val="auto"/>
                    </w:rPr>
                  </w:pPr>
                  <w:r>
                    <w:rPr>
                      <w:rFonts w:hint="eastAsia"/>
                      <w:color w:val="auto"/>
                    </w:rPr>
                    <w:t>59.43</w:t>
                  </w:r>
                </w:p>
              </w:tc>
              <w:tc>
                <w:tcPr>
                  <w:tcW w:w="2681" w:type="dxa"/>
                  <w:tcBorders>
                    <w:tl2br w:val="nil"/>
                    <w:tr2bl w:val="nil"/>
                  </w:tcBorders>
                  <w:vAlign w:val="center"/>
                </w:tcPr>
                <w:p>
                  <w:pPr>
                    <w:pStyle w:val="50"/>
                    <w:rPr>
                      <w:color w:val="auto"/>
                    </w:rPr>
                  </w:pPr>
                  <w:r>
                    <w:rPr>
                      <w:rFonts w:hint="eastAsia"/>
                      <w:color w:val="auto"/>
                    </w:rPr>
                    <w:t>园区电网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11" w:type="dxa"/>
                  <w:tcBorders>
                    <w:tl2br w:val="nil"/>
                    <w:tr2bl w:val="nil"/>
                  </w:tcBorders>
                  <w:vAlign w:val="center"/>
                </w:tcPr>
                <w:p>
                  <w:pPr>
                    <w:pStyle w:val="50"/>
                    <w:rPr>
                      <w:color w:val="auto"/>
                    </w:rPr>
                  </w:pPr>
                  <w:r>
                    <w:rPr>
                      <w:rFonts w:hint="eastAsia"/>
                      <w:color w:val="auto"/>
                    </w:rPr>
                    <w:t>3</w:t>
                  </w:r>
                </w:p>
              </w:tc>
              <w:tc>
                <w:tcPr>
                  <w:tcW w:w="1871" w:type="dxa"/>
                  <w:tcBorders>
                    <w:left w:val="single" w:color="auto" w:sz="4" w:space="0"/>
                    <w:tl2br w:val="nil"/>
                    <w:tr2bl w:val="nil"/>
                  </w:tcBorders>
                  <w:vAlign w:val="center"/>
                </w:tcPr>
                <w:p>
                  <w:pPr>
                    <w:pStyle w:val="50"/>
                    <w:rPr>
                      <w:rFonts w:ascii="Calibri" w:hAnsi="Calibri" w:cs="宋体"/>
                      <w:color w:val="auto"/>
                    </w:rPr>
                  </w:pPr>
                  <w:r>
                    <w:rPr>
                      <w:rFonts w:hint="eastAsia" w:ascii="Calibri" w:hAnsi="Calibri" w:cs="宋体"/>
                      <w:color w:val="auto"/>
                      <w:lang w:val="en-US" w:eastAsia="zh-CN"/>
                    </w:rPr>
                    <w:t>液化</w:t>
                  </w:r>
                  <w:r>
                    <w:rPr>
                      <w:rFonts w:hint="eastAsia" w:ascii="Calibri" w:hAnsi="Calibri" w:cs="宋体"/>
                      <w:color w:val="auto"/>
                    </w:rPr>
                    <w:t>天然气</w:t>
                  </w:r>
                </w:p>
              </w:tc>
              <w:tc>
                <w:tcPr>
                  <w:tcW w:w="1844" w:type="dxa"/>
                  <w:tcBorders>
                    <w:tl2br w:val="nil"/>
                    <w:tr2bl w:val="nil"/>
                  </w:tcBorders>
                  <w:vAlign w:val="center"/>
                </w:tcPr>
                <w:p>
                  <w:pPr>
                    <w:pStyle w:val="50"/>
                    <w:rPr>
                      <w:color w:val="auto"/>
                    </w:rPr>
                  </w:pPr>
                  <w:r>
                    <w:rPr>
                      <w:rFonts w:hint="eastAsia"/>
                      <w:color w:val="auto"/>
                    </w:rPr>
                    <w:t>万</w:t>
                  </w:r>
                  <w:r>
                    <w:rPr>
                      <w:color w:val="auto"/>
                    </w:rPr>
                    <w:t>m</w:t>
                  </w:r>
                  <w:r>
                    <w:rPr>
                      <w:color w:val="auto"/>
                      <w:vertAlign w:val="superscript"/>
                    </w:rPr>
                    <w:t>3</w:t>
                  </w:r>
                </w:p>
              </w:tc>
              <w:tc>
                <w:tcPr>
                  <w:tcW w:w="1740" w:type="dxa"/>
                  <w:tcBorders>
                    <w:tl2br w:val="nil"/>
                    <w:tr2bl w:val="nil"/>
                  </w:tcBorders>
                  <w:vAlign w:val="center"/>
                </w:tcPr>
                <w:p>
                  <w:pPr>
                    <w:pStyle w:val="50"/>
                    <w:rPr>
                      <w:color w:val="auto"/>
                    </w:rPr>
                  </w:pPr>
                  <w:r>
                    <w:rPr>
                      <w:rFonts w:hint="eastAsia"/>
                      <w:color w:val="auto"/>
                    </w:rPr>
                    <w:t>9.6</w:t>
                  </w:r>
                </w:p>
              </w:tc>
              <w:tc>
                <w:tcPr>
                  <w:tcW w:w="2681" w:type="dxa"/>
                  <w:tcBorders>
                    <w:tl2br w:val="nil"/>
                    <w:tr2bl w:val="nil"/>
                  </w:tcBorders>
                  <w:vAlign w:val="center"/>
                </w:tcPr>
                <w:p>
                  <w:pPr>
                    <w:pStyle w:val="50"/>
                    <w:rPr>
                      <w:rFonts w:hint="default" w:eastAsia="宋体"/>
                      <w:color w:val="auto"/>
                      <w:lang w:val="en-US" w:eastAsia="zh-CN"/>
                    </w:rPr>
                  </w:pPr>
                  <w:r>
                    <w:rPr>
                      <w:rFonts w:hint="eastAsia"/>
                      <w:color w:val="auto"/>
                      <w:lang w:val="en-US" w:eastAsia="zh-CN"/>
                    </w:rPr>
                    <w:t>使用液化天然气储罐，储罐为200kg/罐</w:t>
                  </w:r>
                </w:p>
              </w:tc>
            </w:tr>
          </w:tbl>
          <w:p>
            <w:pPr>
              <w:ind w:left="0" w:leftChars="0" w:firstLine="0" w:firstLineChars="0"/>
              <w:contextualSpacing/>
              <w:rPr>
                <w:rFonts w:hint="eastAsia" w:eastAsia="宋体"/>
                <w:b w:val="0"/>
                <w:bCs w:val="0"/>
                <w:color w:val="auto"/>
                <w:sz w:val="21"/>
                <w:szCs w:val="21"/>
                <w:lang w:eastAsia="zh-CN"/>
              </w:rPr>
            </w:pPr>
            <w:r>
              <w:rPr>
                <w:rFonts w:hint="eastAsia"/>
                <w:b w:val="0"/>
                <w:bCs w:val="0"/>
                <w:color w:val="auto"/>
                <w:sz w:val="21"/>
                <w:szCs w:val="21"/>
                <w:lang w:eastAsia="zh-CN"/>
              </w:rPr>
              <w:t>（</w:t>
            </w:r>
            <w:r>
              <w:rPr>
                <w:rFonts w:hint="eastAsia"/>
                <w:b w:val="0"/>
                <w:bCs w:val="0"/>
                <w:color w:val="auto"/>
                <w:sz w:val="21"/>
                <w:szCs w:val="21"/>
                <w:lang w:val="en-US" w:eastAsia="zh-CN"/>
              </w:rPr>
              <w:t>注：本项目运营后生产使用液化天然气储罐，液化天然气与园区供应天然气成分基本相同；若后续园区要求本项目接通天然气管道，则本项目按照天然气管道进行管理，根据项目使用需求，使用管道天然气的在线量比使用罐装液化天然气的储存量要小，本次环评以罐装液化天然气进行影响分析。</w:t>
            </w:r>
            <w:r>
              <w:rPr>
                <w:rFonts w:hint="eastAsia"/>
                <w:b w:val="0"/>
                <w:bCs w:val="0"/>
                <w:color w:val="auto"/>
                <w:sz w:val="21"/>
                <w:szCs w:val="21"/>
                <w:lang w:eastAsia="zh-CN"/>
              </w:rPr>
              <w:t>）</w:t>
            </w:r>
          </w:p>
          <w:p>
            <w:pPr>
              <w:ind w:firstLine="480"/>
              <w:contextualSpacing/>
              <w:rPr>
                <w:color w:val="auto"/>
              </w:rPr>
            </w:pPr>
            <w:r>
              <w:rPr>
                <w:color w:val="auto"/>
              </w:rPr>
              <w:t>主要原辅材料理化性质：</w:t>
            </w:r>
          </w:p>
          <w:p>
            <w:pPr>
              <w:widowControl/>
              <w:ind w:firstLine="480"/>
              <w:contextualSpacing/>
              <w:jc w:val="left"/>
              <w:rPr>
                <w:color w:val="auto"/>
                <w:kern w:val="2"/>
              </w:rPr>
            </w:pPr>
            <w:r>
              <w:rPr>
                <w:color w:val="auto"/>
                <w:kern w:val="2"/>
              </w:rPr>
              <w:t>（</w:t>
            </w:r>
            <w:r>
              <w:rPr>
                <w:rFonts w:hint="eastAsia"/>
                <w:color w:val="auto"/>
                <w:kern w:val="2"/>
              </w:rPr>
              <w:t>1</w:t>
            </w:r>
            <w:r>
              <w:rPr>
                <w:color w:val="auto"/>
                <w:kern w:val="2"/>
              </w:rPr>
              <w:t>）塑粉</w:t>
            </w:r>
          </w:p>
          <w:p>
            <w:pPr>
              <w:widowControl/>
              <w:ind w:firstLine="480"/>
              <w:contextualSpacing/>
              <w:jc w:val="left"/>
              <w:rPr>
                <w:color w:val="auto"/>
                <w:kern w:val="2"/>
              </w:rPr>
            </w:pPr>
            <w:r>
              <w:rPr>
                <w:color w:val="auto"/>
                <w:kern w:val="2"/>
              </w:rPr>
              <w:t>塑粉是喷塑工艺的材料，简单来说就是塑料粉末压缩空气给的风喷到材质表面，通过静电原料，吸附在材料表面。本项目采用的塑粉为环氧聚酯塑粉，采用环氧树脂和聚酯树脂为主要原材料制备而成，同时具备两者各自的独特性能，使得生产出的涂膜具有极度佳的流平性、装饰性、机械性能和较强的耐腐蚀性，广范应用于各种室内金属制品的表面处理。塑粉的主要成分如下表所示：</w:t>
            </w:r>
          </w:p>
          <w:p>
            <w:pPr>
              <w:pStyle w:val="48"/>
              <w:ind w:firstLine="422"/>
              <w:rPr>
                <w:color w:val="auto"/>
              </w:rPr>
            </w:pPr>
            <w:r>
              <w:rPr>
                <w:color w:val="auto"/>
              </w:rPr>
              <w:t>表1-5  项目使用塑粉成分一览表</w:t>
            </w:r>
          </w:p>
          <w:tbl>
            <w:tblPr>
              <w:tblStyle w:val="3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2"/>
              <w:gridCol w:w="2798"/>
              <w:gridCol w:w="2074"/>
              <w:gridCol w:w="2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rFonts w:hint="eastAsia"/>
                      <w:color w:val="auto"/>
                      <w:kern w:val="2"/>
                    </w:rPr>
                    <w:t>序号</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成分名称</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含量</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1</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环氧树脂</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20%</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rFonts w:hint="eastAsia"/>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2</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聚酯树脂</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49%</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rFonts w:hint="eastAsia"/>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3</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固化剂</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5%</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rFonts w:hint="eastAsia"/>
                      <w:color w:val="auto"/>
                      <w:kern w:val="2"/>
                    </w:rPr>
                    <w:t>HAA羟烷基酰胺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4</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流平剂</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1%</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有机硅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5</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增光剂</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0.9%</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树脂类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6</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钛白粉</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4%</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TiO</w:t>
                  </w:r>
                  <w:r>
                    <w:rPr>
                      <w:color w:val="auto"/>
                      <w:kern w:val="2"/>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89" w:type="pct"/>
                  <w:tcBorders>
                    <w:top w:val="single" w:color="auto" w:sz="4" w:space="0"/>
                    <w:left w:val="single" w:color="auto" w:sz="4" w:space="0"/>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7</w:t>
                  </w:r>
                </w:p>
              </w:tc>
              <w:tc>
                <w:tcPr>
                  <w:tcW w:w="1562"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颜色填料</w:t>
                  </w:r>
                </w:p>
              </w:tc>
              <w:tc>
                <w:tcPr>
                  <w:tcW w:w="1158"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color w:val="auto"/>
                      <w:kern w:val="2"/>
                    </w:rPr>
                    <w:t>20.1%</w:t>
                  </w:r>
                </w:p>
              </w:tc>
              <w:tc>
                <w:tcPr>
                  <w:tcW w:w="1289" w:type="pct"/>
                  <w:tcBorders>
                    <w:top w:val="single" w:color="auto" w:sz="4" w:space="0"/>
                    <w:left w:val="nil"/>
                    <w:bottom w:val="single" w:color="auto" w:sz="4" w:space="0"/>
                    <w:right w:val="single" w:color="auto" w:sz="4" w:space="0"/>
                  </w:tcBorders>
                  <w:shd w:val="clear" w:color="auto" w:fill="auto"/>
                  <w:vAlign w:val="center"/>
                </w:tcPr>
                <w:p>
                  <w:pPr>
                    <w:pStyle w:val="50"/>
                    <w:textAlignment w:val="center"/>
                    <w:rPr>
                      <w:color w:val="auto"/>
                      <w:kern w:val="2"/>
                    </w:rPr>
                  </w:pPr>
                  <w:r>
                    <w:rPr>
                      <w:rFonts w:hint="eastAsia"/>
                      <w:color w:val="auto"/>
                      <w:kern w:val="2"/>
                    </w:rPr>
                    <w:t>无机颜料</w:t>
                  </w:r>
                </w:p>
              </w:tc>
            </w:tr>
          </w:tbl>
          <w:p>
            <w:pPr>
              <w:ind w:firstLine="480"/>
              <w:rPr>
                <w:color w:val="auto"/>
                <w:kern w:val="2"/>
              </w:rPr>
            </w:pPr>
            <w:r>
              <w:rPr>
                <w:rFonts w:hint="eastAsia" w:ascii="宋体" w:hAnsi="宋体" w:cs="宋体"/>
                <w:color w:val="auto"/>
                <w:kern w:val="2"/>
              </w:rPr>
              <w:t>不同颜色塑粉仅颜色填料不同，其余成分一致。每次喷塑使用一种颜色塑粉，喷塑完毕后</w:t>
            </w:r>
            <w:r>
              <w:rPr>
                <w:rFonts w:hint="eastAsia" w:ascii="宋体" w:hAnsi="宋体" w:cs="宋体"/>
                <w:color w:val="auto"/>
              </w:rPr>
              <w:t>滤芯</w:t>
            </w:r>
            <w:r>
              <w:rPr>
                <w:rFonts w:hint="eastAsia" w:ascii="宋体" w:hAnsi="宋体" w:cs="宋体"/>
                <w:color w:val="auto"/>
                <w:kern w:val="2"/>
              </w:rPr>
              <w:t>进行</w:t>
            </w:r>
            <w:r>
              <w:rPr>
                <w:rFonts w:hint="eastAsia" w:ascii="宋体" w:hAnsi="宋体" w:cs="宋体"/>
                <w:color w:val="auto"/>
              </w:rPr>
              <w:t>脉冲反吹收集塑粉及</w:t>
            </w:r>
            <w:r>
              <w:rPr>
                <w:rFonts w:hint="eastAsia" w:ascii="宋体" w:hAnsi="宋体" w:cs="宋体"/>
                <w:color w:val="auto"/>
                <w:kern w:val="2"/>
              </w:rPr>
              <w:t>喷塑间进行吸尘清理后再更换下一种颜色塑粉及滤芯，</w:t>
            </w:r>
            <w:r>
              <w:rPr>
                <w:rFonts w:hint="eastAsia" w:ascii="宋体" w:hAnsi="宋体" w:cs="宋体"/>
                <w:color w:val="auto"/>
              </w:rPr>
              <w:t>脉冲反吹滤芯对收集的喷塑粉末进行回收利用，</w:t>
            </w:r>
            <w:r>
              <w:rPr>
                <w:rFonts w:hint="eastAsia" w:ascii="宋体" w:hAnsi="宋体" w:cs="宋体"/>
                <w:color w:val="auto"/>
                <w:kern w:val="2"/>
              </w:rPr>
              <w:t>收集塑粉装入袋中，待下次有同色喷塑作业时掺入使用，不丢弃。</w:t>
            </w:r>
          </w:p>
          <w:p>
            <w:pPr>
              <w:ind w:firstLine="480"/>
              <w:rPr>
                <w:rFonts w:ascii="宋体" w:hAnsi="宋体" w:cs="宋体"/>
                <w:color w:val="auto"/>
                <w:kern w:val="2"/>
              </w:rPr>
            </w:pPr>
            <w:r>
              <w:rPr>
                <w:rFonts w:hint="eastAsia" w:ascii="宋体" w:hAnsi="宋体" w:cs="宋体"/>
                <w:color w:val="auto"/>
                <w:kern w:val="2"/>
              </w:rPr>
              <w:t>（</w:t>
            </w:r>
            <w:r>
              <w:rPr>
                <w:rFonts w:hint="eastAsia"/>
                <w:color w:val="auto"/>
                <w:kern w:val="2"/>
              </w:rPr>
              <w:t>2</w:t>
            </w:r>
            <w:r>
              <w:rPr>
                <w:rFonts w:hint="eastAsia" w:ascii="宋体" w:hAnsi="宋体" w:cs="宋体"/>
                <w:color w:val="auto"/>
                <w:kern w:val="2"/>
              </w:rPr>
              <w:t>）焊丝</w:t>
            </w:r>
          </w:p>
          <w:p>
            <w:pPr>
              <w:numPr>
                <w:ilvl w:val="255"/>
                <w:numId w:val="0"/>
              </w:numPr>
              <w:ind w:firstLine="480" w:firstLineChars="200"/>
              <w:rPr>
                <w:rFonts w:ascii="宋体" w:hAnsi="宋体" w:cs="宋体"/>
                <w:color w:val="auto"/>
              </w:rPr>
            </w:pPr>
            <w:r>
              <w:rPr>
                <w:rFonts w:hint="eastAsia" w:ascii="宋体" w:hAnsi="宋体" w:cs="宋体"/>
                <w:color w:val="auto"/>
                <w:kern w:val="2"/>
              </w:rPr>
              <w:t>焊接时作为填充金属或同时作为导电用的金属丝焊接材料。本项目采用二氧化碳气体保护电弧焊（简称二保焊），其保护气体是二氧化碳。由于二氧化碳气体的热物理性能的特殊影响，使用常规焊接电源时，焊丝端头熔化金属不可能形成平衡的轴向自由过渡，通常需要采用短路和熔滴缩颈爆断。因此，与MIG焊接自由过渡相比，飞溅较多。但如采用优质焊机，参数选择合适，可以得到很稳定的焊接过程，使飞溅降低到最小的程度。由于所用保护气体价格低廉，采用短路过渡时焊缝成形良好，加上使用含脱氧剂的焊丝即可获得无内部缺陷的高质量焊接接头</w:t>
            </w:r>
            <w:r>
              <w:rPr>
                <w:rFonts w:hint="eastAsia" w:ascii="宋体" w:hAnsi="宋体" w:cs="宋体"/>
                <w:color w:val="auto"/>
              </w:rPr>
              <w:t>。</w:t>
            </w:r>
          </w:p>
          <w:p>
            <w:pPr>
              <w:numPr>
                <w:ilvl w:val="255"/>
                <w:numId w:val="0"/>
              </w:numPr>
              <w:ind w:firstLine="480" w:firstLineChars="200"/>
              <w:rPr>
                <w:rFonts w:ascii="宋体" w:hAnsi="宋体" w:cs="宋体"/>
                <w:color w:val="auto"/>
                <w:kern w:val="2"/>
              </w:rPr>
            </w:pPr>
            <w:r>
              <w:rPr>
                <w:rFonts w:hint="eastAsia" w:ascii="宋体" w:hAnsi="宋体" w:cs="宋体"/>
                <w:color w:val="auto"/>
                <w:kern w:val="2"/>
              </w:rPr>
              <w:t>（3）木油</w:t>
            </w:r>
          </w:p>
          <w:p>
            <w:pPr>
              <w:numPr>
                <w:ilvl w:val="255"/>
                <w:numId w:val="0"/>
              </w:numPr>
              <w:ind w:firstLine="480" w:firstLineChars="200"/>
              <w:rPr>
                <w:rFonts w:ascii="宋体" w:hAnsi="宋体" w:cs="宋体"/>
                <w:color w:val="auto"/>
                <w:kern w:val="2"/>
              </w:rPr>
            </w:pPr>
            <w:r>
              <w:rPr>
                <w:rFonts w:hint="eastAsia" w:ascii="宋体" w:hAnsi="宋体" w:cs="宋体"/>
                <w:color w:val="auto"/>
                <w:kern w:val="2"/>
              </w:rPr>
              <w:t>即木蜡油，是植物油蜡涂料国内的俗称，是一种类似油漆而又区别于油漆的天然木器涂料，它和目前那种基于石化类合成树脂所生产的油漆完全不同，原料主要以精练亚麻油、棕榈蜡等天然植物油与植物蜡并配合其它一些天然成分融合而成，连调色所用的颜料也达到了食品级。主要成分多为亚麻籽油、向日葵油、豆油、蓟油、巴西棕榈蜡、小烛树蜡等。无需稀释直接涂装，使用中无挥发有机物。</w:t>
            </w:r>
          </w:p>
          <w:p>
            <w:pPr>
              <w:numPr>
                <w:ilvl w:val="255"/>
                <w:numId w:val="0"/>
              </w:numPr>
              <w:ind w:firstLine="480" w:firstLineChars="200"/>
              <w:rPr>
                <w:rFonts w:ascii="宋体" w:hAnsi="宋体" w:cs="宋体"/>
                <w:color w:val="auto"/>
                <w:kern w:val="2"/>
              </w:rPr>
            </w:pPr>
            <w:r>
              <w:rPr>
                <w:rFonts w:hint="eastAsia" w:ascii="宋体" w:hAnsi="宋体" w:cs="宋体"/>
                <w:color w:val="auto"/>
                <w:kern w:val="2"/>
              </w:rPr>
              <w:t>（4）氩气</w:t>
            </w:r>
          </w:p>
          <w:p>
            <w:pPr>
              <w:numPr>
                <w:ilvl w:val="255"/>
                <w:numId w:val="0"/>
              </w:numPr>
              <w:ind w:firstLine="480" w:firstLineChars="200"/>
              <w:rPr>
                <w:color w:val="auto"/>
              </w:rPr>
            </w:pPr>
            <w:r>
              <w:rPr>
                <w:rFonts w:hint="eastAsia" w:ascii="宋体" w:hAnsi="宋体" w:cs="宋体"/>
                <w:color w:val="auto"/>
              </w:rPr>
              <w:t>一种稀有气体，无色无臭的惰性气体；蒸汽压 202.64kPa(-179℃)，熔点 -189.2℃，沸点-185.7℃，溶解性:微溶于水；密度:相对密度(水=1)1.40(-186℃)；相对密度(空气=1)1.38；稳定性:稳定，用作电弧焊接(切割)不锈钢、镁、铝、和其它合金的保护气体。还用于钢铁、铝、钛和锆的冶炼中，放电时氩发出紫色辉光，又用于照明技术和填充日光灯、光电管、照明管等。</w:t>
            </w:r>
          </w:p>
          <w:p>
            <w:pPr>
              <w:numPr>
                <w:ilvl w:val="255"/>
                <w:numId w:val="0"/>
              </w:numPr>
              <w:ind w:firstLine="480" w:firstLineChars="200"/>
              <w:rPr>
                <w:rFonts w:ascii="宋体" w:hAnsi="宋体" w:cs="宋体"/>
                <w:color w:val="auto"/>
                <w:kern w:val="2"/>
              </w:rPr>
            </w:pPr>
            <w:r>
              <w:rPr>
                <w:rFonts w:hint="eastAsia" w:ascii="宋体" w:hAnsi="宋体" w:cs="宋体"/>
                <w:color w:val="auto"/>
              </w:rPr>
              <w:t>（5）氧气</w:t>
            </w:r>
          </w:p>
          <w:tbl>
            <w:tblPr>
              <w:tblStyle w:val="3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00"/>
              <w:gridCol w:w="2601"/>
              <w:gridCol w:w="482"/>
              <w:gridCol w:w="1792"/>
              <w:gridCol w:w="937"/>
              <w:gridCol w:w="25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600" w:type="dxa"/>
                  <w:vMerge w:val="restart"/>
                </w:tcPr>
                <w:p>
                  <w:pPr>
                    <w:pStyle w:val="50"/>
                    <w:rPr>
                      <w:color w:val="auto"/>
                    </w:rPr>
                  </w:pPr>
                  <w:r>
                    <w:rPr>
                      <w:color w:val="auto"/>
                    </w:rPr>
                    <w:t>标识</w:t>
                  </w:r>
                </w:p>
              </w:tc>
              <w:tc>
                <w:tcPr>
                  <w:tcW w:w="3083" w:type="dxa"/>
                  <w:gridSpan w:val="2"/>
                </w:tcPr>
                <w:p>
                  <w:pPr>
                    <w:pStyle w:val="50"/>
                    <w:rPr>
                      <w:color w:val="auto"/>
                    </w:rPr>
                  </w:pPr>
                  <w:r>
                    <w:rPr>
                      <w:color w:val="auto"/>
                    </w:rPr>
                    <w:t>中文名：氧、氧气</w:t>
                  </w:r>
                </w:p>
              </w:tc>
              <w:tc>
                <w:tcPr>
                  <w:tcW w:w="5274" w:type="dxa"/>
                  <w:gridSpan w:val="3"/>
                </w:tcPr>
                <w:p>
                  <w:pPr>
                    <w:pStyle w:val="50"/>
                    <w:rPr>
                      <w:color w:val="auto"/>
                    </w:rPr>
                  </w:pPr>
                  <w:r>
                    <w:rPr>
                      <w:color w:val="auto"/>
                    </w:rPr>
                    <w:t>英文名：oxygen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00" w:type="dxa"/>
                  <w:vMerge w:val="continue"/>
                  <w:tcBorders>
                    <w:top w:val="nil"/>
                  </w:tcBorders>
                </w:tcPr>
                <w:p>
                  <w:pPr>
                    <w:pStyle w:val="50"/>
                    <w:rPr>
                      <w:color w:val="auto"/>
                    </w:rPr>
                  </w:pPr>
                </w:p>
              </w:tc>
              <w:tc>
                <w:tcPr>
                  <w:tcW w:w="3083" w:type="dxa"/>
                  <w:gridSpan w:val="2"/>
                </w:tcPr>
                <w:p>
                  <w:pPr>
                    <w:pStyle w:val="50"/>
                    <w:rPr>
                      <w:color w:val="auto"/>
                    </w:rPr>
                  </w:pPr>
                  <w:r>
                    <w:rPr>
                      <w:color w:val="auto"/>
                    </w:rPr>
                    <w:t>分子式：O2</w:t>
                  </w:r>
                </w:p>
              </w:tc>
              <w:tc>
                <w:tcPr>
                  <w:tcW w:w="2729" w:type="dxa"/>
                  <w:gridSpan w:val="2"/>
                </w:tcPr>
                <w:p>
                  <w:pPr>
                    <w:pStyle w:val="50"/>
                    <w:rPr>
                      <w:color w:val="auto"/>
                    </w:rPr>
                  </w:pPr>
                  <w:r>
                    <w:rPr>
                      <w:color w:val="auto"/>
                    </w:rPr>
                    <w:t>分子量：32.00</w:t>
                  </w:r>
                </w:p>
              </w:tc>
              <w:tc>
                <w:tcPr>
                  <w:tcW w:w="2545" w:type="dxa"/>
                </w:tcPr>
                <w:p>
                  <w:pPr>
                    <w:pStyle w:val="50"/>
                    <w:rPr>
                      <w:color w:val="auto"/>
                    </w:rPr>
                  </w:pPr>
                  <w:r>
                    <w:rPr>
                      <w:color w:val="auto"/>
                    </w:rPr>
                    <w:t>CAS 号：7782－44－7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600" w:type="dxa"/>
                  <w:vMerge w:val="continue"/>
                  <w:tcBorders>
                    <w:top w:val="nil"/>
                  </w:tcBorders>
                </w:tcPr>
                <w:p>
                  <w:pPr>
                    <w:pStyle w:val="50"/>
                    <w:rPr>
                      <w:color w:val="auto"/>
                    </w:rPr>
                  </w:pPr>
                </w:p>
              </w:tc>
              <w:tc>
                <w:tcPr>
                  <w:tcW w:w="8357" w:type="dxa"/>
                  <w:gridSpan w:val="5"/>
                </w:tcPr>
                <w:p>
                  <w:pPr>
                    <w:pStyle w:val="50"/>
                    <w:rPr>
                      <w:color w:val="auto"/>
                    </w:rPr>
                  </w:pPr>
                  <w:r>
                    <w:rPr>
                      <w:color w:val="auto"/>
                    </w:rPr>
                    <w:t>危规号：22001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trPr>
              <w:tc>
                <w:tcPr>
                  <w:tcW w:w="600" w:type="dxa"/>
                  <w:vMerge w:val="restart"/>
                </w:tcPr>
                <w:p>
                  <w:pPr>
                    <w:pStyle w:val="50"/>
                    <w:rPr>
                      <w:color w:val="auto"/>
                    </w:rPr>
                  </w:pPr>
                </w:p>
                <w:p>
                  <w:pPr>
                    <w:pStyle w:val="50"/>
                    <w:rPr>
                      <w:color w:val="auto"/>
                    </w:rPr>
                  </w:pPr>
                  <w:r>
                    <w:rPr>
                      <w:color w:val="auto"/>
                    </w:rPr>
                    <w:t>理化性</w:t>
                  </w:r>
                </w:p>
                <w:p>
                  <w:pPr>
                    <w:pStyle w:val="50"/>
                    <w:rPr>
                      <w:color w:val="auto"/>
                    </w:rPr>
                  </w:pPr>
                  <w:r>
                    <w:rPr>
                      <w:color w:val="auto"/>
                    </w:rPr>
                    <w:t>质</w:t>
                  </w:r>
                </w:p>
              </w:tc>
              <w:tc>
                <w:tcPr>
                  <w:tcW w:w="8357" w:type="dxa"/>
                  <w:gridSpan w:val="5"/>
                </w:tcPr>
                <w:p>
                  <w:pPr>
                    <w:pStyle w:val="50"/>
                    <w:rPr>
                      <w:color w:val="auto"/>
                    </w:rPr>
                  </w:pPr>
                  <w:r>
                    <w:rPr>
                      <w:color w:val="auto"/>
                    </w:rPr>
                    <w:t>性状：无色无臭气体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00" w:type="dxa"/>
                  <w:vMerge w:val="continue"/>
                  <w:tcBorders>
                    <w:top w:val="nil"/>
                  </w:tcBorders>
                </w:tcPr>
                <w:p>
                  <w:pPr>
                    <w:pStyle w:val="50"/>
                    <w:rPr>
                      <w:color w:val="auto"/>
                    </w:rPr>
                  </w:pPr>
                </w:p>
              </w:tc>
              <w:tc>
                <w:tcPr>
                  <w:tcW w:w="8357" w:type="dxa"/>
                  <w:gridSpan w:val="5"/>
                </w:tcPr>
                <w:p>
                  <w:pPr>
                    <w:pStyle w:val="50"/>
                    <w:rPr>
                      <w:color w:val="auto"/>
                    </w:rPr>
                  </w:pPr>
                  <w:r>
                    <w:rPr>
                      <w:color w:val="auto"/>
                    </w:rPr>
                    <w:t>溶解性：溶于水、乙醇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5" w:hRule="atLeast"/>
              </w:trPr>
              <w:tc>
                <w:tcPr>
                  <w:tcW w:w="600" w:type="dxa"/>
                  <w:vMerge w:val="continue"/>
                  <w:tcBorders>
                    <w:top w:val="nil"/>
                  </w:tcBorders>
                </w:tcPr>
                <w:p>
                  <w:pPr>
                    <w:pStyle w:val="50"/>
                    <w:rPr>
                      <w:color w:val="auto"/>
                    </w:rPr>
                  </w:pPr>
                </w:p>
              </w:tc>
              <w:tc>
                <w:tcPr>
                  <w:tcW w:w="2601" w:type="dxa"/>
                </w:tcPr>
                <w:p>
                  <w:pPr>
                    <w:pStyle w:val="50"/>
                    <w:rPr>
                      <w:color w:val="auto"/>
                    </w:rPr>
                  </w:pPr>
                  <w:r>
                    <w:rPr>
                      <w:color w:val="auto"/>
                    </w:rPr>
                    <w:t>熔点（℃）：－218.8</w:t>
                  </w:r>
                </w:p>
              </w:tc>
              <w:tc>
                <w:tcPr>
                  <w:tcW w:w="2274" w:type="dxa"/>
                  <w:gridSpan w:val="2"/>
                </w:tcPr>
                <w:p>
                  <w:pPr>
                    <w:pStyle w:val="50"/>
                    <w:rPr>
                      <w:color w:val="auto"/>
                    </w:rPr>
                  </w:pPr>
                  <w:r>
                    <w:rPr>
                      <w:color w:val="auto"/>
                    </w:rPr>
                    <w:t>沸点（℃）：－183.1</w:t>
                  </w:r>
                </w:p>
              </w:tc>
              <w:tc>
                <w:tcPr>
                  <w:tcW w:w="3482" w:type="dxa"/>
                  <w:gridSpan w:val="2"/>
                </w:tcPr>
                <w:p>
                  <w:pPr>
                    <w:pStyle w:val="50"/>
                    <w:rPr>
                      <w:color w:val="auto"/>
                    </w:rPr>
                  </w:pPr>
                  <w:r>
                    <w:rPr>
                      <w:color w:val="auto"/>
                    </w:rPr>
                    <w:t>相对密度（水＝1）：1.14（－183℃）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600" w:type="dxa"/>
                  <w:vMerge w:val="continue"/>
                  <w:tcBorders>
                    <w:top w:val="nil"/>
                  </w:tcBorders>
                </w:tcPr>
                <w:p>
                  <w:pPr>
                    <w:pStyle w:val="50"/>
                    <w:rPr>
                      <w:color w:val="auto"/>
                    </w:rPr>
                  </w:pPr>
                </w:p>
              </w:tc>
              <w:tc>
                <w:tcPr>
                  <w:tcW w:w="2601" w:type="dxa"/>
                </w:tcPr>
                <w:p>
                  <w:pPr>
                    <w:pStyle w:val="50"/>
                    <w:rPr>
                      <w:color w:val="auto"/>
                    </w:rPr>
                  </w:pPr>
                  <w:r>
                    <w:rPr>
                      <w:color w:val="auto"/>
                    </w:rPr>
                    <w:t>临界温度（℃）：－118.4</w:t>
                  </w:r>
                </w:p>
              </w:tc>
              <w:tc>
                <w:tcPr>
                  <w:tcW w:w="2274" w:type="dxa"/>
                  <w:gridSpan w:val="2"/>
                </w:tcPr>
                <w:p>
                  <w:pPr>
                    <w:pStyle w:val="50"/>
                    <w:rPr>
                      <w:color w:val="auto"/>
                    </w:rPr>
                  </w:pPr>
                  <w:r>
                    <w:rPr>
                      <w:color w:val="auto"/>
                    </w:rPr>
                    <w:t>临界压力（MPa）：5.08</w:t>
                  </w:r>
                </w:p>
              </w:tc>
              <w:tc>
                <w:tcPr>
                  <w:tcW w:w="3482" w:type="dxa"/>
                  <w:gridSpan w:val="2"/>
                </w:tcPr>
                <w:p>
                  <w:pPr>
                    <w:pStyle w:val="50"/>
                    <w:rPr>
                      <w:color w:val="auto"/>
                    </w:rPr>
                  </w:pPr>
                  <w:r>
                    <w:rPr>
                      <w:color w:val="auto"/>
                    </w:rPr>
                    <w:t>相对密度（空气＝1）：1.43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 w:hRule="atLeast"/>
              </w:trPr>
              <w:tc>
                <w:tcPr>
                  <w:tcW w:w="600" w:type="dxa"/>
                  <w:vMerge w:val="continue"/>
                  <w:tcBorders>
                    <w:top w:val="nil"/>
                  </w:tcBorders>
                </w:tcPr>
                <w:p>
                  <w:pPr>
                    <w:pStyle w:val="50"/>
                    <w:rPr>
                      <w:color w:val="auto"/>
                    </w:rPr>
                  </w:pPr>
                </w:p>
              </w:tc>
              <w:tc>
                <w:tcPr>
                  <w:tcW w:w="2601" w:type="dxa"/>
                </w:tcPr>
                <w:p>
                  <w:pPr>
                    <w:pStyle w:val="50"/>
                    <w:rPr>
                      <w:color w:val="auto"/>
                    </w:rPr>
                  </w:pPr>
                  <w:r>
                    <w:rPr>
                      <w:color w:val="auto"/>
                    </w:rPr>
                    <w:t>燃烧热（KJ/mol）：无意义</w:t>
                  </w:r>
                </w:p>
              </w:tc>
              <w:tc>
                <w:tcPr>
                  <w:tcW w:w="2274" w:type="dxa"/>
                  <w:gridSpan w:val="2"/>
                </w:tcPr>
                <w:p>
                  <w:pPr>
                    <w:pStyle w:val="50"/>
                    <w:rPr>
                      <w:color w:val="auto"/>
                    </w:rPr>
                  </w:pPr>
                  <w:r>
                    <w:rPr>
                      <w:color w:val="auto"/>
                    </w:rPr>
                    <w:t>最小点火能（mJ）：</w:t>
                  </w:r>
                </w:p>
              </w:tc>
              <w:tc>
                <w:tcPr>
                  <w:tcW w:w="3482" w:type="dxa"/>
                  <w:gridSpan w:val="2"/>
                </w:tcPr>
                <w:p>
                  <w:pPr>
                    <w:pStyle w:val="50"/>
                    <w:rPr>
                      <w:color w:val="auto"/>
                    </w:rPr>
                  </w:pPr>
                  <w:r>
                    <w:rPr>
                      <w:color w:val="auto"/>
                    </w:rPr>
                    <w:t>饱和蒸汽压（KPa）：506.62（－164℃）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600" w:type="dxa"/>
                  <w:vMerge w:val="restart"/>
                </w:tcPr>
                <w:p>
                  <w:pPr>
                    <w:pStyle w:val="50"/>
                    <w:rPr>
                      <w:color w:val="auto"/>
                    </w:rPr>
                  </w:pPr>
                </w:p>
                <w:p>
                  <w:pPr>
                    <w:pStyle w:val="50"/>
                    <w:rPr>
                      <w:color w:val="auto"/>
                    </w:rPr>
                  </w:pPr>
                  <w:r>
                    <w:rPr>
                      <w:color w:val="auto"/>
                    </w:rPr>
                    <w:t>燃烧爆炸危险性</w:t>
                  </w:r>
                </w:p>
              </w:tc>
              <w:tc>
                <w:tcPr>
                  <w:tcW w:w="3083" w:type="dxa"/>
                  <w:gridSpan w:val="2"/>
                </w:tcPr>
                <w:p>
                  <w:pPr>
                    <w:pStyle w:val="50"/>
                    <w:rPr>
                      <w:color w:val="auto"/>
                    </w:rPr>
                  </w:pPr>
                  <w:r>
                    <w:rPr>
                      <w:color w:val="auto"/>
                    </w:rPr>
                    <w:t>燃烧性：助燃</w:t>
                  </w:r>
                </w:p>
              </w:tc>
              <w:tc>
                <w:tcPr>
                  <w:tcW w:w="5274" w:type="dxa"/>
                  <w:gridSpan w:val="3"/>
                </w:tcPr>
                <w:p>
                  <w:pPr>
                    <w:pStyle w:val="50"/>
                    <w:rPr>
                      <w:color w:val="auto"/>
                    </w:rPr>
                  </w:pPr>
                  <w:r>
                    <w:rPr>
                      <w:color w:val="auto"/>
                    </w:rPr>
                    <w:t>燃烧分解产物：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 w:hRule="atLeast"/>
              </w:trPr>
              <w:tc>
                <w:tcPr>
                  <w:tcW w:w="600" w:type="dxa"/>
                  <w:vMerge w:val="continue"/>
                  <w:tcBorders>
                    <w:top w:val="nil"/>
                  </w:tcBorders>
                </w:tcPr>
                <w:p>
                  <w:pPr>
                    <w:pStyle w:val="50"/>
                    <w:rPr>
                      <w:color w:val="auto"/>
                    </w:rPr>
                  </w:pPr>
                </w:p>
              </w:tc>
              <w:tc>
                <w:tcPr>
                  <w:tcW w:w="3083" w:type="dxa"/>
                  <w:gridSpan w:val="2"/>
                </w:tcPr>
                <w:p>
                  <w:pPr>
                    <w:pStyle w:val="50"/>
                    <w:rPr>
                      <w:color w:val="auto"/>
                    </w:rPr>
                  </w:pPr>
                  <w:r>
                    <w:rPr>
                      <w:color w:val="auto"/>
                    </w:rPr>
                    <w:t>闪点（℃）：无意义</w:t>
                  </w:r>
                </w:p>
              </w:tc>
              <w:tc>
                <w:tcPr>
                  <w:tcW w:w="5274" w:type="dxa"/>
                  <w:gridSpan w:val="3"/>
                </w:tcPr>
                <w:p>
                  <w:pPr>
                    <w:pStyle w:val="50"/>
                    <w:rPr>
                      <w:color w:val="auto"/>
                    </w:rPr>
                  </w:pPr>
                  <w:r>
                    <w:rPr>
                      <w:color w:val="auto"/>
                    </w:rPr>
                    <w:t>聚合危害：不聚合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 w:hRule="atLeast"/>
              </w:trPr>
              <w:tc>
                <w:tcPr>
                  <w:tcW w:w="600" w:type="dxa"/>
                  <w:vMerge w:val="continue"/>
                  <w:tcBorders>
                    <w:top w:val="nil"/>
                  </w:tcBorders>
                </w:tcPr>
                <w:p>
                  <w:pPr>
                    <w:pStyle w:val="50"/>
                    <w:rPr>
                      <w:color w:val="auto"/>
                    </w:rPr>
                  </w:pPr>
                </w:p>
              </w:tc>
              <w:tc>
                <w:tcPr>
                  <w:tcW w:w="3083" w:type="dxa"/>
                  <w:gridSpan w:val="2"/>
                </w:tcPr>
                <w:p>
                  <w:pPr>
                    <w:pStyle w:val="50"/>
                    <w:rPr>
                      <w:color w:val="auto"/>
                    </w:rPr>
                  </w:pPr>
                  <w:r>
                    <w:rPr>
                      <w:color w:val="auto"/>
                    </w:rPr>
                    <w:t>爆炸极限（V％）：无意义</w:t>
                  </w:r>
                </w:p>
              </w:tc>
              <w:tc>
                <w:tcPr>
                  <w:tcW w:w="5274" w:type="dxa"/>
                  <w:gridSpan w:val="3"/>
                </w:tcPr>
                <w:p>
                  <w:pPr>
                    <w:pStyle w:val="50"/>
                    <w:rPr>
                      <w:color w:val="auto"/>
                    </w:rPr>
                  </w:pPr>
                  <w:r>
                    <w:rPr>
                      <w:color w:val="auto"/>
                    </w:rPr>
                    <w:t>稳定性：稳定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 w:hRule="atLeast"/>
              </w:trPr>
              <w:tc>
                <w:tcPr>
                  <w:tcW w:w="600" w:type="dxa"/>
                  <w:vMerge w:val="continue"/>
                  <w:tcBorders>
                    <w:top w:val="nil"/>
                  </w:tcBorders>
                </w:tcPr>
                <w:p>
                  <w:pPr>
                    <w:pStyle w:val="50"/>
                    <w:rPr>
                      <w:color w:val="auto"/>
                    </w:rPr>
                  </w:pPr>
                </w:p>
              </w:tc>
              <w:tc>
                <w:tcPr>
                  <w:tcW w:w="3083" w:type="dxa"/>
                  <w:gridSpan w:val="2"/>
                </w:tcPr>
                <w:p>
                  <w:pPr>
                    <w:pStyle w:val="50"/>
                    <w:rPr>
                      <w:color w:val="auto"/>
                    </w:rPr>
                  </w:pPr>
                  <w:r>
                    <w:rPr>
                      <w:color w:val="auto"/>
                    </w:rPr>
                    <w:t>引燃温度（℃）：无意义</w:t>
                  </w:r>
                </w:p>
              </w:tc>
              <w:tc>
                <w:tcPr>
                  <w:tcW w:w="5274" w:type="dxa"/>
                  <w:gridSpan w:val="3"/>
                </w:tcPr>
                <w:p>
                  <w:pPr>
                    <w:pStyle w:val="50"/>
                    <w:rPr>
                      <w:color w:val="auto"/>
                    </w:rPr>
                  </w:pPr>
                  <w:r>
                    <w:rPr>
                      <w:color w:val="auto"/>
                    </w:rPr>
                    <w:t>禁忌物：易燃或可燃物，活性金属粉末、乙炔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600" w:type="dxa"/>
                  <w:vMerge w:val="continue"/>
                  <w:tcBorders>
                    <w:top w:val="nil"/>
                  </w:tcBorders>
                </w:tcPr>
                <w:p>
                  <w:pPr>
                    <w:pStyle w:val="50"/>
                    <w:rPr>
                      <w:color w:val="auto"/>
                    </w:rPr>
                  </w:pPr>
                </w:p>
              </w:tc>
              <w:tc>
                <w:tcPr>
                  <w:tcW w:w="8357" w:type="dxa"/>
                  <w:gridSpan w:val="5"/>
                </w:tcPr>
                <w:p>
                  <w:pPr>
                    <w:pStyle w:val="50"/>
                    <w:jc w:val="left"/>
                    <w:rPr>
                      <w:color w:val="auto"/>
                    </w:rPr>
                  </w:pPr>
                  <w:r>
                    <w:rPr>
                      <w:color w:val="auto"/>
                    </w:rPr>
                    <w:t>危险特性：是易燃物、可燃物燃烧爆炸的基本要素之一，能氧化大多数活性物质。与易燃物</w:t>
                  </w:r>
                </w:p>
                <w:p>
                  <w:pPr>
                    <w:pStyle w:val="50"/>
                    <w:jc w:val="left"/>
                    <w:rPr>
                      <w:color w:val="auto"/>
                    </w:rPr>
                  </w:pPr>
                  <w:r>
                    <w:rPr>
                      <w:color w:val="auto"/>
                    </w:rPr>
                    <w:t>（如乙炔、甲烷等）形成有爆炸性的混合物。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600" w:type="dxa"/>
                  <w:vMerge w:val="continue"/>
                  <w:tcBorders>
                    <w:top w:val="nil"/>
                  </w:tcBorders>
                </w:tcPr>
                <w:p>
                  <w:pPr>
                    <w:pStyle w:val="50"/>
                    <w:rPr>
                      <w:color w:val="auto"/>
                    </w:rPr>
                  </w:pPr>
                </w:p>
              </w:tc>
              <w:tc>
                <w:tcPr>
                  <w:tcW w:w="8357" w:type="dxa"/>
                  <w:gridSpan w:val="5"/>
                </w:tcPr>
                <w:p>
                  <w:pPr>
                    <w:pStyle w:val="50"/>
                    <w:jc w:val="left"/>
                    <w:rPr>
                      <w:color w:val="auto"/>
                    </w:rPr>
                  </w:pPr>
                  <w:r>
                    <w:rPr>
                      <w:color w:val="auto"/>
                    </w:rPr>
                    <w:t>消防措施：用水保持容器冷却，以防受热爆炸，急剧助长火势，迅速切断气源。用水喷淋保   护切断气源的人员，然后根据着火原因选择适当灭火剂灭火。</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 w:hRule="atLeast"/>
              </w:trPr>
              <w:tc>
                <w:tcPr>
                  <w:tcW w:w="600" w:type="dxa"/>
                </w:tcPr>
                <w:p>
                  <w:pPr>
                    <w:pStyle w:val="50"/>
                    <w:rPr>
                      <w:color w:val="auto"/>
                    </w:rPr>
                  </w:pPr>
                  <w:r>
                    <w:rPr>
                      <w:color w:val="auto"/>
                    </w:rPr>
                    <w:t>毒性</w:t>
                  </w:r>
                </w:p>
              </w:tc>
              <w:tc>
                <w:tcPr>
                  <w:tcW w:w="8357" w:type="dxa"/>
                  <w:gridSpan w:val="5"/>
                </w:tcPr>
                <w:p>
                  <w:pPr>
                    <w:pStyle w:val="50"/>
                    <w:jc w:val="left"/>
                    <w:rPr>
                      <w:color w:val="auto"/>
                    </w:rPr>
                  </w:pPr>
                  <w:r>
                    <w:rPr>
                      <w:color w:val="auto"/>
                    </w:rPr>
                    <w:t>接触限值：</w:t>
                  </w:r>
                  <w:r>
                    <w:rPr>
                      <w:rFonts w:hint="eastAsia"/>
                      <w:color w:val="auto"/>
                    </w:rPr>
                    <w:t>/</w:t>
                  </w:r>
                  <w:r>
                    <w:rPr>
                      <w:color w:val="auto"/>
                    </w:rPr>
                    <w:t xml:space="preserve"> 毒理资料：</w:t>
                  </w:r>
                  <w:r>
                    <w:rPr>
                      <w:rFonts w:hint="eastAsia"/>
                      <w:color w:val="auto"/>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3" w:hRule="atLeast"/>
              </w:trPr>
              <w:tc>
                <w:tcPr>
                  <w:tcW w:w="600" w:type="dxa"/>
                </w:tcPr>
                <w:p>
                  <w:pPr>
                    <w:pStyle w:val="50"/>
                    <w:rPr>
                      <w:color w:val="auto"/>
                    </w:rPr>
                  </w:pPr>
                </w:p>
                <w:p>
                  <w:pPr>
                    <w:pStyle w:val="50"/>
                    <w:rPr>
                      <w:color w:val="auto"/>
                    </w:rPr>
                  </w:pPr>
                  <w:r>
                    <w:rPr>
                      <w:color w:val="auto"/>
                    </w:rPr>
                    <w:t>对人体危害</w:t>
                  </w:r>
                </w:p>
              </w:tc>
              <w:tc>
                <w:tcPr>
                  <w:tcW w:w="8357" w:type="dxa"/>
                  <w:gridSpan w:val="5"/>
                </w:tcPr>
                <w:p>
                  <w:pPr>
                    <w:pStyle w:val="50"/>
                    <w:jc w:val="left"/>
                    <w:rPr>
                      <w:color w:val="auto"/>
                    </w:rPr>
                  </w:pPr>
                  <w:r>
                    <w:rPr>
                      <w:color w:val="auto"/>
                    </w:rPr>
                    <w:t>侵入途径：吸入。</w:t>
                  </w:r>
                </w:p>
                <w:p>
                  <w:pPr>
                    <w:pStyle w:val="50"/>
                    <w:jc w:val="left"/>
                    <w:rPr>
                      <w:color w:val="auto"/>
                    </w:rPr>
                  </w:pPr>
                  <w:r>
                    <w:rPr>
                      <w:color w:val="auto"/>
                    </w:rPr>
                    <w:t>健康危害：常压下，当氧的浓度超过 40％时，有可能发生中毒。吸入 40％～60％的氧时， 出现胸骨后不适感、轻咳，进而胸闷、胸骨后烧灼感和呼吸困难，咳嗽加剧；严重时可发生   肺水肿，甚至出现呼吸窘迫综合症。吸入氧浓度在 80％以上时，出现面部肌肉抽动、面色苍白、眩晕、心动过速、虚脱，继而全身强直性抽搐、昏迷、呼吸衰竭而死亡。长期处于氧</w:t>
                  </w:r>
                </w:p>
                <w:p>
                  <w:pPr>
                    <w:pStyle w:val="50"/>
                    <w:jc w:val="left"/>
                    <w:rPr>
                      <w:color w:val="auto"/>
                    </w:rPr>
                  </w:pPr>
                  <w:r>
                    <w:rPr>
                      <w:color w:val="auto"/>
                    </w:rPr>
                    <w:t>压为 60～100kPa（相对于吸入氧浓度 40％左右）的条件下可发生眼损害，严重者可失明。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00" w:type="dxa"/>
                </w:tcPr>
                <w:p>
                  <w:pPr>
                    <w:pStyle w:val="50"/>
                    <w:rPr>
                      <w:color w:val="auto"/>
                    </w:rPr>
                  </w:pPr>
                  <w:r>
                    <w:rPr>
                      <w:color w:val="auto"/>
                    </w:rPr>
                    <w:t>急救</w:t>
                  </w:r>
                </w:p>
              </w:tc>
              <w:tc>
                <w:tcPr>
                  <w:tcW w:w="8357" w:type="dxa"/>
                  <w:gridSpan w:val="5"/>
                </w:tcPr>
                <w:p>
                  <w:pPr>
                    <w:pStyle w:val="50"/>
                    <w:jc w:val="left"/>
                    <w:rPr>
                      <w:color w:val="auto"/>
                    </w:rPr>
                  </w:pPr>
                  <w:r>
                    <w:rPr>
                      <w:color w:val="auto"/>
                    </w:rPr>
                    <w:t>吸入：迅速脱离现场至空气新鲜处。保持呼吸道通畅。如呼吸困然，给输氧。如呼吸停止，   立即进行人工呼吸。就医。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600" w:type="dxa"/>
                </w:tcPr>
                <w:p>
                  <w:pPr>
                    <w:pStyle w:val="50"/>
                    <w:rPr>
                      <w:color w:val="auto"/>
                    </w:rPr>
                  </w:pPr>
                  <w:r>
                    <w:rPr>
                      <w:color w:val="auto"/>
                    </w:rPr>
                    <w:t>防护</w:t>
                  </w:r>
                </w:p>
              </w:tc>
              <w:tc>
                <w:tcPr>
                  <w:tcW w:w="8357" w:type="dxa"/>
                  <w:gridSpan w:val="5"/>
                </w:tcPr>
                <w:p>
                  <w:pPr>
                    <w:pStyle w:val="50"/>
                    <w:jc w:val="left"/>
                    <w:rPr>
                      <w:color w:val="auto"/>
                    </w:rPr>
                  </w:pPr>
                  <w:r>
                    <w:rPr>
                      <w:color w:val="auto"/>
                    </w:rPr>
                    <w:t>工程防护：密闭操作。提供良好的自然通风条件。</w:t>
                  </w:r>
                </w:p>
                <w:p>
                  <w:pPr>
                    <w:pStyle w:val="50"/>
                    <w:jc w:val="left"/>
                    <w:rPr>
                      <w:color w:val="auto"/>
                    </w:rPr>
                  </w:pPr>
                  <w:r>
                    <w:rPr>
                      <w:color w:val="auto"/>
                    </w:rPr>
                    <w:t>个人防护：穿一般作业工作服。戴一般作业防护手套。 其他：避免高浓度吸入。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trPr>
              <w:tc>
                <w:tcPr>
                  <w:tcW w:w="600" w:type="dxa"/>
                </w:tcPr>
                <w:p>
                  <w:pPr>
                    <w:pStyle w:val="50"/>
                    <w:rPr>
                      <w:color w:val="auto"/>
                    </w:rPr>
                  </w:pPr>
                  <w:r>
                    <w:rPr>
                      <w:color w:val="auto"/>
                    </w:rPr>
                    <w:t>泄漏处理</w:t>
                  </w:r>
                </w:p>
              </w:tc>
              <w:tc>
                <w:tcPr>
                  <w:tcW w:w="8357" w:type="dxa"/>
                  <w:gridSpan w:val="5"/>
                </w:tcPr>
                <w:p>
                  <w:pPr>
                    <w:pStyle w:val="50"/>
                    <w:jc w:val="left"/>
                    <w:rPr>
                      <w:color w:val="auto"/>
                    </w:rPr>
                  </w:pPr>
                  <w:r>
                    <w:rPr>
                      <w:color w:val="auto"/>
                    </w:rPr>
                    <w:t>迅速撤离泄漏污染区人员至上风处，并进行隔离，严格限制出入。切断火源，建议应急处理   人员戴自给正压式呼吸器，穿一般作业工作服。避免与可燃物或易燃物接触。尽可能切断泄   漏源。合理通风，加速扩散。漏气容器要妥善处理，修复、检验后再用。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600" w:type="dxa"/>
                </w:tcPr>
                <w:p>
                  <w:pPr>
                    <w:pStyle w:val="50"/>
                    <w:rPr>
                      <w:color w:val="auto"/>
                    </w:rPr>
                  </w:pPr>
                </w:p>
                <w:p>
                  <w:pPr>
                    <w:pStyle w:val="50"/>
                    <w:rPr>
                      <w:color w:val="auto"/>
                    </w:rPr>
                  </w:pPr>
                  <w:r>
                    <w:rPr>
                      <w:color w:val="auto"/>
                    </w:rPr>
                    <w:t>贮运</w:t>
                  </w:r>
                </w:p>
              </w:tc>
              <w:tc>
                <w:tcPr>
                  <w:tcW w:w="8357" w:type="dxa"/>
                  <w:gridSpan w:val="5"/>
                </w:tcPr>
                <w:p>
                  <w:pPr>
                    <w:pStyle w:val="50"/>
                    <w:jc w:val="left"/>
                    <w:rPr>
                      <w:color w:val="auto"/>
                    </w:rPr>
                  </w:pPr>
                  <w:r>
                    <w:rPr>
                      <w:color w:val="auto"/>
                    </w:rPr>
                    <w:t>包装标志：5，11UN 编号：1072包装分类：Ⅲ包装方法：钢质气瓶</w:t>
                  </w:r>
                </w:p>
                <w:p>
                  <w:pPr>
                    <w:pStyle w:val="50"/>
                    <w:jc w:val="left"/>
                    <w:rPr>
                      <w:color w:val="auto"/>
                    </w:rPr>
                  </w:pPr>
                  <w:r>
                    <w:rPr>
                      <w:color w:val="auto"/>
                    </w:rPr>
                    <w:t>储运条件：不燃性压缩气体。储存于阴凉、通风仓间内。仓内温度不宜超过 30℃。远离火源、热源。防止阳光直射。应与易燃气体、金属粉末分开存放。验收时要注意品名，注意验瓶日期，先进仓的先发用。搬运时轻装轻卸，防止钢瓶及附件破损。</w:t>
                  </w:r>
                </w:p>
              </w:tc>
            </w:tr>
          </w:tbl>
          <w:p>
            <w:pPr>
              <w:numPr>
                <w:ilvl w:val="255"/>
                <w:numId w:val="0"/>
              </w:numPr>
              <w:ind w:firstLine="480"/>
              <w:rPr>
                <w:rFonts w:ascii="宋体" w:hAnsi="宋体" w:cs="宋体"/>
                <w:color w:val="auto"/>
                <w:kern w:val="2"/>
              </w:rPr>
            </w:pPr>
            <w:r>
              <w:rPr>
                <w:rFonts w:hint="eastAsia" w:ascii="宋体" w:hAnsi="宋体" w:cs="宋体"/>
                <w:color w:val="auto"/>
                <w:kern w:val="2"/>
              </w:rPr>
              <w:t>（6）乙炔</w:t>
            </w:r>
          </w:p>
          <w:tbl>
            <w:tblPr>
              <w:tblStyle w:val="36"/>
              <w:tblW w:w="0" w:type="auto"/>
              <w:tblInd w:w="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00"/>
              <w:gridCol w:w="2802"/>
              <w:gridCol w:w="284"/>
              <w:gridCol w:w="204"/>
              <w:gridCol w:w="314"/>
              <w:gridCol w:w="1463"/>
              <w:gridCol w:w="771"/>
              <w:gridCol w:w="25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600" w:type="dxa"/>
                  <w:vMerge w:val="restart"/>
                </w:tcPr>
                <w:p>
                  <w:pPr>
                    <w:pStyle w:val="50"/>
                    <w:rPr>
                      <w:color w:val="auto"/>
                    </w:rPr>
                  </w:pPr>
                  <w:r>
                    <w:rPr>
                      <w:color w:val="auto"/>
                    </w:rPr>
                    <w:t>标识</w:t>
                  </w:r>
                </w:p>
              </w:tc>
              <w:tc>
                <w:tcPr>
                  <w:tcW w:w="3604" w:type="dxa"/>
                  <w:gridSpan w:val="4"/>
                </w:tcPr>
                <w:p>
                  <w:pPr>
                    <w:pStyle w:val="50"/>
                    <w:rPr>
                      <w:color w:val="auto"/>
                    </w:rPr>
                  </w:pPr>
                  <w:r>
                    <w:rPr>
                      <w:color w:val="auto"/>
                    </w:rPr>
                    <w:t>中文名：乙炔</w:t>
                  </w:r>
                </w:p>
              </w:tc>
              <w:tc>
                <w:tcPr>
                  <w:tcW w:w="4742" w:type="dxa"/>
                  <w:gridSpan w:val="3"/>
                </w:tcPr>
                <w:p>
                  <w:pPr>
                    <w:pStyle w:val="50"/>
                    <w:rPr>
                      <w:color w:val="auto"/>
                    </w:rPr>
                  </w:pPr>
                  <w:r>
                    <w:rPr>
                      <w:color w:val="auto"/>
                    </w:rPr>
                    <w:t>英文名：acetylene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00" w:type="dxa"/>
                  <w:vMerge w:val="continue"/>
                  <w:tcBorders>
                    <w:top w:val="nil"/>
                  </w:tcBorders>
                </w:tcPr>
                <w:p>
                  <w:pPr>
                    <w:pStyle w:val="50"/>
                    <w:rPr>
                      <w:color w:val="auto"/>
                    </w:rPr>
                  </w:pPr>
                </w:p>
              </w:tc>
              <w:tc>
                <w:tcPr>
                  <w:tcW w:w="3086" w:type="dxa"/>
                  <w:gridSpan w:val="2"/>
                </w:tcPr>
                <w:p>
                  <w:pPr>
                    <w:pStyle w:val="50"/>
                    <w:rPr>
                      <w:color w:val="auto"/>
                    </w:rPr>
                  </w:pPr>
                  <w:r>
                    <w:rPr>
                      <w:color w:val="auto"/>
                    </w:rPr>
                    <w:t>分子式：C2H2</w:t>
                  </w:r>
                </w:p>
              </w:tc>
              <w:tc>
                <w:tcPr>
                  <w:tcW w:w="2752" w:type="dxa"/>
                  <w:gridSpan w:val="4"/>
                </w:tcPr>
                <w:p>
                  <w:pPr>
                    <w:pStyle w:val="50"/>
                    <w:rPr>
                      <w:color w:val="auto"/>
                    </w:rPr>
                  </w:pPr>
                  <w:r>
                    <w:rPr>
                      <w:color w:val="auto"/>
                    </w:rPr>
                    <w:t>分子量：26.04</w:t>
                  </w:r>
                </w:p>
              </w:tc>
              <w:tc>
                <w:tcPr>
                  <w:tcW w:w="2508" w:type="dxa"/>
                </w:tcPr>
                <w:p>
                  <w:pPr>
                    <w:pStyle w:val="50"/>
                    <w:rPr>
                      <w:color w:val="auto"/>
                    </w:rPr>
                  </w:pPr>
                  <w:r>
                    <w:rPr>
                      <w:color w:val="auto"/>
                    </w:rPr>
                    <w:t>CAS 号：74－86－2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 w:hRule="atLeast"/>
              </w:trPr>
              <w:tc>
                <w:tcPr>
                  <w:tcW w:w="600" w:type="dxa"/>
                  <w:vMerge w:val="continue"/>
                  <w:tcBorders>
                    <w:top w:val="nil"/>
                  </w:tcBorders>
                </w:tcPr>
                <w:p>
                  <w:pPr>
                    <w:pStyle w:val="50"/>
                    <w:rPr>
                      <w:color w:val="auto"/>
                    </w:rPr>
                  </w:pPr>
                </w:p>
              </w:tc>
              <w:tc>
                <w:tcPr>
                  <w:tcW w:w="8346" w:type="dxa"/>
                  <w:gridSpan w:val="7"/>
                </w:tcPr>
                <w:p>
                  <w:pPr>
                    <w:pStyle w:val="50"/>
                    <w:rPr>
                      <w:color w:val="auto"/>
                    </w:rPr>
                  </w:pPr>
                  <w:r>
                    <w:rPr>
                      <w:color w:val="auto"/>
                    </w:rPr>
                    <w:t>危规号：21024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2" w:hRule="atLeast"/>
              </w:trPr>
              <w:tc>
                <w:tcPr>
                  <w:tcW w:w="600" w:type="dxa"/>
                  <w:vMerge w:val="restart"/>
                </w:tcPr>
                <w:p>
                  <w:pPr>
                    <w:pStyle w:val="50"/>
                    <w:rPr>
                      <w:color w:val="auto"/>
                    </w:rPr>
                  </w:pPr>
                  <w:r>
                    <w:rPr>
                      <w:color w:val="auto"/>
                    </w:rPr>
                    <w:t>理化性质</w:t>
                  </w:r>
                </w:p>
              </w:tc>
              <w:tc>
                <w:tcPr>
                  <w:tcW w:w="8346" w:type="dxa"/>
                  <w:gridSpan w:val="7"/>
                </w:tcPr>
                <w:p>
                  <w:pPr>
                    <w:pStyle w:val="50"/>
                    <w:rPr>
                      <w:color w:val="auto"/>
                    </w:rPr>
                  </w:pPr>
                  <w:r>
                    <w:rPr>
                      <w:color w:val="auto"/>
                    </w:rPr>
                    <w:t>性状：无色无臭气体，工业品有使人不愉快的大蒜气味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00" w:type="dxa"/>
                  <w:vMerge w:val="continue"/>
                  <w:tcBorders>
                    <w:top w:val="nil"/>
                  </w:tcBorders>
                </w:tcPr>
                <w:p>
                  <w:pPr>
                    <w:pStyle w:val="50"/>
                    <w:rPr>
                      <w:color w:val="auto"/>
                    </w:rPr>
                  </w:pPr>
                </w:p>
              </w:tc>
              <w:tc>
                <w:tcPr>
                  <w:tcW w:w="8346" w:type="dxa"/>
                  <w:gridSpan w:val="7"/>
                </w:tcPr>
                <w:p>
                  <w:pPr>
                    <w:pStyle w:val="50"/>
                    <w:rPr>
                      <w:color w:val="auto"/>
                    </w:rPr>
                  </w:pPr>
                  <w:r>
                    <w:rPr>
                      <w:color w:val="auto"/>
                    </w:rPr>
                    <w:t>溶解性：微溶于水、乙醇，溶于丙酮、氯仿、苯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2" w:hRule="atLeast"/>
              </w:trPr>
              <w:tc>
                <w:tcPr>
                  <w:tcW w:w="600" w:type="dxa"/>
                  <w:vMerge w:val="continue"/>
                  <w:tcBorders>
                    <w:top w:val="nil"/>
                  </w:tcBorders>
                </w:tcPr>
                <w:p>
                  <w:pPr>
                    <w:pStyle w:val="50"/>
                    <w:rPr>
                      <w:color w:val="auto"/>
                    </w:rPr>
                  </w:pPr>
                </w:p>
              </w:tc>
              <w:tc>
                <w:tcPr>
                  <w:tcW w:w="2802" w:type="dxa"/>
                </w:tcPr>
                <w:p>
                  <w:pPr>
                    <w:pStyle w:val="50"/>
                    <w:rPr>
                      <w:color w:val="auto"/>
                    </w:rPr>
                  </w:pPr>
                  <w:r>
                    <w:rPr>
                      <w:color w:val="auto"/>
                    </w:rPr>
                    <w:t>熔点（℃）：－81.8（119kpPa）</w:t>
                  </w:r>
                </w:p>
              </w:tc>
              <w:tc>
                <w:tcPr>
                  <w:tcW w:w="2265" w:type="dxa"/>
                  <w:gridSpan w:val="4"/>
                </w:tcPr>
                <w:p>
                  <w:pPr>
                    <w:pStyle w:val="50"/>
                    <w:rPr>
                      <w:color w:val="auto"/>
                    </w:rPr>
                  </w:pPr>
                  <w:r>
                    <w:rPr>
                      <w:color w:val="auto"/>
                    </w:rPr>
                    <w:t>沸点（℃）：－83.8</w:t>
                  </w:r>
                </w:p>
              </w:tc>
              <w:tc>
                <w:tcPr>
                  <w:tcW w:w="3279" w:type="dxa"/>
                  <w:gridSpan w:val="2"/>
                </w:tcPr>
                <w:p>
                  <w:pPr>
                    <w:pStyle w:val="50"/>
                    <w:rPr>
                      <w:color w:val="auto"/>
                    </w:rPr>
                  </w:pPr>
                  <w:r>
                    <w:rPr>
                      <w:color w:val="auto"/>
                    </w:rPr>
                    <w:t>相对密度（水＝1）：0.62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00" w:type="dxa"/>
                  <w:vMerge w:val="continue"/>
                  <w:tcBorders>
                    <w:top w:val="nil"/>
                  </w:tcBorders>
                </w:tcPr>
                <w:p>
                  <w:pPr>
                    <w:pStyle w:val="50"/>
                    <w:rPr>
                      <w:color w:val="auto"/>
                    </w:rPr>
                  </w:pPr>
                </w:p>
              </w:tc>
              <w:tc>
                <w:tcPr>
                  <w:tcW w:w="2802" w:type="dxa"/>
                </w:tcPr>
                <w:p>
                  <w:pPr>
                    <w:pStyle w:val="50"/>
                    <w:rPr>
                      <w:color w:val="auto"/>
                    </w:rPr>
                  </w:pPr>
                  <w:r>
                    <w:rPr>
                      <w:color w:val="auto"/>
                    </w:rPr>
                    <w:t>临界温度（℃）：35.2</w:t>
                  </w:r>
                </w:p>
              </w:tc>
              <w:tc>
                <w:tcPr>
                  <w:tcW w:w="2265" w:type="dxa"/>
                  <w:gridSpan w:val="4"/>
                </w:tcPr>
                <w:p>
                  <w:pPr>
                    <w:pStyle w:val="50"/>
                    <w:rPr>
                      <w:color w:val="auto"/>
                    </w:rPr>
                  </w:pPr>
                  <w:r>
                    <w:rPr>
                      <w:color w:val="auto"/>
                    </w:rPr>
                    <w:t>临界压力（MPa）：6.14</w:t>
                  </w:r>
                </w:p>
              </w:tc>
              <w:tc>
                <w:tcPr>
                  <w:tcW w:w="3279" w:type="dxa"/>
                  <w:gridSpan w:val="2"/>
                </w:tcPr>
                <w:p>
                  <w:pPr>
                    <w:pStyle w:val="50"/>
                    <w:rPr>
                      <w:color w:val="auto"/>
                    </w:rPr>
                  </w:pPr>
                  <w:r>
                    <w:rPr>
                      <w:color w:val="auto"/>
                    </w:rPr>
                    <w:t>相对密度（空气＝1）：0.91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600" w:type="dxa"/>
                  <w:vMerge w:val="continue"/>
                  <w:tcBorders>
                    <w:top w:val="nil"/>
                  </w:tcBorders>
                </w:tcPr>
                <w:p>
                  <w:pPr>
                    <w:pStyle w:val="50"/>
                    <w:rPr>
                      <w:color w:val="auto"/>
                    </w:rPr>
                  </w:pPr>
                </w:p>
              </w:tc>
              <w:tc>
                <w:tcPr>
                  <w:tcW w:w="2802" w:type="dxa"/>
                </w:tcPr>
                <w:p>
                  <w:pPr>
                    <w:pStyle w:val="50"/>
                    <w:rPr>
                      <w:color w:val="auto"/>
                    </w:rPr>
                  </w:pPr>
                  <w:r>
                    <w:rPr>
                      <w:color w:val="auto"/>
                    </w:rPr>
                    <w:t>燃烧热（KJ/mol）：1298.4</w:t>
                  </w:r>
                </w:p>
              </w:tc>
              <w:tc>
                <w:tcPr>
                  <w:tcW w:w="2265" w:type="dxa"/>
                  <w:gridSpan w:val="4"/>
                </w:tcPr>
                <w:p>
                  <w:pPr>
                    <w:pStyle w:val="50"/>
                    <w:rPr>
                      <w:color w:val="auto"/>
                    </w:rPr>
                  </w:pPr>
                  <w:r>
                    <w:rPr>
                      <w:color w:val="auto"/>
                    </w:rPr>
                    <w:t>最小点火能（mJ）：</w:t>
                  </w:r>
                </w:p>
              </w:tc>
              <w:tc>
                <w:tcPr>
                  <w:tcW w:w="3279" w:type="dxa"/>
                  <w:gridSpan w:val="2"/>
                </w:tcPr>
                <w:p>
                  <w:pPr>
                    <w:pStyle w:val="50"/>
                    <w:rPr>
                      <w:color w:val="auto"/>
                    </w:rPr>
                  </w:pPr>
                  <w:r>
                    <w:rPr>
                      <w:color w:val="auto"/>
                    </w:rPr>
                    <w:t>饱和蒸汽压（KPa）：4053（16.8℃）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7" w:hRule="atLeast"/>
              </w:trPr>
              <w:tc>
                <w:tcPr>
                  <w:tcW w:w="600" w:type="dxa"/>
                  <w:vMerge w:val="restart"/>
                </w:tcPr>
                <w:p>
                  <w:pPr>
                    <w:pStyle w:val="50"/>
                    <w:rPr>
                      <w:color w:val="auto"/>
                    </w:rPr>
                  </w:pPr>
                </w:p>
                <w:p>
                  <w:pPr>
                    <w:pStyle w:val="50"/>
                    <w:rPr>
                      <w:color w:val="auto"/>
                    </w:rPr>
                  </w:pPr>
                </w:p>
                <w:p>
                  <w:pPr>
                    <w:pStyle w:val="50"/>
                    <w:rPr>
                      <w:color w:val="auto"/>
                    </w:rPr>
                  </w:pPr>
                  <w:r>
                    <w:rPr>
                      <w:color w:val="auto"/>
                    </w:rPr>
                    <w:t>燃烧爆炸危险性</w:t>
                  </w:r>
                </w:p>
              </w:tc>
              <w:tc>
                <w:tcPr>
                  <w:tcW w:w="3290" w:type="dxa"/>
                  <w:gridSpan w:val="3"/>
                </w:tcPr>
                <w:p>
                  <w:pPr>
                    <w:pStyle w:val="50"/>
                    <w:rPr>
                      <w:color w:val="auto"/>
                    </w:rPr>
                  </w:pPr>
                  <w:r>
                    <w:rPr>
                      <w:color w:val="auto"/>
                    </w:rPr>
                    <w:t>燃烧性：易燃</w:t>
                  </w:r>
                </w:p>
              </w:tc>
              <w:tc>
                <w:tcPr>
                  <w:tcW w:w="5056" w:type="dxa"/>
                  <w:gridSpan w:val="4"/>
                </w:tcPr>
                <w:p>
                  <w:pPr>
                    <w:pStyle w:val="50"/>
                    <w:rPr>
                      <w:color w:val="auto"/>
                    </w:rPr>
                  </w:pPr>
                  <w:r>
                    <w:rPr>
                      <w:color w:val="auto"/>
                    </w:rPr>
                    <w:t>燃烧分解产物：一氧化碳、二氧化碳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600" w:type="dxa"/>
                  <w:vMerge w:val="continue"/>
                  <w:tcBorders>
                    <w:top w:val="nil"/>
                  </w:tcBorders>
                </w:tcPr>
                <w:p>
                  <w:pPr>
                    <w:pStyle w:val="50"/>
                    <w:rPr>
                      <w:color w:val="auto"/>
                    </w:rPr>
                  </w:pPr>
                </w:p>
              </w:tc>
              <w:tc>
                <w:tcPr>
                  <w:tcW w:w="3290" w:type="dxa"/>
                  <w:gridSpan w:val="3"/>
                </w:tcPr>
                <w:p>
                  <w:pPr>
                    <w:pStyle w:val="50"/>
                    <w:rPr>
                      <w:color w:val="auto"/>
                    </w:rPr>
                  </w:pPr>
                  <w:r>
                    <w:rPr>
                      <w:color w:val="auto"/>
                    </w:rPr>
                    <w:t>闪点（℃）：无意义</w:t>
                  </w:r>
                </w:p>
              </w:tc>
              <w:tc>
                <w:tcPr>
                  <w:tcW w:w="5056" w:type="dxa"/>
                  <w:gridSpan w:val="4"/>
                </w:tcPr>
                <w:p>
                  <w:pPr>
                    <w:pStyle w:val="50"/>
                    <w:rPr>
                      <w:color w:val="auto"/>
                    </w:rPr>
                  </w:pPr>
                  <w:r>
                    <w:rPr>
                      <w:color w:val="auto"/>
                    </w:rPr>
                    <w:t>聚合危害：聚合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600" w:type="dxa"/>
                  <w:vMerge w:val="continue"/>
                  <w:tcBorders>
                    <w:top w:val="nil"/>
                  </w:tcBorders>
                </w:tcPr>
                <w:p>
                  <w:pPr>
                    <w:pStyle w:val="50"/>
                    <w:rPr>
                      <w:color w:val="auto"/>
                    </w:rPr>
                  </w:pPr>
                </w:p>
              </w:tc>
              <w:tc>
                <w:tcPr>
                  <w:tcW w:w="3290" w:type="dxa"/>
                  <w:gridSpan w:val="3"/>
                </w:tcPr>
                <w:p>
                  <w:pPr>
                    <w:pStyle w:val="50"/>
                    <w:rPr>
                      <w:color w:val="auto"/>
                    </w:rPr>
                  </w:pPr>
                  <w:r>
                    <w:rPr>
                      <w:color w:val="auto"/>
                    </w:rPr>
                    <w:t>爆炸下限（％）：2.1</w:t>
                  </w:r>
                </w:p>
              </w:tc>
              <w:tc>
                <w:tcPr>
                  <w:tcW w:w="5056" w:type="dxa"/>
                  <w:gridSpan w:val="4"/>
                </w:tcPr>
                <w:p>
                  <w:pPr>
                    <w:pStyle w:val="50"/>
                    <w:rPr>
                      <w:color w:val="auto"/>
                    </w:rPr>
                  </w:pPr>
                  <w:r>
                    <w:rPr>
                      <w:color w:val="auto"/>
                    </w:rPr>
                    <w:t>稳定性：稳定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 w:hRule="atLeast"/>
              </w:trPr>
              <w:tc>
                <w:tcPr>
                  <w:tcW w:w="600" w:type="dxa"/>
                  <w:vMerge w:val="continue"/>
                  <w:tcBorders>
                    <w:top w:val="nil"/>
                  </w:tcBorders>
                </w:tcPr>
                <w:p>
                  <w:pPr>
                    <w:pStyle w:val="50"/>
                    <w:rPr>
                      <w:color w:val="auto"/>
                    </w:rPr>
                  </w:pPr>
                </w:p>
              </w:tc>
              <w:tc>
                <w:tcPr>
                  <w:tcW w:w="3290" w:type="dxa"/>
                  <w:gridSpan w:val="3"/>
                </w:tcPr>
                <w:p>
                  <w:pPr>
                    <w:pStyle w:val="50"/>
                    <w:rPr>
                      <w:color w:val="auto"/>
                    </w:rPr>
                  </w:pPr>
                  <w:r>
                    <w:rPr>
                      <w:color w:val="auto"/>
                    </w:rPr>
                    <w:t>爆炸上限（％）：80.0</w:t>
                  </w:r>
                </w:p>
              </w:tc>
              <w:tc>
                <w:tcPr>
                  <w:tcW w:w="5056" w:type="dxa"/>
                  <w:gridSpan w:val="4"/>
                </w:tcPr>
                <w:p>
                  <w:pPr>
                    <w:pStyle w:val="50"/>
                    <w:rPr>
                      <w:color w:val="auto"/>
                    </w:rPr>
                  </w:pPr>
                  <w:r>
                    <w:rPr>
                      <w:color w:val="auto"/>
                    </w:rPr>
                    <w:t>禁忌物：强氧化剂、强酸、卤素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 w:hRule="atLeast"/>
              </w:trPr>
              <w:tc>
                <w:tcPr>
                  <w:tcW w:w="600" w:type="dxa"/>
                  <w:vMerge w:val="continue"/>
                  <w:tcBorders>
                    <w:top w:val="nil"/>
                  </w:tcBorders>
                </w:tcPr>
                <w:p>
                  <w:pPr>
                    <w:pStyle w:val="50"/>
                    <w:rPr>
                      <w:color w:val="auto"/>
                    </w:rPr>
                  </w:pPr>
                </w:p>
              </w:tc>
              <w:tc>
                <w:tcPr>
                  <w:tcW w:w="3290" w:type="dxa"/>
                  <w:gridSpan w:val="3"/>
                </w:tcPr>
                <w:p>
                  <w:pPr>
                    <w:pStyle w:val="50"/>
                    <w:rPr>
                      <w:color w:val="auto"/>
                    </w:rPr>
                  </w:pPr>
                  <w:r>
                    <w:rPr>
                      <w:color w:val="auto"/>
                    </w:rPr>
                    <w:t>引燃温度（℃）：305</w:t>
                  </w:r>
                </w:p>
              </w:tc>
              <w:tc>
                <w:tcPr>
                  <w:tcW w:w="5056" w:type="dxa"/>
                  <w:gridSpan w:val="4"/>
                </w:tcPr>
                <w:p>
                  <w:pPr>
                    <w:pStyle w:val="50"/>
                    <w:rPr>
                      <w:color w:val="auto"/>
                    </w:rPr>
                  </w:pPr>
                  <w:r>
                    <w:rPr>
                      <w:color w:val="auto"/>
                    </w:rPr>
                    <w:t>最小点火能（mJ）：0.02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600" w:type="dxa"/>
                  <w:vMerge w:val="continue"/>
                  <w:tcBorders>
                    <w:top w:val="nil"/>
                  </w:tcBorders>
                </w:tcPr>
                <w:p>
                  <w:pPr>
                    <w:pStyle w:val="50"/>
                    <w:rPr>
                      <w:color w:val="auto"/>
                    </w:rPr>
                  </w:pPr>
                </w:p>
              </w:tc>
              <w:tc>
                <w:tcPr>
                  <w:tcW w:w="8346" w:type="dxa"/>
                  <w:gridSpan w:val="7"/>
                </w:tcPr>
                <w:p>
                  <w:pPr>
                    <w:pStyle w:val="50"/>
                    <w:jc w:val="left"/>
                    <w:rPr>
                      <w:color w:val="auto"/>
                    </w:rPr>
                  </w:pPr>
                  <w:r>
                    <w:rPr>
                      <w:color w:val="auto"/>
                    </w:rPr>
                    <w:t>危险特性：极易燃烧爆炸。与空气混合能形成爆炸性混合物，遇明火、高热能引起燃烧爆</w:t>
                  </w:r>
                </w:p>
                <w:p>
                  <w:pPr>
                    <w:pStyle w:val="50"/>
                    <w:jc w:val="left"/>
                    <w:rPr>
                      <w:color w:val="auto"/>
                    </w:rPr>
                  </w:pPr>
                  <w:r>
                    <w:rPr>
                      <w:color w:val="auto"/>
                    </w:rPr>
                    <w:t>炸。与氧化剂接触会猛烈反应。与氟、氯等接触会发生剧烈的化学反应。能与铜、银、汞等的化合物生成爆炸性物质。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600" w:type="dxa"/>
                  <w:vMerge w:val="continue"/>
                  <w:tcBorders>
                    <w:top w:val="nil"/>
                  </w:tcBorders>
                </w:tcPr>
                <w:p>
                  <w:pPr>
                    <w:pStyle w:val="50"/>
                    <w:rPr>
                      <w:color w:val="auto"/>
                    </w:rPr>
                  </w:pPr>
                </w:p>
              </w:tc>
              <w:tc>
                <w:tcPr>
                  <w:tcW w:w="8346" w:type="dxa"/>
                  <w:gridSpan w:val="7"/>
                </w:tcPr>
                <w:p>
                  <w:pPr>
                    <w:pStyle w:val="50"/>
                    <w:jc w:val="left"/>
                    <w:rPr>
                      <w:color w:val="auto"/>
                    </w:rPr>
                  </w:pPr>
                  <w:r>
                    <w:rPr>
                      <w:color w:val="auto"/>
                    </w:rPr>
                    <w:t>消防措施：切断气源。若不能立即切断气源，则不允许熄灭正在燃烧的气体。喷水冷却容</w:t>
                  </w:r>
                </w:p>
                <w:p>
                  <w:pPr>
                    <w:pStyle w:val="50"/>
                    <w:jc w:val="left"/>
                    <w:rPr>
                      <w:color w:val="auto"/>
                    </w:rPr>
                  </w:pPr>
                  <w:r>
                    <w:rPr>
                      <w:color w:val="auto"/>
                    </w:rPr>
                    <w:t>器，可能的话将容器从火场移至空旷处。灭火剂：雾状水、泡沫、二氧化碳、干粉。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600" w:type="dxa"/>
                </w:tcPr>
                <w:p>
                  <w:pPr>
                    <w:pStyle w:val="50"/>
                    <w:rPr>
                      <w:color w:val="auto"/>
                    </w:rPr>
                  </w:pPr>
                  <w:r>
                    <w:rPr>
                      <w:color w:val="auto"/>
                    </w:rPr>
                    <w:t>毒性</w:t>
                  </w:r>
                </w:p>
              </w:tc>
              <w:tc>
                <w:tcPr>
                  <w:tcW w:w="8346" w:type="dxa"/>
                  <w:gridSpan w:val="7"/>
                </w:tcPr>
                <w:p>
                  <w:pPr>
                    <w:pStyle w:val="50"/>
                    <w:jc w:val="left"/>
                    <w:rPr>
                      <w:color w:val="auto"/>
                    </w:rPr>
                  </w:pPr>
                  <w:r>
                    <w:rPr>
                      <w:color w:val="auto"/>
                    </w:rPr>
                    <w:t>接触限值：中国MAC（mg/m</w:t>
                  </w:r>
                  <w:r>
                    <w:rPr>
                      <w:color w:val="auto"/>
                      <w:vertAlign w:val="superscript"/>
                    </w:rPr>
                    <w:t>3</w:t>
                  </w:r>
                  <w:r>
                    <w:rPr>
                      <w:color w:val="auto"/>
                    </w:rPr>
                    <w:t>）未制定标准</w:t>
                  </w:r>
                  <w:r>
                    <w:rPr>
                      <w:rFonts w:hint="eastAsia"/>
                      <w:color w:val="auto"/>
                    </w:rPr>
                    <w:t>，</w:t>
                  </w:r>
                  <w:r>
                    <w:rPr>
                      <w:color w:val="auto"/>
                    </w:rPr>
                    <w:t>美国TVL-TWAACGIH</w:t>
                  </w:r>
                  <w:r>
                    <w:rPr>
                      <w:color w:val="auto"/>
                    </w:rPr>
                    <w:tab/>
                  </w:r>
                  <w:r>
                    <w:rPr>
                      <w:color w:val="auto"/>
                    </w:rPr>
                    <w:t>窒息性气体。</w:t>
                  </w:r>
                </w:p>
                <w:p>
                  <w:pPr>
                    <w:pStyle w:val="50"/>
                    <w:jc w:val="left"/>
                    <w:rPr>
                      <w:color w:val="auto"/>
                    </w:rPr>
                  </w:pPr>
                  <w:r>
                    <w:rPr>
                      <w:color w:val="auto"/>
                    </w:rPr>
                    <w:t>毒理资料：动物长期吸入非致死性浓度本品，出现血红蛋白、网织细胞、淋巴细胞增加和</w:t>
                  </w:r>
                </w:p>
                <w:p>
                  <w:pPr>
                    <w:pStyle w:val="50"/>
                    <w:jc w:val="left"/>
                    <w:rPr>
                      <w:color w:val="auto"/>
                    </w:rPr>
                  </w:pPr>
                  <w:r>
                    <w:rPr>
                      <w:color w:val="auto"/>
                    </w:rPr>
                    <w:t>中性粒细胞减少。尸检有支气管炎、肺炎、肺水肿、肺充血和脂肪浸润。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600" w:type="dxa"/>
                </w:tcPr>
                <w:p>
                  <w:pPr>
                    <w:pStyle w:val="50"/>
                    <w:rPr>
                      <w:color w:val="auto"/>
                    </w:rPr>
                  </w:pPr>
                  <w:r>
                    <w:rPr>
                      <w:color w:val="auto"/>
                    </w:rPr>
                    <w:t>对人体危</w:t>
                  </w:r>
                </w:p>
                <w:p>
                  <w:pPr>
                    <w:pStyle w:val="50"/>
                    <w:rPr>
                      <w:color w:val="auto"/>
                    </w:rPr>
                  </w:pPr>
                  <w:r>
                    <w:rPr>
                      <w:color w:val="auto"/>
                    </w:rPr>
                    <w:t>害</w:t>
                  </w:r>
                </w:p>
              </w:tc>
              <w:tc>
                <w:tcPr>
                  <w:tcW w:w="8346" w:type="dxa"/>
                  <w:gridSpan w:val="7"/>
                </w:tcPr>
                <w:p>
                  <w:pPr>
                    <w:pStyle w:val="50"/>
                    <w:jc w:val="left"/>
                    <w:rPr>
                      <w:color w:val="auto"/>
                    </w:rPr>
                  </w:pPr>
                  <w:r>
                    <w:rPr>
                      <w:color w:val="auto"/>
                    </w:rPr>
                    <w:t>侵入途径：吸入。 健康危害：具有弱麻醉作用。高浓度吸入可引起单纯窒息。急性中毒： 暴露于 20％浓度时，出现明显缺氧症状；吸入高浓度，初期兴奋、多语、哭笑不安，后出现眩晕、头痛、恶心、呕吐、共济失调、嗜睡；严重者昏迷、紫绀、瞳孔对光反应消失、脉弱而不齐。当混有磷化氢、硫化氢时，毒性增大，应予注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9" w:hRule="atLeast"/>
              </w:trPr>
              <w:tc>
                <w:tcPr>
                  <w:tcW w:w="600" w:type="dxa"/>
                </w:tcPr>
                <w:p>
                  <w:pPr>
                    <w:pStyle w:val="50"/>
                    <w:rPr>
                      <w:color w:val="auto"/>
                    </w:rPr>
                  </w:pPr>
                  <w:r>
                    <w:rPr>
                      <w:color w:val="auto"/>
                    </w:rPr>
                    <w:t>急救</w:t>
                  </w:r>
                </w:p>
              </w:tc>
              <w:tc>
                <w:tcPr>
                  <w:tcW w:w="8346" w:type="dxa"/>
                  <w:gridSpan w:val="7"/>
                </w:tcPr>
                <w:p>
                  <w:pPr>
                    <w:pStyle w:val="50"/>
                    <w:jc w:val="left"/>
                    <w:rPr>
                      <w:color w:val="auto"/>
                    </w:rPr>
                  </w:pPr>
                  <w:r>
                    <w:rPr>
                      <w:color w:val="auto"/>
                    </w:rPr>
                    <w:t>吸入：迅速脱离现场至空气新鲜处。保持呼吸道通畅。如呼吸困然，给输氧。如呼吸停止，   立即进行人工呼吸。就医。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6" w:hRule="atLeast"/>
              </w:trPr>
              <w:tc>
                <w:tcPr>
                  <w:tcW w:w="600" w:type="dxa"/>
                </w:tcPr>
                <w:p>
                  <w:pPr>
                    <w:pStyle w:val="50"/>
                    <w:rPr>
                      <w:color w:val="auto"/>
                    </w:rPr>
                  </w:pPr>
                </w:p>
                <w:p>
                  <w:pPr>
                    <w:pStyle w:val="50"/>
                    <w:rPr>
                      <w:color w:val="auto"/>
                    </w:rPr>
                  </w:pPr>
                </w:p>
                <w:p>
                  <w:pPr>
                    <w:pStyle w:val="50"/>
                    <w:rPr>
                      <w:color w:val="auto"/>
                    </w:rPr>
                  </w:pPr>
                  <w:r>
                    <w:rPr>
                      <w:color w:val="auto"/>
                    </w:rPr>
                    <w:t>防护</w:t>
                  </w:r>
                </w:p>
              </w:tc>
              <w:tc>
                <w:tcPr>
                  <w:tcW w:w="8346" w:type="dxa"/>
                  <w:gridSpan w:val="7"/>
                </w:tcPr>
                <w:p>
                  <w:pPr>
                    <w:pStyle w:val="50"/>
                    <w:jc w:val="left"/>
                    <w:rPr>
                      <w:color w:val="auto"/>
                    </w:rPr>
                  </w:pPr>
                  <w:r>
                    <w:rPr>
                      <w:color w:val="auto"/>
                    </w:rPr>
                    <w:t>工程防护：生产过程密闭，全面通风。</w:t>
                  </w:r>
                </w:p>
                <w:p>
                  <w:pPr>
                    <w:pStyle w:val="50"/>
                    <w:jc w:val="left"/>
                    <w:rPr>
                      <w:color w:val="auto"/>
                    </w:rPr>
                  </w:pPr>
                  <w:r>
                    <w:rPr>
                      <w:color w:val="auto"/>
                    </w:rPr>
                    <w:t>呼吸系统防护：一般不需要特殊防护，但建议特殊情况下，佩戴自吸过滤式防毒面具。  眼睛防护：一般不需要特殊防护，高浓度接触时可戴安全防护眼镜。</w:t>
                  </w:r>
                </w:p>
                <w:p>
                  <w:pPr>
                    <w:pStyle w:val="50"/>
                    <w:jc w:val="left"/>
                    <w:rPr>
                      <w:color w:val="auto"/>
                    </w:rPr>
                  </w:pPr>
                  <w:r>
                    <w:rPr>
                      <w:color w:val="auto"/>
                    </w:rPr>
                    <w:t>手防护：戴一般作业防护手套。</w:t>
                  </w:r>
                </w:p>
                <w:p>
                  <w:pPr>
                    <w:pStyle w:val="50"/>
                    <w:jc w:val="left"/>
                    <w:rPr>
                      <w:color w:val="auto"/>
                    </w:rPr>
                  </w:pPr>
                  <w:r>
                    <w:rPr>
                      <w:color w:val="auto"/>
                    </w:rPr>
                    <w:t>其他：工作现场严禁吸烟。避免长期反复接触。进入罐、限制性空间或其他高浓度区作业，   须有人监护。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7" w:hRule="atLeast"/>
              </w:trPr>
              <w:tc>
                <w:tcPr>
                  <w:tcW w:w="600" w:type="dxa"/>
                </w:tcPr>
                <w:p>
                  <w:pPr>
                    <w:pStyle w:val="50"/>
                    <w:rPr>
                      <w:color w:val="auto"/>
                    </w:rPr>
                  </w:pPr>
                  <w:r>
                    <w:rPr>
                      <w:color w:val="auto"/>
                    </w:rPr>
                    <w:t>泄漏处</w:t>
                  </w:r>
                </w:p>
                <w:p>
                  <w:pPr>
                    <w:pStyle w:val="50"/>
                    <w:rPr>
                      <w:color w:val="auto"/>
                    </w:rPr>
                  </w:pPr>
                  <w:r>
                    <w:rPr>
                      <w:color w:val="auto"/>
                    </w:rPr>
                    <w:t>理</w:t>
                  </w:r>
                </w:p>
              </w:tc>
              <w:tc>
                <w:tcPr>
                  <w:tcW w:w="8346" w:type="dxa"/>
                  <w:gridSpan w:val="7"/>
                </w:tcPr>
                <w:p>
                  <w:pPr>
                    <w:pStyle w:val="50"/>
                    <w:jc w:val="left"/>
                    <w:rPr>
                      <w:color w:val="auto"/>
                    </w:rPr>
                  </w:pPr>
                  <w:r>
                    <w:rPr>
                      <w:color w:val="auto"/>
                    </w:rPr>
                    <w:t>迅速撤离泄漏污染区人员至上风处，并进行隔离，严格限制出入。切断火源。建议应急处理人员戴自给正压式呼吸器，穿消防防护服。尽可能切断泄漏源。合理通风，加速扩散。喷雾状水稀释、溶解。构筑围堤或挖坑收容产生的大量废水。如有可能，将漏出气用排风机送至空旷地方或装设适当喷头烧掉。漏气容器要妥善处理，修复、检验后再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0" w:hRule="atLeast"/>
              </w:trPr>
              <w:tc>
                <w:tcPr>
                  <w:tcW w:w="600" w:type="dxa"/>
                </w:tcPr>
                <w:p>
                  <w:pPr>
                    <w:pStyle w:val="50"/>
                    <w:rPr>
                      <w:color w:val="auto"/>
                    </w:rPr>
                  </w:pPr>
                </w:p>
                <w:p>
                  <w:pPr>
                    <w:pStyle w:val="50"/>
                    <w:rPr>
                      <w:color w:val="auto"/>
                    </w:rPr>
                  </w:pPr>
                </w:p>
                <w:p>
                  <w:pPr>
                    <w:pStyle w:val="50"/>
                    <w:rPr>
                      <w:color w:val="auto"/>
                    </w:rPr>
                  </w:pPr>
                </w:p>
                <w:p>
                  <w:pPr>
                    <w:pStyle w:val="50"/>
                    <w:rPr>
                      <w:color w:val="auto"/>
                    </w:rPr>
                  </w:pPr>
                  <w:r>
                    <w:rPr>
                      <w:color w:val="auto"/>
                    </w:rPr>
                    <w:t>贮运</w:t>
                  </w:r>
                </w:p>
              </w:tc>
              <w:tc>
                <w:tcPr>
                  <w:tcW w:w="8346" w:type="dxa"/>
                  <w:gridSpan w:val="7"/>
                </w:tcPr>
                <w:p>
                  <w:pPr>
                    <w:pStyle w:val="50"/>
                    <w:jc w:val="left"/>
                    <w:rPr>
                      <w:color w:val="auto"/>
                    </w:rPr>
                  </w:pPr>
                  <w:r>
                    <w:rPr>
                      <w:color w:val="auto"/>
                    </w:rPr>
                    <w:t>包装标志：4UN编号：1001包装方法：钢质气瓶</w:t>
                  </w:r>
                </w:p>
                <w:p>
                  <w:pPr>
                    <w:pStyle w:val="50"/>
                    <w:jc w:val="left"/>
                    <w:rPr>
                      <w:color w:val="auto"/>
                    </w:rPr>
                  </w:pPr>
                  <w:r>
                    <w:rPr>
                      <w:color w:val="auto"/>
                    </w:rPr>
                    <w:t>储运条件：乙炔的包装法通常是溶解在溶剂及多孔物中，装入钢瓶内。充装要控制流速， 注意防止静电积聚。储存于阴凉、通风仓间内。仓间温度不宜超过 30℃。远离火种、热源， 防止阳光直射。应与氧气、压缩气体、卤素（氟、氯、溴）、氧化剂等分开存放。储存间内的照明、通风等设施应采用防爆型，开关设在仓外。配备相应品种和数量的消防器材。禁止使用易产生火花的机械设备和工具。验收时要注意品名，注意验瓶日期，先进仓的先发</w:t>
                  </w:r>
                </w:p>
                <w:p>
                  <w:pPr>
                    <w:pStyle w:val="50"/>
                    <w:jc w:val="left"/>
                    <w:rPr>
                      <w:color w:val="auto"/>
                    </w:rPr>
                  </w:pPr>
                  <w:r>
                    <w:rPr>
                      <w:color w:val="auto"/>
                    </w:rPr>
                    <w:t>用。搬运时轻装轻卸，防止钢瓶及附件破损。</w:t>
                  </w:r>
                </w:p>
              </w:tc>
            </w:tr>
          </w:tbl>
          <w:p>
            <w:pPr>
              <w:ind w:firstLine="480"/>
              <w:contextualSpacing/>
              <w:rPr>
                <w:color w:val="auto"/>
              </w:rPr>
            </w:pPr>
            <w:r>
              <w:rPr>
                <w:rFonts w:hint="eastAsia"/>
                <w:color w:val="auto"/>
              </w:rPr>
              <w:t>7、公用工程</w:t>
            </w:r>
          </w:p>
          <w:p>
            <w:pPr>
              <w:ind w:firstLine="480"/>
              <w:contextualSpacing/>
              <w:rPr>
                <w:color w:val="auto"/>
              </w:rPr>
            </w:pPr>
            <w:r>
              <w:rPr>
                <w:rFonts w:hint="eastAsia"/>
                <w:color w:val="auto"/>
              </w:rPr>
              <w:t>1） 给水系</w:t>
            </w:r>
            <w:r>
              <w:rPr>
                <w:color w:val="auto"/>
              </w:rPr>
              <w:t>统</w:t>
            </w:r>
          </w:p>
          <w:p>
            <w:pPr>
              <w:ind w:firstLine="480"/>
              <w:rPr>
                <w:color w:val="auto"/>
              </w:rPr>
            </w:pPr>
            <w:r>
              <w:rPr>
                <w:color w:val="auto"/>
              </w:rPr>
              <w:t>项目位于</w:t>
            </w:r>
            <w:r>
              <w:rPr>
                <w:rFonts w:hint="eastAsia"/>
                <w:color w:val="auto"/>
              </w:rPr>
              <w:t>富民工业园区大营五金建材园</w:t>
            </w:r>
            <w:r>
              <w:rPr>
                <w:color w:val="auto"/>
              </w:rPr>
              <w:t>，本项目</w:t>
            </w:r>
            <w:r>
              <w:rPr>
                <w:rFonts w:hint="eastAsia"/>
                <w:color w:val="auto"/>
              </w:rPr>
              <w:t>无生产用水</w:t>
            </w:r>
            <w:r>
              <w:rPr>
                <w:rFonts w:hint="eastAsia"/>
                <w:color w:val="auto"/>
                <w:lang w:eastAsia="zh-CN"/>
              </w:rPr>
              <w:t>，</w:t>
            </w:r>
            <w:r>
              <w:rPr>
                <w:rFonts w:hint="eastAsia"/>
                <w:color w:val="auto"/>
              </w:rPr>
              <w:t>生活用水</w:t>
            </w:r>
            <w:r>
              <w:rPr>
                <w:rFonts w:hint="eastAsia"/>
                <w:color w:val="auto"/>
                <w:lang w:eastAsia="zh-CN"/>
              </w:rPr>
              <w:t>仅有</w:t>
            </w:r>
            <w:r>
              <w:rPr>
                <w:rFonts w:hint="eastAsia"/>
                <w:color w:val="auto"/>
              </w:rPr>
              <w:t>员工冲厕用水，供水由园区统一供给。</w:t>
            </w:r>
          </w:p>
          <w:p>
            <w:pPr>
              <w:ind w:firstLine="480"/>
              <w:rPr>
                <w:color w:val="auto"/>
              </w:rPr>
            </w:pPr>
            <w:r>
              <w:rPr>
                <w:color w:val="auto"/>
              </w:rPr>
              <w:t>2） 排水系统</w:t>
            </w:r>
          </w:p>
          <w:p>
            <w:pPr>
              <w:ind w:firstLine="480"/>
              <w:rPr>
                <w:color w:val="auto"/>
              </w:rPr>
            </w:pPr>
            <w:r>
              <w:rPr>
                <w:color w:val="auto"/>
              </w:rPr>
              <w:t>本项目实行雨污分流</w:t>
            </w:r>
            <w:r>
              <w:rPr>
                <w:rFonts w:hint="eastAsia"/>
                <w:color w:val="auto"/>
              </w:rPr>
              <w:t>制。产生的雨水依托昆明力线电缆公司的雨污系统排入厂区外雨水沟。卫生间冲厕废水依托昆明力线电缆制造有限公司已建设的化粪池及一体化污水处理设备处理达标后回用于绿化及道路清扫，不外排</w:t>
            </w:r>
            <w:r>
              <w:rPr>
                <w:rFonts w:hint="eastAsia" w:ascii="宋体" w:hAnsi="宋体" w:cs="宋体"/>
                <w:color w:val="auto"/>
              </w:rPr>
              <w:t>。</w:t>
            </w:r>
          </w:p>
          <w:p>
            <w:pPr>
              <w:ind w:firstLine="480"/>
              <w:rPr>
                <w:color w:val="auto"/>
              </w:rPr>
            </w:pPr>
            <w:r>
              <w:rPr>
                <w:color w:val="auto"/>
              </w:rPr>
              <w:t>3）供电系统</w:t>
            </w:r>
          </w:p>
          <w:p>
            <w:pPr>
              <w:ind w:firstLine="480"/>
              <w:rPr>
                <w:color w:val="auto"/>
              </w:rPr>
            </w:pPr>
            <w:r>
              <w:rPr>
                <w:color w:val="auto"/>
              </w:rPr>
              <w:t>本项目</w:t>
            </w:r>
            <w:r>
              <w:rPr>
                <w:rFonts w:hint="eastAsia"/>
                <w:color w:val="auto"/>
              </w:rPr>
              <w:t>新建</w:t>
            </w:r>
            <w:r>
              <w:rPr>
                <w:color w:val="auto"/>
              </w:rPr>
              <w:t>一个配电</w:t>
            </w:r>
            <w:r>
              <w:rPr>
                <w:rFonts w:hint="eastAsia"/>
                <w:color w:val="auto"/>
              </w:rPr>
              <w:t>柜</w:t>
            </w:r>
            <w:r>
              <w:rPr>
                <w:color w:val="auto"/>
              </w:rPr>
              <w:t>，380V侧电源引入配电</w:t>
            </w:r>
            <w:r>
              <w:rPr>
                <w:rFonts w:hint="eastAsia"/>
                <w:color w:val="auto"/>
              </w:rPr>
              <w:t>柜</w:t>
            </w:r>
            <w:r>
              <w:rPr>
                <w:color w:val="auto"/>
              </w:rPr>
              <w:t>并计量，380V电压供厂房内各各工序、设备，</w:t>
            </w:r>
            <w:r>
              <w:rPr>
                <w:rFonts w:hint="eastAsia"/>
                <w:color w:val="auto"/>
              </w:rPr>
              <w:t>厂房内照明</w:t>
            </w:r>
            <w:r>
              <w:rPr>
                <w:color w:val="auto"/>
              </w:rPr>
              <w:t>采用220V电压，供电电源</w:t>
            </w:r>
            <w:r>
              <w:rPr>
                <w:rFonts w:hint="eastAsia"/>
                <w:color w:val="auto"/>
              </w:rPr>
              <w:t>由大营园区电网供电，</w:t>
            </w:r>
            <w:r>
              <w:rPr>
                <w:color w:val="auto"/>
              </w:rPr>
              <w:t>安全可靠。</w:t>
            </w:r>
          </w:p>
          <w:p>
            <w:pPr>
              <w:ind w:firstLine="480"/>
              <w:rPr>
                <w:color w:val="auto"/>
              </w:rPr>
            </w:pPr>
            <w:r>
              <w:rPr>
                <w:color w:val="auto"/>
              </w:rPr>
              <w:t>4）通讯系统</w:t>
            </w:r>
          </w:p>
          <w:p>
            <w:pPr>
              <w:ind w:firstLine="480"/>
              <w:rPr>
                <w:color w:val="auto"/>
              </w:rPr>
            </w:pPr>
            <w:r>
              <w:rPr>
                <w:color w:val="auto"/>
              </w:rPr>
              <w:t>采用局域网或本地市话网络，以满足本项目生产调度及行政管理的通讯要求。所需电信电缆由园区布设至项目界区边界，届时本项目通信只需根据需要接至就近的电话交接箱即可满足要求。</w:t>
            </w:r>
          </w:p>
          <w:p>
            <w:pPr>
              <w:ind w:firstLine="480"/>
              <w:contextualSpacing/>
              <w:rPr>
                <w:color w:val="auto"/>
              </w:rPr>
            </w:pPr>
            <w:r>
              <w:rPr>
                <w:color w:val="auto"/>
              </w:rPr>
              <w:t>8、施工</w:t>
            </w:r>
            <w:r>
              <w:rPr>
                <w:rFonts w:hint="eastAsia"/>
                <w:color w:val="auto"/>
              </w:rPr>
              <w:t>进度</w:t>
            </w:r>
            <w:r>
              <w:rPr>
                <w:color w:val="auto"/>
              </w:rPr>
              <w:t>及建设周期</w:t>
            </w:r>
          </w:p>
          <w:p>
            <w:pPr>
              <w:ind w:firstLine="480"/>
              <w:contextualSpacing/>
              <w:jc w:val="left"/>
              <w:rPr>
                <w:color w:val="auto"/>
              </w:rPr>
            </w:pPr>
            <w:r>
              <w:rPr>
                <w:color w:val="auto"/>
              </w:rPr>
              <w:t>目前，建设方与</w:t>
            </w:r>
            <w:r>
              <w:rPr>
                <w:rFonts w:hint="eastAsia"/>
                <w:color w:val="auto"/>
              </w:rPr>
              <w:t>昆明力线电缆制造有限公司</w:t>
            </w:r>
            <w:r>
              <w:rPr>
                <w:color w:val="auto"/>
              </w:rPr>
              <w:t>签订了租赁协议，</w:t>
            </w:r>
            <w:r>
              <w:rPr>
                <w:rFonts w:hint="eastAsia"/>
                <w:color w:val="auto"/>
              </w:rPr>
              <w:t>厂房已</w:t>
            </w:r>
            <w:r>
              <w:rPr>
                <w:color w:val="auto"/>
              </w:rPr>
              <w:t>进行装修</w:t>
            </w:r>
            <w:r>
              <w:rPr>
                <w:rFonts w:hint="eastAsia"/>
                <w:color w:val="auto"/>
              </w:rPr>
              <w:t>，</w:t>
            </w:r>
            <w:r>
              <w:rPr>
                <w:color w:val="auto"/>
              </w:rPr>
              <w:t>项目设备暂未</w:t>
            </w:r>
            <w:r>
              <w:rPr>
                <w:rFonts w:hint="eastAsia"/>
                <w:color w:val="auto"/>
              </w:rPr>
              <w:t>安装、</w:t>
            </w:r>
            <w:r>
              <w:rPr>
                <w:color w:val="auto"/>
              </w:rPr>
              <w:t>未投入运行，计划202</w:t>
            </w:r>
            <w:r>
              <w:rPr>
                <w:rFonts w:hint="eastAsia"/>
                <w:color w:val="auto"/>
              </w:rPr>
              <w:t>1</w:t>
            </w:r>
            <w:r>
              <w:rPr>
                <w:color w:val="auto"/>
              </w:rPr>
              <w:t>年</w:t>
            </w:r>
            <w:r>
              <w:rPr>
                <w:rFonts w:hint="eastAsia"/>
                <w:color w:val="auto"/>
                <w:lang w:val="en-US" w:eastAsia="zh-CN"/>
              </w:rPr>
              <w:t>5</w:t>
            </w:r>
            <w:r>
              <w:rPr>
                <w:color w:val="auto"/>
              </w:rPr>
              <w:t>月</w:t>
            </w:r>
            <w:r>
              <w:rPr>
                <w:rFonts w:hint="eastAsia"/>
                <w:color w:val="auto"/>
                <w:lang w:val="en-US" w:eastAsia="zh-CN"/>
              </w:rPr>
              <w:t>底</w:t>
            </w:r>
            <w:r>
              <w:rPr>
                <w:color w:val="auto"/>
              </w:rPr>
              <w:t>开始设备安装，计划20</w:t>
            </w:r>
            <w:r>
              <w:rPr>
                <w:rFonts w:hint="eastAsia"/>
                <w:color w:val="auto"/>
              </w:rPr>
              <w:t>21</w:t>
            </w:r>
            <w:r>
              <w:rPr>
                <w:color w:val="auto"/>
              </w:rPr>
              <w:t>年</w:t>
            </w:r>
            <w:r>
              <w:rPr>
                <w:rFonts w:hint="eastAsia"/>
                <w:color w:val="auto"/>
                <w:lang w:val="en-US" w:eastAsia="zh-CN"/>
              </w:rPr>
              <w:t>8</w:t>
            </w:r>
            <w:r>
              <w:rPr>
                <w:color w:val="auto"/>
              </w:rPr>
              <w:t>月竣工，预计建设周期为</w:t>
            </w:r>
            <w:r>
              <w:rPr>
                <w:rFonts w:hint="eastAsia"/>
                <w:color w:val="auto"/>
              </w:rPr>
              <w:t>3</w:t>
            </w:r>
            <w:r>
              <w:rPr>
                <w:color w:val="auto"/>
              </w:rPr>
              <w:t>个月。</w:t>
            </w:r>
          </w:p>
          <w:p>
            <w:pPr>
              <w:ind w:firstLine="480"/>
              <w:contextualSpacing/>
              <w:rPr>
                <w:snapToGrid/>
                <w:color w:val="auto"/>
              </w:rPr>
            </w:pPr>
            <w:r>
              <w:rPr>
                <w:color w:val="auto"/>
              </w:rPr>
              <w:t>9、劳动定员和工作制度</w:t>
            </w:r>
          </w:p>
          <w:p>
            <w:pPr>
              <w:ind w:firstLine="480"/>
              <w:contextualSpacing/>
              <w:rPr>
                <w:snapToGrid/>
                <w:color w:val="auto"/>
              </w:rPr>
            </w:pPr>
            <w:r>
              <w:rPr>
                <w:color w:val="auto"/>
              </w:rPr>
              <w:t>项目拟配置员工</w:t>
            </w:r>
            <w:r>
              <w:rPr>
                <w:rFonts w:hint="eastAsia"/>
                <w:color w:val="auto"/>
              </w:rPr>
              <w:t>20</w:t>
            </w:r>
            <w:r>
              <w:rPr>
                <w:color w:val="auto"/>
              </w:rPr>
              <w:t>人（管理人员3人），日工作</w:t>
            </w:r>
            <w:r>
              <w:rPr>
                <w:rFonts w:hint="eastAsia"/>
                <w:color w:val="auto"/>
              </w:rPr>
              <w:t>8</w:t>
            </w:r>
            <w:r>
              <w:rPr>
                <w:color w:val="auto"/>
              </w:rPr>
              <w:t>小时，工作制度1班/天，年工作300天。</w:t>
            </w:r>
          </w:p>
          <w:p>
            <w:pPr>
              <w:ind w:firstLine="480"/>
              <w:contextualSpacing/>
              <w:rPr>
                <w:snapToGrid/>
                <w:color w:val="auto"/>
              </w:rPr>
            </w:pPr>
            <w:r>
              <w:rPr>
                <w:color w:val="auto"/>
              </w:rPr>
              <w:t>10、环保投资</w:t>
            </w:r>
          </w:p>
          <w:p>
            <w:pPr>
              <w:ind w:firstLine="480"/>
              <w:rPr>
                <w:snapToGrid/>
                <w:color w:val="auto"/>
              </w:rPr>
            </w:pPr>
            <w:r>
              <w:rPr>
                <w:color w:val="auto"/>
              </w:rPr>
              <w:t>项目总投资</w:t>
            </w:r>
            <w:r>
              <w:rPr>
                <w:rFonts w:hint="eastAsia"/>
                <w:color w:val="auto"/>
              </w:rPr>
              <w:t>1000</w:t>
            </w:r>
            <w:r>
              <w:rPr>
                <w:color w:val="auto"/>
              </w:rPr>
              <w:t>万元，其中环保投资</w:t>
            </w:r>
            <w:r>
              <w:rPr>
                <w:rFonts w:hint="eastAsia"/>
                <w:color w:val="auto"/>
              </w:rPr>
              <w:t>2</w:t>
            </w:r>
            <w:r>
              <w:rPr>
                <w:rFonts w:hint="eastAsia"/>
                <w:color w:val="auto"/>
                <w:lang w:val="en-US" w:eastAsia="zh-CN"/>
              </w:rPr>
              <w:t>9</w:t>
            </w:r>
            <w:r>
              <w:rPr>
                <w:rFonts w:hint="eastAsia"/>
                <w:color w:val="auto"/>
              </w:rPr>
              <w:t>.5</w:t>
            </w:r>
            <w:r>
              <w:rPr>
                <w:color w:val="auto"/>
              </w:rPr>
              <w:t>万元，占总投资比例的</w:t>
            </w:r>
            <w:r>
              <w:rPr>
                <w:rFonts w:hint="eastAsia"/>
                <w:color w:val="auto"/>
              </w:rPr>
              <w:t>2.</w:t>
            </w:r>
            <w:r>
              <w:rPr>
                <w:rFonts w:hint="eastAsia"/>
                <w:color w:val="auto"/>
                <w:lang w:val="en-US" w:eastAsia="zh-CN"/>
              </w:rPr>
              <w:t>9</w:t>
            </w:r>
            <w:r>
              <w:rPr>
                <w:rFonts w:hint="eastAsia"/>
                <w:color w:val="auto"/>
              </w:rPr>
              <w:t>5%</w:t>
            </w:r>
            <w:r>
              <w:rPr>
                <w:color w:val="auto"/>
              </w:rPr>
              <w:t>，其中投资明细表见表1-</w:t>
            </w:r>
            <w:r>
              <w:rPr>
                <w:rFonts w:hint="eastAsia"/>
                <w:color w:val="auto"/>
              </w:rPr>
              <w:t>6</w:t>
            </w:r>
            <w:r>
              <w:rPr>
                <w:color w:val="auto"/>
              </w:rPr>
              <w:t>。</w:t>
            </w:r>
          </w:p>
          <w:p>
            <w:pPr>
              <w:pStyle w:val="48"/>
              <w:ind w:firstLine="422"/>
              <w:rPr>
                <w:snapToGrid w:val="0"/>
                <w:color w:val="auto"/>
              </w:rPr>
            </w:pPr>
            <w:r>
              <w:rPr>
                <w:color w:val="auto"/>
              </w:rPr>
              <w:t>表1-</w:t>
            </w:r>
            <w:r>
              <w:rPr>
                <w:rFonts w:hint="eastAsia"/>
                <w:color w:val="auto"/>
              </w:rPr>
              <w:t xml:space="preserve">6 </w:t>
            </w:r>
            <w:r>
              <w:rPr>
                <w:color w:val="auto"/>
              </w:rPr>
              <w:t xml:space="preserve"> 项目环保投资的分项估算表</w:t>
            </w:r>
          </w:p>
          <w:tbl>
            <w:tblPr>
              <w:tblStyle w:val="36"/>
              <w:tblW w:w="8957" w:type="dxa"/>
              <w:jc w:val="center"/>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autofit"/>
              <w:tblCellMar>
                <w:top w:w="0" w:type="dxa"/>
                <w:left w:w="108" w:type="dxa"/>
                <w:bottom w:w="0" w:type="dxa"/>
                <w:right w:w="108" w:type="dxa"/>
              </w:tblCellMar>
            </w:tblPr>
            <w:tblGrid>
              <w:gridCol w:w="691"/>
              <w:gridCol w:w="1567"/>
              <w:gridCol w:w="4497"/>
              <w:gridCol w:w="2202"/>
            </w:tblGrid>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PrEx>
              <w:trPr>
                <w:trHeight w:val="262" w:hRule="atLeast"/>
                <w:jc w:val="center"/>
              </w:trPr>
              <w:tc>
                <w:tcPr>
                  <w:tcW w:w="2258" w:type="dxa"/>
                  <w:gridSpan w:val="2"/>
                  <w:vAlign w:val="center"/>
                </w:tcPr>
                <w:p>
                  <w:pPr>
                    <w:pStyle w:val="50"/>
                    <w:rPr>
                      <w:color w:val="auto"/>
                    </w:rPr>
                  </w:pPr>
                  <w:r>
                    <w:rPr>
                      <w:color w:val="auto"/>
                    </w:rPr>
                    <w:t>投资时段</w:t>
                  </w:r>
                </w:p>
              </w:tc>
              <w:tc>
                <w:tcPr>
                  <w:tcW w:w="4497" w:type="dxa"/>
                  <w:vAlign w:val="center"/>
                </w:tcPr>
                <w:p>
                  <w:pPr>
                    <w:pStyle w:val="50"/>
                    <w:rPr>
                      <w:color w:val="auto"/>
                    </w:rPr>
                  </w:pPr>
                  <w:r>
                    <w:rPr>
                      <w:color w:val="auto"/>
                    </w:rPr>
                    <w:t>投资项目</w:t>
                  </w:r>
                </w:p>
              </w:tc>
              <w:tc>
                <w:tcPr>
                  <w:tcW w:w="2202" w:type="dxa"/>
                  <w:vAlign w:val="center"/>
                </w:tcPr>
                <w:p>
                  <w:pPr>
                    <w:pStyle w:val="50"/>
                    <w:rPr>
                      <w:color w:val="auto"/>
                    </w:rPr>
                  </w:pPr>
                  <w:r>
                    <w:rPr>
                      <w:color w:val="auto"/>
                    </w:rPr>
                    <w:t>投资金额(万元)</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25" w:hRule="atLeast"/>
                <w:jc w:val="center"/>
              </w:trPr>
              <w:tc>
                <w:tcPr>
                  <w:tcW w:w="691" w:type="dxa"/>
                  <w:vMerge w:val="restart"/>
                  <w:vAlign w:val="center"/>
                </w:tcPr>
                <w:p>
                  <w:pPr>
                    <w:pStyle w:val="50"/>
                    <w:rPr>
                      <w:color w:val="auto"/>
                    </w:rPr>
                  </w:pPr>
                  <w:r>
                    <w:rPr>
                      <w:rFonts w:hint="eastAsia"/>
                      <w:color w:val="auto"/>
                    </w:rPr>
                    <w:t>环保投资</w:t>
                  </w:r>
                </w:p>
              </w:tc>
              <w:tc>
                <w:tcPr>
                  <w:tcW w:w="1567" w:type="dxa"/>
                  <w:vMerge w:val="restart"/>
                  <w:vAlign w:val="center"/>
                </w:tcPr>
                <w:p>
                  <w:pPr>
                    <w:pStyle w:val="50"/>
                    <w:rPr>
                      <w:color w:val="auto"/>
                    </w:rPr>
                  </w:pPr>
                  <w:r>
                    <w:rPr>
                      <w:rFonts w:hint="eastAsia"/>
                      <w:color w:val="auto"/>
                    </w:rPr>
                    <w:t>废气</w:t>
                  </w:r>
                </w:p>
              </w:tc>
              <w:tc>
                <w:tcPr>
                  <w:tcW w:w="4497" w:type="dxa"/>
                  <w:vAlign w:val="center"/>
                </w:tcPr>
                <w:p>
                  <w:pPr>
                    <w:pStyle w:val="50"/>
                    <w:rPr>
                      <w:color w:val="auto"/>
                    </w:rPr>
                  </w:pPr>
                  <w:r>
                    <w:rPr>
                      <w:rFonts w:hint="eastAsia"/>
                      <w:color w:val="auto"/>
                    </w:rPr>
                    <w:t>多虑筒焊烟净化设备</w:t>
                  </w:r>
                </w:p>
              </w:tc>
              <w:tc>
                <w:tcPr>
                  <w:tcW w:w="2202" w:type="dxa"/>
                  <w:vAlign w:val="center"/>
                </w:tcPr>
                <w:p>
                  <w:pPr>
                    <w:pStyle w:val="50"/>
                    <w:rPr>
                      <w:color w:val="auto"/>
                    </w:rPr>
                  </w:pPr>
                  <w:r>
                    <w:rPr>
                      <w:rFonts w:hint="eastAsia"/>
                      <w:color w:val="auto"/>
                    </w:rPr>
                    <w:t>1.5</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49" w:hRule="atLeast"/>
                <w:jc w:val="center"/>
              </w:trPr>
              <w:tc>
                <w:tcPr>
                  <w:tcW w:w="691" w:type="dxa"/>
                  <w:vMerge w:val="continue"/>
                  <w:vAlign w:val="center"/>
                </w:tcPr>
                <w:p>
                  <w:pPr>
                    <w:pStyle w:val="50"/>
                    <w:rPr>
                      <w:color w:val="auto"/>
                    </w:rPr>
                  </w:pPr>
                </w:p>
              </w:tc>
              <w:tc>
                <w:tcPr>
                  <w:tcW w:w="1567" w:type="dxa"/>
                  <w:vMerge w:val="continue"/>
                  <w:vAlign w:val="center"/>
                </w:tcPr>
                <w:p>
                  <w:pPr>
                    <w:pStyle w:val="50"/>
                    <w:rPr>
                      <w:color w:val="auto"/>
                    </w:rPr>
                  </w:pPr>
                </w:p>
              </w:tc>
              <w:tc>
                <w:tcPr>
                  <w:tcW w:w="4497" w:type="dxa"/>
                  <w:vAlign w:val="center"/>
                </w:tcPr>
                <w:p>
                  <w:pPr>
                    <w:pStyle w:val="50"/>
                    <w:rPr>
                      <w:color w:val="auto"/>
                    </w:rPr>
                  </w:pPr>
                  <w:r>
                    <w:rPr>
                      <w:rFonts w:hint="eastAsia"/>
                      <w:color w:val="auto"/>
                    </w:rPr>
                    <w:t>二级滤芯脉冲除尘+排气筒</w:t>
                  </w:r>
                </w:p>
              </w:tc>
              <w:tc>
                <w:tcPr>
                  <w:tcW w:w="2202" w:type="dxa"/>
                  <w:vAlign w:val="center"/>
                </w:tcPr>
                <w:p>
                  <w:pPr>
                    <w:pStyle w:val="50"/>
                    <w:rPr>
                      <w:color w:val="auto"/>
                    </w:rPr>
                  </w:pPr>
                  <w:r>
                    <w:rPr>
                      <w:rFonts w:hint="eastAsia"/>
                      <w:color w:val="auto"/>
                    </w:rPr>
                    <w:t>6.8</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452" w:hRule="atLeast"/>
                <w:jc w:val="center"/>
              </w:trPr>
              <w:tc>
                <w:tcPr>
                  <w:tcW w:w="691" w:type="dxa"/>
                  <w:vMerge w:val="continue"/>
                  <w:vAlign w:val="center"/>
                </w:tcPr>
                <w:p>
                  <w:pPr>
                    <w:pStyle w:val="50"/>
                    <w:rPr>
                      <w:color w:val="auto"/>
                    </w:rPr>
                  </w:pPr>
                </w:p>
              </w:tc>
              <w:tc>
                <w:tcPr>
                  <w:tcW w:w="1567" w:type="dxa"/>
                  <w:vMerge w:val="continue"/>
                  <w:vAlign w:val="center"/>
                </w:tcPr>
                <w:p>
                  <w:pPr>
                    <w:pStyle w:val="50"/>
                    <w:rPr>
                      <w:color w:val="auto"/>
                    </w:rPr>
                  </w:pPr>
                </w:p>
              </w:tc>
              <w:tc>
                <w:tcPr>
                  <w:tcW w:w="4497" w:type="dxa"/>
                  <w:tcBorders>
                    <w:top w:val="single" w:color="auto" w:sz="4" w:space="0"/>
                  </w:tcBorders>
                  <w:vAlign w:val="center"/>
                </w:tcPr>
                <w:p>
                  <w:pPr>
                    <w:pStyle w:val="50"/>
                    <w:rPr>
                      <w:color w:val="auto"/>
                    </w:rPr>
                  </w:pPr>
                  <w:r>
                    <w:rPr>
                      <w:rFonts w:hint="eastAsia"/>
                      <w:color w:val="auto"/>
                      <w:lang w:val="en-US" w:eastAsia="zh-CN"/>
                    </w:rPr>
                    <w:t>UV光氧+</w:t>
                  </w:r>
                  <w:r>
                    <w:rPr>
                      <w:rFonts w:hint="eastAsia"/>
                      <w:color w:val="auto"/>
                    </w:rPr>
                    <w:t>活性炭吸附装置、风机、排气筒</w:t>
                  </w:r>
                </w:p>
              </w:tc>
              <w:tc>
                <w:tcPr>
                  <w:tcW w:w="2202" w:type="dxa"/>
                  <w:tcBorders>
                    <w:top w:val="single" w:color="auto" w:sz="4" w:space="0"/>
                  </w:tcBorders>
                  <w:vAlign w:val="center"/>
                </w:tcPr>
                <w:p>
                  <w:pPr>
                    <w:pStyle w:val="50"/>
                    <w:rPr>
                      <w:color w:val="auto"/>
                    </w:rPr>
                  </w:pPr>
                  <w:r>
                    <w:rPr>
                      <w:rFonts w:hint="eastAsia"/>
                      <w:color w:val="auto"/>
                      <w:lang w:val="en-US" w:eastAsia="zh-CN"/>
                    </w:rPr>
                    <w:t>15</w:t>
                  </w:r>
                  <w:r>
                    <w:rPr>
                      <w:rFonts w:hint="eastAsia"/>
                      <w:color w:val="auto"/>
                    </w:rPr>
                    <w:t>.6</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139" w:hRule="atLeast"/>
                <w:jc w:val="center"/>
              </w:trPr>
              <w:tc>
                <w:tcPr>
                  <w:tcW w:w="691" w:type="dxa"/>
                  <w:vMerge w:val="continue"/>
                  <w:vAlign w:val="center"/>
                </w:tcPr>
                <w:p>
                  <w:pPr>
                    <w:pStyle w:val="50"/>
                    <w:rPr>
                      <w:color w:val="auto"/>
                    </w:rPr>
                  </w:pPr>
                </w:p>
              </w:tc>
              <w:tc>
                <w:tcPr>
                  <w:tcW w:w="1567" w:type="dxa"/>
                  <w:vAlign w:val="center"/>
                </w:tcPr>
                <w:p>
                  <w:pPr>
                    <w:pStyle w:val="50"/>
                    <w:rPr>
                      <w:color w:val="auto"/>
                    </w:rPr>
                  </w:pPr>
                  <w:r>
                    <w:rPr>
                      <w:color w:val="auto"/>
                    </w:rPr>
                    <w:t>噪声</w:t>
                  </w:r>
                </w:p>
              </w:tc>
              <w:tc>
                <w:tcPr>
                  <w:tcW w:w="4497" w:type="dxa"/>
                  <w:tcBorders>
                    <w:bottom w:val="single" w:color="auto" w:sz="4" w:space="0"/>
                  </w:tcBorders>
                  <w:vAlign w:val="center"/>
                </w:tcPr>
                <w:p>
                  <w:pPr>
                    <w:pStyle w:val="50"/>
                    <w:rPr>
                      <w:color w:val="auto"/>
                    </w:rPr>
                  </w:pPr>
                  <w:r>
                    <w:rPr>
                      <w:color w:val="auto"/>
                    </w:rPr>
                    <w:t>隔声、减振措施</w:t>
                  </w:r>
                </w:p>
              </w:tc>
              <w:tc>
                <w:tcPr>
                  <w:tcW w:w="2202" w:type="dxa"/>
                  <w:tcBorders>
                    <w:bottom w:val="single" w:color="auto" w:sz="4" w:space="0"/>
                  </w:tcBorders>
                  <w:vAlign w:val="center"/>
                </w:tcPr>
                <w:p>
                  <w:pPr>
                    <w:pStyle w:val="50"/>
                    <w:rPr>
                      <w:color w:val="auto"/>
                    </w:rPr>
                  </w:pPr>
                  <w:r>
                    <w:rPr>
                      <w:rFonts w:hint="eastAsia"/>
                      <w:color w:val="auto"/>
                    </w:rPr>
                    <w:t>1</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235" w:hRule="atLeast"/>
                <w:jc w:val="center"/>
              </w:trPr>
              <w:tc>
                <w:tcPr>
                  <w:tcW w:w="691" w:type="dxa"/>
                  <w:vMerge w:val="continue"/>
                  <w:vAlign w:val="center"/>
                </w:tcPr>
                <w:p>
                  <w:pPr>
                    <w:pStyle w:val="50"/>
                    <w:rPr>
                      <w:color w:val="auto"/>
                    </w:rPr>
                  </w:pPr>
                </w:p>
              </w:tc>
              <w:tc>
                <w:tcPr>
                  <w:tcW w:w="1567" w:type="dxa"/>
                  <w:vMerge w:val="restart"/>
                  <w:vAlign w:val="center"/>
                </w:tcPr>
                <w:p>
                  <w:pPr>
                    <w:pStyle w:val="50"/>
                    <w:rPr>
                      <w:color w:val="auto"/>
                    </w:rPr>
                  </w:pPr>
                  <w:r>
                    <w:rPr>
                      <w:color w:val="auto"/>
                    </w:rPr>
                    <w:t>固体废弃物</w:t>
                  </w:r>
                </w:p>
              </w:tc>
              <w:tc>
                <w:tcPr>
                  <w:tcW w:w="4497" w:type="dxa"/>
                  <w:tcBorders>
                    <w:bottom w:val="single" w:color="auto" w:sz="4" w:space="0"/>
                  </w:tcBorders>
                  <w:vAlign w:val="center"/>
                </w:tcPr>
                <w:p>
                  <w:pPr>
                    <w:pStyle w:val="50"/>
                    <w:rPr>
                      <w:color w:val="auto"/>
                    </w:rPr>
                  </w:pPr>
                  <w:r>
                    <w:rPr>
                      <w:color w:val="auto"/>
                    </w:rPr>
                    <w:t>垃圾桶</w:t>
                  </w:r>
                </w:p>
              </w:tc>
              <w:tc>
                <w:tcPr>
                  <w:tcW w:w="2202" w:type="dxa"/>
                  <w:tcBorders>
                    <w:bottom w:val="single" w:color="auto" w:sz="4" w:space="0"/>
                  </w:tcBorders>
                  <w:vAlign w:val="center"/>
                </w:tcPr>
                <w:p>
                  <w:pPr>
                    <w:pStyle w:val="50"/>
                    <w:rPr>
                      <w:color w:val="auto"/>
                    </w:rPr>
                  </w:pPr>
                  <w:r>
                    <w:rPr>
                      <w:color w:val="auto"/>
                    </w:rPr>
                    <w:t>0.</w:t>
                  </w:r>
                  <w:r>
                    <w:rPr>
                      <w:rFonts w:hint="eastAsia"/>
                      <w:color w:val="auto"/>
                    </w:rPr>
                    <w:t>1</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195" w:hRule="atLeast"/>
                <w:jc w:val="center"/>
              </w:trPr>
              <w:tc>
                <w:tcPr>
                  <w:tcW w:w="691" w:type="dxa"/>
                  <w:vMerge w:val="continue"/>
                  <w:vAlign w:val="center"/>
                </w:tcPr>
                <w:p>
                  <w:pPr>
                    <w:pStyle w:val="50"/>
                    <w:rPr>
                      <w:color w:val="auto"/>
                    </w:rPr>
                  </w:pPr>
                </w:p>
              </w:tc>
              <w:tc>
                <w:tcPr>
                  <w:tcW w:w="1567" w:type="dxa"/>
                  <w:vMerge w:val="continue"/>
                  <w:vAlign w:val="center"/>
                </w:tcPr>
                <w:p>
                  <w:pPr>
                    <w:pStyle w:val="50"/>
                    <w:rPr>
                      <w:color w:val="auto"/>
                    </w:rPr>
                  </w:pPr>
                </w:p>
              </w:tc>
              <w:tc>
                <w:tcPr>
                  <w:tcW w:w="4497" w:type="dxa"/>
                  <w:tcBorders>
                    <w:bottom w:val="single" w:color="auto" w:sz="4" w:space="0"/>
                  </w:tcBorders>
                  <w:vAlign w:val="center"/>
                </w:tcPr>
                <w:p>
                  <w:pPr>
                    <w:pStyle w:val="50"/>
                    <w:rPr>
                      <w:color w:val="auto"/>
                    </w:rPr>
                  </w:pPr>
                  <w:r>
                    <w:rPr>
                      <w:color w:val="auto"/>
                    </w:rPr>
                    <w:t>危废暂存间</w:t>
                  </w:r>
                </w:p>
              </w:tc>
              <w:tc>
                <w:tcPr>
                  <w:tcW w:w="2202" w:type="dxa"/>
                  <w:tcBorders>
                    <w:bottom w:val="single" w:color="auto" w:sz="4" w:space="0"/>
                  </w:tcBorders>
                  <w:vAlign w:val="center"/>
                </w:tcPr>
                <w:p>
                  <w:pPr>
                    <w:pStyle w:val="50"/>
                    <w:rPr>
                      <w:color w:val="auto"/>
                    </w:rPr>
                  </w:pPr>
                  <w:r>
                    <w:rPr>
                      <w:rFonts w:hint="eastAsia"/>
                      <w:color w:val="auto"/>
                    </w:rPr>
                    <w:t>4.5</w:t>
                  </w:r>
                </w:p>
              </w:tc>
            </w:tr>
            <w:tr>
              <w:tblPrEx>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CellMar>
                  <w:top w:w="0" w:type="dxa"/>
                  <w:left w:w="108" w:type="dxa"/>
                  <w:bottom w:w="0" w:type="dxa"/>
                  <w:right w:w="108" w:type="dxa"/>
                </w:tblCellMar>
              </w:tblPrEx>
              <w:trPr>
                <w:trHeight w:val="139" w:hRule="atLeast"/>
                <w:jc w:val="center"/>
              </w:trPr>
              <w:tc>
                <w:tcPr>
                  <w:tcW w:w="691" w:type="dxa"/>
                  <w:vMerge w:val="continue"/>
                  <w:vAlign w:val="center"/>
                </w:tcPr>
                <w:p>
                  <w:pPr>
                    <w:pStyle w:val="50"/>
                    <w:rPr>
                      <w:color w:val="auto"/>
                    </w:rPr>
                  </w:pPr>
                </w:p>
              </w:tc>
              <w:tc>
                <w:tcPr>
                  <w:tcW w:w="6064" w:type="dxa"/>
                  <w:gridSpan w:val="2"/>
                  <w:vAlign w:val="center"/>
                </w:tcPr>
                <w:p>
                  <w:pPr>
                    <w:pStyle w:val="50"/>
                    <w:rPr>
                      <w:color w:val="auto"/>
                    </w:rPr>
                  </w:pPr>
                  <w:r>
                    <w:rPr>
                      <w:color w:val="auto"/>
                    </w:rPr>
                    <w:t>合计</w:t>
                  </w:r>
                </w:p>
              </w:tc>
              <w:tc>
                <w:tcPr>
                  <w:tcW w:w="2202" w:type="dxa"/>
                  <w:vAlign w:val="center"/>
                </w:tcPr>
                <w:p>
                  <w:pPr>
                    <w:pStyle w:val="50"/>
                    <w:rPr>
                      <w:color w:val="auto"/>
                    </w:rPr>
                  </w:pPr>
                  <w:r>
                    <w:rPr>
                      <w:rFonts w:hint="eastAsia"/>
                      <w:color w:val="auto"/>
                    </w:rPr>
                    <w:t>2</w:t>
                  </w:r>
                  <w:r>
                    <w:rPr>
                      <w:rFonts w:hint="eastAsia"/>
                      <w:color w:val="auto"/>
                      <w:lang w:val="en-US" w:eastAsia="zh-CN"/>
                    </w:rPr>
                    <w:t>9</w:t>
                  </w:r>
                  <w:r>
                    <w:rPr>
                      <w:rFonts w:hint="eastAsia"/>
                      <w:color w:val="auto"/>
                    </w:rPr>
                    <w:t>.5</w:t>
                  </w:r>
                </w:p>
              </w:tc>
            </w:tr>
          </w:tbl>
          <w:p>
            <w:pPr>
              <w:ind w:firstLine="480"/>
              <w:rPr>
                <w:color w:val="auto"/>
              </w:rPr>
            </w:pPr>
            <w:r>
              <w:rPr>
                <w:color w:val="auto"/>
              </w:rPr>
              <w:t>11、</w:t>
            </w:r>
            <w:r>
              <w:rPr>
                <w:rFonts w:hint="eastAsia"/>
                <w:color w:val="auto"/>
              </w:rPr>
              <w:t>昆明力线电缆制造有限公司</w:t>
            </w:r>
            <w:r>
              <w:rPr>
                <w:color w:val="auto"/>
              </w:rPr>
              <w:t>情况</w:t>
            </w:r>
          </w:p>
          <w:p>
            <w:pPr>
              <w:ind w:firstLine="480"/>
              <w:rPr>
                <w:rFonts w:hint="eastAsia" w:eastAsia="宋体"/>
                <w:color w:val="auto"/>
                <w:lang w:eastAsia="zh-CN"/>
              </w:rPr>
            </w:pPr>
            <w:r>
              <w:rPr>
                <w:color w:val="auto"/>
              </w:rPr>
              <w:t>（1）</w:t>
            </w:r>
            <w:r>
              <w:rPr>
                <w:rFonts w:hint="eastAsia"/>
                <w:color w:val="auto"/>
                <w:lang w:val="en-US" w:eastAsia="zh-CN"/>
              </w:rPr>
              <w:t>基本情况</w:t>
            </w:r>
          </w:p>
          <w:p>
            <w:pPr>
              <w:ind w:firstLine="480"/>
              <w:rPr>
                <w:color w:val="auto"/>
              </w:rPr>
            </w:pPr>
            <w:r>
              <w:rPr>
                <w:rFonts w:hint="eastAsia"/>
                <w:color w:val="auto"/>
              </w:rPr>
              <w:t>昆明力线电缆制造有限公司</w:t>
            </w:r>
            <w:r>
              <w:rPr>
                <w:color w:val="auto"/>
              </w:rPr>
              <w:t>总占地面积</w:t>
            </w:r>
            <w:r>
              <w:rPr>
                <w:rFonts w:hint="eastAsia"/>
                <w:color w:val="auto"/>
              </w:rPr>
              <w:t>19773.34</w:t>
            </w:r>
            <w:r>
              <w:rPr>
                <w:color w:val="auto"/>
              </w:rPr>
              <w:t>m</w:t>
            </w:r>
            <w:r>
              <w:rPr>
                <w:color w:val="auto"/>
                <w:vertAlign w:val="superscript"/>
              </w:rPr>
              <w:t>2</w:t>
            </w:r>
            <w:r>
              <w:rPr>
                <w:color w:val="auto"/>
              </w:rPr>
              <w:t>，建筑面积</w:t>
            </w:r>
            <w:r>
              <w:rPr>
                <w:rFonts w:hint="eastAsia"/>
                <w:color w:val="auto"/>
              </w:rPr>
              <w:t>24813.8</w:t>
            </w:r>
            <w:r>
              <w:rPr>
                <w:color w:val="auto"/>
              </w:rPr>
              <w:t>m</w:t>
            </w:r>
            <w:r>
              <w:rPr>
                <w:color w:val="auto"/>
                <w:vertAlign w:val="superscript"/>
              </w:rPr>
              <w:t>2</w:t>
            </w:r>
            <w:r>
              <w:rPr>
                <w:color w:val="auto"/>
              </w:rPr>
              <w:t>，厂区内建设有</w:t>
            </w:r>
            <w:r>
              <w:rPr>
                <w:rFonts w:hint="eastAsia"/>
                <w:color w:val="auto"/>
              </w:rPr>
              <w:t>2栋生产厂房</w:t>
            </w:r>
            <w:r>
              <w:rPr>
                <w:color w:val="auto"/>
              </w:rPr>
              <w:t>和</w:t>
            </w:r>
            <w:r>
              <w:rPr>
                <w:rFonts w:hint="eastAsia"/>
                <w:color w:val="auto"/>
              </w:rPr>
              <w:t>1</w:t>
            </w:r>
            <w:r>
              <w:rPr>
                <w:color w:val="auto"/>
              </w:rPr>
              <w:t>栋办公楼，并建设供水、供电、排水、化粪池、道路等。</w:t>
            </w:r>
          </w:p>
          <w:p>
            <w:pPr>
              <w:ind w:firstLine="480"/>
              <w:rPr>
                <w:color w:val="auto"/>
              </w:rPr>
            </w:pPr>
            <w:r>
              <w:rPr>
                <w:rFonts w:hint="eastAsia"/>
                <w:color w:val="auto"/>
              </w:rPr>
              <w:t>昆明力线电缆制造有限公司</w:t>
            </w:r>
            <w:r>
              <w:rPr>
                <w:color w:val="auto"/>
              </w:rPr>
              <w:t>是</w:t>
            </w:r>
            <w:r>
              <w:rPr>
                <w:rFonts w:hint="eastAsia"/>
                <w:color w:val="auto"/>
              </w:rPr>
              <w:t>主要从事电线、电缆生产制造</w:t>
            </w:r>
            <w:r>
              <w:rPr>
                <w:color w:val="auto"/>
              </w:rPr>
              <w:t>，不生产其他有毒有害、危险产品等。</w:t>
            </w:r>
            <w:r>
              <w:rPr>
                <w:rFonts w:hint="eastAsia"/>
                <w:color w:val="auto"/>
              </w:rPr>
              <w:t>昆明力线电缆制造有限公司</w:t>
            </w:r>
            <w:r>
              <w:rPr>
                <w:color w:val="auto"/>
              </w:rPr>
              <w:t>已于</w:t>
            </w:r>
            <w:r>
              <w:rPr>
                <w:rFonts w:hint="eastAsia"/>
                <w:color w:val="auto"/>
              </w:rPr>
              <w:t>2015</w:t>
            </w:r>
            <w:r>
              <w:rPr>
                <w:color w:val="auto"/>
              </w:rPr>
              <w:t>年</w:t>
            </w:r>
            <w:r>
              <w:rPr>
                <w:rFonts w:hint="eastAsia"/>
                <w:color w:val="auto"/>
              </w:rPr>
              <w:t>5</w:t>
            </w:r>
            <w:r>
              <w:rPr>
                <w:color w:val="auto"/>
              </w:rPr>
              <w:t>月</w:t>
            </w:r>
            <w:r>
              <w:rPr>
                <w:rFonts w:hint="eastAsia"/>
                <w:color w:val="auto"/>
              </w:rPr>
              <w:t>12</w:t>
            </w:r>
            <w:r>
              <w:rPr>
                <w:color w:val="auto"/>
              </w:rPr>
              <w:t>日取得了</w:t>
            </w:r>
            <w:r>
              <w:rPr>
                <w:rFonts w:hint="eastAsia"/>
                <w:color w:val="auto"/>
              </w:rPr>
              <w:t>富民县环境保护局</w:t>
            </w:r>
            <w:r>
              <w:rPr>
                <w:rFonts w:hint="eastAsia"/>
                <w:color w:val="auto"/>
                <w:lang w:eastAsia="zh-CN"/>
              </w:rPr>
              <w:t>（</w:t>
            </w:r>
            <w:r>
              <w:rPr>
                <w:rFonts w:hint="eastAsia"/>
                <w:color w:val="auto"/>
              </w:rPr>
              <w:t>富环保复</w:t>
            </w:r>
            <w:r>
              <w:rPr>
                <w:color w:val="auto"/>
              </w:rPr>
              <w:t>[201</w:t>
            </w:r>
            <w:r>
              <w:rPr>
                <w:rFonts w:hint="eastAsia"/>
                <w:color w:val="auto"/>
              </w:rPr>
              <w:t>5</w:t>
            </w:r>
            <w:r>
              <w:rPr>
                <w:color w:val="auto"/>
              </w:rPr>
              <w:t>]</w:t>
            </w:r>
            <w:r>
              <w:rPr>
                <w:rFonts w:hint="eastAsia"/>
                <w:color w:val="auto"/>
              </w:rPr>
              <w:t>15</w:t>
            </w:r>
            <w:r>
              <w:rPr>
                <w:color w:val="auto"/>
              </w:rPr>
              <w:t>号</w:t>
            </w:r>
            <w:r>
              <w:rPr>
                <w:rFonts w:hint="eastAsia"/>
                <w:color w:val="auto"/>
                <w:lang w:eastAsia="zh-CN"/>
              </w:rPr>
              <w:t>）</w:t>
            </w:r>
            <w:r>
              <w:rPr>
                <w:color w:val="auto"/>
              </w:rPr>
              <w:t>的批复（详见附件</w:t>
            </w:r>
            <w:r>
              <w:rPr>
                <w:rFonts w:hint="eastAsia"/>
                <w:color w:val="auto"/>
              </w:rPr>
              <w:t>7</w:t>
            </w:r>
            <w:r>
              <w:rPr>
                <w:color w:val="auto"/>
              </w:rPr>
              <w:t>）</w:t>
            </w:r>
            <w:r>
              <w:rPr>
                <w:rFonts w:hint="eastAsia"/>
                <w:color w:val="auto"/>
                <w:lang w:eastAsia="zh-CN"/>
              </w:rPr>
              <w:t>，</w:t>
            </w:r>
            <w:r>
              <w:rPr>
                <w:rFonts w:hint="eastAsia"/>
                <w:color w:val="auto"/>
                <w:lang w:val="en-US" w:eastAsia="zh-CN"/>
              </w:rPr>
              <w:t>项目于2017年10月20日取得了富民县环境保护局关于对《</w:t>
            </w:r>
            <w:r>
              <w:rPr>
                <w:rFonts w:hint="eastAsia"/>
                <w:color w:val="auto"/>
              </w:rPr>
              <w:t>昆明力线电缆制造有限公司</w:t>
            </w:r>
            <w:r>
              <w:rPr>
                <w:rFonts w:hint="eastAsia"/>
                <w:color w:val="auto"/>
                <w:lang w:val="en-US" w:eastAsia="zh-CN"/>
              </w:rPr>
              <w:t>电线电缆制造项目竣工环境保护验收申请》的批复（</w:t>
            </w:r>
            <w:r>
              <w:rPr>
                <w:rFonts w:hint="eastAsia"/>
                <w:color w:val="auto"/>
              </w:rPr>
              <w:t>富环保复</w:t>
            </w:r>
            <w:r>
              <w:rPr>
                <w:color w:val="auto"/>
              </w:rPr>
              <w:t>[201</w:t>
            </w:r>
            <w:r>
              <w:rPr>
                <w:rFonts w:hint="eastAsia"/>
                <w:color w:val="auto"/>
              </w:rPr>
              <w:t>5</w:t>
            </w:r>
            <w:r>
              <w:rPr>
                <w:color w:val="auto"/>
              </w:rPr>
              <w:t>]</w:t>
            </w:r>
            <w:r>
              <w:rPr>
                <w:rFonts w:hint="eastAsia"/>
                <w:color w:val="auto"/>
                <w:lang w:val="en-US" w:eastAsia="zh-CN"/>
              </w:rPr>
              <w:t>76</w:t>
            </w:r>
            <w:r>
              <w:rPr>
                <w:color w:val="auto"/>
              </w:rPr>
              <w:t>号</w:t>
            </w:r>
            <w:r>
              <w:rPr>
                <w:rFonts w:hint="eastAsia"/>
                <w:color w:val="auto"/>
                <w:lang w:val="en-US" w:eastAsia="zh-CN"/>
              </w:rPr>
              <w:t>）</w:t>
            </w:r>
            <w:r>
              <w:rPr>
                <w:rFonts w:hint="eastAsia"/>
                <w:color w:val="auto"/>
              </w:rPr>
              <w:t>。</w:t>
            </w:r>
          </w:p>
          <w:p>
            <w:pPr>
              <w:ind w:firstLine="480"/>
              <w:rPr>
                <w:color w:val="auto"/>
              </w:rPr>
            </w:pPr>
            <w:r>
              <w:rPr>
                <w:color w:val="auto"/>
              </w:rPr>
              <w:t>（2）环保设施</w:t>
            </w:r>
          </w:p>
          <w:p>
            <w:pPr>
              <w:ind w:firstLine="480"/>
              <w:rPr>
                <w:snapToGrid/>
                <w:color w:val="auto"/>
              </w:rPr>
            </w:pPr>
            <w:r>
              <w:rPr>
                <w:color w:val="auto"/>
              </w:rPr>
              <w:t>①雨水收集系统</w:t>
            </w:r>
          </w:p>
          <w:p>
            <w:pPr>
              <w:ind w:firstLine="480"/>
              <w:rPr>
                <w:snapToGrid/>
                <w:color w:val="auto"/>
              </w:rPr>
            </w:pPr>
            <w:r>
              <w:rPr>
                <w:color w:val="auto"/>
              </w:rPr>
              <w:t>根据实地查看，</w:t>
            </w:r>
            <w:r>
              <w:rPr>
                <w:rFonts w:hint="eastAsia"/>
                <w:color w:val="auto"/>
              </w:rPr>
              <w:t>昆明力线电缆制造有限公司厂区</w:t>
            </w:r>
            <w:r>
              <w:rPr>
                <w:color w:val="auto"/>
              </w:rPr>
              <w:t>内采用雨污分流制，设置了雨水收集管网，收集厂区内雨水，然后</w:t>
            </w:r>
            <w:r>
              <w:rPr>
                <w:rFonts w:hint="eastAsia"/>
                <w:color w:val="auto"/>
              </w:rPr>
              <w:t>经厂区外雨水沟</w:t>
            </w:r>
            <w:r>
              <w:rPr>
                <w:color w:val="auto"/>
              </w:rPr>
              <w:t>外排</w:t>
            </w:r>
            <w:r>
              <w:rPr>
                <w:rFonts w:hint="eastAsia"/>
                <w:color w:val="auto"/>
              </w:rPr>
              <w:t>至大营河</w:t>
            </w:r>
            <w:r>
              <w:rPr>
                <w:color w:val="auto"/>
              </w:rPr>
              <w:t>。</w:t>
            </w:r>
          </w:p>
          <w:p>
            <w:pPr>
              <w:ind w:firstLine="480"/>
              <w:rPr>
                <w:snapToGrid/>
                <w:color w:val="auto"/>
              </w:rPr>
            </w:pPr>
            <w:r>
              <w:rPr>
                <w:color w:val="auto"/>
              </w:rPr>
              <w:t>②</w:t>
            </w:r>
            <w:r>
              <w:rPr>
                <w:rFonts w:hint="eastAsia"/>
                <w:color w:val="auto"/>
              </w:rPr>
              <w:t>昆明力线电缆制造有限公司在项目生产厂房东北侧已建成一个公共卫生间，据调查公共卫生间旁设置了一个总容积为10m</w:t>
            </w:r>
            <w:r>
              <w:rPr>
                <w:rFonts w:hint="eastAsia"/>
                <w:color w:val="auto"/>
                <w:vertAlign w:val="superscript"/>
              </w:rPr>
              <w:t>3</w:t>
            </w:r>
            <w:r>
              <w:rPr>
                <w:rFonts w:hint="eastAsia"/>
                <w:color w:val="auto"/>
              </w:rPr>
              <w:t>的化粪池，卫生间冲厕废水依托昆明力线电缆制造有限公司已建设的化粪池及一体化污水处理设备处理（处理规模为10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w:t>
            </w:r>
            <w:r>
              <w:rPr>
                <w:rFonts w:hint="eastAsia"/>
                <w:color w:val="auto"/>
              </w:rPr>
              <w:t>标准后回用于绿化及道路清扫，不外排。</w:t>
            </w:r>
          </w:p>
          <w:p>
            <w:pPr>
              <w:ind w:firstLine="480"/>
              <w:rPr>
                <w:snapToGrid/>
                <w:color w:val="auto"/>
              </w:rPr>
            </w:pPr>
            <w:r>
              <w:rPr>
                <w:color w:val="auto"/>
              </w:rPr>
              <w:t>（3）企业入驻条件</w:t>
            </w:r>
          </w:p>
          <w:p>
            <w:pPr>
              <w:pBdr>
                <w:bottom w:val="single" w:color="auto" w:sz="4" w:space="0"/>
              </w:pBdr>
              <w:ind w:firstLine="480"/>
              <w:rPr>
                <w:snapToGrid/>
                <w:color w:val="auto"/>
              </w:rPr>
            </w:pPr>
            <w:r>
              <w:rPr>
                <w:color w:val="auto"/>
              </w:rPr>
              <w:t>本项目进行</w:t>
            </w:r>
            <w:r>
              <w:rPr>
                <w:rFonts w:hint="eastAsia"/>
                <w:color w:val="auto"/>
              </w:rPr>
              <w:t>网络机箱机柜，5G机房，监控操作台</w:t>
            </w:r>
            <w:r>
              <w:rPr>
                <w:color w:val="auto"/>
              </w:rPr>
              <w:t>的生产，生产工艺主要为</w:t>
            </w:r>
            <w:r>
              <w:rPr>
                <w:rFonts w:hint="eastAsia"/>
                <w:color w:val="auto"/>
              </w:rPr>
              <w:t>切割、折弯、焊接、喷塑、固化</w:t>
            </w:r>
            <w:r>
              <w:rPr>
                <w:color w:val="auto"/>
              </w:rPr>
              <w:t>等，生产运营过程不涉及有毒有害、危险品，与园区入驻企业的规划不冲突。同时，本项目于20</w:t>
            </w:r>
            <w:r>
              <w:rPr>
                <w:rFonts w:hint="eastAsia"/>
                <w:color w:val="auto"/>
              </w:rPr>
              <w:t>20</w:t>
            </w:r>
            <w:r>
              <w:rPr>
                <w:color w:val="auto"/>
              </w:rPr>
              <w:t>年</w:t>
            </w:r>
            <w:r>
              <w:rPr>
                <w:rFonts w:hint="eastAsia"/>
                <w:color w:val="auto"/>
              </w:rPr>
              <w:t>11</w:t>
            </w:r>
            <w:r>
              <w:rPr>
                <w:color w:val="auto"/>
              </w:rPr>
              <w:t>月</w:t>
            </w:r>
            <w:r>
              <w:rPr>
                <w:rFonts w:hint="eastAsia"/>
                <w:color w:val="auto"/>
              </w:rPr>
              <w:t>3</w:t>
            </w:r>
            <w:r>
              <w:rPr>
                <w:color w:val="auto"/>
              </w:rPr>
              <w:t>日取得了</w:t>
            </w:r>
            <w:r>
              <w:rPr>
                <w:rFonts w:hint="eastAsia"/>
                <w:color w:val="auto"/>
              </w:rPr>
              <w:t>富民工业园区招商服务局</w:t>
            </w:r>
            <w:r>
              <w:rPr>
                <w:color w:val="auto"/>
              </w:rPr>
              <w:t>关于同意本项目入园</w:t>
            </w:r>
            <w:r>
              <w:rPr>
                <w:rFonts w:hint="eastAsia"/>
                <w:color w:val="auto"/>
              </w:rPr>
              <w:t>的园区会议纪要及入园证明</w:t>
            </w:r>
            <w:r>
              <w:rPr>
                <w:color w:val="auto"/>
              </w:rPr>
              <w:t>，（详见附件</w:t>
            </w:r>
            <w:r>
              <w:rPr>
                <w:rFonts w:hint="eastAsia"/>
                <w:color w:val="auto"/>
              </w:rPr>
              <w:t>2及</w:t>
            </w:r>
            <w:r>
              <w:rPr>
                <w:color w:val="auto"/>
              </w:rPr>
              <w:t>附件</w:t>
            </w:r>
            <w:r>
              <w:rPr>
                <w:rFonts w:hint="eastAsia"/>
                <w:color w:val="auto"/>
              </w:rPr>
              <w:t>3</w:t>
            </w:r>
            <w:r>
              <w:rPr>
                <w:color w:val="auto"/>
              </w:rPr>
              <w:t>）于20</w:t>
            </w:r>
            <w:r>
              <w:rPr>
                <w:rFonts w:hint="eastAsia"/>
                <w:color w:val="auto"/>
              </w:rPr>
              <w:t>21</w:t>
            </w:r>
            <w:r>
              <w:rPr>
                <w:color w:val="auto"/>
              </w:rPr>
              <w:t>年</w:t>
            </w:r>
            <w:r>
              <w:rPr>
                <w:rFonts w:hint="eastAsia"/>
                <w:color w:val="auto"/>
              </w:rPr>
              <w:t>1</w:t>
            </w:r>
            <w:r>
              <w:rPr>
                <w:color w:val="auto"/>
              </w:rPr>
              <w:t>月</w:t>
            </w:r>
            <w:r>
              <w:rPr>
                <w:rFonts w:hint="eastAsia"/>
                <w:color w:val="auto"/>
              </w:rPr>
              <w:t>5</w:t>
            </w:r>
            <w:r>
              <w:rPr>
                <w:color w:val="auto"/>
              </w:rPr>
              <w:t>日取得了</w:t>
            </w:r>
            <w:r>
              <w:rPr>
                <w:rFonts w:hint="eastAsia"/>
                <w:color w:val="auto"/>
              </w:rPr>
              <w:t>富民县</w:t>
            </w:r>
            <w:r>
              <w:rPr>
                <w:color w:val="auto"/>
              </w:rPr>
              <w:t>发展</w:t>
            </w:r>
            <w:r>
              <w:rPr>
                <w:rFonts w:hint="eastAsia"/>
                <w:color w:val="auto"/>
              </w:rPr>
              <w:t>和</w:t>
            </w:r>
            <w:r>
              <w:rPr>
                <w:color w:val="auto"/>
              </w:rPr>
              <w:t>改革局关于同意本项目立项备案的投资项目备案证（</w:t>
            </w:r>
            <w:r>
              <w:rPr>
                <w:rFonts w:hint="eastAsia"/>
                <w:color w:val="auto"/>
              </w:rPr>
              <w:t>备案号：2101-530124-04-01-516299</w:t>
            </w:r>
            <w:r>
              <w:rPr>
                <w:color w:val="auto"/>
              </w:rPr>
              <w:t>）（详见附件</w:t>
            </w:r>
            <w:r>
              <w:rPr>
                <w:rFonts w:hint="eastAsia"/>
                <w:color w:val="auto"/>
              </w:rPr>
              <w:t>4</w:t>
            </w:r>
            <w:r>
              <w:rPr>
                <w:color w:val="auto"/>
              </w:rPr>
              <w:t>）</w:t>
            </w:r>
            <w:r>
              <w:rPr>
                <w:rFonts w:hint="eastAsia"/>
                <w:color w:val="auto"/>
              </w:rPr>
              <w:t>。</w:t>
            </w:r>
          </w:p>
          <w:p>
            <w:pPr>
              <w:ind w:firstLine="0" w:firstLineChars="0"/>
              <w:contextualSpacing/>
              <w:jc w:val="left"/>
              <w:rPr>
                <w:color w:val="auto"/>
              </w:rPr>
            </w:pPr>
            <w:r>
              <w:rPr>
                <w:color w:val="auto"/>
              </w:rPr>
              <w:t>与本项目有关的原有污染情况及主要环境问题：</w:t>
            </w:r>
          </w:p>
          <w:p>
            <w:pPr>
              <w:ind w:firstLine="480"/>
              <w:rPr>
                <w:color w:val="auto"/>
              </w:rPr>
            </w:pPr>
            <w:r>
              <w:rPr>
                <w:color w:val="auto"/>
              </w:rPr>
              <w:t>本项目建设于</w:t>
            </w:r>
            <w:r>
              <w:rPr>
                <w:rFonts w:hint="eastAsia"/>
                <w:color w:val="auto"/>
              </w:rPr>
              <w:t>富民工业园区大营—茨塘片区大营五金建材园</w:t>
            </w:r>
            <w:r>
              <w:rPr>
                <w:color w:val="auto"/>
              </w:rPr>
              <w:t>内，</w:t>
            </w:r>
            <w:r>
              <w:rPr>
                <w:rFonts w:hint="eastAsia"/>
                <w:color w:val="auto"/>
              </w:rPr>
              <w:t>2020</w:t>
            </w:r>
            <w:r>
              <w:rPr>
                <w:color w:val="auto"/>
              </w:rPr>
              <w:t>年</w:t>
            </w:r>
            <w:r>
              <w:rPr>
                <w:rFonts w:hint="eastAsia"/>
                <w:color w:val="auto"/>
              </w:rPr>
              <w:t>11</w:t>
            </w:r>
            <w:r>
              <w:rPr>
                <w:color w:val="auto"/>
              </w:rPr>
              <w:t>月</w:t>
            </w:r>
            <w:r>
              <w:rPr>
                <w:rFonts w:hint="eastAsia"/>
                <w:color w:val="auto"/>
              </w:rPr>
              <w:t>昆明力线电缆制造有限公司</w:t>
            </w:r>
            <w:r>
              <w:rPr>
                <w:color w:val="auto"/>
              </w:rPr>
              <w:t>将厂区</w:t>
            </w:r>
            <w:r>
              <w:rPr>
                <w:rFonts w:hint="eastAsia"/>
                <w:color w:val="auto"/>
              </w:rPr>
              <w:t>部分厂房</w:t>
            </w:r>
            <w:r>
              <w:rPr>
                <w:color w:val="auto"/>
              </w:rPr>
              <w:t>租赁于</w:t>
            </w:r>
            <w:r>
              <w:rPr>
                <w:rFonts w:hint="eastAsia"/>
                <w:color w:val="auto"/>
              </w:rPr>
              <w:t>昆明云茂通信设备有限责任公司。</w:t>
            </w:r>
            <w:r>
              <w:rPr>
                <w:color w:val="auto"/>
              </w:rPr>
              <w:t>租赁之前</w:t>
            </w:r>
            <w:r>
              <w:rPr>
                <w:rFonts w:hint="eastAsia"/>
                <w:color w:val="auto"/>
              </w:rPr>
              <w:t>项目区为昆明力线电缆制造有限公司的6号厂房成品备用仓库，因市场原因，昆明力线电缆制造有限公司建成后一直闲置未用</w:t>
            </w:r>
            <w:r>
              <w:rPr>
                <w:color w:val="auto"/>
              </w:rPr>
              <w:t>，</w:t>
            </w:r>
            <w:r>
              <w:rPr>
                <w:rFonts w:hint="eastAsia"/>
                <w:color w:val="auto"/>
              </w:rPr>
              <w:t>为减轻经营压力，现</w:t>
            </w:r>
            <w:r>
              <w:rPr>
                <w:color w:val="auto"/>
              </w:rPr>
              <w:t>租于</w:t>
            </w:r>
            <w:r>
              <w:rPr>
                <w:rFonts w:hint="eastAsia"/>
                <w:color w:val="auto"/>
              </w:rPr>
              <w:t>昆明云茂通信设备有限责任公司，项目区现仅为</w:t>
            </w:r>
            <w:r>
              <w:rPr>
                <w:color w:val="auto"/>
              </w:rPr>
              <w:t>建筑物框架，</w:t>
            </w:r>
            <w:r>
              <w:rPr>
                <w:rFonts w:hint="eastAsia"/>
                <w:color w:val="auto"/>
              </w:rPr>
              <w:t>无其他固废杂物</w:t>
            </w:r>
            <w:r>
              <w:rPr>
                <w:color w:val="auto"/>
              </w:rPr>
              <w:t>，未遗留环境问题。</w:t>
            </w:r>
            <w:r>
              <w:rPr>
                <w:rFonts w:hint="eastAsia"/>
                <w:color w:val="auto"/>
              </w:rPr>
              <w:t>因此不存在与本项目有关的原有污染情况。</w:t>
            </w:r>
          </w:p>
          <w:p>
            <w:pPr>
              <w:pStyle w:val="62"/>
              <w:ind w:firstLine="0" w:firstLineChars="0"/>
              <w:rPr>
                <w:color w:val="auto"/>
              </w:rPr>
            </w:pP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4" w:name="_Toc889"/>
      <w:bookmarkStart w:id="5" w:name="_Toc12698"/>
      <w:r>
        <w:rPr>
          <w:rFonts w:hint="default" w:ascii="Times New Roman" w:hAnsi="Times New Roman" w:eastAsia="宋体" w:cs="Times New Roman"/>
          <w:b/>
          <w:bCs/>
          <w:color w:val="auto"/>
          <w:sz w:val="28"/>
          <w:szCs w:val="28"/>
        </w:rPr>
        <w:t>二、建设项目所在地自然环境简况</w:t>
      </w:r>
      <w:bookmarkEnd w:id="4"/>
      <w:bookmarkEnd w:id="5"/>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39" w:hRule="atLeast"/>
          <w:jc w:val="center"/>
        </w:trPr>
        <w:tc>
          <w:tcPr>
            <w:tcW w:w="9071" w:type="dxa"/>
          </w:tcPr>
          <w:p>
            <w:pPr>
              <w:ind w:firstLine="480" w:firstLineChars="0"/>
              <w:rPr>
                <w:b/>
                <w:bCs/>
                <w:color w:val="auto"/>
                <w:szCs w:val="30"/>
              </w:rPr>
            </w:pPr>
            <w:r>
              <w:rPr>
                <w:b/>
                <w:bCs/>
                <w:color w:val="auto"/>
                <w:szCs w:val="30"/>
              </w:rPr>
              <w:t>自然环境简况(地形、地貌、地质、气候、气象、水文、植被、生物多样性等)：</w:t>
            </w:r>
          </w:p>
          <w:p>
            <w:pPr>
              <w:ind w:firstLine="482"/>
              <w:rPr>
                <w:b/>
                <w:color w:val="auto"/>
                <w:szCs w:val="28"/>
              </w:rPr>
            </w:pPr>
            <w:r>
              <w:rPr>
                <w:b/>
                <w:color w:val="auto"/>
                <w:szCs w:val="28"/>
              </w:rPr>
              <w:t>1、地理位置</w:t>
            </w:r>
          </w:p>
          <w:p>
            <w:pPr>
              <w:ind w:firstLine="480"/>
              <w:rPr>
                <w:color w:val="auto"/>
              </w:rPr>
            </w:pPr>
            <w:r>
              <w:rPr>
                <w:rFonts w:hint="eastAsia"/>
                <w:color w:val="auto"/>
              </w:rPr>
              <w:t>富民县位于昆明市西北部东</w:t>
            </w:r>
            <w:r>
              <w:rPr>
                <w:bCs/>
                <w:color w:val="auto"/>
              </w:rPr>
              <w:t>经 102°21′至 102°47′，北纬 25°08′至 25°36′之间。</w:t>
            </w:r>
            <w:r>
              <w:rPr>
                <w:rFonts w:hint="eastAsia"/>
                <w:color w:val="auto"/>
              </w:rPr>
              <w:t>东临寻甸、嵩明两县，西与禄丰、武定两县接壤，南靠西山区，北和禄劝县山水相连。地势南高北低，东西宽44.2公里。南北长51.6公里。由南向北倾斜，望海山把县境分为螳螂川和款庄河两大水系。最大坝子由永定、勤劳、大营组成，螳螂川贯穿其间，坝子西部为金铜盆山，海拔2817米，为富民最高点，中部的望海山，海拔2672米，东部与嵩明分界的老鸦山，海拔2873米，构成富民的三大山脉与两大水系。者北、赤鹫、罗免的田坝为低山环状河谷型，款庄为狭长和河谷型。坝区中部与主峰高差在800-1000米之间</w:t>
            </w:r>
            <w:r>
              <w:rPr>
                <w:color w:val="auto"/>
              </w:rPr>
              <w:t>。</w:t>
            </w:r>
          </w:p>
          <w:p>
            <w:pPr>
              <w:ind w:firstLine="480"/>
              <w:rPr>
                <w:rFonts w:hint="eastAsia" w:eastAsia="宋体"/>
                <w:snapToGrid/>
                <w:color w:val="auto"/>
                <w:lang w:val="en-US" w:eastAsia="zh-CN"/>
              </w:rPr>
            </w:pPr>
            <w:r>
              <w:rPr>
                <w:color w:val="auto"/>
              </w:rPr>
              <w:t>本项目位于</w:t>
            </w:r>
            <w:r>
              <w:rPr>
                <w:rFonts w:hint="eastAsia"/>
                <w:color w:val="auto"/>
              </w:rPr>
              <w:t>富民工业园区大营—茨塘片区大营五金建材园昆明力线电缆制造有限公司</w:t>
            </w:r>
            <w:r>
              <w:rPr>
                <w:color w:val="auto"/>
              </w:rPr>
              <w:t>内，项目中心点地理坐标为</w:t>
            </w:r>
            <w:r>
              <w:rPr>
                <w:bCs/>
                <w:color w:val="auto"/>
              </w:rPr>
              <w:t>东经102°31'39.41"，北纬25°13'52.64"</w:t>
            </w:r>
            <w:r>
              <w:rPr>
                <w:color w:val="auto"/>
              </w:rPr>
              <w:t>。项目地理位置详见附图1。</w:t>
            </w:r>
          </w:p>
          <w:p>
            <w:pPr>
              <w:ind w:firstLine="482"/>
              <w:rPr>
                <w:b/>
                <w:snapToGrid/>
                <w:color w:val="auto"/>
                <w:szCs w:val="28"/>
              </w:rPr>
            </w:pPr>
            <w:r>
              <w:rPr>
                <w:rFonts w:hint="eastAsia"/>
                <w:b/>
                <w:color w:val="auto"/>
                <w:szCs w:val="28"/>
              </w:rPr>
              <w:t>2</w:t>
            </w:r>
            <w:r>
              <w:rPr>
                <w:b/>
                <w:color w:val="auto"/>
                <w:szCs w:val="28"/>
              </w:rPr>
              <w:t>、地形、地貌</w:t>
            </w:r>
          </w:p>
          <w:p>
            <w:pPr>
              <w:ind w:firstLine="480"/>
              <w:rPr>
                <w:snapToGrid/>
                <w:color w:val="auto"/>
              </w:rPr>
            </w:pPr>
            <w:r>
              <w:rPr>
                <w:rFonts w:hint="eastAsia"/>
                <w:color w:val="auto"/>
              </w:rPr>
              <w:t>富民县地处云贵高原中部，有着典型的高原地貌。县境似一不规则梯形，南高北低， 望海山脉由南而北延伸，把县境分成东部的龙泉河流域和西部的螳螂川流域。边缘环山向内地支翼发育，望海山脉两翼支脉蜿蜒，形成境内盆岭相间，河流纵横，山多坝少，全县有河谷坝子和山间小坝18个，面积124平方公里，占全县面积的 12.5%，山区面积869平方公里，占全县面积的87.5%，以湖盆岩溶高原地貌形态为主，红色山原地貌次之。山岭海拔在1455～2817m之间，同时由于地处金沙江、南盘江及元江3大水系的分水岭之间， 河流侵蚀作用不强，高原面保存较好，大部分地区地形较平缓，高差小于500m，分布着一系列山间盆地。富民地区的高差起伏较大，高程分布范围在1455～2817m之间。富民地处云南高原中部，海拔较高，高原是其基本形态，根据这一特点，将地区分为低山、低中山、高中山、高山4类地貌类型</w:t>
            </w:r>
            <w:r>
              <w:rPr>
                <w:color w:val="auto"/>
              </w:rPr>
              <w:t xml:space="preserve">。 </w:t>
            </w:r>
          </w:p>
          <w:p>
            <w:pPr>
              <w:ind w:firstLine="480"/>
              <w:rPr>
                <w:b/>
                <w:color w:val="auto"/>
              </w:rPr>
            </w:pPr>
            <w:r>
              <w:rPr>
                <w:color w:val="auto"/>
              </w:rPr>
              <w:t>本项目位于</w:t>
            </w:r>
            <w:r>
              <w:rPr>
                <w:rFonts w:hint="eastAsia"/>
                <w:color w:val="auto"/>
              </w:rPr>
              <w:t>富民工业园区大营—茨塘片区大营五金建材园</w:t>
            </w:r>
            <w:r>
              <w:rPr>
                <w:color w:val="auto"/>
              </w:rPr>
              <w:t>，项目所在地</w:t>
            </w:r>
            <w:r>
              <w:rPr>
                <w:rFonts w:hint="eastAsia"/>
                <w:color w:val="auto"/>
              </w:rPr>
              <w:t>区域</w:t>
            </w:r>
            <w:r>
              <w:rPr>
                <w:color w:val="auto"/>
              </w:rPr>
              <w:t>地貌特征属</w:t>
            </w:r>
            <w:r>
              <w:rPr>
                <w:rFonts w:hint="eastAsia"/>
                <w:color w:val="auto"/>
              </w:rPr>
              <w:t>构造侵蚀、溶蚀的低中山地貌</w:t>
            </w:r>
            <w:r>
              <w:rPr>
                <w:color w:val="auto"/>
              </w:rPr>
              <w:t>。</w:t>
            </w:r>
            <w:r>
              <w:rPr>
                <w:rFonts w:hint="eastAsia"/>
                <w:color w:val="auto"/>
              </w:rPr>
              <w:t>项目</w:t>
            </w:r>
            <w:r>
              <w:rPr>
                <w:color w:val="auto"/>
              </w:rPr>
              <w:t>区位于山体斜坡上，高差较大，地势北高南低。根据周边其他工程类似地形、地貌的地质灾害评估报告以及对场地表面踏勘情况推测，用地地质构造不复杂</w:t>
            </w:r>
            <w:r>
              <w:rPr>
                <w:rFonts w:hint="eastAsia"/>
                <w:color w:val="auto"/>
              </w:rPr>
              <w:t>，</w:t>
            </w:r>
            <w:r>
              <w:rPr>
                <w:color w:val="auto"/>
              </w:rPr>
              <w:t>地层岩性分布稳定。</w:t>
            </w:r>
          </w:p>
          <w:p>
            <w:pPr>
              <w:ind w:firstLine="482"/>
              <w:rPr>
                <w:b/>
                <w:color w:val="auto"/>
              </w:rPr>
            </w:pPr>
            <w:r>
              <w:rPr>
                <w:rFonts w:hint="eastAsia"/>
                <w:b/>
                <w:color w:val="auto"/>
                <w:szCs w:val="28"/>
              </w:rPr>
              <w:t>3</w:t>
            </w:r>
            <w:r>
              <w:rPr>
                <w:color w:val="auto"/>
              </w:rPr>
              <w:t>、</w:t>
            </w:r>
            <w:r>
              <w:rPr>
                <w:b/>
                <w:color w:val="auto"/>
              </w:rPr>
              <w:t>气候</w:t>
            </w:r>
            <w:r>
              <w:rPr>
                <w:rFonts w:hint="eastAsia"/>
                <w:b/>
                <w:color w:val="auto"/>
              </w:rPr>
              <w:t>、</w:t>
            </w:r>
            <w:r>
              <w:rPr>
                <w:b/>
                <w:color w:val="auto"/>
              </w:rPr>
              <w:t>气象</w:t>
            </w:r>
          </w:p>
          <w:p>
            <w:pPr>
              <w:ind w:firstLine="480"/>
              <w:rPr>
                <w:color w:val="auto"/>
              </w:rPr>
            </w:pPr>
            <w:r>
              <w:rPr>
                <w:rFonts w:hint="eastAsia"/>
                <w:color w:val="auto"/>
              </w:rPr>
              <w:t>项目所在区域富民县，属北亚热带低纬高原山地季风气候，气候的变化主要受西南季风和热带大陆气团交替控制，具有四季如春、干湿季分明、年温差小、日温差大的特点。该区域冬无严寒，夏无酷暑。根据富民气象站（56772）近20年（1998-2017 年）统计气象资料，富民多年平均气温16.4℃，累年极端最高气温32.4℃，极端最低气温-2.7℃，最热月(6月)的平均气温为21.8℃，最冷月(1月)的平均气温为9.1℃；多年平均降雨量853.3mm，每年6月降水量最大（180.0mm），2 月降水量最小（8.1mm），近20年极端最大日降水出现在2016年06月12日，最大日降雨量为85.8mm；多年平均风速1.5m/s，实测最大风速20.7m/s，4月平均风速最大（2.3m/s），9月风速最小（0.9m/s）；主要风向为静风和SW、WSW、W，占56.8％，其中以静风C为主风向，占到全年30.5％左右；多年平均相对湿度69.7%</w:t>
            </w:r>
            <w:r>
              <w:rPr>
                <w:color w:val="auto"/>
              </w:rPr>
              <w:t>。</w:t>
            </w:r>
          </w:p>
          <w:p>
            <w:pPr>
              <w:ind w:firstLine="482"/>
              <w:rPr>
                <w:b/>
                <w:color w:val="auto"/>
                <w:szCs w:val="28"/>
              </w:rPr>
            </w:pPr>
            <w:r>
              <w:rPr>
                <w:rFonts w:hint="eastAsia"/>
                <w:b/>
                <w:color w:val="auto"/>
                <w:szCs w:val="28"/>
              </w:rPr>
              <w:t>4</w:t>
            </w:r>
            <w:r>
              <w:rPr>
                <w:b/>
                <w:color w:val="auto"/>
                <w:szCs w:val="28"/>
              </w:rPr>
              <w:t>、水文、水系</w:t>
            </w:r>
          </w:p>
          <w:p>
            <w:pPr>
              <w:ind w:firstLine="480"/>
              <w:rPr>
                <w:color w:val="auto"/>
              </w:rPr>
            </w:pPr>
            <w:r>
              <w:rPr>
                <w:rFonts w:hint="eastAsia"/>
                <w:color w:val="auto"/>
              </w:rPr>
              <w:t>富民县境内共有河流14条，均属于金沙江水系，其中过境河流8条，螳螂川为主干河，龙泉河、木板河次之。螳螂川，发源于昆明滇池海口，流经安宁、西山区至莲花岩注入富民，由西南向东北流，到瓦窑进入富民坝子，穿县城流至成器墩流向转西北，经永定、大营两镇、者北、赤鹫两乡到龙发村汇集天生桥河水处，上游称螳螂川，下游称普渡河，为富民县最大的河流。汇水面积5198km</w:t>
            </w:r>
            <w:r>
              <w:rPr>
                <w:rFonts w:hint="eastAsia"/>
                <w:color w:val="auto"/>
                <w:vertAlign w:val="superscript"/>
              </w:rPr>
              <w:t>2</w:t>
            </w:r>
            <w:r>
              <w:rPr>
                <w:rFonts w:hint="eastAsia"/>
                <w:color w:val="auto"/>
              </w:rPr>
              <w:t>， 是滇池的唯一出水口。入境水量8.632亿m</w:t>
            </w:r>
            <w:r>
              <w:rPr>
                <w:rFonts w:hint="eastAsia"/>
                <w:color w:val="auto"/>
                <w:vertAlign w:val="superscript"/>
              </w:rPr>
              <w:t>3</w:t>
            </w:r>
            <w:r>
              <w:rPr>
                <w:rFonts w:hint="eastAsia"/>
                <w:color w:val="auto"/>
              </w:rPr>
              <w:t>，平均流量27.37m</w:t>
            </w:r>
            <w:r>
              <w:rPr>
                <w:rFonts w:hint="eastAsia"/>
                <w:color w:val="auto"/>
                <w:vertAlign w:val="superscript"/>
              </w:rPr>
              <w:t>3</w:t>
            </w:r>
            <w:r>
              <w:rPr>
                <w:rFonts w:hint="eastAsia"/>
                <w:color w:val="auto"/>
              </w:rPr>
              <w:t>/s，从海口至永定桥92km，下游（禄劝县境内）称螳螂川，于三江口汇入金沙江，全长243km，落差258km，流经永定坝子和赤鹫坝子，地段比降较小，赤鹫以下进入峡谷地段，河床切割深达100~200m。</w:t>
            </w:r>
          </w:p>
          <w:p>
            <w:pPr>
              <w:ind w:firstLine="480"/>
              <w:rPr>
                <w:color w:val="auto"/>
              </w:rPr>
            </w:pPr>
            <w:r>
              <w:rPr>
                <w:rFonts w:hint="eastAsia"/>
                <w:color w:val="auto"/>
              </w:rPr>
              <w:t>螳螂川源于滇池，于莲花岩注入富民县境，由西南向东北流，到瓦窑进入富民坝子，经永定街道、赤鹫镇到龙发村汇集天生桥河水处，上游称“螳螂川”下游称“普渡河”，再流经款庄镇与东村镇西缘，到沙坪村西北约1000米许进入禄劝县境，注入金沙江。县内全长63.4km，均宽65m，入出落差258m，年入境水量86320万m</w:t>
            </w:r>
            <w:r>
              <w:rPr>
                <w:rFonts w:hint="eastAsia"/>
                <w:color w:val="auto"/>
                <w:vertAlign w:val="superscript"/>
              </w:rPr>
              <w:t>3</w:t>
            </w:r>
            <w:r>
              <w:rPr>
                <w:rFonts w:hint="eastAsia"/>
                <w:color w:val="auto"/>
              </w:rPr>
              <w:t>，年均秒流量28.3 m</w:t>
            </w:r>
            <w:r>
              <w:rPr>
                <w:rFonts w:hint="eastAsia"/>
                <w:color w:val="auto"/>
                <w:vertAlign w:val="superscript"/>
              </w:rPr>
              <w:t>3</w:t>
            </w:r>
            <w:r>
              <w:rPr>
                <w:rFonts w:hint="eastAsia"/>
                <w:color w:val="auto"/>
              </w:rPr>
              <w:t>，最大秒流量500 m</w:t>
            </w:r>
            <w:r>
              <w:rPr>
                <w:rFonts w:hint="eastAsia"/>
                <w:color w:val="auto"/>
                <w:vertAlign w:val="superscript"/>
              </w:rPr>
              <w:t>3</w:t>
            </w:r>
            <w:r>
              <w:rPr>
                <w:rFonts w:hint="eastAsia"/>
                <w:color w:val="auto"/>
              </w:rPr>
              <w:t>。曾在清康熙五十一年(1712)断流。螳螂川属于普渡河的一部分，由滇池出口的中滩闸起至富民县赤鹫大桥止称螳螂川，富民县赤鹫大桥起至金沙江称为普渡河。项目所在区域水系图见附图4</w:t>
            </w:r>
            <w:r>
              <w:rPr>
                <w:color w:val="auto"/>
              </w:rPr>
              <w:t xml:space="preserve">。 </w:t>
            </w:r>
          </w:p>
          <w:p>
            <w:pPr>
              <w:ind w:firstLine="480"/>
              <w:rPr>
                <w:color w:val="auto"/>
              </w:rPr>
            </w:pPr>
            <w:r>
              <w:rPr>
                <w:rFonts w:hint="eastAsia"/>
                <w:color w:val="auto"/>
              </w:rPr>
              <w:t>项目区的最近的地表水体为南侧大营河，大营河为螳螂川支流，</w:t>
            </w:r>
            <w:r>
              <w:rPr>
                <w:color w:val="auto"/>
              </w:rPr>
              <w:t>系长江流域金沙江水系，</w:t>
            </w:r>
            <w:r>
              <w:rPr>
                <w:rFonts w:hint="eastAsia"/>
                <w:color w:val="auto"/>
              </w:rPr>
              <w:t>大营河流经区域主要为山区和少量农村</w:t>
            </w:r>
            <w:r>
              <w:rPr>
                <w:color w:val="auto"/>
              </w:rPr>
              <w:t>，</w:t>
            </w:r>
            <w:r>
              <w:rPr>
                <w:rFonts w:hint="eastAsia"/>
                <w:color w:val="auto"/>
              </w:rPr>
              <w:t>受污染程度轻，从现场勘察来看，大营河水质清澈透明。</w:t>
            </w:r>
            <w:r>
              <w:rPr>
                <w:color w:val="auto"/>
              </w:rPr>
              <w:t>项目区域水系详见附图2。</w:t>
            </w:r>
          </w:p>
          <w:p>
            <w:pPr>
              <w:ind w:firstLine="482"/>
              <w:rPr>
                <w:b/>
                <w:snapToGrid/>
                <w:color w:val="auto"/>
              </w:rPr>
            </w:pPr>
            <w:r>
              <w:rPr>
                <w:rFonts w:hint="eastAsia"/>
                <w:b/>
                <w:color w:val="auto"/>
                <w:szCs w:val="28"/>
              </w:rPr>
              <w:t>5</w:t>
            </w:r>
            <w:r>
              <w:rPr>
                <w:b/>
                <w:color w:val="auto"/>
                <w:szCs w:val="28"/>
              </w:rPr>
              <w:t>、土壤</w:t>
            </w:r>
          </w:p>
          <w:p>
            <w:pPr>
              <w:ind w:firstLine="480"/>
              <w:rPr>
                <w:color w:val="auto"/>
              </w:rPr>
            </w:pPr>
            <w:r>
              <w:rPr>
                <w:rFonts w:hint="eastAsia"/>
                <w:color w:val="auto"/>
              </w:rPr>
              <w:t>富民县土壤由棕壤、红壤、紫色土、水稻土四类土壤组成,分别占面积的1.7%、68.9%、15.5%、4.8%，分属7个亚属、15个土属、25个土种。棕壤分布在2400~2641m高山顶部，面积仅占总土地面积的1.7%；山地红壤分布于海拔1830~2400m的广大地区，面积占土地总面积的68.9%；紫色土分布于海拔1900~2100m的局部地区，面积占土地面积的15.5%；水稻土分布于区内平坝、箸沟、山间盆地等处,面积占全区面积的4.8%。</w:t>
            </w:r>
          </w:p>
          <w:p>
            <w:pPr>
              <w:ind w:firstLine="480"/>
              <w:rPr>
                <w:color w:val="auto"/>
              </w:rPr>
            </w:pPr>
            <w:r>
              <w:rPr>
                <w:rFonts w:hint="eastAsia"/>
                <w:color w:val="auto"/>
              </w:rPr>
              <w:t>区域内土壤类型复杂多样。因土壤发育程度、植被类型、侵蚀等级不同，以及受人类活动长期影响，目前该地区形成了亚热带山地红壤、棕壤、紫色土和水稻土等土壤类型。其中红壤土面积分布最广(海拔1930~2300m），约占当地土地总面积的68%；紫色土分布于海拔1900~2100m的局部地区,占当地土地总面积的10.1%；水稻土分布于平坝、箸沟和山间盆地，占当地土地面积的6.3%；棕壤土分布在2300m以上区域，仅占当地土地总面积的1.0%。</w:t>
            </w:r>
          </w:p>
          <w:p>
            <w:pPr>
              <w:ind w:firstLine="480"/>
              <w:rPr>
                <w:color w:val="auto"/>
              </w:rPr>
            </w:pPr>
            <w:r>
              <w:rPr>
                <w:rFonts w:hint="eastAsia"/>
                <w:color w:val="auto"/>
              </w:rPr>
              <w:t>根据现场调查,项目区土壤类型主要为红壤。</w:t>
            </w:r>
          </w:p>
          <w:p>
            <w:pPr>
              <w:ind w:firstLine="482"/>
              <w:rPr>
                <w:b/>
                <w:color w:val="auto"/>
                <w:szCs w:val="28"/>
              </w:rPr>
            </w:pPr>
            <w:r>
              <w:rPr>
                <w:rFonts w:hint="eastAsia"/>
                <w:b/>
                <w:color w:val="auto"/>
                <w:szCs w:val="28"/>
              </w:rPr>
              <w:t>6</w:t>
            </w:r>
            <w:r>
              <w:rPr>
                <w:b/>
                <w:color w:val="auto"/>
                <w:szCs w:val="28"/>
              </w:rPr>
              <w:t>、植被</w:t>
            </w:r>
          </w:p>
          <w:p>
            <w:pPr>
              <w:ind w:firstLine="480"/>
              <w:rPr>
                <w:color w:val="auto"/>
              </w:rPr>
            </w:pPr>
            <w:r>
              <w:rPr>
                <w:rFonts w:hint="eastAsia"/>
                <w:color w:val="auto"/>
              </w:rPr>
              <w:t>富民县属亚热带常绿阔叶林地带,现有林地和草地共65842.47hm</w:t>
            </w:r>
            <w:r>
              <w:rPr>
                <w:rFonts w:hint="eastAsia"/>
                <w:color w:val="auto"/>
                <w:vertAlign w:val="superscript"/>
              </w:rPr>
              <w:t>2</w:t>
            </w:r>
            <w:r>
              <w:rPr>
                <w:rFonts w:hint="eastAsia"/>
                <w:color w:val="auto"/>
              </w:rPr>
              <w:t>，全县林草覆盖率65.64%。由于海拔和地形的差异,水热条件等气候要素以及地质、土壤的不同,造成境内植物资源丰富，形成植被在地域分布上的差异性，现有的植被都是次生植被类型，主要植被类型有暖性针叶林、暖性阔叶林、暖温性灌木丛，自然植被树种以云南松、旱冬瓜、滇柏、旱冬瓜等为主，草本植物为细柄草、野古草、毛蕨菜、滇龙胆、黄背草、兔耳风等为主。当地乔木树种主要为高山彬、元江彬、滇青冈、滇石栎、云南松、华山松、滇油杉、校树、柏树、旱冬瓜和恺木等，灌木主要为滇杨梅、滇含笑、车桑子、小铁仔等。</w:t>
            </w:r>
          </w:p>
          <w:p>
            <w:pPr>
              <w:ind w:firstLine="480"/>
              <w:rPr>
                <w:snapToGrid/>
                <w:color w:val="auto"/>
              </w:rPr>
            </w:pPr>
            <w:r>
              <w:rPr>
                <w:rFonts w:hint="eastAsia"/>
                <w:color w:val="auto"/>
              </w:rPr>
              <w:t>项目所在地植被属亚热带西部中山半湿润常绿阔叶林区，项目区主要为人工校树、乔灌木、荒草地等，区内林草覆盖率约88.76%。</w:t>
            </w:r>
          </w:p>
          <w:p>
            <w:pPr>
              <w:widowControl/>
              <w:ind w:firstLine="482"/>
              <w:jc w:val="left"/>
              <w:rPr>
                <w:b/>
                <w:color w:val="auto"/>
                <w:szCs w:val="28"/>
              </w:rPr>
            </w:pPr>
            <w:r>
              <w:rPr>
                <w:rFonts w:hint="eastAsia"/>
                <w:b/>
                <w:color w:val="auto"/>
                <w:szCs w:val="28"/>
              </w:rPr>
              <w:t>7、文物保护</w:t>
            </w:r>
          </w:p>
          <w:p>
            <w:pPr>
              <w:ind w:firstLine="480"/>
              <w:rPr>
                <w:rFonts w:ascii="宋体"/>
                <w:color w:val="auto"/>
              </w:rPr>
            </w:pPr>
            <w:r>
              <w:rPr>
                <w:rFonts w:ascii="宋体"/>
                <w:color w:val="auto"/>
              </w:rPr>
              <w:t>项目所在地无重点文物保护单位，不属于风景名胜区、水源保护区、自然保护区，无需要特殊保护的动、植物资源。</w:t>
            </w:r>
          </w:p>
          <w:p>
            <w:pPr>
              <w:adjustRightInd/>
              <w:snapToGrid/>
              <w:ind w:firstLine="482"/>
              <w:rPr>
                <w:b/>
                <w:color w:val="auto"/>
                <w:szCs w:val="28"/>
              </w:rPr>
            </w:pPr>
            <w:r>
              <w:rPr>
                <w:rFonts w:hint="eastAsia"/>
                <w:b/>
                <w:color w:val="auto"/>
                <w:szCs w:val="28"/>
              </w:rPr>
              <w:t>8</w:t>
            </w:r>
            <w:r>
              <w:rPr>
                <w:b/>
                <w:color w:val="auto"/>
                <w:szCs w:val="28"/>
              </w:rPr>
              <w:t>、</w:t>
            </w:r>
            <w:r>
              <w:rPr>
                <w:rFonts w:hint="eastAsia"/>
                <w:b/>
                <w:color w:val="auto"/>
                <w:szCs w:val="28"/>
              </w:rPr>
              <w:t>富民工业园区</w:t>
            </w:r>
            <w:r>
              <w:rPr>
                <w:b/>
                <w:color w:val="auto"/>
                <w:szCs w:val="28"/>
              </w:rPr>
              <w:t>概况</w:t>
            </w:r>
          </w:p>
          <w:p>
            <w:pPr>
              <w:ind w:firstLine="482"/>
              <w:rPr>
                <w:b/>
                <w:color w:val="auto"/>
              </w:rPr>
            </w:pPr>
            <w:r>
              <w:rPr>
                <w:b/>
                <w:color w:val="auto"/>
              </w:rPr>
              <w:t>（1）富民工业园区</w:t>
            </w:r>
            <w:r>
              <w:rPr>
                <w:rFonts w:hint="eastAsia"/>
                <w:b/>
                <w:color w:val="auto"/>
              </w:rPr>
              <w:t>简介</w:t>
            </w:r>
          </w:p>
          <w:p>
            <w:pPr>
              <w:ind w:firstLine="480"/>
              <w:rPr>
                <w:color w:val="auto"/>
              </w:rPr>
            </w:pPr>
            <w:r>
              <w:rPr>
                <w:rFonts w:hint="eastAsia"/>
                <w:color w:val="auto"/>
              </w:rPr>
              <w:t>2014 年富民工业园区管委会委托昆明市规划设计研究院编制完成了《富民工业园区总体规划修编（2015~2030）》，通过昆明市工业和信息化委员会组织的专家审核，并于2015年10月取得了昆明市工业和信息化委员会《关于实施&lt; 富民工业园区总体规划修编（2015~2030）&gt;的意见》（昆工信发【2015】181号）。园区总规划面积67.37平方公里，建设用地面积为30.4平方公里，规划期为2015~2030年。</w:t>
            </w:r>
          </w:p>
          <w:p>
            <w:pPr>
              <w:ind w:firstLine="480"/>
              <w:rPr>
                <w:color w:val="auto"/>
              </w:rPr>
            </w:pPr>
            <w:r>
              <w:rPr>
                <w:rFonts w:hint="eastAsia"/>
                <w:color w:val="auto"/>
              </w:rPr>
              <w:t>富民工业园区位于富民永定街道、罗免镇、赤鹫镇、散旦镇、款庄镇、东村镇的部分区域，定位为新型工业园区，是以装备制造、钛化工和新材料三大产业为主导的产业基地，集生产、生活配套为一体的生态工业园，呈带状组团发展格局，形成“一核、两轴、四片区、多组团、多节点”的总体空间发展结构：</w:t>
            </w:r>
          </w:p>
          <w:p>
            <w:pPr>
              <w:ind w:firstLine="480"/>
              <w:rPr>
                <w:color w:val="auto"/>
              </w:rPr>
            </w:pPr>
            <w:r>
              <w:rPr>
                <w:rFonts w:hint="eastAsia"/>
                <w:color w:val="auto"/>
              </w:rPr>
              <w:t>一核：县城综合服务中心，作为园区重要的生活及配套服务中心。</w:t>
            </w:r>
          </w:p>
          <w:p>
            <w:pPr>
              <w:ind w:firstLine="480"/>
              <w:rPr>
                <w:color w:val="auto"/>
              </w:rPr>
            </w:pPr>
            <w:r>
              <w:rPr>
                <w:rFonts w:hint="eastAsia"/>
                <w:color w:val="auto"/>
              </w:rPr>
              <w:t>两轴：是指沿昆武高速公路、昆禄公路形成的发展轴线以及沿轿子雪山旅游专线形成的发展轴线。</w:t>
            </w:r>
          </w:p>
          <w:p>
            <w:pPr>
              <w:ind w:firstLine="480"/>
              <w:rPr>
                <w:color w:val="auto"/>
              </w:rPr>
            </w:pPr>
            <w:r>
              <w:rPr>
                <w:rFonts w:hint="eastAsia"/>
                <w:color w:val="auto"/>
              </w:rPr>
              <w:t>四片区：是指在现有乡镇外开发建设的产业功能片区，包括白石岩—大白坡片区、大营—茨塘片区、散旦片区、款庄—东村片区四大工业片区。</w:t>
            </w:r>
          </w:p>
          <w:p>
            <w:pPr>
              <w:ind w:firstLine="480"/>
              <w:rPr>
                <w:color w:val="auto"/>
              </w:rPr>
            </w:pPr>
            <w:r>
              <w:rPr>
                <w:rFonts w:hint="eastAsia"/>
                <w:color w:val="auto"/>
              </w:rPr>
              <w:t>多组团：指四个工业片区内部功能各异的产业组团，包括钛化工、装备制造、新材料、食品加工、机械加工等功能组团。</w:t>
            </w:r>
          </w:p>
          <w:p>
            <w:pPr>
              <w:ind w:firstLine="480"/>
              <w:rPr>
                <w:color w:val="auto"/>
              </w:rPr>
            </w:pPr>
            <w:r>
              <w:rPr>
                <w:rFonts w:hint="eastAsia"/>
                <w:color w:val="auto"/>
              </w:rPr>
              <w:t>多节点：指园区周边的关联乡镇以及四大工业片区中配套的综合服务节点，作为园区生活和配套服务的次级服务节点。</w:t>
            </w:r>
          </w:p>
          <w:p>
            <w:pPr>
              <w:ind w:firstLine="482"/>
              <w:rPr>
                <w:b/>
                <w:color w:val="auto"/>
              </w:rPr>
            </w:pPr>
            <w:r>
              <w:rPr>
                <w:b/>
                <w:color w:val="auto"/>
              </w:rPr>
              <w:t>（2）规划产业结构</w:t>
            </w:r>
          </w:p>
          <w:p>
            <w:pPr>
              <w:ind w:firstLine="480"/>
              <w:rPr>
                <w:color w:val="auto"/>
              </w:rPr>
            </w:pPr>
            <w:r>
              <w:rPr>
                <w:rFonts w:hint="eastAsia"/>
                <w:color w:val="auto"/>
              </w:rPr>
              <w:t>项目位于富民工业园区大营—茨塘片区，大营—茨塘片区位于县城区的东北面，为县城区常年主导风向的下风向区域；主要布局以半导体为主的新材料产业、食品加工及五金建材产业，积极引导以半导体为主导的新材料产业的发展，并在现状东元食品产业园和大营五金建材产业园的发展基础上，延续食品加工、五金建材等产业的发展，重点建设云南台湾食品加工园，推动新型建材企业的入驻。同时，充分利用临近县城的区位条件，紧邻昆武高速公路、昆禄公路的交通条件， 发展商贸物流产业。项目属于金属制品业，与片区产业定位不冲突。</w:t>
            </w:r>
          </w:p>
          <w:p>
            <w:pPr>
              <w:ind w:firstLine="482"/>
              <w:rPr>
                <w:b/>
                <w:color w:val="auto"/>
              </w:rPr>
            </w:pPr>
            <w:r>
              <w:rPr>
                <w:b/>
                <w:color w:val="auto"/>
              </w:rPr>
              <w:t>（3）园区规划环评</w:t>
            </w:r>
          </w:p>
          <w:p>
            <w:pPr>
              <w:ind w:firstLine="480"/>
              <w:rPr>
                <w:color w:val="auto"/>
                <w:szCs w:val="28"/>
              </w:rPr>
            </w:pPr>
            <w:r>
              <w:rPr>
                <w:rFonts w:hint="eastAsia"/>
                <w:color w:val="auto"/>
              </w:rPr>
              <w:t>富民工业园区管委会委托云南大学编制了《富民工业园区总体规划修编（2015~2030）环境影响报告书》，该报告书于 2016 年 1 月通过了云南省环境保护厅组织的专家组的审查（审批文号“云环函[2016]10 号”）</w:t>
            </w:r>
            <w:r>
              <w:rPr>
                <w:rFonts w:hint="eastAsia" w:ascii="宋体" w:hAnsi="宋体"/>
                <w:color w:val="auto"/>
              </w:rPr>
              <w:t>。</w:t>
            </w: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6" w:name="_Toc26112"/>
      <w:bookmarkStart w:id="7" w:name="_Toc22554"/>
      <w:r>
        <w:rPr>
          <w:rFonts w:hint="default" w:ascii="Times New Roman" w:hAnsi="Times New Roman" w:eastAsia="宋体" w:cs="Times New Roman"/>
          <w:b/>
          <w:bCs/>
          <w:color w:val="auto"/>
          <w:sz w:val="28"/>
          <w:szCs w:val="28"/>
        </w:rPr>
        <w:t>三、环境质量状况</w:t>
      </w:r>
      <w:bookmarkEnd w:id="6"/>
      <w:bookmarkEnd w:id="7"/>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pPr>
              <w:keepLines/>
              <w:ind w:firstLine="0" w:firstLineChars="0"/>
              <w:contextualSpacing/>
              <w:rPr>
                <w:b/>
                <w:bCs/>
                <w:color w:val="auto"/>
                <w:szCs w:val="30"/>
              </w:rPr>
            </w:pPr>
            <w:r>
              <w:rPr>
                <w:b/>
                <w:bCs/>
                <w:color w:val="auto"/>
                <w:szCs w:val="30"/>
              </w:rPr>
              <w:t>建设项目所在区域环境质量现状及主要环境问题(环境空气、地面水、地下水、声环境、生态环境等)</w:t>
            </w:r>
          </w:p>
          <w:p>
            <w:pPr>
              <w:keepLines/>
              <w:ind w:firstLine="482"/>
              <w:contextualSpacing/>
              <w:rPr>
                <w:b/>
                <w:color w:val="auto"/>
                <w:szCs w:val="28"/>
              </w:rPr>
            </w:pPr>
            <w:r>
              <w:rPr>
                <w:b/>
                <w:color w:val="auto"/>
                <w:szCs w:val="28"/>
              </w:rPr>
              <w:t>1、环境空气质量现状</w:t>
            </w:r>
          </w:p>
          <w:p>
            <w:pPr>
              <w:ind w:firstLine="480"/>
              <w:rPr>
                <w:snapToGrid/>
                <w:color w:val="auto"/>
              </w:rPr>
            </w:pPr>
            <w:r>
              <w:rPr>
                <w:color w:val="auto"/>
              </w:rPr>
              <w:t>本项目位于</w:t>
            </w:r>
            <w:r>
              <w:rPr>
                <w:rFonts w:hint="eastAsia"/>
                <w:color w:val="auto"/>
              </w:rPr>
              <w:t>富民工业园区大营—茨塘片区大营五金建材园</w:t>
            </w:r>
            <w:r>
              <w:rPr>
                <w:color w:val="auto"/>
              </w:rPr>
              <w:t>，主要为一般工业区，该区域环境空气质量功能区划为二类区，执行（GB3095-2012）《环境空气质量标准》二级标准。</w:t>
            </w:r>
          </w:p>
          <w:p>
            <w:pPr>
              <w:ind w:firstLine="480"/>
              <w:rPr>
                <w:snapToGrid/>
                <w:color w:val="auto"/>
              </w:rPr>
            </w:pPr>
            <w:r>
              <w:rPr>
                <w:rFonts w:hint="eastAsia"/>
                <w:color w:val="auto"/>
              </w:rPr>
              <w:t>富民工业园区大营</w:t>
            </w:r>
            <w:r>
              <w:rPr>
                <w:color w:val="auto"/>
              </w:rPr>
              <w:t>工业基地规划用地为居住、公共管理与公共服务设施用地以及工业用地，目前无严重大气污染物排放企业入驻，根据《</w:t>
            </w:r>
            <w:r>
              <w:rPr>
                <w:rFonts w:hint="eastAsia"/>
                <w:color w:val="auto"/>
              </w:rPr>
              <w:t>2019年度昆明市生态环境状况公报</w:t>
            </w:r>
            <w:r>
              <w:rPr>
                <w:color w:val="auto"/>
              </w:rPr>
              <w:t>》，</w:t>
            </w:r>
            <w:r>
              <w:rPr>
                <w:rFonts w:hint="eastAsia"/>
                <w:color w:val="auto"/>
              </w:rPr>
              <w:t>富民县</w:t>
            </w:r>
            <w:r>
              <w:rPr>
                <w:color w:val="auto"/>
              </w:rPr>
              <w:t>二氧化硫、二氧化氮、颗粒物（PM</w:t>
            </w:r>
            <w:r>
              <w:rPr>
                <w:color w:val="auto"/>
                <w:vertAlign w:val="subscript"/>
              </w:rPr>
              <w:t>10</w:t>
            </w:r>
            <w:r>
              <w:rPr>
                <w:color w:val="auto"/>
              </w:rPr>
              <w:t>）年均浓度均达到二级标准，与上年比较，环境空气质量总体保持稳定。</w:t>
            </w:r>
          </w:p>
          <w:p>
            <w:pPr>
              <w:pStyle w:val="48"/>
              <w:ind w:firstLine="422"/>
              <w:rPr>
                <w:snapToGrid w:val="0"/>
                <w:color w:val="auto"/>
              </w:rPr>
            </w:pPr>
            <w:r>
              <w:rPr>
                <w:color w:val="auto"/>
              </w:rPr>
              <w:t>表</w:t>
            </w:r>
            <w:r>
              <w:rPr>
                <w:rFonts w:hint="eastAsia"/>
                <w:color w:val="auto"/>
              </w:rPr>
              <w:t>3-1 昆明市空气质量污染物2019年均浓度</w:t>
            </w:r>
          </w:p>
          <w:tbl>
            <w:tblPr>
              <w:tblStyle w:val="36"/>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2319"/>
              <w:gridCol w:w="1307"/>
              <w:gridCol w:w="1538"/>
              <w:gridCol w:w="2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rPr>
              <w:tc>
                <w:tcPr>
                  <w:tcW w:w="442" w:type="pct"/>
                  <w:tcBorders>
                    <w:bottom w:val="single" w:color="auto" w:sz="4" w:space="0"/>
                    <w:right w:val="single" w:color="auto" w:sz="4" w:space="0"/>
                  </w:tcBorders>
                  <w:vAlign w:val="center"/>
                </w:tcPr>
                <w:p>
                  <w:pPr>
                    <w:pStyle w:val="50"/>
                    <w:rPr>
                      <w:color w:val="auto"/>
                    </w:rPr>
                  </w:pPr>
                  <w:r>
                    <w:rPr>
                      <w:rFonts w:hint="eastAsia"/>
                      <w:color w:val="auto"/>
                    </w:rPr>
                    <w:t>序号</w:t>
                  </w:r>
                </w:p>
              </w:tc>
              <w:tc>
                <w:tcPr>
                  <w:tcW w:w="1311" w:type="pct"/>
                  <w:tcBorders>
                    <w:left w:val="nil"/>
                    <w:bottom w:val="single" w:color="auto" w:sz="4" w:space="0"/>
                    <w:right w:val="single" w:color="auto" w:sz="4" w:space="0"/>
                  </w:tcBorders>
                  <w:vAlign w:val="center"/>
                </w:tcPr>
                <w:p>
                  <w:pPr>
                    <w:pStyle w:val="50"/>
                    <w:rPr>
                      <w:color w:val="auto"/>
                    </w:rPr>
                  </w:pPr>
                  <w:r>
                    <w:rPr>
                      <w:rFonts w:hint="eastAsia"/>
                      <w:color w:val="auto"/>
                    </w:rPr>
                    <w:t>污染物</w:t>
                  </w:r>
                </w:p>
              </w:tc>
              <w:tc>
                <w:tcPr>
                  <w:tcW w:w="739" w:type="pct"/>
                  <w:tcBorders>
                    <w:left w:val="nil"/>
                    <w:bottom w:val="single" w:color="auto" w:sz="4" w:space="0"/>
                    <w:right w:val="single" w:color="auto" w:sz="4" w:space="0"/>
                  </w:tcBorders>
                  <w:vAlign w:val="center"/>
                </w:tcPr>
                <w:p>
                  <w:pPr>
                    <w:pStyle w:val="50"/>
                    <w:rPr>
                      <w:color w:val="auto"/>
                    </w:rPr>
                  </w:pPr>
                  <w:r>
                    <w:rPr>
                      <w:rFonts w:hint="eastAsia"/>
                      <w:color w:val="auto"/>
                    </w:rPr>
                    <w:t>年均浓度</w:t>
                  </w:r>
                </w:p>
              </w:tc>
              <w:tc>
                <w:tcPr>
                  <w:tcW w:w="870" w:type="pct"/>
                  <w:tcBorders>
                    <w:left w:val="nil"/>
                    <w:bottom w:val="single" w:color="auto" w:sz="4" w:space="0"/>
                  </w:tcBorders>
                  <w:vAlign w:val="center"/>
                </w:tcPr>
                <w:p>
                  <w:pPr>
                    <w:pStyle w:val="50"/>
                    <w:rPr>
                      <w:color w:val="auto"/>
                    </w:rPr>
                  </w:pPr>
                  <w:r>
                    <w:rPr>
                      <w:rFonts w:hint="eastAsia"/>
                      <w:color w:val="auto"/>
                    </w:rPr>
                    <w:t>与上年比较</w:t>
                  </w:r>
                </w:p>
              </w:tc>
              <w:tc>
                <w:tcPr>
                  <w:tcW w:w="1636" w:type="pct"/>
                  <w:tcBorders>
                    <w:left w:val="nil"/>
                    <w:bottom w:val="single" w:color="auto" w:sz="4" w:space="0"/>
                  </w:tcBorders>
                  <w:vAlign w:val="center"/>
                </w:tcPr>
                <w:p>
                  <w:pPr>
                    <w:pStyle w:val="50"/>
                    <w:rPr>
                      <w:color w:val="auto"/>
                    </w:rPr>
                  </w:pPr>
                  <w:r>
                    <w:rPr>
                      <w:rFonts w:hint="eastAsia"/>
                      <w:color w:val="auto"/>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1</w:t>
                  </w:r>
                </w:p>
              </w:tc>
              <w:tc>
                <w:tcPr>
                  <w:tcW w:w="13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二氧化硫（SO</w:t>
                  </w:r>
                  <w:r>
                    <w:rPr>
                      <w:color w:val="auto"/>
                      <w:vertAlign w:val="subscript"/>
                    </w:rPr>
                    <w:t>2</w:t>
                  </w:r>
                  <w:r>
                    <w:rPr>
                      <w:color w:val="auto"/>
                    </w:rPr>
                    <w:t>）</w:t>
                  </w:r>
                </w:p>
              </w:tc>
              <w:tc>
                <w:tcPr>
                  <w:tcW w:w="73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12ug/m³</w:t>
                  </w:r>
                </w:p>
              </w:tc>
              <w:tc>
                <w:tcPr>
                  <w:tcW w:w="870" w:type="pct"/>
                  <w:tcBorders>
                    <w:top w:val="single" w:color="auto" w:sz="4" w:space="0"/>
                    <w:left w:val="nil"/>
                    <w:bottom w:val="single" w:color="auto" w:sz="4" w:space="0"/>
                  </w:tcBorders>
                  <w:vAlign w:val="center"/>
                </w:tcPr>
                <w:p>
                  <w:pPr>
                    <w:pStyle w:val="50"/>
                    <w:rPr>
                      <w:color w:val="auto"/>
                    </w:rPr>
                  </w:pPr>
                  <w:r>
                    <w:rPr>
                      <w:rFonts w:hint="eastAsia"/>
                      <w:color w:val="auto"/>
                    </w:rPr>
                    <w:t>降低1.69%</w:t>
                  </w:r>
                </w:p>
              </w:tc>
              <w:tc>
                <w:tcPr>
                  <w:tcW w:w="1636" w:type="pct"/>
                  <w:tcBorders>
                    <w:top w:val="single" w:color="auto" w:sz="4" w:space="0"/>
                    <w:left w:val="nil"/>
                    <w:bottom w:val="single" w:color="auto" w:sz="4" w:space="0"/>
                  </w:tcBorders>
                  <w:vAlign w:val="center"/>
                </w:tcPr>
                <w:p>
                  <w:pPr>
                    <w:pStyle w:val="50"/>
                    <w:rPr>
                      <w:color w:val="auto"/>
                    </w:rPr>
                  </w:pPr>
                  <w:r>
                    <w:rPr>
                      <w:rFonts w:hint="eastAsia"/>
                      <w:color w:val="auto"/>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2</w:t>
                  </w:r>
                </w:p>
              </w:tc>
              <w:tc>
                <w:tcPr>
                  <w:tcW w:w="13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二氧化氮（NO</w:t>
                  </w:r>
                  <w:r>
                    <w:rPr>
                      <w:color w:val="auto"/>
                      <w:vertAlign w:val="subscript"/>
                    </w:rPr>
                    <w:t>2</w:t>
                  </w:r>
                  <w:r>
                    <w:rPr>
                      <w:color w:val="auto"/>
                    </w:rPr>
                    <w:t>）</w:t>
                  </w:r>
                </w:p>
              </w:tc>
              <w:tc>
                <w:tcPr>
                  <w:tcW w:w="73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31ug/m³</w:t>
                  </w:r>
                </w:p>
              </w:tc>
              <w:tc>
                <w:tcPr>
                  <w:tcW w:w="870" w:type="pct"/>
                  <w:tcBorders>
                    <w:top w:val="single" w:color="auto" w:sz="4" w:space="0"/>
                    <w:left w:val="nil"/>
                    <w:bottom w:val="single" w:color="auto" w:sz="4" w:space="0"/>
                  </w:tcBorders>
                  <w:vAlign w:val="center"/>
                </w:tcPr>
                <w:p>
                  <w:pPr>
                    <w:pStyle w:val="50"/>
                    <w:rPr>
                      <w:color w:val="auto"/>
                    </w:rPr>
                  </w:pPr>
                  <w:r>
                    <w:rPr>
                      <w:rFonts w:hint="eastAsia"/>
                      <w:color w:val="auto"/>
                    </w:rPr>
                    <w:t>降低6.06%</w:t>
                  </w:r>
                </w:p>
              </w:tc>
              <w:tc>
                <w:tcPr>
                  <w:tcW w:w="1636" w:type="pct"/>
                  <w:tcBorders>
                    <w:top w:val="single" w:color="auto" w:sz="4" w:space="0"/>
                    <w:left w:val="nil"/>
                    <w:bottom w:val="single" w:color="auto" w:sz="4" w:space="0"/>
                  </w:tcBorders>
                  <w:vAlign w:val="center"/>
                </w:tcPr>
                <w:p>
                  <w:pPr>
                    <w:pStyle w:val="50"/>
                    <w:rPr>
                      <w:color w:val="auto"/>
                    </w:rPr>
                  </w:pPr>
                  <w:r>
                    <w:rPr>
                      <w:rFonts w:hint="eastAsia"/>
                      <w:color w:val="auto"/>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3</w:t>
                  </w:r>
                </w:p>
              </w:tc>
              <w:tc>
                <w:tcPr>
                  <w:tcW w:w="13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可吸入颗粒物（PM</w:t>
                  </w:r>
                  <w:r>
                    <w:rPr>
                      <w:color w:val="auto"/>
                      <w:vertAlign w:val="subscript"/>
                    </w:rPr>
                    <w:t>10</w:t>
                  </w:r>
                  <w:r>
                    <w:rPr>
                      <w:color w:val="auto"/>
                    </w:rPr>
                    <w:t>）</w:t>
                  </w:r>
                </w:p>
              </w:tc>
              <w:tc>
                <w:tcPr>
                  <w:tcW w:w="73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45ug/m³</w:t>
                  </w:r>
                </w:p>
              </w:tc>
              <w:tc>
                <w:tcPr>
                  <w:tcW w:w="870" w:type="pct"/>
                  <w:tcBorders>
                    <w:top w:val="single" w:color="auto" w:sz="4" w:space="0"/>
                    <w:left w:val="nil"/>
                    <w:bottom w:val="single" w:color="auto" w:sz="4" w:space="0"/>
                  </w:tcBorders>
                  <w:vAlign w:val="center"/>
                </w:tcPr>
                <w:p>
                  <w:pPr>
                    <w:pStyle w:val="50"/>
                    <w:rPr>
                      <w:color w:val="auto"/>
                    </w:rPr>
                  </w:pPr>
                  <w:r>
                    <w:rPr>
                      <w:rFonts w:hint="eastAsia"/>
                      <w:color w:val="auto"/>
                    </w:rPr>
                    <w:t>降低11.76%</w:t>
                  </w:r>
                </w:p>
              </w:tc>
              <w:tc>
                <w:tcPr>
                  <w:tcW w:w="1636" w:type="pct"/>
                  <w:tcBorders>
                    <w:top w:val="single" w:color="auto" w:sz="4" w:space="0"/>
                    <w:left w:val="nil"/>
                    <w:bottom w:val="single" w:color="auto" w:sz="4" w:space="0"/>
                  </w:tcBorders>
                  <w:vAlign w:val="center"/>
                </w:tcPr>
                <w:p>
                  <w:pPr>
                    <w:pStyle w:val="50"/>
                    <w:rPr>
                      <w:color w:val="auto"/>
                    </w:rPr>
                  </w:pPr>
                  <w:r>
                    <w:rPr>
                      <w:rFonts w:hint="eastAsia"/>
                      <w:color w:val="auto"/>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4</w:t>
                  </w:r>
                </w:p>
              </w:tc>
              <w:tc>
                <w:tcPr>
                  <w:tcW w:w="13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细颗粒物（PM</w:t>
                  </w:r>
                  <w:r>
                    <w:rPr>
                      <w:color w:val="auto"/>
                      <w:vertAlign w:val="subscript"/>
                    </w:rPr>
                    <w:t>2</w:t>
                  </w:r>
                  <w:r>
                    <w:rPr>
                      <w:rFonts w:hint="eastAsia"/>
                      <w:color w:val="auto"/>
                      <w:vertAlign w:val="subscript"/>
                    </w:rPr>
                    <w:t>.</w:t>
                  </w:r>
                  <w:r>
                    <w:rPr>
                      <w:color w:val="auto"/>
                      <w:vertAlign w:val="subscript"/>
                    </w:rPr>
                    <w:t>5</w:t>
                  </w:r>
                  <w:r>
                    <w:rPr>
                      <w:color w:val="auto"/>
                    </w:rPr>
                    <w:t>）</w:t>
                  </w:r>
                </w:p>
              </w:tc>
              <w:tc>
                <w:tcPr>
                  <w:tcW w:w="73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26ug/m³</w:t>
                  </w:r>
                </w:p>
              </w:tc>
              <w:tc>
                <w:tcPr>
                  <w:tcW w:w="870" w:type="pct"/>
                  <w:tcBorders>
                    <w:top w:val="single" w:color="auto" w:sz="4" w:space="0"/>
                    <w:left w:val="nil"/>
                    <w:bottom w:val="single" w:color="auto" w:sz="4" w:space="0"/>
                  </w:tcBorders>
                  <w:vAlign w:val="center"/>
                </w:tcPr>
                <w:p>
                  <w:pPr>
                    <w:pStyle w:val="50"/>
                    <w:rPr>
                      <w:color w:val="auto"/>
                    </w:rPr>
                  </w:pPr>
                  <w:r>
                    <w:rPr>
                      <w:rFonts w:hint="eastAsia"/>
                      <w:color w:val="auto"/>
                    </w:rPr>
                    <w:t>降低7.14%</w:t>
                  </w:r>
                </w:p>
              </w:tc>
              <w:tc>
                <w:tcPr>
                  <w:tcW w:w="1636" w:type="pct"/>
                  <w:tcBorders>
                    <w:top w:val="single" w:color="auto" w:sz="4" w:space="0"/>
                    <w:left w:val="nil"/>
                    <w:bottom w:val="single" w:color="auto" w:sz="4" w:space="0"/>
                  </w:tcBorders>
                  <w:vAlign w:val="center"/>
                </w:tcPr>
                <w:p>
                  <w:pPr>
                    <w:pStyle w:val="50"/>
                    <w:rPr>
                      <w:color w:val="auto"/>
                    </w:rPr>
                  </w:pPr>
                  <w:r>
                    <w:rPr>
                      <w:rFonts w:hint="eastAsia"/>
                      <w:color w:val="auto"/>
                    </w:rPr>
                    <w:t>达到年均值二级标准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4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5</w:t>
                  </w:r>
                </w:p>
              </w:tc>
              <w:tc>
                <w:tcPr>
                  <w:tcW w:w="13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一氧化碳（CO）</w:t>
                  </w:r>
                </w:p>
              </w:tc>
              <w:tc>
                <w:tcPr>
                  <w:tcW w:w="73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1.0ug/m³</w:t>
                  </w:r>
                </w:p>
              </w:tc>
              <w:tc>
                <w:tcPr>
                  <w:tcW w:w="870" w:type="pct"/>
                  <w:tcBorders>
                    <w:top w:val="single" w:color="auto" w:sz="4" w:space="0"/>
                    <w:left w:val="nil"/>
                    <w:bottom w:val="single" w:color="auto" w:sz="4" w:space="0"/>
                  </w:tcBorders>
                  <w:vAlign w:val="center"/>
                </w:tcPr>
                <w:p>
                  <w:pPr>
                    <w:pStyle w:val="50"/>
                    <w:rPr>
                      <w:color w:val="auto"/>
                    </w:rPr>
                  </w:pPr>
                  <w:r>
                    <w:rPr>
                      <w:rFonts w:hint="eastAsia"/>
                      <w:color w:val="auto"/>
                    </w:rPr>
                    <w:t>降低16.67%</w:t>
                  </w:r>
                </w:p>
              </w:tc>
              <w:tc>
                <w:tcPr>
                  <w:tcW w:w="1636" w:type="pct"/>
                  <w:tcBorders>
                    <w:top w:val="single" w:color="auto" w:sz="4" w:space="0"/>
                    <w:left w:val="nil"/>
                    <w:bottom w:val="single" w:color="auto" w:sz="4" w:space="0"/>
                  </w:tcBorders>
                  <w:vAlign w:val="center"/>
                </w:tcPr>
                <w:p>
                  <w:pPr>
                    <w:pStyle w:val="50"/>
                    <w:rPr>
                      <w:color w:val="auto"/>
                    </w:rPr>
                  </w:pPr>
                  <w:r>
                    <w:rPr>
                      <w:rFonts w:hint="eastAsia"/>
                      <w:color w:val="auto"/>
                    </w:rPr>
                    <w:t>低于二级24小时均值标准（一氧化碳无年均浓度标准）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442" w:type="pct"/>
                  <w:tcBorders>
                    <w:top w:val="single" w:color="auto" w:sz="4" w:space="0"/>
                    <w:right w:val="single" w:color="auto" w:sz="4" w:space="0"/>
                  </w:tcBorders>
                  <w:vAlign w:val="center"/>
                </w:tcPr>
                <w:p>
                  <w:pPr>
                    <w:pStyle w:val="50"/>
                    <w:rPr>
                      <w:color w:val="auto"/>
                    </w:rPr>
                  </w:pPr>
                  <w:r>
                    <w:rPr>
                      <w:rFonts w:hint="eastAsia"/>
                      <w:color w:val="auto"/>
                    </w:rPr>
                    <w:t>6</w:t>
                  </w:r>
                </w:p>
              </w:tc>
              <w:tc>
                <w:tcPr>
                  <w:tcW w:w="1311" w:type="pct"/>
                  <w:tcBorders>
                    <w:top w:val="single" w:color="auto" w:sz="4" w:space="0"/>
                    <w:left w:val="nil"/>
                    <w:right w:val="single" w:color="auto" w:sz="4" w:space="0"/>
                  </w:tcBorders>
                  <w:vAlign w:val="center"/>
                </w:tcPr>
                <w:p>
                  <w:pPr>
                    <w:pStyle w:val="50"/>
                    <w:rPr>
                      <w:color w:val="auto"/>
                    </w:rPr>
                  </w:pPr>
                  <w:r>
                    <w:rPr>
                      <w:color w:val="auto"/>
                    </w:rPr>
                    <w:t>臭氧（O</w:t>
                  </w:r>
                  <w:r>
                    <w:rPr>
                      <w:color w:val="auto"/>
                      <w:vertAlign w:val="subscript"/>
                    </w:rPr>
                    <w:t>3</w:t>
                  </w:r>
                  <w:r>
                    <w:rPr>
                      <w:color w:val="auto"/>
                    </w:rPr>
                    <w:t>）</w:t>
                  </w:r>
                </w:p>
              </w:tc>
              <w:tc>
                <w:tcPr>
                  <w:tcW w:w="739" w:type="pct"/>
                  <w:tcBorders>
                    <w:top w:val="single" w:color="auto" w:sz="4" w:space="0"/>
                    <w:left w:val="nil"/>
                    <w:right w:val="single" w:color="auto" w:sz="4" w:space="0"/>
                  </w:tcBorders>
                  <w:vAlign w:val="center"/>
                </w:tcPr>
                <w:p>
                  <w:pPr>
                    <w:pStyle w:val="50"/>
                    <w:rPr>
                      <w:color w:val="auto"/>
                    </w:rPr>
                  </w:pPr>
                  <w:r>
                    <w:rPr>
                      <w:color w:val="auto"/>
                    </w:rPr>
                    <w:t>134ug/m³</w:t>
                  </w:r>
                </w:p>
              </w:tc>
              <w:tc>
                <w:tcPr>
                  <w:tcW w:w="870" w:type="pct"/>
                  <w:tcBorders>
                    <w:top w:val="single" w:color="auto" w:sz="4" w:space="0"/>
                    <w:left w:val="nil"/>
                  </w:tcBorders>
                  <w:vAlign w:val="center"/>
                </w:tcPr>
                <w:p>
                  <w:pPr>
                    <w:pStyle w:val="50"/>
                    <w:rPr>
                      <w:color w:val="auto"/>
                    </w:rPr>
                  </w:pPr>
                  <w:r>
                    <w:rPr>
                      <w:rFonts w:hint="eastAsia"/>
                      <w:color w:val="auto"/>
                    </w:rPr>
                    <w:t>上升3.08%</w:t>
                  </w:r>
                </w:p>
              </w:tc>
              <w:tc>
                <w:tcPr>
                  <w:tcW w:w="1636" w:type="pct"/>
                  <w:tcBorders>
                    <w:top w:val="single" w:color="auto" w:sz="4" w:space="0"/>
                    <w:left w:val="nil"/>
                  </w:tcBorders>
                  <w:vAlign w:val="center"/>
                </w:tcPr>
                <w:p>
                  <w:pPr>
                    <w:pStyle w:val="50"/>
                    <w:rPr>
                      <w:color w:val="auto"/>
                    </w:rPr>
                  </w:pPr>
                  <w:r>
                    <w:rPr>
                      <w:rFonts w:hint="eastAsia"/>
                      <w:color w:val="auto"/>
                    </w:rPr>
                    <w:t>优于二级日最大8小时平均标准（臭氧无年均浓度标准）</w:t>
                  </w:r>
                </w:p>
              </w:tc>
            </w:tr>
          </w:tbl>
          <w:p>
            <w:pPr>
              <w:ind w:firstLine="480"/>
              <w:rPr>
                <w:color w:val="auto"/>
              </w:rPr>
            </w:pPr>
            <w:r>
              <w:rPr>
                <w:rFonts w:hint="eastAsia"/>
                <w:color w:val="auto"/>
              </w:rPr>
              <w:t>由图3-1昆明市2019年二氧化硫、二氧化氮、颗粒物（PM</w:t>
            </w:r>
            <w:r>
              <w:rPr>
                <w:rFonts w:hint="eastAsia"/>
                <w:color w:val="auto"/>
                <w:vertAlign w:val="subscript"/>
              </w:rPr>
              <w:t>10</w:t>
            </w:r>
            <w:r>
              <w:rPr>
                <w:rFonts w:hint="eastAsia"/>
                <w:color w:val="auto"/>
              </w:rPr>
              <w:t>）、PM</w:t>
            </w:r>
            <w:r>
              <w:rPr>
                <w:rFonts w:hint="eastAsia"/>
                <w:color w:val="auto"/>
                <w:vertAlign w:val="subscript"/>
              </w:rPr>
              <w:t>2.5</w:t>
            </w:r>
            <w:r>
              <w:rPr>
                <w:rFonts w:hint="eastAsia"/>
                <w:color w:val="auto"/>
              </w:rPr>
              <w:t>、年均浓度分别为12</w:t>
            </w:r>
            <w:r>
              <w:rPr>
                <w:color w:val="auto"/>
              </w:rPr>
              <w:t>μg/m³</w:t>
            </w:r>
            <w:r>
              <w:rPr>
                <w:rFonts w:hint="eastAsia"/>
                <w:color w:val="auto"/>
              </w:rPr>
              <w:t>、31</w:t>
            </w:r>
            <w:r>
              <w:rPr>
                <w:color w:val="auto"/>
              </w:rPr>
              <w:t>μg/m³</w:t>
            </w:r>
            <w:r>
              <w:rPr>
                <w:rFonts w:hint="eastAsia"/>
                <w:color w:val="auto"/>
              </w:rPr>
              <w:t>、45</w:t>
            </w:r>
            <w:r>
              <w:rPr>
                <w:color w:val="auto"/>
              </w:rPr>
              <w:t>μg/m³</w:t>
            </w:r>
            <w:r>
              <w:rPr>
                <w:rFonts w:hint="eastAsia"/>
                <w:color w:val="auto"/>
              </w:rPr>
              <w:t>、26</w:t>
            </w:r>
            <w:r>
              <w:rPr>
                <w:color w:val="auto"/>
              </w:rPr>
              <w:t>μg/m³</w:t>
            </w:r>
            <w:r>
              <w:rPr>
                <w:rFonts w:hint="eastAsia"/>
                <w:color w:val="auto"/>
              </w:rPr>
              <w:t>，CO24小时平均第95百分位数为1.0</w:t>
            </w:r>
            <w:r>
              <w:rPr>
                <w:color w:val="auto"/>
              </w:rPr>
              <w:t>μg/m³</w:t>
            </w:r>
            <w:r>
              <w:rPr>
                <w:rFonts w:hint="eastAsia"/>
                <w:color w:val="auto"/>
              </w:rPr>
              <w:t>，O</w:t>
            </w:r>
            <w:r>
              <w:rPr>
                <w:rFonts w:hint="eastAsia"/>
                <w:color w:val="auto"/>
                <w:vertAlign w:val="subscript"/>
              </w:rPr>
              <w:t>3</w:t>
            </w:r>
            <w:r>
              <w:rPr>
                <w:rFonts w:hint="eastAsia"/>
                <w:color w:val="auto"/>
              </w:rPr>
              <w:t>日最大8小时平均第90百分位数为134</w:t>
            </w:r>
            <w:r>
              <w:rPr>
                <w:color w:val="auto"/>
              </w:rPr>
              <w:t>μg/m³</w:t>
            </w:r>
            <w:r>
              <w:rPr>
                <w:rFonts w:hint="eastAsia"/>
                <w:color w:val="auto"/>
              </w:rPr>
              <w:t>；各污染物平均浓度均优于《环境空气质量标准》（GB3095-2012）中二级标准限值。因此，项目所在地能够满足（GB3095-2012）《环境空气质量标准》二级标准。</w:t>
            </w:r>
          </w:p>
          <w:p>
            <w:pPr>
              <w:ind w:firstLine="480"/>
              <w:rPr>
                <w:rFonts w:hint="eastAsia"/>
                <w:color w:val="auto"/>
              </w:rPr>
            </w:pPr>
            <w:r>
              <w:rPr>
                <w:rFonts w:hint="eastAsia"/>
                <w:color w:val="auto"/>
              </w:rPr>
              <w:t>本项目主要特征污染物为总挥发性有机物(TVOC)，为了解项目所在区域环境空气质量，本次环评总挥发性有机物(TVOC)参考昆明银华工贸有限公司路桥分公司《年加工钢结构产品3000吨项目环境影响报告表》（报批稿）中现状监测结果，监测点位于昆明银华工贸有限公司路桥分公司生产车间外空地及下风向，位于本项目东</w:t>
            </w:r>
            <w:r>
              <w:rPr>
                <w:rFonts w:hint="eastAsia"/>
                <w:color w:val="auto"/>
                <w:lang w:val="en-US" w:eastAsia="zh-CN"/>
              </w:rPr>
              <w:t>北</w:t>
            </w:r>
            <w:r>
              <w:rPr>
                <w:rFonts w:hint="eastAsia"/>
                <w:color w:val="auto"/>
              </w:rPr>
              <w:t>侧约</w:t>
            </w:r>
            <w:r>
              <w:rPr>
                <w:rFonts w:hint="eastAsia"/>
                <w:color w:val="auto"/>
                <w:lang w:val="en-US" w:eastAsia="zh-CN"/>
              </w:rPr>
              <w:t>600</w:t>
            </w:r>
            <w:r>
              <w:rPr>
                <w:rFonts w:hint="eastAsia"/>
                <w:color w:val="auto"/>
              </w:rPr>
              <w:t>m处，</w:t>
            </w:r>
            <w:r>
              <w:rPr>
                <w:rFonts w:hint="eastAsia"/>
                <w:color w:val="auto"/>
                <w:lang w:val="en-US" w:eastAsia="zh-CN"/>
              </w:rPr>
              <w:t>位于本项目下风向</w:t>
            </w:r>
            <w:r>
              <w:rPr>
                <w:rFonts w:hint="eastAsia"/>
                <w:color w:val="auto"/>
              </w:rPr>
              <w:t>，监测数据可代表本项目区域特征污染物质量现状，具体值如下：</w:t>
            </w:r>
          </w:p>
          <w:p>
            <w:pPr>
              <w:pStyle w:val="48"/>
              <w:bidi w:val="0"/>
              <w:rPr>
                <w:rFonts w:hint="eastAsia"/>
                <w:color w:val="auto"/>
                <w:lang w:val="en-US" w:eastAsia="zh-CN"/>
              </w:rPr>
            </w:pPr>
            <w:r>
              <w:rPr>
                <w:rFonts w:hint="eastAsia"/>
                <w:color w:val="auto"/>
                <w:lang w:val="en-US" w:eastAsia="zh-CN"/>
              </w:rPr>
              <w:t>表3-2 总挥发性有机物（TVOC）检测结果</w:t>
            </w:r>
          </w:p>
          <w:tbl>
            <w:tblPr>
              <w:tblStyle w:val="37"/>
              <w:tblW w:w="8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3"/>
              <w:gridCol w:w="2214"/>
              <w:gridCol w:w="1912"/>
              <w:gridCol w:w="25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采样地点</w:t>
                  </w:r>
                </w:p>
              </w:tc>
              <w:tc>
                <w:tcPr>
                  <w:tcW w:w="2214"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采样日期</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采样时间</w:t>
                  </w:r>
                </w:p>
              </w:tc>
              <w:tc>
                <w:tcPr>
                  <w:tcW w:w="2516" w:type="dxa"/>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检测项目（单位： μg</w:t>
                  </w:r>
                  <w:r>
                    <w:rPr>
                      <w:rFonts w:hint="default" w:ascii="Times New Roman" w:hAnsi="Times New Roman" w:cs="Times New Roman"/>
                      <w:color w:val="auto"/>
                    </w:rPr>
                    <w:t>/m³</w:t>
                  </w:r>
                  <w:r>
                    <w:rPr>
                      <w:rFonts w:hint="default" w:ascii="Times New Roman" w:hAnsi="Times New Roman" w:cs="Times New Roman"/>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Merge w:val="continue"/>
                  <w:vAlign w:val="center"/>
                </w:tcPr>
                <w:p>
                  <w:pPr>
                    <w:pStyle w:val="50"/>
                    <w:bidi w:val="0"/>
                    <w:jc w:val="center"/>
                    <w:rPr>
                      <w:rFonts w:hint="default" w:ascii="Times New Roman" w:hAnsi="Times New Roman" w:cs="Times New Roman"/>
                      <w:color w:val="auto"/>
                    </w:rPr>
                  </w:pP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总挥发性有机物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2019.11.13</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09:17-17:17</w:t>
                  </w:r>
                </w:p>
              </w:tc>
              <w:tc>
                <w:tcPr>
                  <w:tcW w:w="2516" w:type="dxa"/>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2019.11.14</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09:34-17:34</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2019.11.15</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09:01-17:01</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2019.11.16</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08:49-16:49</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2019.11.17</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09:05-17:05</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2019.11.18</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09:11-17:11</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生产车间外空地</w:t>
                  </w:r>
                </w:p>
              </w:tc>
              <w:tc>
                <w:tcPr>
                  <w:tcW w:w="2214" w:type="dxa"/>
                  <w:vMerge w:val="restart"/>
                  <w:vAlign w:val="center"/>
                </w:tcPr>
                <w:p>
                  <w:pPr>
                    <w:pStyle w:val="50"/>
                    <w:bidi w:val="0"/>
                    <w:jc w:val="center"/>
                    <w:rPr>
                      <w:rFonts w:hint="default" w:ascii="Times New Roman" w:hAnsi="Times New Roman" w:cs="Times New Roman"/>
                      <w:color w:val="auto"/>
                      <w:lang w:val="en-US"/>
                    </w:rPr>
                  </w:pPr>
                  <w:r>
                    <w:rPr>
                      <w:rFonts w:hint="default" w:ascii="Times New Roman" w:hAnsi="Times New Roman" w:cs="Times New Roman"/>
                      <w:color w:val="auto"/>
                      <w:lang w:val="en-US" w:eastAsia="zh-CN"/>
                    </w:rPr>
                    <w:t>2019.11.19</w:t>
                  </w:r>
                </w:p>
              </w:tc>
              <w:tc>
                <w:tcPr>
                  <w:tcW w:w="1912" w:type="dxa"/>
                  <w:vMerge w:val="restart"/>
                  <w:vAlign w:val="center"/>
                </w:tcPr>
                <w:p>
                  <w:pPr>
                    <w:pStyle w:val="50"/>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08:44-16:44</w:t>
                  </w: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13"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下风向</w:t>
                  </w:r>
                </w:p>
              </w:tc>
              <w:tc>
                <w:tcPr>
                  <w:tcW w:w="2214" w:type="dxa"/>
                  <w:vMerge w:val="continue"/>
                  <w:vAlign w:val="center"/>
                </w:tcPr>
                <w:p>
                  <w:pPr>
                    <w:pStyle w:val="50"/>
                    <w:bidi w:val="0"/>
                    <w:jc w:val="center"/>
                    <w:rPr>
                      <w:rFonts w:hint="default" w:ascii="Times New Roman" w:hAnsi="Times New Roman" w:cs="Times New Roman"/>
                      <w:color w:val="auto"/>
                    </w:rPr>
                  </w:pPr>
                </w:p>
              </w:tc>
              <w:tc>
                <w:tcPr>
                  <w:tcW w:w="1912" w:type="dxa"/>
                  <w:vMerge w:val="continue"/>
                  <w:vAlign w:val="center"/>
                </w:tcPr>
                <w:p>
                  <w:pPr>
                    <w:pStyle w:val="50"/>
                    <w:bidi w:val="0"/>
                    <w:jc w:val="center"/>
                    <w:rPr>
                      <w:rFonts w:hint="default" w:ascii="Times New Roman" w:hAnsi="Times New Roman" w:cs="Times New Roman"/>
                      <w:color w:val="auto"/>
                    </w:rPr>
                  </w:pPr>
                </w:p>
              </w:tc>
              <w:tc>
                <w:tcPr>
                  <w:tcW w:w="2516" w:type="dxa"/>
                  <w:vAlign w:val="center"/>
                </w:tcPr>
                <w:p>
                  <w:pPr>
                    <w:pStyle w:val="50"/>
                    <w:bidi w:val="0"/>
                    <w:rPr>
                      <w:rFonts w:hint="default" w:ascii="Times New Roman" w:hAnsi="Times New Roman" w:cs="Times New Roman"/>
                      <w:color w:val="auto"/>
                    </w:rPr>
                  </w:pPr>
                  <w:r>
                    <w:rPr>
                      <w:rFonts w:hint="default" w:ascii="Times New Roman" w:hAnsi="Times New Roman" w:cs="Times New Roman"/>
                      <w:color w:val="auto"/>
                      <w:lang w:val="en-US" w:eastAsia="zh-CN"/>
                    </w:rPr>
                    <w:t>＜0.5</w:t>
                  </w:r>
                </w:p>
              </w:tc>
            </w:tr>
          </w:tbl>
          <w:p>
            <w:pPr>
              <w:keepLines w:val="0"/>
              <w:snapToGrid/>
              <w:ind w:firstLine="480"/>
              <w:contextualSpacing w:val="0"/>
              <w:rPr>
                <w:rFonts w:hint="eastAsia"/>
                <w:color w:val="auto"/>
              </w:rPr>
            </w:pPr>
            <w:r>
              <w:rPr>
                <w:rFonts w:hint="eastAsia"/>
                <w:color w:val="auto"/>
              </w:rPr>
              <w:t>根据上表分析，项目区域总挥发性有机物(TVOC)达《环境影响评价技术导则-大气环境》HJ2.2-2018附录D中的浓度限值。</w:t>
            </w:r>
          </w:p>
          <w:p>
            <w:pPr>
              <w:keepLines w:val="0"/>
              <w:snapToGrid/>
              <w:ind w:firstLine="480"/>
              <w:contextualSpacing w:val="0"/>
              <w:rPr>
                <w:rFonts w:hint="default" w:eastAsia="宋体"/>
                <w:color w:val="auto"/>
                <w:lang w:val="en-US" w:eastAsia="zh-CN"/>
              </w:rPr>
            </w:pPr>
            <w:r>
              <w:rPr>
                <w:rFonts w:hint="eastAsia"/>
                <w:color w:val="auto"/>
                <w:lang w:val="en-US" w:eastAsia="zh-CN"/>
              </w:rPr>
              <w:t>同时，建设单位于</w:t>
            </w:r>
            <w:r>
              <w:rPr>
                <w:rFonts w:hint="default" w:ascii="Times New Roman" w:hAnsi="Times New Roman" w:cs="Times New Roman"/>
                <w:color w:val="auto"/>
              </w:rPr>
              <w:t>2021年</w:t>
            </w:r>
            <w:r>
              <w:rPr>
                <w:rFonts w:hint="default" w:ascii="Times New Roman" w:hAnsi="Times New Roman" w:cs="Times New Roman"/>
                <w:color w:val="auto"/>
                <w:lang w:val="en-US" w:eastAsia="zh-CN"/>
              </w:rPr>
              <w:t>1</w:t>
            </w:r>
            <w:r>
              <w:rPr>
                <w:rFonts w:hint="default" w:ascii="Times New Roman" w:hAnsi="Times New Roman" w:cs="Times New Roman"/>
                <w:color w:val="auto"/>
              </w:rPr>
              <w:t>月，委托云南健牛生物科技有限公司对项目区</w:t>
            </w:r>
            <w:r>
              <w:rPr>
                <w:rFonts w:hint="eastAsia" w:cs="Times New Roman"/>
                <w:color w:val="auto"/>
                <w:lang w:val="en-US" w:eastAsia="zh-CN"/>
              </w:rPr>
              <w:t>非甲烷总烃</w:t>
            </w:r>
            <w:r>
              <w:rPr>
                <w:rFonts w:hint="default" w:ascii="Times New Roman" w:hAnsi="Times New Roman" w:cs="Times New Roman"/>
                <w:color w:val="auto"/>
              </w:rPr>
              <w:t>进行</w:t>
            </w:r>
            <w:r>
              <w:rPr>
                <w:rFonts w:hint="eastAsia" w:cs="Times New Roman"/>
                <w:color w:val="auto"/>
                <w:lang w:val="en-US" w:eastAsia="zh-CN"/>
              </w:rPr>
              <w:t>了</w:t>
            </w:r>
            <w:r>
              <w:rPr>
                <w:rFonts w:hint="default" w:ascii="Times New Roman" w:hAnsi="Times New Roman" w:cs="Times New Roman"/>
                <w:color w:val="auto"/>
              </w:rPr>
              <w:t>监测，监测时间为2021年</w:t>
            </w:r>
            <w:r>
              <w:rPr>
                <w:rFonts w:hint="default" w:ascii="Times New Roman" w:hAnsi="Times New Roman" w:cs="Times New Roman"/>
                <w:color w:val="auto"/>
                <w:lang w:val="en-US" w:eastAsia="zh-CN"/>
              </w:rPr>
              <w:t>1</w:t>
            </w:r>
            <w:r>
              <w:rPr>
                <w:rFonts w:hint="default" w:ascii="Times New Roman" w:hAnsi="Times New Roman" w:cs="Times New Roman"/>
                <w:color w:val="auto"/>
              </w:rPr>
              <w:t>月2</w:t>
            </w:r>
            <w:r>
              <w:rPr>
                <w:rFonts w:hint="default" w:ascii="Times New Roman" w:hAnsi="Times New Roman" w:cs="Times New Roman"/>
                <w:color w:val="auto"/>
                <w:lang w:val="en-US" w:eastAsia="zh-CN"/>
              </w:rPr>
              <w:t>8</w:t>
            </w:r>
            <w:r>
              <w:rPr>
                <w:rFonts w:hint="default" w:ascii="Times New Roman" w:hAnsi="Times New Roman" w:cs="Times New Roman"/>
                <w:color w:val="auto"/>
              </w:rPr>
              <w:t>日—2021年</w:t>
            </w:r>
            <w:r>
              <w:rPr>
                <w:rFonts w:hint="default" w:ascii="Times New Roman" w:hAnsi="Times New Roman" w:cs="Times New Roman"/>
                <w:color w:val="auto"/>
                <w:lang w:val="en-US" w:eastAsia="zh-CN"/>
              </w:rPr>
              <w:t>2</w:t>
            </w:r>
            <w:r>
              <w:rPr>
                <w:rFonts w:hint="default" w:ascii="Times New Roman" w:hAnsi="Times New Roman" w:cs="Times New Roman"/>
                <w:color w:val="auto"/>
              </w:rPr>
              <w:t>月</w:t>
            </w:r>
            <w:r>
              <w:rPr>
                <w:rFonts w:hint="default" w:ascii="Times New Roman" w:hAnsi="Times New Roman" w:cs="Times New Roman"/>
                <w:color w:val="auto"/>
                <w:lang w:val="en-US" w:eastAsia="zh-CN"/>
              </w:rPr>
              <w:t>3</w:t>
            </w:r>
            <w:r>
              <w:rPr>
                <w:rFonts w:hint="default" w:ascii="Times New Roman" w:hAnsi="Times New Roman" w:cs="Times New Roman"/>
                <w:color w:val="auto"/>
              </w:rPr>
              <w:t>日。环境空气质量现状监测点位在厂址中心布设1个监测点。</w:t>
            </w:r>
            <w:r>
              <w:rPr>
                <w:rFonts w:hint="eastAsia" w:cs="Times New Roman"/>
                <w:color w:val="auto"/>
                <w:lang w:val="en-US" w:eastAsia="zh-CN"/>
              </w:rPr>
              <w:t>监测结果见表3-3。</w:t>
            </w:r>
          </w:p>
          <w:p>
            <w:pPr>
              <w:pStyle w:val="48"/>
              <w:ind w:firstLine="422"/>
              <w:rPr>
                <w:rFonts w:hint="default" w:ascii="Times New Roman" w:hAnsi="Times New Roman" w:cs="Times New Roman"/>
                <w:color w:val="auto"/>
              </w:rPr>
            </w:pPr>
            <w:r>
              <w:rPr>
                <w:rFonts w:hint="default" w:ascii="Times New Roman" w:hAnsi="Times New Roman" w:cs="Times New Roman"/>
                <w:color w:val="auto"/>
              </w:rPr>
              <w:t>表3-3  非甲烷总烃一次浓度监测结果统计  单位：mg /m</w:t>
            </w:r>
            <w:r>
              <w:rPr>
                <w:rFonts w:hint="default" w:ascii="Times New Roman" w:hAnsi="Times New Roman" w:cs="Times New Roman"/>
                <w:color w:val="auto"/>
                <w:vertAlign w:val="superscript"/>
              </w:rPr>
              <w:t>3</w:t>
            </w:r>
          </w:p>
          <w:tbl>
            <w:tblPr>
              <w:tblStyle w:val="37"/>
              <w:tblW w:w="88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1239"/>
              <w:gridCol w:w="1591"/>
              <w:gridCol w:w="1230"/>
              <w:gridCol w:w="1080"/>
              <w:gridCol w:w="1136"/>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exact"/>
              </w:trPr>
              <w:tc>
                <w:tcPr>
                  <w:tcW w:w="1280"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污染物</w:t>
                  </w:r>
                </w:p>
              </w:tc>
              <w:tc>
                <w:tcPr>
                  <w:tcW w:w="123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监测点</w:t>
                  </w:r>
                </w:p>
              </w:tc>
              <w:tc>
                <w:tcPr>
                  <w:tcW w:w="1591"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监测时间</w:t>
                  </w:r>
                </w:p>
              </w:tc>
              <w:tc>
                <w:tcPr>
                  <w:tcW w:w="1230" w:type="dxa"/>
                  <w:vAlign w:val="center"/>
                </w:tcPr>
                <w:p>
                  <w:pPr>
                    <w:pStyle w:val="50"/>
                    <w:rPr>
                      <w:rFonts w:hint="default" w:ascii="Times New Roman" w:hAnsi="Times New Roman" w:eastAsia="宋体" w:cs="Times New Roman"/>
                      <w:color w:val="auto"/>
                      <w:lang w:eastAsia="zh-CN"/>
                    </w:rPr>
                  </w:pPr>
                  <w:r>
                    <w:rPr>
                      <w:rFonts w:hint="default" w:ascii="Times New Roman" w:hAnsi="Times New Roman" w:cs="Times New Roman"/>
                      <w:color w:val="auto"/>
                      <w:lang w:eastAsia="zh-CN"/>
                    </w:rPr>
                    <w:t>平均值</w:t>
                  </w:r>
                </w:p>
              </w:tc>
              <w:tc>
                <w:tcPr>
                  <w:tcW w:w="1080"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标准值</w:t>
                  </w: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超标倍数</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exact"/>
              </w:trPr>
              <w:tc>
                <w:tcPr>
                  <w:tcW w:w="1280" w:type="dxa"/>
                  <w:vMerge w:val="restart"/>
                  <w:vAlign w:val="center"/>
                </w:tcPr>
                <w:p>
                  <w:pPr>
                    <w:pStyle w:val="50"/>
                    <w:rPr>
                      <w:rFonts w:hint="default" w:ascii="Times New Roman" w:hAnsi="Times New Roman" w:cs="Times New Roman"/>
                      <w:color w:val="auto"/>
                    </w:rPr>
                  </w:pPr>
                  <w:r>
                    <w:rPr>
                      <w:rFonts w:hint="default" w:ascii="Times New Roman" w:hAnsi="Times New Roman" w:cs="Times New Roman"/>
                      <w:color w:val="auto"/>
                    </w:rPr>
                    <w:t>非甲烷总烃</w:t>
                  </w:r>
                </w:p>
              </w:tc>
              <w:tc>
                <w:tcPr>
                  <w:tcW w:w="1239" w:type="dxa"/>
                  <w:vMerge w:val="restart"/>
                  <w:vAlign w:val="center"/>
                </w:tcPr>
                <w:p>
                  <w:pPr>
                    <w:pStyle w:val="50"/>
                    <w:rPr>
                      <w:rFonts w:hint="default" w:ascii="Times New Roman" w:hAnsi="Times New Roman" w:cs="Times New Roman"/>
                      <w:color w:val="auto"/>
                    </w:rPr>
                  </w:pPr>
                  <w:r>
                    <w:rPr>
                      <w:rFonts w:hint="default" w:ascii="Times New Roman" w:hAnsi="Times New Roman" w:cs="Times New Roman"/>
                      <w:color w:val="auto"/>
                    </w:rPr>
                    <w:t>厂址中心</w:t>
                  </w:r>
                </w:p>
              </w:tc>
              <w:tc>
                <w:tcPr>
                  <w:tcW w:w="1591" w:type="dxa"/>
                  <w:vAlign w:val="center"/>
                </w:tcPr>
                <w:p>
                  <w:pPr>
                    <w:pStyle w:val="50"/>
                    <w:rPr>
                      <w:rFonts w:hint="default" w:ascii="Times New Roman" w:hAnsi="Times New Roman" w:eastAsia="宋体" w:cs="Times New Roman"/>
                      <w:color w:val="auto"/>
                      <w:lang w:eastAsia="zh-CN"/>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1</w:t>
                  </w:r>
                  <w:r>
                    <w:rPr>
                      <w:rFonts w:hint="default" w:ascii="Times New Roman" w:hAnsi="Times New Roman" w:cs="Times New Roman"/>
                      <w:color w:val="auto"/>
                    </w:rPr>
                    <w:t>-2</w:t>
                  </w:r>
                  <w:r>
                    <w:rPr>
                      <w:rFonts w:hint="default" w:ascii="Times New Roman" w:hAnsi="Times New Roman" w:cs="Times New Roman"/>
                      <w:color w:val="auto"/>
                      <w:lang w:val="en-US" w:eastAsia="zh-CN"/>
                    </w:rPr>
                    <w:t>8</w:t>
                  </w:r>
                </w:p>
              </w:tc>
              <w:tc>
                <w:tcPr>
                  <w:tcW w:w="1230"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0.70</w:t>
                  </w:r>
                </w:p>
              </w:tc>
              <w:tc>
                <w:tcPr>
                  <w:tcW w:w="1080" w:type="dxa"/>
                  <w:vMerge w:val="restart"/>
                  <w:vAlign w:val="center"/>
                </w:tcPr>
                <w:p>
                  <w:pPr>
                    <w:pStyle w:val="50"/>
                    <w:rPr>
                      <w:rFonts w:hint="default" w:ascii="Times New Roman" w:hAnsi="Times New Roman" w:cs="Times New Roman"/>
                      <w:color w:val="auto"/>
                    </w:rPr>
                  </w:pPr>
                  <w:r>
                    <w:rPr>
                      <w:rFonts w:hint="default" w:ascii="Times New Roman" w:hAnsi="Times New Roman" w:cs="Times New Roman"/>
                      <w:color w:val="auto"/>
                    </w:rPr>
                    <w:t>2.0</w:t>
                  </w: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1</w:t>
                  </w:r>
                  <w:r>
                    <w:rPr>
                      <w:rFonts w:hint="default" w:ascii="Times New Roman" w:hAnsi="Times New Roman" w:cs="Times New Roman"/>
                      <w:color w:val="auto"/>
                    </w:rPr>
                    <w:t>-2</w:t>
                  </w:r>
                  <w:r>
                    <w:rPr>
                      <w:rFonts w:hint="default" w:ascii="Times New Roman" w:hAnsi="Times New Roman" w:cs="Times New Roman"/>
                      <w:color w:val="auto"/>
                      <w:lang w:val="en-US" w:eastAsia="zh-CN"/>
                    </w:rPr>
                    <w:t>9</w:t>
                  </w:r>
                </w:p>
              </w:tc>
              <w:tc>
                <w:tcPr>
                  <w:tcW w:w="1230"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lang w:val="en-US" w:eastAsia="zh-CN"/>
                    </w:rPr>
                    <w:t>0.69</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1</w:t>
                  </w:r>
                  <w:r>
                    <w:rPr>
                      <w:rFonts w:hint="default" w:ascii="Times New Roman" w:hAnsi="Times New Roman" w:cs="Times New Roman"/>
                      <w:color w:val="auto"/>
                    </w:rPr>
                    <w:t>-</w:t>
                  </w:r>
                  <w:r>
                    <w:rPr>
                      <w:rFonts w:hint="default" w:ascii="Times New Roman" w:hAnsi="Times New Roman" w:cs="Times New Roman"/>
                      <w:color w:val="auto"/>
                      <w:lang w:val="en-US" w:eastAsia="zh-CN"/>
                    </w:rPr>
                    <w:t>30</w:t>
                  </w:r>
                </w:p>
              </w:tc>
              <w:tc>
                <w:tcPr>
                  <w:tcW w:w="1230"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0.65</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1</w:t>
                  </w:r>
                  <w:r>
                    <w:rPr>
                      <w:rFonts w:hint="default" w:ascii="Times New Roman" w:hAnsi="Times New Roman" w:cs="Times New Roman"/>
                      <w:color w:val="auto"/>
                    </w:rPr>
                    <w:t>-</w:t>
                  </w:r>
                  <w:r>
                    <w:rPr>
                      <w:rFonts w:hint="default" w:ascii="Times New Roman" w:hAnsi="Times New Roman" w:cs="Times New Roman"/>
                      <w:color w:val="auto"/>
                      <w:lang w:val="en-US" w:eastAsia="zh-CN"/>
                    </w:rPr>
                    <w:t>31</w:t>
                  </w:r>
                </w:p>
              </w:tc>
              <w:tc>
                <w:tcPr>
                  <w:tcW w:w="1230"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lang w:val="en-US" w:eastAsia="zh-CN"/>
                    </w:rPr>
                    <w:t>0.71</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01</w:t>
                  </w:r>
                </w:p>
              </w:tc>
              <w:tc>
                <w:tcPr>
                  <w:tcW w:w="1230"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0.66</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cs="Times New Roman"/>
                      <w:color w:val="auto"/>
                      <w:lang w:val="en-US"/>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02</w:t>
                  </w:r>
                </w:p>
              </w:tc>
              <w:tc>
                <w:tcPr>
                  <w:tcW w:w="1230"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0.69</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exact"/>
              </w:trPr>
              <w:tc>
                <w:tcPr>
                  <w:tcW w:w="1280" w:type="dxa"/>
                  <w:vMerge w:val="continue"/>
                  <w:vAlign w:val="center"/>
                </w:tcPr>
                <w:p>
                  <w:pPr>
                    <w:pStyle w:val="50"/>
                    <w:rPr>
                      <w:rFonts w:hint="default" w:ascii="Times New Roman" w:hAnsi="Times New Roman" w:cs="Times New Roman"/>
                      <w:color w:val="auto"/>
                    </w:rPr>
                  </w:pPr>
                </w:p>
              </w:tc>
              <w:tc>
                <w:tcPr>
                  <w:tcW w:w="1239" w:type="dxa"/>
                  <w:vMerge w:val="continue"/>
                  <w:vAlign w:val="center"/>
                </w:tcPr>
                <w:p>
                  <w:pPr>
                    <w:pStyle w:val="50"/>
                    <w:rPr>
                      <w:rFonts w:hint="default" w:ascii="Times New Roman" w:hAnsi="Times New Roman" w:cs="Times New Roman"/>
                      <w:color w:val="auto"/>
                    </w:rPr>
                  </w:pPr>
                </w:p>
              </w:tc>
              <w:tc>
                <w:tcPr>
                  <w:tcW w:w="1591" w:type="dxa"/>
                  <w:vAlign w:val="center"/>
                </w:tcPr>
                <w:p>
                  <w:pPr>
                    <w:pStyle w:val="50"/>
                    <w:rPr>
                      <w:rFonts w:hint="default" w:ascii="Times New Roman" w:hAnsi="Times New Roman" w:cs="Times New Roman"/>
                      <w:color w:val="auto"/>
                      <w:lang w:val="en-US"/>
                    </w:rPr>
                  </w:pPr>
                  <w:r>
                    <w:rPr>
                      <w:rFonts w:hint="default" w:ascii="Times New Roman" w:hAnsi="Times New Roman" w:cs="Times New Roman"/>
                      <w:color w:val="auto"/>
                    </w:rPr>
                    <w:t>202</w:t>
                  </w:r>
                  <w:r>
                    <w:rPr>
                      <w:rFonts w:hint="default" w:ascii="Times New Roman" w:hAnsi="Times New Roman" w:cs="Times New Roman"/>
                      <w:color w:val="auto"/>
                      <w:lang w:val="en-US" w:eastAsia="zh-CN"/>
                    </w:rPr>
                    <w:t>1</w:t>
                  </w:r>
                  <w:r>
                    <w:rPr>
                      <w:rFonts w:hint="default" w:ascii="Times New Roman" w:hAnsi="Times New Roman" w:cs="Times New Roman"/>
                      <w:color w:val="auto"/>
                    </w:rPr>
                    <w:t>-0</w:t>
                  </w:r>
                  <w:r>
                    <w:rPr>
                      <w:rFonts w:hint="default" w:ascii="Times New Roman" w:hAnsi="Times New Roman" w:cs="Times New Roman"/>
                      <w:color w:val="auto"/>
                      <w:lang w:val="en-US" w:eastAsia="zh-CN"/>
                    </w:rPr>
                    <w:t>2</w:t>
                  </w:r>
                  <w:r>
                    <w:rPr>
                      <w:rFonts w:hint="default" w:ascii="Times New Roman" w:hAnsi="Times New Roman" w:cs="Times New Roman"/>
                      <w:color w:val="auto"/>
                    </w:rPr>
                    <w:t>-</w:t>
                  </w:r>
                  <w:r>
                    <w:rPr>
                      <w:rFonts w:hint="default" w:ascii="Times New Roman" w:hAnsi="Times New Roman" w:cs="Times New Roman"/>
                      <w:color w:val="auto"/>
                      <w:lang w:val="en-US" w:eastAsia="zh-CN"/>
                    </w:rPr>
                    <w:t>03</w:t>
                  </w:r>
                </w:p>
              </w:tc>
              <w:tc>
                <w:tcPr>
                  <w:tcW w:w="1230" w:type="dxa"/>
                  <w:vAlign w:val="center"/>
                </w:tcPr>
                <w:p>
                  <w:pPr>
                    <w:pStyle w:val="5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0.71</w:t>
                  </w:r>
                </w:p>
              </w:tc>
              <w:tc>
                <w:tcPr>
                  <w:tcW w:w="1080" w:type="dxa"/>
                  <w:vMerge w:val="continue"/>
                  <w:vAlign w:val="center"/>
                </w:tcPr>
                <w:p>
                  <w:pPr>
                    <w:pStyle w:val="50"/>
                    <w:rPr>
                      <w:rFonts w:hint="default" w:ascii="Times New Roman" w:hAnsi="Times New Roman" w:cs="Times New Roman"/>
                      <w:color w:val="auto"/>
                    </w:rPr>
                  </w:pPr>
                </w:p>
              </w:tc>
              <w:tc>
                <w:tcPr>
                  <w:tcW w:w="1136"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0</w:t>
                  </w:r>
                </w:p>
              </w:tc>
              <w:tc>
                <w:tcPr>
                  <w:tcW w:w="1259" w:type="dxa"/>
                  <w:vAlign w:val="center"/>
                </w:tcPr>
                <w:p>
                  <w:pPr>
                    <w:pStyle w:val="50"/>
                    <w:rPr>
                      <w:rFonts w:hint="default" w:ascii="Times New Roman" w:hAnsi="Times New Roman" w:cs="Times New Roman"/>
                      <w:color w:val="auto"/>
                    </w:rPr>
                  </w:pPr>
                  <w:r>
                    <w:rPr>
                      <w:rFonts w:hint="default" w:ascii="Times New Roman" w:hAnsi="Times New Roman" w:cs="Times New Roman"/>
                      <w:color w:val="auto"/>
                    </w:rPr>
                    <w:t>达标</w:t>
                  </w:r>
                </w:p>
              </w:tc>
            </w:tr>
          </w:tbl>
          <w:p>
            <w:pPr>
              <w:keepLines w:val="0"/>
              <w:snapToGrid/>
              <w:ind w:firstLine="480"/>
              <w:contextualSpacing w:val="0"/>
              <w:rPr>
                <w:rFonts w:hint="eastAsia"/>
                <w:color w:val="auto"/>
              </w:rPr>
            </w:pPr>
            <w:r>
              <w:rPr>
                <w:rFonts w:hint="eastAsia"/>
                <w:color w:val="auto"/>
              </w:rPr>
              <w:t>根据上表分析，</w:t>
            </w:r>
            <w:r>
              <w:rPr>
                <w:rFonts w:hint="default" w:ascii="Times New Roman" w:hAnsi="Times New Roman" w:cs="Times New Roman"/>
                <w:color w:val="auto"/>
              </w:rPr>
              <w:t>非甲烷总烃</w:t>
            </w:r>
            <w:r>
              <w:rPr>
                <w:rFonts w:hint="default" w:ascii="Times New Roman" w:hAnsi="Times New Roman" w:cs="Times New Roman"/>
                <w:color w:val="auto"/>
                <w:lang w:eastAsia="zh-CN"/>
              </w:rPr>
              <w:t>现状</w:t>
            </w:r>
            <w:r>
              <w:rPr>
                <w:rFonts w:hint="default" w:ascii="Times New Roman" w:hAnsi="Times New Roman" w:cs="Times New Roman"/>
                <w:color w:val="auto"/>
              </w:rPr>
              <w:t>浓度监测</w:t>
            </w:r>
            <w:r>
              <w:rPr>
                <w:rFonts w:hint="default" w:ascii="Times New Roman" w:hAnsi="Times New Roman" w:cs="Times New Roman"/>
                <w:color w:val="auto"/>
                <w:lang w:eastAsia="zh-CN"/>
              </w:rPr>
              <w:t>平均</w:t>
            </w:r>
            <w:r>
              <w:rPr>
                <w:rFonts w:hint="default" w:ascii="Times New Roman" w:hAnsi="Times New Roman" w:cs="Times New Roman"/>
                <w:color w:val="auto"/>
              </w:rPr>
              <w:t>最高值为</w:t>
            </w:r>
            <w:r>
              <w:rPr>
                <w:rFonts w:hint="default" w:ascii="Times New Roman" w:hAnsi="Times New Roman" w:cs="Times New Roman"/>
                <w:color w:val="auto"/>
                <w:lang w:val="en-US" w:eastAsia="zh-CN"/>
              </w:rPr>
              <w:t>0.71</w:t>
            </w:r>
            <w:r>
              <w:rPr>
                <w:rFonts w:hint="default" w:ascii="Times New Roman" w:hAnsi="Times New Roman" w:cs="Times New Roman"/>
                <w:color w:val="auto"/>
              </w:rPr>
              <w:t>mg/m³，</w:t>
            </w:r>
            <w:r>
              <w:rPr>
                <w:rFonts w:hint="default" w:ascii="Times New Roman" w:hAnsi="Times New Roman" w:cs="Times New Roman"/>
                <w:color w:val="auto"/>
                <w:lang w:eastAsia="zh-CN"/>
              </w:rPr>
              <w:t>可以</w:t>
            </w:r>
            <w:r>
              <w:rPr>
                <w:rFonts w:hint="default" w:ascii="Times New Roman" w:hAnsi="Times New Roman" w:cs="Times New Roman"/>
                <w:color w:val="auto"/>
              </w:rPr>
              <w:t>满足《大气污染物综合排放标准详解》中标准限值2.0 mg/m</w:t>
            </w:r>
            <w:r>
              <w:rPr>
                <w:rFonts w:hint="default" w:ascii="Times New Roman" w:hAnsi="Times New Roman" w:cs="Times New Roman"/>
                <w:color w:val="auto"/>
                <w:vertAlign w:val="superscript"/>
              </w:rPr>
              <w:t>3</w:t>
            </w:r>
            <w:r>
              <w:rPr>
                <w:rFonts w:hint="default" w:ascii="Times New Roman" w:hAnsi="Times New Roman" w:cs="Times New Roman"/>
                <w:color w:val="auto"/>
              </w:rPr>
              <w:t>的要求</w:t>
            </w:r>
            <w:r>
              <w:rPr>
                <w:rFonts w:hint="eastAsia"/>
                <w:color w:val="auto"/>
              </w:rPr>
              <w:t>。</w:t>
            </w:r>
          </w:p>
          <w:p>
            <w:pPr>
              <w:keepLines w:val="0"/>
              <w:snapToGrid/>
              <w:ind w:firstLine="480"/>
              <w:contextualSpacing w:val="0"/>
              <w:rPr>
                <w:color w:val="auto"/>
              </w:rPr>
            </w:pPr>
            <w:r>
              <w:rPr>
                <w:rFonts w:hint="eastAsia"/>
                <w:color w:val="auto"/>
              </w:rPr>
              <w:t>根据《201</w:t>
            </w:r>
            <w:r>
              <w:rPr>
                <w:rFonts w:hint="eastAsia"/>
                <w:color w:val="auto"/>
                <w:lang w:val="en-US" w:eastAsia="zh-CN"/>
              </w:rPr>
              <w:t>9</w:t>
            </w:r>
            <w:r>
              <w:rPr>
                <w:rFonts w:hint="eastAsia"/>
                <w:color w:val="auto"/>
              </w:rPr>
              <w:t>年度昆明市生态环境状况公报》和监测结果可知，项目区属于达标区，项目区空气环境质量是能够满足《环境空气质量标准》（GB3085-2012）二级标准要求和《环境影响评价技术导则大气环境》（HJ2.2-2018）附录D中TVOC的限值要求。</w:t>
            </w:r>
          </w:p>
          <w:p>
            <w:pPr>
              <w:keepLines/>
              <w:ind w:firstLine="482"/>
              <w:contextualSpacing/>
              <w:rPr>
                <w:b/>
                <w:color w:val="auto"/>
                <w:szCs w:val="28"/>
              </w:rPr>
            </w:pPr>
            <w:r>
              <w:rPr>
                <w:b/>
                <w:color w:val="auto"/>
                <w:szCs w:val="28"/>
              </w:rPr>
              <w:t>2、地表水环境质量现状</w:t>
            </w:r>
          </w:p>
          <w:p>
            <w:pPr>
              <w:ind w:firstLine="480"/>
              <w:rPr>
                <w:color w:val="auto"/>
              </w:rPr>
            </w:pPr>
            <w:r>
              <w:rPr>
                <w:color w:val="auto"/>
              </w:rPr>
              <w:t>评价区域主要地表水体为</w:t>
            </w:r>
            <w:r>
              <w:rPr>
                <w:rFonts w:hint="eastAsia"/>
                <w:color w:val="auto"/>
              </w:rPr>
              <w:t>南</w:t>
            </w:r>
            <w:r>
              <w:rPr>
                <w:color w:val="auto"/>
              </w:rPr>
              <w:t>面</w:t>
            </w:r>
            <w:r>
              <w:rPr>
                <w:rFonts w:hint="eastAsia"/>
                <w:color w:val="auto"/>
              </w:rPr>
              <w:t>790</w:t>
            </w:r>
            <w:r>
              <w:rPr>
                <w:rFonts w:hint="eastAsia"/>
                <w:color w:val="auto"/>
                <w:lang w:val="en-US" w:eastAsia="zh-CN"/>
              </w:rPr>
              <w:t>m</w:t>
            </w:r>
            <w:r>
              <w:rPr>
                <w:color w:val="auto"/>
              </w:rPr>
              <w:t>的</w:t>
            </w:r>
            <w:r>
              <w:rPr>
                <w:rFonts w:hint="eastAsia"/>
                <w:color w:val="auto"/>
              </w:rPr>
              <w:t>大营河</w:t>
            </w:r>
            <w:r>
              <w:rPr>
                <w:color w:val="auto"/>
              </w:rPr>
              <w:t>，</w:t>
            </w:r>
            <w:r>
              <w:rPr>
                <w:rFonts w:hint="eastAsia"/>
                <w:color w:val="auto"/>
              </w:rPr>
              <w:t>大营河</w:t>
            </w:r>
            <w:r>
              <w:rPr>
                <w:color w:val="auto"/>
              </w:rPr>
              <w:t>下游汇入</w:t>
            </w:r>
            <w:r>
              <w:rPr>
                <w:rFonts w:hint="eastAsia"/>
                <w:color w:val="auto"/>
              </w:rPr>
              <w:t>螳螂川，</w:t>
            </w:r>
            <w:r>
              <w:rPr>
                <w:color w:val="auto"/>
              </w:rPr>
              <w:t>最终流入金沙江</w:t>
            </w:r>
            <w:r>
              <w:rPr>
                <w:snapToGrid/>
                <w:color w:val="auto"/>
                <w:kern w:val="2"/>
              </w:rPr>
              <w:t>，属长江流域金沙江水系。</w:t>
            </w:r>
            <w:r>
              <w:rPr>
                <w:color w:val="auto"/>
              </w:rPr>
              <w:t>根据《云南省地表水水环境功能区划 （2010-20</w:t>
            </w:r>
            <w:r>
              <w:rPr>
                <w:snapToGrid/>
                <w:color w:val="auto"/>
              </w:rPr>
              <w:t>20年</w:t>
            </w:r>
            <w:r>
              <w:rPr>
                <w:color w:val="auto"/>
              </w:rPr>
              <w:t>）》，</w:t>
            </w:r>
            <w:r>
              <w:rPr>
                <w:rFonts w:hint="eastAsia"/>
                <w:color w:val="auto"/>
              </w:rPr>
              <w:t>螳螂川—普渡河</w:t>
            </w:r>
            <w:r>
              <w:rPr>
                <w:rFonts w:hint="eastAsia"/>
                <w:color w:val="auto"/>
                <w:lang w:eastAsia="zh-CN"/>
              </w:rPr>
              <w:t>，</w:t>
            </w:r>
            <w:r>
              <w:rPr>
                <w:rFonts w:hint="eastAsia"/>
                <w:color w:val="auto"/>
              </w:rPr>
              <w:t>富民大桥—普渡河桥水体功能为工业用水，按《地表水环境质量标准》IV类水体标准保护。本项目位于富民大桥断面和普河桥断面之间，执行《地表水环境质量标准》（GB3838-2002）IV类水标准。</w:t>
            </w:r>
          </w:p>
          <w:p>
            <w:pPr>
              <w:ind w:firstLine="440"/>
              <w:rPr>
                <w:color w:val="auto"/>
              </w:rPr>
            </w:pPr>
            <w:r>
              <w:rPr>
                <w:color w:val="auto"/>
                <w:spacing w:val="-10"/>
              </w:rPr>
              <w:t>富民大桥、普渡河桥断面属于国控断面，两断面之间布置有市控断面，即赤</w:t>
            </w:r>
            <w:r>
              <w:rPr>
                <w:color w:val="auto"/>
                <w:spacing w:val="-3"/>
              </w:rPr>
              <w:t>鹫大桥断面。本次评价收集到富民县环境监测站</w:t>
            </w:r>
            <w:r>
              <w:rPr>
                <w:rFonts w:eastAsia="Times New Roman"/>
                <w:color w:val="auto"/>
              </w:rPr>
              <w:t>2020</w:t>
            </w:r>
            <w:r>
              <w:rPr>
                <w:color w:val="auto"/>
                <w:spacing w:val="-27"/>
              </w:rPr>
              <w:t xml:space="preserve">年 </w:t>
            </w:r>
            <w:r>
              <w:rPr>
                <w:rFonts w:eastAsia="Times New Roman"/>
                <w:color w:val="auto"/>
              </w:rPr>
              <w:t>10</w:t>
            </w:r>
            <w:r>
              <w:rPr>
                <w:color w:val="auto"/>
              </w:rPr>
              <w:t>月螳</w:t>
            </w:r>
            <w:r>
              <w:rPr>
                <w:color w:val="auto"/>
                <w:spacing w:val="-6"/>
              </w:rPr>
              <w:t>螂川赤鹫大桥断面</w:t>
            </w:r>
            <w:r>
              <w:rPr>
                <w:color w:val="auto"/>
              </w:rPr>
              <w:t>（处于富民大桥断面至普渡河桥断面之间</w:t>
            </w:r>
            <w:r>
              <w:rPr>
                <w:color w:val="auto"/>
                <w:spacing w:val="-32"/>
              </w:rPr>
              <w:t>）</w:t>
            </w:r>
            <w:r>
              <w:rPr>
                <w:color w:val="auto"/>
                <w:spacing w:val="-4"/>
              </w:rPr>
              <w:t>水质例行监测数据，</w:t>
            </w:r>
            <w:r>
              <w:rPr>
                <w:color w:val="auto"/>
              </w:rPr>
              <w:t>监测结果见表3-</w:t>
            </w:r>
            <w:r>
              <w:rPr>
                <w:rFonts w:hint="eastAsia"/>
                <w:color w:val="auto"/>
                <w:lang w:val="en-US" w:eastAsia="zh-CN"/>
              </w:rPr>
              <w:t>3</w:t>
            </w:r>
            <w:r>
              <w:rPr>
                <w:color w:val="auto"/>
              </w:rPr>
              <w:t>。</w:t>
            </w:r>
          </w:p>
          <w:p>
            <w:pPr>
              <w:spacing w:line="240" w:lineRule="auto"/>
              <w:ind w:firstLine="0" w:firstLineChars="0"/>
              <w:jc w:val="center"/>
              <w:rPr>
                <w:b/>
                <w:bCs/>
                <w:snapToGrid/>
                <w:color w:val="auto"/>
                <w:sz w:val="21"/>
                <w:szCs w:val="21"/>
              </w:rPr>
            </w:pPr>
            <w:r>
              <w:rPr>
                <w:rFonts w:hint="eastAsia"/>
                <w:b/>
                <w:bCs/>
                <w:color w:val="auto"/>
                <w:sz w:val="21"/>
                <w:szCs w:val="21"/>
              </w:rPr>
              <w:t>表3-</w:t>
            </w:r>
            <w:r>
              <w:rPr>
                <w:rFonts w:hint="eastAsia"/>
                <w:b/>
                <w:bCs/>
                <w:color w:val="auto"/>
                <w:sz w:val="21"/>
                <w:szCs w:val="21"/>
                <w:lang w:val="en-US" w:eastAsia="zh-CN"/>
              </w:rPr>
              <w:t>3</w:t>
            </w:r>
            <w:r>
              <w:rPr>
                <w:rFonts w:hint="eastAsia"/>
                <w:b/>
                <w:bCs/>
                <w:color w:val="auto"/>
                <w:sz w:val="21"/>
                <w:szCs w:val="21"/>
              </w:rPr>
              <w:t xml:space="preserve">  螳螂川赤鹫大桥断面水质监测结果    单位：mg/L</w:t>
            </w:r>
          </w:p>
          <w:tbl>
            <w:tblPr>
              <w:tblStyle w:val="36"/>
              <w:tblW w:w="49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79"/>
              <w:gridCol w:w="1014"/>
              <w:gridCol w:w="1922"/>
              <w:gridCol w:w="1049"/>
              <w:gridCol w:w="1132"/>
              <w:gridCol w:w="1157"/>
              <w:gridCol w:w="12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726" w:type="pct"/>
                  <w:shd w:val="clear" w:color="auto" w:fill="auto"/>
                  <w:tcMar>
                    <w:top w:w="15" w:type="dxa"/>
                    <w:left w:w="15" w:type="dxa"/>
                    <w:right w:w="15" w:type="dxa"/>
                  </w:tcMar>
                </w:tcPr>
                <w:p>
                  <w:pPr>
                    <w:pStyle w:val="50"/>
                    <w:rPr>
                      <w:color w:val="auto"/>
                    </w:rPr>
                  </w:pPr>
                  <w:r>
                    <w:rPr>
                      <w:color w:val="auto"/>
                    </w:rPr>
                    <w:t>污染物</w:t>
                  </w:r>
                </w:p>
              </w:tc>
              <w:tc>
                <w:tcPr>
                  <w:tcW w:w="575" w:type="pct"/>
                  <w:vMerge w:val="restart"/>
                  <w:shd w:val="clear" w:color="auto" w:fill="auto"/>
                  <w:tcMar>
                    <w:top w:w="15" w:type="dxa"/>
                    <w:left w:w="15" w:type="dxa"/>
                    <w:right w:w="15" w:type="dxa"/>
                  </w:tcMar>
                  <w:vAlign w:val="center"/>
                </w:tcPr>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p>
                <w:p>
                  <w:pPr>
                    <w:pStyle w:val="50"/>
                    <w:rPr>
                      <w:color w:val="auto"/>
                    </w:rPr>
                  </w:pPr>
                  <w:r>
                    <w:rPr>
                      <w:color w:val="auto"/>
                    </w:rPr>
                    <w:t>2020年</w:t>
                  </w:r>
                </w:p>
              </w:tc>
              <w:tc>
                <w:tcPr>
                  <w:tcW w:w="1090" w:type="pct"/>
                  <w:shd w:val="clear" w:color="auto" w:fill="auto"/>
                  <w:tcMar>
                    <w:top w:w="15" w:type="dxa"/>
                    <w:left w:w="15" w:type="dxa"/>
                    <w:right w:w="15" w:type="dxa"/>
                  </w:tcMar>
                </w:tcPr>
                <w:p>
                  <w:pPr>
                    <w:pStyle w:val="50"/>
                    <w:rPr>
                      <w:color w:val="auto"/>
                    </w:rPr>
                  </w:pPr>
                  <w:r>
                    <w:rPr>
                      <w:color w:val="auto"/>
                    </w:rPr>
                    <w:t>浓度范围</w:t>
                  </w:r>
                </w:p>
              </w:tc>
              <w:tc>
                <w:tcPr>
                  <w:tcW w:w="595" w:type="pct"/>
                  <w:shd w:val="clear" w:color="auto" w:fill="auto"/>
                  <w:tcMar>
                    <w:top w:w="15" w:type="dxa"/>
                    <w:left w:w="15" w:type="dxa"/>
                    <w:right w:w="15" w:type="dxa"/>
                  </w:tcMar>
                </w:tcPr>
                <w:p>
                  <w:pPr>
                    <w:pStyle w:val="50"/>
                    <w:rPr>
                      <w:color w:val="auto"/>
                    </w:rPr>
                  </w:pPr>
                  <w:r>
                    <w:rPr>
                      <w:color w:val="auto"/>
                    </w:rPr>
                    <w:t>平均值</w:t>
                  </w:r>
                </w:p>
              </w:tc>
              <w:tc>
                <w:tcPr>
                  <w:tcW w:w="642" w:type="pct"/>
                  <w:shd w:val="clear" w:color="auto" w:fill="auto"/>
                  <w:tcMar>
                    <w:top w:w="15" w:type="dxa"/>
                    <w:left w:w="15" w:type="dxa"/>
                    <w:right w:w="15" w:type="dxa"/>
                  </w:tcMar>
                </w:tcPr>
                <w:p>
                  <w:pPr>
                    <w:pStyle w:val="50"/>
                    <w:rPr>
                      <w:color w:val="auto"/>
                    </w:rPr>
                  </w:pPr>
                  <w:r>
                    <w:rPr>
                      <w:color w:val="auto"/>
                    </w:rPr>
                    <w:t>标准值</w:t>
                  </w:r>
                </w:p>
              </w:tc>
              <w:tc>
                <w:tcPr>
                  <w:tcW w:w="656" w:type="pct"/>
                  <w:shd w:val="clear" w:color="auto" w:fill="auto"/>
                  <w:tcMar>
                    <w:top w:w="15" w:type="dxa"/>
                    <w:left w:w="15" w:type="dxa"/>
                    <w:right w:w="15" w:type="dxa"/>
                  </w:tcMar>
                </w:tcPr>
                <w:p>
                  <w:pPr>
                    <w:pStyle w:val="50"/>
                    <w:rPr>
                      <w:color w:val="auto"/>
                    </w:rPr>
                  </w:pPr>
                  <w:r>
                    <w:rPr>
                      <w:color w:val="auto"/>
                    </w:rPr>
                    <w:t>超标率%</w:t>
                  </w:r>
                </w:p>
              </w:tc>
              <w:tc>
                <w:tcPr>
                  <w:tcW w:w="714" w:type="pct"/>
                  <w:shd w:val="clear" w:color="auto" w:fill="auto"/>
                  <w:tcMar>
                    <w:top w:w="15" w:type="dxa"/>
                    <w:left w:w="15" w:type="dxa"/>
                    <w:right w:w="15" w:type="dxa"/>
                  </w:tcMar>
                </w:tcPr>
                <w:p>
                  <w:pPr>
                    <w:pStyle w:val="50"/>
                    <w:rPr>
                      <w:color w:val="auto"/>
                    </w:rPr>
                  </w:pPr>
                  <w:r>
                    <w:rPr>
                      <w:color w:val="auto"/>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726" w:type="pct"/>
                  <w:shd w:val="clear" w:color="auto" w:fill="auto"/>
                  <w:tcMar>
                    <w:top w:w="15" w:type="dxa"/>
                    <w:left w:w="15" w:type="dxa"/>
                    <w:right w:w="15" w:type="dxa"/>
                  </w:tcMar>
                </w:tcPr>
                <w:p>
                  <w:pPr>
                    <w:pStyle w:val="50"/>
                    <w:rPr>
                      <w:color w:val="auto"/>
                    </w:rPr>
                  </w:pPr>
                  <w:r>
                    <w:rPr>
                      <w:color w:val="auto"/>
                    </w:rPr>
                    <w:t>pH</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7.36~8.8</w:t>
                  </w:r>
                </w:p>
              </w:tc>
              <w:tc>
                <w:tcPr>
                  <w:tcW w:w="595" w:type="pct"/>
                  <w:shd w:val="clear" w:color="auto" w:fill="auto"/>
                  <w:tcMar>
                    <w:top w:w="15" w:type="dxa"/>
                    <w:left w:w="15" w:type="dxa"/>
                    <w:right w:w="15" w:type="dxa"/>
                  </w:tcMar>
                </w:tcPr>
                <w:p>
                  <w:pPr>
                    <w:pStyle w:val="50"/>
                    <w:rPr>
                      <w:color w:val="auto"/>
                    </w:rPr>
                  </w:pPr>
                  <w:r>
                    <w:rPr>
                      <w:color w:val="auto"/>
                    </w:rPr>
                    <w:t>7.71</w:t>
                  </w:r>
                </w:p>
              </w:tc>
              <w:tc>
                <w:tcPr>
                  <w:tcW w:w="642" w:type="pct"/>
                  <w:shd w:val="clear" w:color="auto" w:fill="auto"/>
                  <w:tcMar>
                    <w:top w:w="15" w:type="dxa"/>
                    <w:left w:w="15" w:type="dxa"/>
                    <w:right w:w="15" w:type="dxa"/>
                  </w:tcMar>
                </w:tcPr>
                <w:p>
                  <w:pPr>
                    <w:pStyle w:val="50"/>
                    <w:rPr>
                      <w:color w:val="auto"/>
                    </w:rPr>
                  </w:pPr>
                  <w:r>
                    <w:rPr>
                      <w:color w:val="auto"/>
                    </w:rPr>
                    <w:t>6~9</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726" w:type="pct"/>
                  <w:shd w:val="clear" w:color="auto" w:fill="auto"/>
                  <w:tcMar>
                    <w:top w:w="15" w:type="dxa"/>
                    <w:left w:w="15" w:type="dxa"/>
                    <w:right w:w="15" w:type="dxa"/>
                  </w:tcMar>
                </w:tcPr>
                <w:p>
                  <w:pPr>
                    <w:pStyle w:val="50"/>
                    <w:rPr>
                      <w:color w:val="auto"/>
                    </w:rPr>
                  </w:pPr>
                  <w:r>
                    <w:rPr>
                      <w:color w:val="auto"/>
                    </w:rPr>
                    <w:t>DO</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5.15~7.46</w:t>
                  </w:r>
                </w:p>
              </w:tc>
              <w:tc>
                <w:tcPr>
                  <w:tcW w:w="595" w:type="pct"/>
                  <w:shd w:val="clear" w:color="auto" w:fill="auto"/>
                  <w:tcMar>
                    <w:top w:w="15" w:type="dxa"/>
                    <w:left w:w="15" w:type="dxa"/>
                    <w:right w:w="15" w:type="dxa"/>
                  </w:tcMar>
                </w:tcPr>
                <w:p>
                  <w:pPr>
                    <w:pStyle w:val="50"/>
                    <w:rPr>
                      <w:color w:val="auto"/>
                    </w:rPr>
                  </w:pPr>
                  <w:r>
                    <w:rPr>
                      <w:color w:val="auto"/>
                    </w:rPr>
                    <w:t>6.47</w:t>
                  </w:r>
                </w:p>
              </w:tc>
              <w:tc>
                <w:tcPr>
                  <w:tcW w:w="642" w:type="pct"/>
                  <w:shd w:val="clear" w:color="auto" w:fill="auto"/>
                  <w:tcMar>
                    <w:top w:w="15" w:type="dxa"/>
                    <w:left w:w="15" w:type="dxa"/>
                    <w:right w:w="15" w:type="dxa"/>
                  </w:tcMar>
                </w:tcPr>
                <w:p>
                  <w:pPr>
                    <w:pStyle w:val="50"/>
                    <w:rPr>
                      <w:color w:val="auto"/>
                    </w:rPr>
                  </w:pPr>
                  <w:r>
                    <w:rPr>
                      <w:color w:val="auto"/>
                    </w:rPr>
                    <w:t>3</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 w:hRule="atLeast"/>
              </w:trPr>
              <w:tc>
                <w:tcPr>
                  <w:tcW w:w="726" w:type="pct"/>
                  <w:shd w:val="clear" w:color="auto" w:fill="auto"/>
                  <w:tcMar>
                    <w:top w:w="15" w:type="dxa"/>
                    <w:left w:w="15" w:type="dxa"/>
                    <w:right w:w="15" w:type="dxa"/>
                  </w:tcMar>
                </w:tcPr>
                <w:p>
                  <w:pPr>
                    <w:pStyle w:val="50"/>
                    <w:rPr>
                      <w:color w:val="auto"/>
                    </w:rPr>
                  </w:pPr>
                  <w:r>
                    <w:rPr>
                      <w:color w:val="auto"/>
                    </w:rPr>
                    <w:t>CODMn</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4~5.8</w:t>
                  </w:r>
                </w:p>
              </w:tc>
              <w:tc>
                <w:tcPr>
                  <w:tcW w:w="595" w:type="pct"/>
                  <w:shd w:val="clear" w:color="auto" w:fill="auto"/>
                  <w:tcMar>
                    <w:top w:w="15" w:type="dxa"/>
                    <w:left w:w="15" w:type="dxa"/>
                    <w:right w:w="15" w:type="dxa"/>
                  </w:tcMar>
                </w:tcPr>
                <w:p>
                  <w:pPr>
                    <w:pStyle w:val="50"/>
                    <w:rPr>
                      <w:color w:val="auto"/>
                    </w:rPr>
                  </w:pPr>
                  <w:r>
                    <w:rPr>
                      <w:color w:val="auto"/>
                    </w:rPr>
                    <w:t>4.79</w:t>
                  </w:r>
                </w:p>
              </w:tc>
              <w:tc>
                <w:tcPr>
                  <w:tcW w:w="642" w:type="pct"/>
                  <w:shd w:val="clear" w:color="auto" w:fill="auto"/>
                  <w:tcMar>
                    <w:top w:w="15" w:type="dxa"/>
                    <w:left w:w="15" w:type="dxa"/>
                    <w:right w:w="15" w:type="dxa"/>
                  </w:tcMar>
                </w:tcPr>
                <w:p>
                  <w:pPr>
                    <w:pStyle w:val="50"/>
                    <w:rPr>
                      <w:color w:val="auto"/>
                    </w:rPr>
                  </w:pPr>
                  <w:r>
                    <w:rPr>
                      <w:color w:val="auto"/>
                    </w:rPr>
                    <w:t>10</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2" w:hRule="atLeast"/>
              </w:trPr>
              <w:tc>
                <w:tcPr>
                  <w:tcW w:w="726" w:type="pct"/>
                  <w:shd w:val="clear" w:color="auto" w:fill="auto"/>
                  <w:tcMar>
                    <w:top w:w="15" w:type="dxa"/>
                    <w:left w:w="15" w:type="dxa"/>
                    <w:right w:w="15" w:type="dxa"/>
                  </w:tcMar>
                </w:tcPr>
                <w:p>
                  <w:pPr>
                    <w:pStyle w:val="50"/>
                    <w:rPr>
                      <w:color w:val="auto"/>
                    </w:rPr>
                  </w:pPr>
                  <w:r>
                    <w:rPr>
                      <w:color w:val="auto"/>
                    </w:rPr>
                    <w:t>CODCr</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13~28</w:t>
                  </w:r>
                </w:p>
              </w:tc>
              <w:tc>
                <w:tcPr>
                  <w:tcW w:w="595" w:type="pct"/>
                  <w:shd w:val="clear" w:color="auto" w:fill="auto"/>
                  <w:tcMar>
                    <w:top w:w="15" w:type="dxa"/>
                    <w:left w:w="15" w:type="dxa"/>
                    <w:right w:w="15" w:type="dxa"/>
                  </w:tcMar>
                </w:tcPr>
                <w:p>
                  <w:pPr>
                    <w:pStyle w:val="50"/>
                    <w:rPr>
                      <w:color w:val="auto"/>
                    </w:rPr>
                  </w:pPr>
                  <w:r>
                    <w:rPr>
                      <w:color w:val="auto"/>
                    </w:rPr>
                    <w:t>20.33</w:t>
                  </w:r>
                </w:p>
              </w:tc>
              <w:tc>
                <w:tcPr>
                  <w:tcW w:w="642" w:type="pct"/>
                  <w:shd w:val="clear" w:color="auto" w:fill="auto"/>
                  <w:tcMar>
                    <w:top w:w="15" w:type="dxa"/>
                    <w:left w:w="15" w:type="dxa"/>
                    <w:right w:w="15" w:type="dxa"/>
                  </w:tcMar>
                </w:tcPr>
                <w:p>
                  <w:pPr>
                    <w:pStyle w:val="50"/>
                    <w:rPr>
                      <w:color w:val="auto"/>
                    </w:rPr>
                  </w:pPr>
                  <w:r>
                    <w:rPr>
                      <w:color w:val="auto"/>
                    </w:rPr>
                    <w:t>30</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BOD5</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3.4~5.6</w:t>
                  </w:r>
                </w:p>
              </w:tc>
              <w:tc>
                <w:tcPr>
                  <w:tcW w:w="595" w:type="pct"/>
                  <w:shd w:val="clear" w:color="auto" w:fill="auto"/>
                  <w:tcMar>
                    <w:top w:w="15" w:type="dxa"/>
                    <w:left w:w="15" w:type="dxa"/>
                    <w:right w:w="15" w:type="dxa"/>
                  </w:tcMar>
                </w:tcPr>
                <w:p>
                  <w:pPr>
                    <w:pStyle w:val="50"/>
                    <w:rPr>
                      <w:color w:val="auto"/>
                    </w:rPr>
                  </w:pPr>
                  <w:r>
                    <w:rPr>
                      <w:color w:val="auto"/>
                    </w:rPr>
                    <w:t>4.34</w:t>
                  </w:r>
                </w:p>
              </w:tc>
              <w:tc>
                <w:tcPr>
                  <w:tcW w:w="642" w:type="pct"/>
                  <w:shd w:val="clear" w:color="auto" w:fill="auto"/>
                  <w:tcMar>
                    <w:top w:w="15" w:type="dxa"/>
                    <w:left w:w="15" w:type="dxa"/>
                    <w:right w:w="15" w:type="dxa"/>
                  </w:tcMar>
                </w:tcPr>
                <w:p>
                  <w:pPr>
                    <w:pStyle w:val="50"/>
                    <w:rPr>
                      <w:color w:val="auto"/>
                    </w:rPr>
                  </w:pPr>
                  <w:r>
                    <w:rPr>
                      <w:color w:val="auto"/>
                    </w:rPr>
                    <w:t>6</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氨氮</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0.12~0.66</w:t>
                  </w:r>
                </w:p>
              </w:tc>
              <w:tc>
                <w:tcPr>
                  <w:tcW w:w="595" w:type="pct"/>
                  <w:shd w:val="clear" w:color="auto" w:fill="auto"/>
                  <w:tcMar>
                    <w:top w:w="15" w:type="dxa"/>
                    <w:left w:w="15" w:type="dxa"/>
                    <w:right w:w="15" w:type="dxa"/>
                  </w:tcMar>
                </w:tcPr>
                <w:p>
                  <w:pPr>
                    <w:pStyle w:val="50"/>
                    <w:rPr>
                      <w:color w:val="auto"/>
                    </w:rPr>
                  </w:pPr>
                  <w:r>
                    <w:rPr>
                      <w:color w:val="auto"/>
                    </w:rPr>
                    <w:t>0.39</w:t>
                  </w:r>
                </w:p>
              </w:tc>
              <w:tc>
                <w:tcPr>
                  <w:tcW w:w="642" w:type="pct"/>
                  <w:shd w:val="clear" w:color="auto" w:fill="auto"/>
                  <w:tcMar>
                    <w:top w:w="15" w:type="dxa"/>
                    <w:left w:w="15" w:type="dxa"/>
                    <w:right w:w="15" w:type="dxa"/>
                  </w:tcMar>
                </w:tcPr>
                <w:p>
                  <w:pPr>
                    <w:pStyle w:val="50"/>
                    <w:rPr>
                      <w:color w:val="auto"/>
                    </w:rPr>
                  </w:pPr>
                  <w:r>
                    <w:rPr>
                      <w:color w:val="auto"/>
                    </w:rPr>
                    <w:t>1.5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总磷</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0.16~0.29</w:t>
                  </w:r>
                </w:p>
              </w:tc>
              <w:tc>
                <w:tcPr>
                  <w:tcW w:w="595" w:type="pct"/>
                  <w:shd w:val="clear" w:color="auto" w:fill="auto"/>
                  <w:tcMar>
                    <w:top w:w="15" w:type="dxa"/>
                    <w:left w:w="15" w:type="dxa"/>
                    <w:right w:w="15" w:type="dxa"/>
                  </w:tcMar>
                </w:tcPr>
                <w:p>
                  <w:pPr>
                    <w:pStyle w:val="50"/>
                    <w:rPr>
                      <w:color w:val="auto"/>
                    </w:rPr>
                  </w:pPr>
                  <w:r>
                    <w:rPr>
                      <w:color w:val="auto"/>
                    </w:rPr>
                    <w:t>0.24</w:t>
                  </w:r>
                </w:p>
              </w:tc>
              <w:tc>
                <w:tcPr>
                  <w:tcW w:w="642" w:type="pct"/>
                  <w:shd w:val="clear" w:color="auto" w:fill="auto"/>
                  <w:tcMar>
                    <w:top w:w="15" w:type="dxa"/>
                    <w:left w:w="15" w:type="dxa"/>
                    <w:right w:w="15" w:type="dxa"/>
                  </w:tcMar>
                </w:tcPr>
                <w:p>
                  <w:pPr>
                    <w:pStyle w:val="50"/>
                    <w:rPr>
                      <w:color w:val="auto"/>
                    </w:rPr>
                  </w:pPr>
                  <w:r>
                    <w:rPr>
                      <w:color w:val="auto"/>
                    </w:rPr>
                    <w:t>0.3</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铜</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0.001L~0.3</w:t>
                  </w:r>
                </w:p>
              </w:tc>
              <w:tc>
                <w:tcPr>
                  <w:tcW w:w="595" w:type="pct"/>
                  <w:shd w:val="clear" w:color="auto" w:fill="auto"/>
                  <w:tcMar>
                    <w:top w:w="15" w:type="dxa"/>
                    <w:left w:w="15" w:type="dxa"/>
                    <w:right w:w="15" w:type="dxa"/>
                  </w:tcMar>
                </w:tcPr>
                <w:p>
                  <w:pPr>
                    <w:pStyle w:val="50"/>
                    <w:rPr>
                      <w:color w:val="auto"/>
                    </w:rPr>
                  </w:pPr>
                  <w:r>
                    <w:rPr>
                      <w:color w:val="auto"/>
                    </w:rPr>
                    <w:t>/</w:t>
                  </w:r>
                </w:p>
              </w:tc>
              <w:tc>
                <w:tcPr>
                  <w:tcW w:w="642" w:type="pct"/>
                  <w:shd w:val="clear" w:color="auto" w:fill="auto"/>
                  <w:tcMar>
                    <w:top w:w="15" w:type="dxa"/>
                    <w:left w:w="15" w:type="dxa"/>
                    <w:right w:w="15" w:type="dxa"/>
                  </w:tcMar>
                </w:tcPr>
                <w:p>
                  <w:pPr>
                    <w:pStyle w:val="50"/>
                    <w:rPr>
                      <w:color w:val="auto"/>
                    </w:rPr>
                  </w:pPr>
                  <w:r>
                    <w:rPr>
                      <w:color w:val="auto"/>
                    </w:rPr>
                    <w:t>1</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锌</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0.05L~0.05L</w:t>
                  </w:r>
                </w:p>
              </w:tc>
              <w:tc>
                <w:tcPr>
                  <w:tcW w:w="595" w:type="pct"/>
                  <w:shd w:val="clear" w:color="auto" w:fill="auto"/>
                  <w:tcMar>
                    <w:top w:w="15" w:type="dxa"/>
                    <w:left w:w="15" w:type="dxa"/>
                    <w:right w:w="15" w:type="dxa"/>
                  </w:tcMar>
                </w:tcPr>
                <w:p>
                  <w:pPr>
                    <w:pStyle w:val="50"/>
                    <w:rPr>
                      <w:color w:val="auto"/>
                    </w:rPr>
                  </w:pPr>
                  <w:r>
                    <w:rPr>
                      <w:color w:val="auto"/>
                    </w:rPr>
                    <w:t>0.05L</w:t>
                  </w:r>
                </w:p>
              </w:tc>
              <w:tc>
                <w:tcPr>
                  <w:tcW w:w="642" w:type="pct"/>
                  <w:shd w:val="clear" w:color="auto" w:fill="auto"/>
                  <w:tcMar>
                    <w:top w:w="15" w:type="dxa"/>
                    <w:left w:w="15" w:type="dxa"/>
                    <w:right w:w="15" w:type="dxa"/>
                  </w:tcMar>
                </w:tcPr>
                <w:p>
                  <w:pPr>
                    <w:pStyle w:val="50"/>
                    <w:rPr>
                      <w:color w:val="auto"/>
                    </w:rPr>
                  </w:pPr>
                  <w:r>
                    <w:rPr>
                      <w:color w:val="auto"/>
                    </w:rPr>
                    <w:t>2</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氟化物</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0.48~0.72</w:t>
                  </w:r>
                </w:p>
              </w:tc>
              <w:tc>
                <w:tcPr>
                  <w:tcW w:w="595" w:type="pct"/>
                  <w:shd w:val="clear" w:color="auto" w:fill="auto"/>
                  <w:tcMar>
                    <w:top w:w="15" w:type="dxa"/>
                    <w:left w:w="15" w:type="dxa"/>
                    <w:right w:w="15" w:type="dxa"/>
                  </w:tcMar>
                </w:tcPr>
                <w:p>
                  <w:pPr>
                    <w:pStyle w:val="50"/>
                    <w:rPr>
                      <w:color w:val="auto"/>
                    </w:rPr>
                  </w:pPr>
                  <w:r>
                    <w:rPr>
                      <w:color w:val="auto"/>
                    </w:rPr>
                    <w:t>0.55</w:t>
                  </w:r>
                </w:p>
              </w:tc>
              <w:tc>
                <w:tcPr>
                  <w:tcW w:w="642" w:type="pct"/>
                  <w:shd w:val="clear" w:color="auto" w:fill="auto"/>
                  <w:tcMar>
                    <w:top w:w="15" w:type="dxa"/>
                    <w:left w:w="15" w:type="dxa"/>
                    <w:right w:w="15" w:type="dxa"/>
                  </w:tcMar>
                </w:tcPr>
                <w:p>
                  <w:pPr>
                    <w:pStyle w:val="50"/>
                    <w:rPr>
                      <w:color w:val="auto"/>
                    </w:rPr>
                  </w:pPr>
                  <w:r>
                    <w:rPr>
                      <w:color w:val="auto"/>
                    </w:rPr>
                    <w:t>1.5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砷</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0.0029~0.0071</w:t>
                  </w:r>
                </w:p>
              </w:tc>
              <w:tc>
                <w:tcPr>
                  <w:tcW w:w="595" w:type="pct"/>
                  <w:shd w:val="clear" w:color="auto" w:fill="auto"/>
                  <w:tcMar>
                    <w:top w:w="15" w:type="dxa"/>
                    <w:left w:w="15" w:type="dxa"/>
                    <w:right w:w="15" w:type="dxa"/>
                  </w:tcMar>
                </w:tcPr>
                <w:p>
                  <w:pPr>
                    <w:pStyle w:val="50"/>
                    <w:rPr>
                      <w:color w:val="auto"/>
                    </w:rPr>
                  </w:pPr>
                  <w:r>
                    <w:rPr>
                      <w:color w:val="auto"/>
                    </w:rPr>
                    <w:t>0.0047</w:t>
                  </w:r>
                </w:p>
              </w:tc>
              <w:tc>
                <w:tcPr>
                  <w:tcW w:w="642" w:type="pct"/>
                  <w:shd w:val="clear" w:color="auto" w:fill="auto"/>
                  <w:tcMar>
                    <w:top w:w="15" w:type="dxa"/>
                    <w:left w:w="15" w:type="dxa"/>
                    <w:right w:w="15" w:type="dxa"/>
                  </w:tcMar>
                </w:tcPr>
                <w:p>
                  <w:pPr>
                    <w:pStyle w:val="50"/>
                    <w:rPr>
                      <w:color w:val="auto"/>
                    </w:rPr>
                  </w:pPr>
                  <w:r>
                    <w:rPr>
                      <w:color w:val="auto"/>
                    </w:rPr>
                    <w:t>0.1</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726" w:type="pct"/>
                  <w:shd w:val="clear" w:color="auto" w:fill="auto"/>
                  <w:tcMar>
                    <w:top w:w="15" w:type="dxa"/>
                    <w:left w:w="15" w:type="dxa"/>
                    <w:right w:w="15" w:type="dxa"/>
                  </w:tcMar>
                </w:tcPr>
                <w:p>
                  <w:pPr>
                    <w:pStyle w:val="50"/>
                    <w:rPr>
                      <w:color w:val="auto"/>
                    </w:rPr>
                  </w:pPr>
                  <w:r>
                    <w:rPr>
                      <w:color w:val="auto"/>
                    </w:rPr>
                    <w:t>汞</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0.00004L~0.00004L</w:t>
                  </w:r>
                </w:p>
              </w:tc>
              <w:tc>
                <w:tcPr>
                  <w:tcW w:w="595" w:type="pct"/>
                  <w:shd w:val="clear" w:color="auto" w:fill="auto"/>
                  <w:tcMar>
                    <w:top w:w="15" w:type="dxa"/>
                    <w:left w:w="15" w:type="dxa"/>
                    <w:right w:w="15" w:type="dxa"/>
                  </w:tcMar>
                </w:tcPr>
                <w:p>
                  <w:pPr>
                    <w:pStyle w:val="50"/>
                    <w:rPr>
                      <w:color w:val="auto"/>
                    </w:rPr>
                  </w:pPr>
                  <w:r>
                    <w:rPr>
                      <w:color w:val="auto"/>
                    </w:rPr>
                    <w:t>/</w:t>
                  </w:r>
                </w:p>
              </w:tc>
              <w:tc>
                <w:tcPr>
                  <w:tcW w:w="642" w:type="pct"/>
                  <w:shd w:val="clear" w:color="auto" w:fill="auto"/>
                  <w:tcMar>
                    <w:top w:w="15" w:type="dxa"/>
                    <w:left w:w="15" w:type="dxa"/>
                    <w:right w:w="15" w:type="dxa"/>
                  </w:tcMar>
                </w:tcPr>
                <w:p>
                  <w:pPr>
                    <w:pStyle w:val="50"/>
                    <w:rPr>
                      <w:color w:val="auto"/>
                    </w:rPr>
                  </w:pPr>
                  <w:r>
                    <w:rPr>
                      <w:color w:val="auto"/>
                    </w:rPr>
                    <w:t>0.001</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trPr>
              <w:tc>
                <w:tcPr>
                  <w:tcW w:w="726" w:type="pct"/>
                  <w:shd w:val="clear" w:color="auto" w:fill="auto"/>
                  <w:tcMar>
                    <w:top w:w="15" w:type="dxa"/>
                    <w:left w:w="15" w:type="dxa"/>
                    <w:right w:w="15" w:type="dxa"/>
                  </w:tcMar>
                </w:tcPr>
                <w:p>
                  <w:pPr>
                    <w:pStyle w:val="50"/>
                    <w:rPr>
                      <w:color w:val="auto"/>
                    </w:rPr>
                  </w:pPr>
                  <w:r>
                    <w:rPr>
                      <w:color w:val="auto"/>
                    </w:rPr>
                    <w:t>镉</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0.0001L~0.0002L</w:t>
                  </w:r>
                </w:p>
              </w:tc>
              <w:tc>
                <w:tcPr>
                  <w:tcW w:w="595" w:type="pct"/>
                  <w:shd w:val="clear" w:color="auto" w:fill="auto"/>
                  <w:tcMar>
                    <w:top w:w="15" w:type="dxa"/>
                    <w:left w:w="15" w:type="dxa"/>
                    <w:right w:w="15" w:type="dxa"/>
                  </w:tcMar>
                </w:tcPr>
                <w:p>
                  <w:pPr>
                    <w:pStyle w:val="50"/>
                    <w:rPr>
                      <w:color w:val="auto"/>
                    </w:rPr>
                  </w:pPr>
                  <w:r>
                    <w:rPr>
                      <w:color w:val="auto"/>
                    </w:rPr>
                    <w:t>/</w:t>
                  </w:r>
                </w:p>
              </w:tc>
              <w:tc>
                <w:tcPr>
                  <w:tcW w:w="642" w:type="pct"/>
                  <w:shd w:val="clear" w:color="auto" w:fill="auto"/>
                  <w:tcMar>
                    <w:top w:w="15" w:type="dxa"/>
                    <w:left w:w="15" w:type="dxa"/>
                    <w:right w:w="15" w:type="dxa"/>
                  </w:tcMar>
                </w:tcPr>
                <w:p>
                  <w:pPr>
                    <w:pStyle w:val="50"/>
                    <w:rPr>
                      <w:color w:val="auto"/>
                    </w:rPr>
                  </w:pPr>
                  <w:r>
                    <w:rPr>
                      <w:color w:val="auto"/>
                    </w:rPr>
                    <w:t>0.005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六价铬</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0.004L~0.004L</w:t>
                  </w:r>
                </w:p>
              </w:tc>
              <w:tc>
                <w:tcPr>
                  <w:tcW w:w="595" w:type="pct"/>
                  <w:shd w:val="clear" w:color="auto" w:fill="auto"/>
                  <w:tcMar>
                    <w:top w:w="15" w:type="dxa"/>
                    <w:left w:w="15" w:type="dxa"/>
                    <w:right w:w="15" w:type="dxa"/>
                  </w:tcMar>
                </w:tcPr>
                <w:p>
                  <w:pPr>
                    <w:pStyle w:val="50"/>
                    <w:rPr>
                      <w:color w:val="auto"/>
                    </w:rPr>
                  </w:pPr>
                  <w:r>
                    <w:rPr>
                      <w:color w:val="auto"/>
                    </w:rPr>
                    <w:t>0.004L</w:t>
                  </w:r>
                </w:p>
              </w:tc>
              <w:tc>
                <w:tcPr>
                  <w:tcW w:w="642" w:type="pct"/>
                  <w:shd w:val="clear" w:color="auto" w:fill="auto"/>
                  <w:tcMar>
                    <w:top w:w="15" w:type="dxa"/>
                    <w:left w:w="15" w:type="dxa"/>
                    <w:right w:w="15" w:type="dxa"/>
                  </w:tcMar>
                </w:tcPr>
                <w:p>
                  <w:pPr>
                    <w:pStyle w:val="50"/>
                    <w:rPr>
                      <w:color w:val="auto"/>
                    </w:rPr>
                  </w:pPr>
                  <w:r>
                    <w:rPr>
                      <w:color w:val="auto"/>
                    </w:rPr>
                    <w:t>0.05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726" w:type="pct"/>
                  <w:shd w:val="clear" w:color="auto" w:fill="auto"/>
                  <w:tcMar>
                    <w:top w:w="15" w:type="dxa"/>
                    <w:left w:w="15" w:type="dxa"/>
                    <w:right w:w="15" w:type="dxa"/>
                  </w:tcMar>
                </w:tcPr>
                <w:p>
                  <w:pPr>
                    <w:pStyle w:val="50"/>
                    <w:rPr>
                      <w:color w:val="auto"/>
                    </w:rPr>
                  </w:pPr>
                  <w:r>
                    <w:rPr>
                      <w:color w:val="auto"/>
                    </w:rPr>
                    <w:t>铅</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0.002L~0.002L</w:t>
                  </w:r>
                </w:p>
              </w:tc>
              <w:tc>
                <w:tcPr>
                  <w:tcW w:w="595" w:type="pct"/>
                  <w:shd w:val="clear" w:color="auto" w:fill="auto"/>
                  <w:tcMar>
                    <w:top w:w="15" w:type="dxa"/>
                    <w:left w:w="15" w:type="dxa"/>
                    <w:right w:w="15" w:type="dxa"/>
                  </w:tcMar>
                </w:tcPr>
                <w:p>
                  <w:pPr>
                    <w:pStyle w:val="50"/>
                    <w:rPr>
                      <w:color w:val="auto"/>
                    </w:rPr>
                  </w:pPr>
                  <w:r>
                    <w:rPr>
                      <w:color w:val="auto"/>
                    </w:rPr>
                    <w:t>0.002L</w:t>
                  </w:r>
                </w:p>
              </w:tc>
              <w:tc>
                <w:tcPr>
                  <w:tcW w:w="642" w:type="pct"/>
                  <w:shd w:val="clear" w:color="auto" w:fill="auto"/>
                  <w:tcMar>
                    <w:top w:w="15" w:type="dxa"/>
                    <w:left w:w="15" w:type="dxa"/>
                    <w:right w:w="15" w:type="dxa"/>
                  </w:tcMar>
                </w:tcPr>
                <w:p>
                  <w:pPr>
                    <w:pStyle w:val="50"/>
                    <w:rPr>
                      <w:color w:val="auto"/>
                    </w:rPr>
                  </w:pPr>
                  <w:r>
                    <w:rPr>
                      <w:color w:val="auto"/>
                    </w:rPr>
                    <w:t>0.05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726" w:type="pct"/>
                  <w:shd w:val="clear" w:color="auto" w:fill="auto"/>
                  <w:tcMar>
                    <w:top w:w="15" w:type="dxa"/>
                    <w:left w:w="15" w:type="dxa"/>
                    <w:right w:w="15" w:type="dxa"/>
                  </w:tcMar>
                </w:tcPr>
                <w:p>
                  <w:pPr>
                    <w:pStyle w:val="50"/>
                    <w:rPr>
                      <w:color w:val="auto"/>
                    </w:rPr>
                  </w:pPr>
                  <w:r>
                    <w:rPr>
                      <w:color w:val="auto"/>
                    </w:rPr>
                    <w:t>石油类</w:t>
                  </w:r>
                </w:p>
              </w:tc>
              <w:tc>
                <w:tcPr>
                  <w:tcW w:w="575" w:type="pct"/>
                  <w:vMerge w:val="continue"/>
                  <w:shd w:val="clear" w:color="auto" w:fill="auto"/>
                  <w:tcMar>
                    <w:top w:w="15" w:type="dxa"/>
                    <w:left w:w="15" w:type="dxa"/>
                    <w:right w:w="15" w:type="dxa"/>
                  </w:tcMar>
                  <w:vAlign w:val="center"/>
                </w:tcPr>
                <w:p>
                  <w:pPr>
                    <w:pStyle w:val="50"/>
                    <w:rPr>
                      <w:color w:val="auto"/>
                    </w:rPr>
                  </w:pPr>
                </w:p>
              </w:tc>
              <w:tc>
                <w:tcPr>
                  <w:tcW w:w="1090" w:type="pct"/>
                  <w:shd w:val="clear" w:color="auto" w:fill="auto"/>
                  <w:tcMar>
                    <w:top w:w="15" w:type="dxa"/>
                    <w:left w:w="15" w:type="dxa"/>
                    <w:right w:w="15" w:type="dxa"/>
                  </w:tcMar>
                </w:tcPr>
                <w:p>
                  <w:pPr>
                    <w:pStyle w:val="50"/>
                    <w:rPr>
                      <w:color w:val="auto"/>
                    </w:rPr>
                  </w:pPr>
                  <w:r>
                    <w:rPr>
                      <w:color w:val="auto"/>
                    </w:rPr>
                    <w:t>0.01L~0.15L</w:t>
                  </w:r>
                </w:p>
              </w:tc>
              <w:tc>
                <w:tcPr>
                  <w:tcW w:w="595" w:type="pct"/>
                  <w:shd w:val="clear" w:color="auto" w:fill="auto"/>
                  <w:tcMar>
                    <w:top w:w="15" w:type="dxa"/>
                    <w:left w:w="15" w:type="dxa"/>
                    <w:right w:w="15" w:type="dxa"/>
                  </w:tcMar>
                </w:tcPr>
                <w:p>
                  <w:pPr>
                    <w:pStyle w:val="50"/>
                    <w:rPr>
                      <w:color w:val="auto"/>
                    </w:rPr>
                  </w:pPr>
                  <w:r>
                    <w:rPr>
                      <w:color w:val="auto"/>
                    </w:rPr>
                    <w:t>/</w:t>
                  </w:r>
                </w:p>
              </w:tc>
              <w:tc>
                <w:tcPr>
                  <w:tcW w:w="642" w:type="pct"/>
                  <w:shd w:val="clear" w:color="auto" w:fill="auto"/>
                  <w:tcMar>
                    <w:top w:w="15" w:type="dxa"/>
                    <w:left w:w="15" w:type="dxa"/>
                    <w:right w:w="15" w:type="dxa"/>
                  </w:tcMar>
                </w:tcPr>
                <w:p>
                  <w:pPr>
                    <w:pStyle w:val="50"/>
                    <w:rPr>
                      <w:color w:val="auto"/>
                    </w:rPr>
                  </w:pPr>
                  <w:r>
                    <w:rPr>
                      <w:color w:val="auto"/>
                    </w:rPr>
                    <w:t>0.5</w:t>
                  </w:r>
                </w:p>
              </w:tc>
              <w:tc>
                <w:tcPr>
                  <w:tcW w:w="656" w:type="pct"/>
                  <w:shd w:val="clear" w:color="auto" w:fill="auto"/>
                  <w:tcMar>
                    <w:top w:w="15" w:type="dxa"/>
                    <w:left w:w="15" w:type="dxa"/>
                    <w:right w:w="15" w:type="dxa"/>
                  </w:tcMar>
                </w:tcPr>
                <w:p>
                  <w:pPr>
                    <w:pStyle w:val="50"/>
                    <w:rPr>
                      <w:color w:val="auto"/>
                    </w:rPr>
                  </w:pPr>
                  <w:r>
                    <w:rPr>
                      <w:color w:val="auto"/>
                    </w:rPr>
                    <w:t>0</w:t>
                  </w:r>
                </w:p>
              </w:tc>
              <w:tc>
                <w:tcPr>
                  <w:tcW w:w="714" w:type="pct"/>
                  <w:shd w:val="clear" w:color="auto" w:fill="auto"/>
                  <w:tcMar>
                    <w:top w:w="15" w:type="dxa"/>
                    <w:left w:w="15" w:type="dxa"/>
                    <w:right w:w="15" w:type="dxa"/>
                  </w:tcMa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5000" w:type="pct"/>
                  <w:gridSpan w:val="7"/>
                  <w:shd w:val="clear" w:color="auto" w:fill="auto"/>
                  <w:tcMar>
                    <w:top w:w="15" w:type="dxa"/>
                    <w:left w:w="15" w:type="dxa"/>
                    <w:right w:w="15" w:type="dxa"/>
                  </w:tcMar>
                </w:tcPr>
                <w:p>
                  <w:pPr>
                    <w:pStyle w:val="50"/>
                    <w:jc w:val="both"/>
                    <w:rPr>
                      <w:color w:val="auto"/>
                    </w:rPr>
                  </w:pPr>
                  <w:r>
                    <w:rPr>
                      <w:color w:val="auto"/>
                    </w:rPr>
                    <w:t>备注：“L”表示监测结果小与分析方法检出限，以检出限L表示。</w:t>
                  </w:r>
                </w:p>
              </w:tc>
            </w:tr>
          </w:tbl>
          <w:p>
            <w:pPr>
              <w:ind w:firstLine="480"/>
              <w:rPr>
                <w:color w:val="auto"/>
              </w:rPr>
            </w:pPr>
            <w:r>
              <w:rPr>
                <w:rFonts w:hint="eastAsia"/>
                <w:color w:val="auto"/>
              </w:rPr>
              <w:t>由表3-1可以看出，螳螂川赤鹫大桥断面2020年（1~9月）可以达到 GB3838-2002《地表水环境质量标准》IV 类水标准要求</w:t>
            </w:r>
            <w:r>
              <w:rPr>
                <w:color w:val="auto"/>
              </w:rPr>
              <w:t>。</w:t>
            </w:r>
          </w:p>
          <w:p>
            <w:pPr>
              <w:ind w:firstLine="480"/>
              <w:rPr>
                <w:color w:val="auto"/>
              </w:rPr>
            </w:pPr>
            <w:r>
              <w:rPr>
                <w:color w:val="auto"/>
                <w:lang w:val="zh-CN"/>
              </w:rPr>
              <w:t>根据</w:t>
            </w:r>
            <w:r>
              <w:rPr>
                <w:color w:val="auto"/>
              </w:rPr>
              <w:t>《2019年度昆明市生态环境状况公报》，螳螂川-普渡河中滩闸门水质类别为Ⅴ类，与2018年相比，水质保持不变；温泉大桥断面水质类别为Ⅴ类，与2018年相比，水质类别无变化；富民大桥断面水质类别为Ⅴ类，与2018年相比，水质显著好转。</w:t>
            </w:r>
          </w:p>
          <w:p>
            <w:pPr>
              <w:keepLines/>
              <w:ind w:firstLine="482"/>
              <w:contextualSpacing/>
              <w:rPr>
                <w:b/>
                <w:color w:val="auto"/>
                <w:szCs w:val="28"/>
              </w:rPr>
            </w:pPr>
            <w:r>
              <w:rPr>
                <w:b/>
                <w:color w:val="auto"/>
                <w:szCs w:val="28"/>
              </w:rPr>
              <w:t>3、声环境质量现状</w:t>
            </w:r>
          </w:p>
          <w:p>
            <w:pPr>
              <w:ind w:firstLine="480"/>
              <w:rPr>
                <w:color w:val="auto"/>
              </w:rPr>
            </w:pPr>
            <w:r>
              <w:rPr>
                <w:color w:val="auto"/>
              </w:rPr>
              <w:t>项目位于晋宁工业片区</w:t>
            </w:r>
            <w:r>
              <w:rPr>
                <w:rFonts w:hint="eastAsia"/>
                <w:color w:val="auto"/>
              </w:rPr>
              <w:t>大营—茨塘片区大营五金建材园</w:t>
            </w:r>
            <w:r>
              <w:rPr>
                <w:color w:val="auto"/>
              </w:rPr>
              <w:t>，</w:t>
            </w:r>
            <w:r>
              <w:rPr>
                <w:rFonts w:hint="eastAsia"/>
                <w:color w:val="auto"/>
              </w:rPr>
              <w:t>云南健牛生物科技有限公司</w:t>
            </w:r>
            <w:r>
              <w:rPr>
                <w:color w:val="auto"/>
              </w:rPr>
              <w:t>于</w:t>
            </w:r>
            <w:r>
              <w:rPr>
                <w:rFonts w:hint="eastAsia"/>
                <w:color w:val="auto"/>
              </w:rPr>
              <w:t>202</w:t>
            </w:r>
            <w:r>
              <w:rPr>
                <w:rFonts w:hint="eastAsia"/>
                <w:color w:val="auto"/>
                <w:lang w:val="en-US" w:eastAsia="zh-CN"/>
              </w:rPr>
              <w:t>1</w:t>
            </w:r>
            <w:r>
              <w:rPr>
                <w:rFonts w:hint="eastAsia"/>
                <w:color w:val="auto"/>
              </w:rPr>
              <w:t>年</w:t>
            </w:r>
            <w:r>
              <w:rPr>
                <w:rFonts w:hint="eastAsia"/>
                <w:color w:val="auto"/>
                <w:lang w:val="en-US" w:eastAsia="zh-CN"/>
              </w:rPr>
              <w:t>1</w:t>
            </w:r>
            <w:r>
              <w:rPr>
                <w:rFonts w:hint="eastAsia"/>
                <w:color w:val="auto"/>
              </w:rPr>
              <w:t>月</w:t>
            </w:r>
            <w:r>
              <w:rPr>
                <w:rFonts w:hint="eastAsia"/>
                <w:color w:val="auto"/>
                <w:lang w:val="en-US" w:eastAsia="zh-CN"/>
              </w:rPr>
              <w:t>28</w:t>
            </w:r>
            <w:r>
              <w:rPr>
                <w:rFonts w:hint="eastAsia"/>
                <w:color w:val="auto"/>
              </w:rPr>
              <w:t>日—202</w:t>
            </w:r>
            <w:r>
              <w:rPr>
                <w:rFonts w:hint="eastAsia"/>
                <w:color w:val="auto"/>
                <w:lang w:val="en-US" w:eastAsia="zh-CN"/>
              </w:rPr>
              <w:t>1</w:t>
            </w:r>
            <w:r>
              <w:rPr>
                <w:rFonts w:hint="eastAsia"/>
                <w:color w:val="auto"/>
              </w:rPr>
              <w:t>年</w:t>
            </w:r>
            <w:r>
              <w:rPr>
                <w:rFonts w:hint="eastAsia"/>
                <w:color w:val="auto"/>
                <w:lang w:val="en-US" w:eastAsia="zh-CN"/>
              </w:rPr>
              <w:t>1</w:t>
            </w:r>
            <w:r>
              <w:rPr>
                <w:rFonts w:hint="eastAsia"/>
                <w:color w:val="auto"/>
              </w:rPr>
              <w:t>月</w:t>
            </w:r>
            <w:r>
              <w:rPr>
                <w:rFonts w:hint="eastAsia"/>
                <w:color w:val="auto"/>
                <w:lang w:val="en-US" w:eastAsia="zh-CN"/>
              </w:rPr>
              <w:t>29</w:t>
            </w:r>
            <w:r>
              <w:rPr>
                <w:rFonts w:hint="eastAsia"/>
                <w:color w:val="auto"/>
              </w:rPr>
              <w:t>日</w:t>
            </w:r>
            <w:r>
              <w:rPr>
                <w:color w:val="auto"/>
              </w:rPr>
              <w:t>对项目厂界噪声进行了监测，监测结果</w:t>
            </w:r>
            <w:r>
              <w:rPr>
                <w:rFonts w:hint="eastAsia"/>
                <w:color w:val="auto"/>
                <w:lang w:val="en-US" w:eastAsia="zh-CN"/>
              </w:rPr>
              <w:t>表明</w:t>
            </w:r>
            <w:r>
              <w:rPr>
                <w:color w:val="auto"/>
              </w:rPr>
              <w:t>项目厂界昼间和夜间的噪声均能达到GB3096-2008《声环境质量标准》3类标准。监测结果见表3-</w:t>
            </w:r>
            <w:r>
              <w:rPr>
                <w:rFonts w:hint="eastAsia"/>
                <w:color w:val="auto"/>
                <w:lang w:val="en-US" w:eastAsia="zh-CN"/>
              </w:rPr>
              <w:t>4</w:t>
            </w:r>
            <w:r>
              <w:rPr>
                <w:color w:val="auto"/>
              </w:rPr>
              <w:t>所示。</w:t>
            </w:r>
          </w:p>
          <w:p>
            <w:pPr>
              <w:spacing w:line="240" w:lineRule="auto"/>
              <w:ind w:firstLine="0" w:firstLineChars="0"/>
              <w:jc w:val="center"/>
              <w:rPr>
                <w:b/>
                <w:snapToGrid/>
                <w:color w:val="auto"/>
                <w:sz w:val="21"/>
                <w:szCs w:val="21"/>
              </w:rPr>
            </w:pPr>
            <w:r>
              <w:rPr>
                <w:b/>
                <w:snapToGrid/>
                <w:color w:val="auto"/>
                <w:sz w:val="21"/>
                <w:szCs w:val="21"/>
              </w:rPr>
              <w:t>表3-</w:t>
            </w:r>
            <w:r>
              <w:rPr>
                <w:rFonts w:hint="eastAsia"/>
                <w:b/>
                <w:snapToGrid/>
                <w:color w:val="auto"/>
                <w:sz w:val="21"/>
                <w:szCs w:val="21"/>
                <w:lang w:val="en-US" w:eastAsia="zh-CN"/>
              </w:rPr>
              <w:t xml:space="preserve">4 </w:t>
            </w:r>
            <w:r>
              <w:rPr>
                <w:b/>
                <w:snapToGrid/>
                <w:color w:val="auto"/>
                <w:sz w:val="21"/>
                <w:szCs w:val="21"/>
              </w:rPr>
              <w:t xml:space="preserve"> 项目厂界噪声监测结果</w:t>
            </w:r>
          </w:p>
          <w:tbl>
            <w:tblPr>
              <w:tblStyle w:val="36"/>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510"/>
              <w:gridCol w:w="2456"/>
              <w:gridCol w:w="2138"/>
              <w:gridCol w:w="2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 w:hRule="atLeast"/>
                <w:jc w:val="center"/>
              </w:trPr>
              <w:tc>
                <w:tcPr>
                  <w:tcW w:w="1185" w:type="pct"/>
                  <w:gridSpan w:val="2"/>
                  <w:vMerge w:val="restart"/>
                  <w:vAlign w:val="center"/>
                </w:tcPr>
                <w:p>
                  <w:pPr>
                    <w:pStyle w:val="50"/>
                    <w:rPr>
                      <w:color w:val="auto"/>
                    </w:rPr>
                  </w:pPr>
                  <w:r>
                    <w:rPr>
                      <w:color w:val="auto"/>
                    </w:rPr>
                    <w:t>检测点</w:t>
                  </w:r>
                </w:p>
              </w:tc>
              <w:tc>
                <w:tcPr>
                  <w:tcW w:w="1383" w:type="pct"/>
                  <w:vMerge w:val="restart"/>
                  <w:vAlign w:val="center"/>
                </w:tcPr>
                <w:p>
                  <w:pPr>
                    <w:pStyle w:val="50"/>
                    <w:rPr>
                      <w:color w:val="auto"/>
                    </w:rPr>
                  </w:pPr>
                  <w:r>
                    <w:rPr>
                      <w:color w:val="auto"/>
                    </w:rPr>
                    <w:t>检测日期</w:t>
                  </w:r>
                </w:p>
              </w:tc>
              <w:tc>
                <w:tcPr>
                  <w:tcW w:w="2431" w:type="pct"/>
                  <w:gridSpan w:val="2"/>
                  <w:vAlign w:val="center"/>
                </w:tcPr>
                <w:p>
                  <w:pPr>
                    <w:pStyle w:val="50"/>
                    <w:rPr>
                      <w:color w:val="auto"/>
                    </w:rPr>
                  </w:pPr>
                  <w:r>
                    <w:rPr>
                      <w:color w:val="auto"/>
                    </w:rPr>
                    <w:t>检测值Leq[dB（A）]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 w:hRule="atLeast"/>
                <w:jc w:val="center"/>
              </w:trPr>
              <w:tc>
                <w:tcPr>
                  <w:tcW w:w="1185" w:type="pct"/>
                  <w:gridSpan w:val="2"/>
                  <w:vMerge w:val="continue"/>
                  <w:vAlign w:val="center"/>
                </w:tcPr>
                <w:p>
                  <w:pPr>
                    <w:pStyle w:val="50"/>
                    <w:rPr>
                      <w:color w:val="auto"/>
                    </w:rPr>
                  </w:pPr>
                </w:p>
              </w:tc>
              <w:tc>
                <w:tcPr>
                  <w:tcW w:w="1383" w:type="pct"/>
                  <w:vMerge w:val="continue"/>
                  <w:vAlign w:val="center"/>
                </w:tcPr>
                <w:p>
                  <w:pPr>
                    <w:pStyle w:val="50"/>
                    <w:rPr>
                      <w:color w:val="auto"/>
                    </w:rPr>
                  </w:pPr>
                </w:p>
              </w:tc>
              <w:tc>
                <w:tcPr>
                  <w:tcW w:w="1204" w:type="pct"/>
                  <w:vAlign w:val="center"/>
                </w:tcPr>
                <w:p>
                  <w:pPr>
                    <w:pStyle w:val="50"/>
                    <w:rPr>
                      <w:color w:val="auto"/>
                    </w:rPr>
                  </w:pPr>
                  <w:r>
                    <w:rPr>
                      <w:color w:val="auto"/>
                    </w:rPr>
                    <w:t>昼 间</w:t>
                  </w:r>
                </w:p>
              </w:tc>
              <w:tc>
                <w:tcPr>
                  <w:tcW w:w="1227" w:type="pct"/>
                  <w:vAlign w:val="center"/>
                </w:tcPr>
                <w:p>
                  <w:pPr>
                    <w:pStyle w:val="50"/>
                    <w:rPr>
                      <w:color w:val="auto"/>
                    </w:rPr>
                  </w:pPr>
                  <w:r>
                    <w:rPr>
                      <w:color w:val="auto"/>
                    </w:rPr>
                    <w:t>夜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jc w:val="center"/>
              </w:trPr>
              <w:tc>
                <w:tcPr>
                  <w:tcW w:w="1185" w:type="pct"/>
                  <w:gridSpan w:val="2"/>
                  <w:vMerge w:val="restart"/>
                  <w:vAlign w:val="center"/>
                </w:tcPr>
                <w:p>
                  <w:pPr>
                    <w:pStyle w:val="50"/>
                    <w:rPr>
                      <w:color w:val="auto"/>
                    </w:rPr>
                  </w:pPr>
                  <w:r>
                    <w:rPr>
                      <w:color w:val="auto"/>
                    </w:rPr>
                    <w:t>厂界</w:t>
                  </w:r>
                  <w:r>
                    <w:rPr>
                      <w:rFonts w:hint="eastAsia"/>
                      <w:color w:val="auto"/>
                      <w:lang w:eastAsia="zh-CN"/>
                    </w:rPr>
                    <w:t>东</w:t>
                  </w:r>
                  <w:r>
                    <w:rPr>
                      <w:color w:val="auto"/>
                    </w:rPr>
                    <w:t>侧</w:t>
                  </w:r>
                </w:p>
              </w:tc>
              <w:tc>
                <w:tcPr>
                  <w:tcW w:w="1383" w:type="pct"/>
                  <w:vAlign w:val="center"/>
                </w:tcPr>
                <w:p>
                  <w:pPr>
                    <w:pStyle w:val="50"/>
                    <w:rPr>
                      <w:rFonts w:hint="default" w:eastAsia="宋体"/>
                      <w:color w:val="auto"/>
                      <w:lang w:eastAsia="zh-CN"/>
                    </w:rPr>
                  </w:pPr>
                  <w:r>
                    <w:rPr>
                      <w:rFonts w:hint="eastAsia"/>
                      <w:color w:val="auto"/>
                    </w:rPr>
                    <w:t>202</w:t>
                  </w:r>
                  <w:r>
                    <w:rPr>
                      <w:rFonts w:hint="default"/>
                      <w:color w:val="auto"/>
                      <w:lang w:val="en-US" w:eastAsia="zh-CN"/>
                    </w:rPr>
                    <w:t>1</w:t>
                  </w:r>
                  <w:r>
                    <w:rPr>
                      <w:rFonts w:hint="eastAsia"/>
                      <w:color w:val="auto"/>
                    </w:rPr>
                    <w:t>.</w:t>
                  </w:r>
                  <w:r>
                    <w:rPr>
                      <w:rFonts w:hint="default"/>
                      <w:color w:val="auto"/>
                      <w:lang w:val="en-US" w:eastAsia="zh-CN"/>
                    </w:rPr>
                    <w:t>1</w:t>
                  </w:r>
                  <w:r>
                    <w:rPr>
                      <w:rFonts w:hint="eastAsia"/>
                      <w:color w:val="auto"/>
                    </w:rPr>
                    <w:t>.2</w:t>
                  </w:r>
                  <w:r>
                    <w:rPr>
                      <w:rFonts w:hint="default"/>
                      <w:color w:val="auto"/>
                      <w:lang w:val="en-US" w:eastAsia="zh-CN"/>
                    </w:rPr>
                    <w:t>8</w:t>
                  </w:r>
                </w:p>
              </w:tc>
              <w:tc>
                <w:tcPr>
                  <w:tcW w:w="2138" w:type="dxa"/>
                  <w:vAlign w:val="center"/>
                </w:tcPr>
                <w:p>
                  <w:pPr>
                    <w:pStyle w:val="50"/>
                    <w:ind w:firstLine="420" w:firstLineChars="200"/>
                    <w:jc w:val="center"/>
                    <w:rPr>
                      <w:color w:val="auto"/>
                    </w:rPr>
                  </w:pPr>
                  <w:r>
                    <w:rPr>
                      <w:rFonts w:hint="default" w:cs="Times New Roman"/>
                      <w:color w:val="auto"/>
                      <w:szCs w:val="21"/>
                    </w:rPr>
                    <w:t>53</w:t>
                  </w:r>
                </w:p>
              </w:tc>
              <w:tc>
                <w:tcPr>
                  <w:tcW w:w="2179" w:type="dxa"/>
                  <w:vAlign w:val="center"/>
                </w:tcPr>
                <w:p>
                  <w:pPr>
                    <w:pStyle w:val="50"/>
                    <w:ind w:firstLine="420" w:firstLineChars="200"/>
                    <w:jc w:val="center"/>
                    <w:rPr>
                      <w:color w:val="auto"/>
                    </w:rPr>
                  </w:pPr>
                  <w:r>
                    <w:rPr>
                      <w:rFonts w:hint="default" w:cs="Times New Roman"/>
                      <w:color w:val="auto"/>
                      <w:szCs w:val="21"/>
                    </w:rPr>
                    <w:t>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 w:hRule="atLeast"/>
                <w:jc w:val="center"/>
              </w:trPr>
              <w:tc>
                <w:tcPr>
                  <w:tcW w:w="1185" w:type="pct"/>
                  <w:gridSpan w:val="2"/>
                  <w:vMerge w:val="continue"/>
                  <w:vAlign w:val="center"/>
                </w:tcPr>
                <w:p>
                  <w:pPr>
                    <w:pStyle w:val="50"/>
                    <w:rPr>
                      <w:color w:val="auto"/>
                    </w:rPr>
                  </w:pPr>
                </w:p>
              </w:tc>
              <w:tc>
                <w:tcPr>
                  <w:tcW w:w="1383" w:type="pct"/>
                  <w:vAlign w:val="center"/>
                </w:tcPr>
                <w:p>
                  <w:pPr>
                    <w:pStyle w:val="50"/>
                    <w:rPr>
                      <w:rFonts w:hint="default" w:eastAsia="宋体"/>
                      <w:color w:val="auto"/>
                      <w:lang w:val="en-US" w:eastAsia="zh-CN"/>
                    </w:rPr>
                  </w:pPr>
                  <w:r>
                    <w:rPr>
                      <w:rFonts w:hint="eastAsia"/>
                      <w:color w:val="auto"/>
                    </w:rPr>
                    <w:t>202</w:t>
                  </w:r>
                  <w:r>
                    <w:rPr>
                      <w:rFonts w:hint="default"/>
                      <w:color w:val="auto"/>
                      <w:lang w:val="en-US" w:eastAsia="zh-CN"/>
                    </w:rPr>
                    <w:t>1</w:t>
                  </w:r>
                  <w:r>
                    <w:rPr>
                      <w:rFonts w:hint="eastAsia"/>
                      <w:color w:val="auto"/>
                    </w:rPr>
                    <w:t>.</w:t>
                  </w:r>
                  <w:r>
                    <w:rPr>
                      <w:rFonts w:hint="default"/>
                      <w:color w:val="auto"/>
                      <w:lang w:val="en-US" w:eastAsia="zh-CN"/>
                    </w:rPr>
                    <w:t>1</w:t>
                  </w:r>
                  <w:r>
                    <w:rPr>
                      <w:rFonts w:hint="eastAsia"/>
                      <w:color w:val="auto"/>
                    </w:rPr>
                    <w:t>.</w:t>
                  </w:r>
                  <w:r>
                    <w:rPr>
                      <w:rFonts w:hint="default"/>
                      <w:color w:val="auto"/>
                      <w:lang w:val="en-US" w:eastAsia="zh-CN"/>
                    </w:rPr>
                    <w:t>29</w:t>
                  </w:r>
                </w:p>
              </w:tc>
              <w:tc>
                <w:tcPr>
                  <w:tcW w:w="2138" w:type="dxa"/>
                  <w:vAlign w:val="center"/>
                </w:tcPr>
                <w:p>
                  <w:pPr>
                    <w:pStyle w:val="50"/>
                    <w:ind w:firstLine="420" w:firstLineChars="200"/>
                    <w:jc w:val="center"/>
                    <w:rPr>
                      <w:color w:val="auto"/>
                    </w:rPr>
                  </w:pPr>
                  <w:r>
                    <w:rPr>
                      <w:rFonts w:hint="default" w:cs="Times New Roman"/>
                      <w:color w:val="auto"/>
                      <w:szCs w:val="21"/>
                    </w:rPr>
                    <w:t>56</w:t>
                  </w:r>
                </w:p>
              </w:tc>
              <w:tc>
                <w:tcPr>
                  <w:tcW w:w="2179" w:type="dxa"/>
                  <w:vAlign w:val="center"/>
                </w:tcPr>
                <w:p>
                  <w:pPr>
                    <w:pStyle w:val="50"/>
                    <w:ind w:firstLine="420" w:firstLineChars="200"/>
                    <w:jc w:val="center"/>
                    <w:rPr>
                      <w:color w:val="auto"/>
                    </w:rPr>
                  </w:pPr>
                  <w:r>
                    <w:rPr>
                      <w:rFonts w:hint="default" w:cs="Times New Roman"/>
                      <w:color w:val="auto"/>
                      <w:szCs w:val="21"/>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1185" w:type="pct"/>
                  <w:gridSpan w:val="2"/>
                  <w:vMerge w:val="restart"/>
                  <w:vAlign w:val="center"/>
                </w:tcPr>
                <w:p>
                  <w:pPr>
                    <w:pStyle w:val="50"/>
                    <w:rPr>
                      <w:color w:val="auto"/>
                    </w:rPr>
                  </w:pPr>
                  <w:r>
                    <w:rPr>
                      <w:color w:val="auto"/>
                    </w:rPr>
                    <w:t>厂界</w:t>
                  </w:r>
                  <w:r>
                    <w:rPr>
                      <w:rFonts w:hint="eastAsia"/>
                      <w:color w:val="auto"/>
                      <w:lang w:eastAsia="zh-CN"/>
                    </w:rPr>
                    <w:t>西</w:t>
                  </w:r>
                  <w:r>
                    <w:rPr>
                      <w:color w:val="auto"/>
                    </w:rPr>
                    <w:t>侧</w:t>
                  </w:r>
                </w:p>
              </w:tc>
              <w:tc>
                <w:tcPr>
                  <w:tcW w:w="2456" w:type="dxa"/>
                  <w:vAlign w:val="center"/>
                </w:tcPr>
                <w:p>
                  <w:pPr>
                    <w:pStyle w:val="50"/>
                    <w:ind w:firstLine="0" w:firstLineChars="0"/>
                    <w:rPr>
                      <w:color w:val="auto"/>
                    </w:rPr>
                  </w:pPr>
                  <w:r>
                    <w:rPr>
                      <w:rFonts w:hint="eastAsia"/>
                      <w:color w:val="auto"/>
                    </w:rPr>
                    <w:t>202</w:t>
                  </w:r>
                  <w:r>
                    <w:rPr>
                      <w:rFonts w:hint="default"/>
                      <w:color w:val="auto"/>
                      <w:lang w:val="en-US" w:eastAsia="zh-CN"/>
                    </w:rPr>
                    <w:t>1</w:t>
                  </w:r>
                  <w:r>
                    <w:rPr>
                      <w:rFonts w:hint="eastAsia"/>
                      <w:color w:val="auto"/>
                    </w:rPr>
                    <w:t>.</w:t>
                  </w:r>
                  <w:r>
                    <w:rPr>
                      <w:rFonts w:hint="default"/>
                      <w:color w:val="auto"/>
                      <w:lang w:val="en-US" w:eastAsia="zh-CN"/>
                    </w:rPr>
                    <w:t>1</w:t>
                  </w:r>
                  <w:r>
                    <w:rPr>
                      <w:rFonts w:hint="eastAsia"/>
                      <w:color w:val="auto"/>
                    </w:rPr>
                    <w:t>.2</w:t>
                  </w:r>
                  <w:r>
                    <w:rPr>
                      <w:rFonts w:hint="default"/>
                      <w:color w:val="auto"/>
                      <w:lang w:val="en-US" w:eastAsia="zh-CN"/>
                    </w:rPr>
                    <w:t>8</w:t>
                  </w:r>
                </w:p>
              </w:tc>
              <w:tc>
                <w:tcPr>
                  <w:tcW w:w="2138" w:type="dxa"/>
                  <w:vAlign w:val="center"/>
                </w:tcPr>
                <w:p>
                  <w:pPr>
                    <w:pStyle w:val="50"/>
                    <w:ind w:firstLine="420" w:firstLineChars="200"/>
                    <w:jc w:val="center"/>
                    <w:rPr>
                      <w:color w:val="auto"/>
                    </w:rPr>
                  </w:pPr>
                  <w:r>
                    <w:rPr>
                      <w:rFonts w:hint="default" w:cs="Times New Roman"/>
                      <w:color w:val="auto"/>
                      <w:szCs w:val="21"/>
                    </w:rPr>
                    <w:t>57</w:t>
                  </w:r>
                </w:p>
              </w:tc>
              <w:tc>
                <w:tcPr>
                  <w:tcW w:w="2179" w:type="dxa"/>
                  <w:vAlign w:val="center"/>
                </w:tcPr>
                <w:p>
                  <w:pPr>
                    <w:pStyle w:val="50"/>
                    <w:ind w:firstLine="420" w:firstLineChars="200"/>
                    <w:jc w:val="center"/>
                    <w:rPr>
                      <w:color w:val="auto"/>
                    </w:rPr>
                  </w:pPr>
                  <w:r>
                    <w:rPr>
                      <w:rFonts w:hint="default" w:cs="Times New Roman"/>
                      <w:color w:val="auto"/>
                      <w:szCs w:val="21"/>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 w:hRule="atLeast"/>
                <w:jc w:val="center"/>
              </w:trPr>
              <w:tc>
                <w:tcPr>
                  <w:tcW w:w="1185" w:type="pct"/>
                  <w:gridSpan w:val="2"/>
                  <w:vMerge w:val="continue"/>
                  <w:vAlign w:val="center"/>
                </w:tcPr>
                <w:p>
                  <w:pPr>
                    <w:pStyle w:val="50"/>
                    <w:rPr>
                      <w:color w:val="auto"/>
                    </w:rPr>
                  </w:pPr>
                </w:p>
              </w:tc>
              <w:tc>
                <w:tcPr>
                  <w:tcW w:w="2456" w:type="dxa"/>
                  <w:vAlign w:val="center"/>
                </w:tcPr>
                <w:p>
                  <w:pPr>
                    <w:pStyle w:val="50"/>
                    <w:ind w:firstLine="0" w:firstLineChars="0"/>
                    <w:rPr>
                      <w:color w:val="auto"/>
                    </w:rPr>
                  </w:pPr>
                  <w:r>
                    <w:rPr>
                      <w:rFonts w:hint="eastAsia"/>
                      <w:color w:val="auto"/>
                    </w:rPr>
                    <w:t>202</w:t>
                  </w:r>
                  <w:r>
                    <w:rPr>
                      <w:rFonts w:hint="default"/>
                      <w:color w:val="auto"/>
                      <w:lang w:val="en-US" w:eastAsia="zh-CN"/>
                    </w:rPr>
                    <w:t>1</w:t>
                  </w:r>
                  <w:r>
                    <w:rPr>
                      <w:rFonts w:hint="eastAsia"/>
                      <w:color w:val="auto"/>
                    </w:rPr>
                    <w:t>.</w:t>
                  </w:r>
                  <w:r>
                    <w:rPr>
                      <w:rFonts w:hint="default"/>
                      <w:color w:val="auto"/>
                      <w:lang w:val="en-US" w:eastAsia="zh-CN"/>
                    </w:rPr>
                    <w:t>1</w:t>
                  </w:r>
                  <w:r>
                    <w:rPr>
                      <w:rFonts w:hint="eastAsia"/>
                      <w:color w:val="auto"/>
                    </w:rPr>
                    <w:t>.</w:t>
                  </w:r>
                  <w:r>
                    <w:rPr>
                      <w:rFonts w:hint="default"/>
                      <w:color w:val="auto"/>
                      <w:lang w:val="en-US" w:eastAsia="zh-CN"/>
                    </w:rPr>
                    <w:t>29</w:t>
                  </w:r>
                </w:p>
              </w:tc>
              <w:tc>
                <w:tcPr>
                  <w:tcW w:w="2138" w:type="dxa"/>
                  <w:vAlign w:val="center"/>
                </w:tcPr>
                <w:p>
                  <w:pPr>
                    <w:pStyle w:val="50"/>
                    <w:ind w:firstLine="420" w:firstLineChars="200"/>
                    <w:jc w:val="center"/>
                    <w:rPr>
                      <w:color w:val="auto"/>
                    </w:rPr>
                  </w:pPr>
                  <w:r>
                    <w:rPr>
                      <w:rFonts w:hint="default" w:cs="Times New Roman"/>
                      <w:color w:val="auto"/>
                      <w:szCs w:val="21"/>
                    </w:rPr>
                    <w:t>59</w:t>
                  </w:r>
                </w:p>
              </w:tc>
              <w:tc>
                <w:tcPr>
                  <w:tcW w:w="2179" w:type="dxa"/>
                  <w:vAlign w:val="center"/>
                </w:tcPr>
                <w:p>
                  <w:pPr>
                    <w:pStyle w:val="50"/>
                    <w:ind w:firstLine="420" w:firstLineChars="200"/>
                    <w:jc w:val="center"/>
                    <w:rPr>
                      <w:color w:val="auto"/>
                    </w:rPr>
                  </w:pPr>
                  <w:r>
                    <w:rPr>
                      <w:rFonts w:hint="default" w:cs="Times New Roman"/>
                      <w:color w:val="auto"/>
                      <w:szCs w:val="21"/>
                    </w:rPr>
                    <w:t>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7" w:hRule="atLeast"/>
                <w:jc w:val="center"/>
              </w:trPr>
              <w:tc>
                <w:tcPr>
                  <w:tcW w:w="2568" w:type="pct"/>
                  <w:gridSpan w:val="3"/>
                  <w:vAlign w:val="center"/>
                </w:tcPr>
                <w:p>
                  <w:pPr>
                    <w:pStyle w:val="50"/>
                    <w:rPr>
                      <w:color w:val="auto"/>
                    </w:rPr>
                  </w:pPr>
                  <w:r>
                    <w:rPr>
                      <w:color w:val="auto"/>
                    </w:rPr>
                    <w:t>标准值</w:t>
                  </w:r>
                </w:p>
              </w:tc>
              <w:tc>
                <w:tcPr>
                  <w:tcW w:w="1204" w:type="pct"/>
                  <w:vAlign w:val="center"/>
                </w:tcPr>
                <w:p>
                  <w:pPr>
                    <w:pStyle w:val="50"/>
                    <w:rPr>
                      <w:color w:val="auto"/>
                    </w:rPr>
                  </w:pPr>
                  <w:r>
                    <w:rPr>
                      <w:color w:val="auto"/>
                    </w:rPr>
                    <w:t>65</w:t>
                  </w:r>
                </w:p>
              </w:tc>
              <w:tc>
                <w:tcPr>
                  <w:tcW w:w="1227" w:type="pct"/>
                  <w:vAlign w:val="center"/>
                </w:tcPr>
                <w:p>
                  <w:pPr>
                    <w:pStyle w:val="50"/>
                    <w:rPr>
                      <w:color w:val="auto"/>
                    </w:rPr>
                  </w:pPr>
                  <w:r>
                    <w:rPr>
                      <w:color w:val="auto"/>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7" w:hRule="atLeast"/>
                <w:jc w:val="center"/>
              </w:trPr>
              <w:tc>
                <w:tcPr>
                  <w:tcW w:w="2568" w:type="pct"/>
                  <w:gridSpan w:val="3"/>
                  <w:vAlign w:val="center"/>
                </w:tcPr>
                <w:p>
                  <w:pPr>
                    <w:pStyle w:val="50"/>
                    <w:rPr>
                      <w:color w:val="auto"/>
                    </w:rPr>
                  </w:pPr>
                  <w:r>
                    <w:rPr>
                      <w:color w:val="auto"/>
                    </w:rPr>
                    <w:t>达标情况</w:t>
                  </w:r>
                </w:p>
              </w:tc>
              <w:tc>
                <w:tcPr>
                  <w:tcW w:w="1204" w:type="pct"/>
                  <w:vAlign w:val="center"/>
                </w:tcPr>
                <w:p>
                  <w:pPr>
                    <w:pStyle w:val="50"/>
                    <w:rPr>
                      <w:color w:val="auto"/>
                    </w:rPr>
                  </w:pPr>
                  <w:r>
                    <w:rPr>
                      <w:color w:val="auto"/>
                    </w:rPr>
                    <w:t>达标</w:t>
                  </w:r>
                </w:p>
              </w:tc>
              <w:tc>
                <w:tcPr>
                  <w:tcW w:w="1227" w:type="pct"/>
                  <w:vAlign w:val="center"/>
                </w:tcPr>
                <w:p>
                  <w:pPr>
                    <w:pStyle w:val="50"/>
                    <w:rPr>
                      <w:color w:val="auto"/>
                    </w:rPr>
                  </w:pPr>
                  <w:r>
                    <w:rPr>
                      <w:color w:val="auto"/>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63" w:hRule="atLeast"/>
                <w:jc w:val="center"/>
              </w:trPr>
              <w:tc>
                <w:tcPr>
                  <w:tcW w:w="335" w:type="pct"/>
                  <w:vAlign w:val="center"/>
                </w:tcPr>
                <w:p>
                  <w:pPr>
                    <w:pStyle w:val="50"/>
                    <w:rPr>
                      <w:color w:val="auto"/>
                    </w:rPr>
                  </w:pPr>
                  <w:r>
                    <w:rPr>
                      <w:color w:val="auto"/>
                    </w:rPr>
                    <w:t>备注</w:t>
                  </w:r>
                </w:p>
              </w:tc>
              <w:tc>
                <w:tcPr>
                  <w:tcW w:w="4664" w:type="pct"/>
                  <w:gridSpan w:val="4"/>
                  <w:vAlign w:val="center"/>
                </w:tcPr>
                <w:p>
                  <w:pPr>
                    <w:pStyle w:val="50"/>
                    <w:jc w:val="both"/>
                    <w:rPr>
                      <w:color w:val="auto"/>
                    </w:rPr>
                  </w:pPr>
                  <w:r>
                    <w:rPr>
                      <w:rFonts w:hint="eastAsia"/>
                      <w:color w:val="auto"/>
                    </w:rPr>
                    <w:t>拟建项目厂址</w:t>
                  </w:r>
                  <w:r>
                    <w:rPr>
                      <w:rFonts w:hint="eastAsia"/>
                      <w:color w:val="auto"/>
                      <w:lang w:eastAsia="zh-CN"/>
                    </w:rPr>
                    <w:t>南北</w:t>
                  </w:r>
                  <w:r>
                    <w:rPr>
                      <w:rFonts w:hint="eastAsia"/>
                      <w:color w:val="auto"/>
                    </w:rPr>
                    <w:t>两侧紧邻其他项目场地，不具备噪声监测条件，</w:t>
                  </w:r>
                  <w:r>
                    <w:rPr>
                      <w:rFonts w:hint="eastAsia"/>
                      <w:color w:val="auto"/>
                      <w:lang w:eastAsia="zh-CN"/>
                    </w:rPr>
                    <w:t>东西</w:t>
                  </w:r>
                  <w:r>
                    <w:rPr>
                      <w:rFonts w:hint="eastAsia"/>
                      <w:color w:val="auto"/>
                    </w:rPr>
                    <w:t>两侧</w:t>
                  </w:r>
                  <w:r>
                    <w:rPr>
                      <w:color w:val="auto"/>
                    </w:rPr>
                    <w:t>执行GB3096-2008《声环境质量标准》3类标准，昼间≤65dB（A）</w:t>
                  </w:r>
                  <w:r>
                    <w:rPr>
                      <w:rFonts w:hint="eastAsia"/>
                      <w:color w:val="auto"/>
                    </w:rPr>
                    <w:t>，</w:t>
                  </w:r>
                  <w:r>
                    <w:rPr>
                      <w:color w:val="auto"/>
                    </w:rPr>
                    <w:t>夜间≤55dB（A）。监测点位见附件检测报告。</w:t>
                  </w:r>
                </w:p>
              </w:tc>
            </w:tr>
          </w:tbl>
          <w:p>
            <w:pPr>
              <w:ind w:firstLine="480"/>
              <w:rPr>
                <w:color w:val="auto"/>
              </w:rPr>
            </w:pPr>
            <w:r>
              <w:rPr>
                <w:color w:val="auto"/>
              </w:rPr>
              <w:t>项目</w:t>
            </w:r>
            <w:r>
              <w:rPr>
                <w:rFonts w:hint="eastAsia"/>
                <w:color w:val="auto"/>
              </w:rPr>
              <w:t>区厂界昼间噪声值为</w:t>
            </w:r>
            <w:r>
              <w:rPr>
                <w:rFonts w:hint="eastAsia"/>
                <w:color w:val="auto"/>
                <w:lang w:val="en-US" w:eastAsia="zh-CN"/>
              </w:rPr>
              <w:t>53</w:t>
            </w:r>
            <w:r>
              <w:rPr>
                <w:rFonts w:hint="eastAsia"/>
                <w:color w:val="auto"/>
              </w:rPr>
              <w:t>dB（A）~</w:t>
            </w:r>
            <w:r>
              <w:rPr>
                <w:rFonts w:hint="eastAsia"/>
                <w:color w:val="auto"/>
                <w:lang w:val="en-US" w:eastAsia="zh-CN"/>
              </w:rPr>
              <w:t>59</w:t>
            </w:r>
            <w:r>
              <w:rPr>
                <w:rFonts w:hint="eastAsia"/>
                <w:color w:val="auto"/>
              </w:rPr>
              <w:t>dB（A），夜间噪声值为</w:t>
            </w:r>
            <w:r>
              <w:rPr>
                <w:rFonts w:hint="eastAsia"/>
                <w:color w:val="auto"/>
                <w:lang w:val="en-US" w:eastAsia="zh-CN"/>
              </w:rPr>
              <w:t>51</w:t>
            </w:r>
            <w:r>
              <w:rPr>
                <w:rFonts w:hint="eastAsia"/>
                <w:color w:val="auto"/>
              </w:rPr>
              <w:t>dB（A）~</w:t>
            </w:r>
            <w:r>
              <w:rPr>
                <w:rFonts w:hint="eastAsia"/>
                <w:color w:val="auto"/>
                <w:lang w:val="en-US" w:eastAsia="zh-CN"/>
              </w:rPr>
              <w:t>53</w:t>
            </w:r>
            <w:r>
              <w:rPr>
                <w:rFonts w:hint="eastAsia"/>
                <w:color w:val="auto"/>
              </w:rPr>
              <w:t>dB（A），</w:t>
            </w:r>
            <w:r>
              <w:rPr>
                <w:color w:val="auto"/>
              </w:rPr>
              <w:t>能够达到《声环境质量标准》（GB3096—2008）</w:t>
            </w:r>
            <w:r>
              <w:rPr>
                <w:rFonts w:hint="eastAsia"/>
                <w:color w:val="auto"/>
              </w:rPr>
              <w:t>3</w:t>
            </w:r>
            <w:r>
              <w:rPr>
                <w:color w:val="auto"/>
              </w:rPr>
              <w:t>类标准</w:t>
            </w:r>
            <w:r>
              <w:rPr>
                <w:rFonts w:hint="eastAsia"/>
                <w:color w:val="auto"/>
              </w:rPr>
              <w:t>限值要求，厂界四周的声环境质量现状较好。</w:t>
            </w:r>
          </w:p>
          <w:p>
            <w:pPr>
              <w:keepLines/>
              <w:ind w:firstLine="482"/>
              <w:contextualSpacing/>
              <w:rPr>
                <w:b/>
                <w:color w:val="auto"/>
                <w:szCs w:val="28"/>
              </w:rPr>
            </w:pPr>
            <w:r>
              <w:rPr>
                <w:b/>
                <w:color w:val="auto"/>
                <w:szCs w:val="28"/>
              </w:rPr>
              <w:t>4、生态环境现状</w:t>
            </w:r>
          </w:p>
          <w:p>
            <w:pPr>
              <w:widowControl/>
              <w:ind w:firstLine="480"/>
              <w:rPr>
                <w:color w:val="auto"/>
              </w:rPr>
            </w:pPr>
            <w:r>
              <w:rPr>
                <w:color w:val="auto"/>
              </w:rPr>
              <w:t>本项目</w:t>
            </w:r>
            <w:r>
              <w:rPr>
                <w:rFonts w:hint="eastAsia"/>
                <w:color w:val="auto"/>
              </w:rPr>
              <w:t>利</w:t>
            </w:r>
            <w:r>
              <w:rPr>
                <w:color w:val="auto"/>
              </w:rPr>
              <w:t>用已建成的</w:t>
            </w:r>
            <w:r>
              <w:rPr>
                <w:rFonts w:hint="eastAsia"/>
                <w:color w:val="auto"/>
              </w:rPr>
              <w:t>生产厂房</w:t>
            </w:r>
            <w:r>
              <w:rPr>
                <w:color w:val="auto"/>
              </w:rPr>
              <w:t>，</w:t>
            </w:r>
            <w:r>
              <w:rPr>
                <w:rFonts w:hint="eastAsia"/>
                <w:color w:val="auto"/>
              </w:rPr>
              <w:t>项目区</w:t>
            </w:r>
            <w:r>
              <w:rPr>
                <w:color w:val="auto"/>
              </w:rPr>
              <w:t>内全部硬化，</w:t>
            </w:r>
            <w:r>
              <w:rPr>
                <w:rFonts w:hint="eastAsia" w:ascii="仿宋_GB2312"/>
                <w:color w:val="auto"/>
                <w:szCs w:val="32"/>
              </w:rPr>
              <w:t>区域内已无原生植被，主要为人工植被和杂草，动物主要为家鼠等常见野生动物，生态自我调节能力较低。评价区域不涉及自然保护区、风景名胜区、森林公园、历史文化遗迹等需要特殊保护的生态敏感目标。评价区内未发现国家珍稀濒危保护物种、国家重点保护野生植物和云南省级重点保护动物，也未发现特有种类存在</w:t>
            </w:r>
            <w:r>
              <w:rPr>
                <w:color w:val="auto"/>
              </w:rPr>
              <w:t>。</w:t>
            </w:r>
          </w:p>
          <w:p>
            <w:pPr>
              <w:keepLines/>
              <w:ind w:firstLine="0" w:firstLineChars="0"/>
              <w:contextualSpacing/>
              <w:rPr>
                <w:b/>
                <w:color w:val="auto"/>
                <w:szCs w:val="28"/>
              </w:rPr>
            </w:pPr>
            <w:r>
              <w:rPr>
                <w:b/>
                <w:color w:val="auto"/>
                <w:szCs w:val="28"/>
              </w:rPr>
              <w:t>主要环境保护目标（列名单及保护级别）</w:t>
            </w:r>
          </w:p>
          <w:p>
            <w:pPr>
              <w:ind w:firstLine="482"/>
              <w:rPr>
                <w:color w:val="auto"/>
              </w:rPr>
            </w:pPr>
            <w:r>
              <w:rPr>
                <w:b/>
                <w:bCs/>
                <w:color w:val="auto"/>
              </w:rPr>
              <w:t>1、环境空气：</w:t>
            </w:r>
            <w:r>
              <w:rPr>
                <w:color w:val="auto"/>
              </w:rPr>
              <w:t>本项目营运过程产生的废气量小，不会改变项目区域大气环境质量，环境空气执行GB3095-2012《环境空气质量标准》二级；</w:t>
            </w:r>
            <w:r>
              <w:rPr>
                <w:rFonts w:hint="eastAsia"/>
                <w:color w:val="auto"/>
                <w:lang w:val="en-US" w:eastAsia="zh-CN"/>
              </w:rPr>
              <w:t>TVOC</w:t>
            </w:r>
            <w:r>
              <w:rPr>
                <w:rFonts w:hint="eastAsia"/>
                <w:color w:val="auto"/>
              </w:rPr>
              <w:t>参照《环境影响评价技术导则 大气环境》HJ2.2-2018附录D执行。</w:t>
            </w:r>
          </w:p>
          <w:p>
            <w:pPr>
              <w:ind w:firstLine="482"/>
              <w:rPr>
                <w:b/>
                <w:bCs/>
                <w:color w:val="auto"/>
              </w:rPr>
            </w:pPr>
            <w:r>
              <w:rPr>
                <w:b/>
                <w:bCs/>
                <w:color w:val="auto"/>
              </w:rPr>
              <w:t>2、地表水：</w:t>
            </w:r>
            <w:r>
              <w:rPr>
                <w:color w:val="auto"/>
              </w:rPr>
              <w:t>项目区地表水系主要为</w:t>
            </w:r>
            <w:r>
              <w:rPr>
                <w:rFonts w:hint="eastAsia"/>
                <w:color w:val="auto"/>
              </w:rPr>
              <w:t>大营河</w:t>
            </w:r>
            <w:r>
              <w:rPr>
                <w:color w:val="auto"/>
              </w:rPr>
              <w:t>，</w:t>
            </w:r>
            <w:r>
              <w:rPr>
                <w:rFonts w:hint="eastAsia"/>
                <w:color w:val="auto"/>
              </w:rPr>
              <w:t>大营河</w:t>
            </w:r>
            <w:r>
              <w:rPr>
                <w:color w:val="auto"/>
              </w:rPr>
              <w:t>下游汇入</w:t>
            </w:r>
            <w:r>
              <w:rPr>
                <w:rFonts w:hint="eastAsia"/>
                <w:color w:val="auto"/>
              </w:rPr>
              <w:t>螳螂川，</w:t>
            </w:r>
            <w:r>
              <w:rPr>
                <w:color w:val="auto"/>
              </w:rPr>
              <w:t>最终流入金沙江</w:t>
            </w:r>
            <w:r>
              <w:rPr>
                <w:snapToGrid/>
                <w:color w:val="auto"/>
                <w:kern w:val="2"/>
              </w:rPr>
              <w:t>，属长江流域金沙江水系。</w:t>
            </w:r>
            <w:r>
              <w:rPr>
                <w:color w:val="auto"/>
              </w:rPr>
              <w:t>根据《云南省地表水水环境功能区划 （2010-20</w:t>
            </w:r>
            <w:r>
              <w:rPr>
                <w:snapToGrid/>
                <w:color w:val="auto"/>
              </w:rPr>
              <w:t>20年</w:t>
            </w:r>
            <w:r>
              <w:rPr>
                <w:color w:val="auto"/>
              </w:rPr>
              <w:t>）》，</w:t>
            </w:r>
            <w:r>
              <w:rPr>
                <w:rFonts w:hint="eastAsia"/>
                <w:color w:val="auto"/>
              </w:rPr>
              <w:t>螳螂川—普渡河</w:t>
            </w:r>
            <w:r>
              <w:rPr>
                <w:rFonts w:hint="eastAsia"/>
                <w:color w:val="auto"/>
                <w:lang w:eastAsia="zh-CN"/>
              </w:rPr>
              <w:t>，</w:t>
            </w:r>
            <w:r>
              <w:rPr>
                <w:rFonts w:hint="eastAsia"/>
                <w:color w:val="auto"/>
              </w:rPr>
              <w:t>富民大桥—普渡河桥水体功能为工业用水，按《地表水环境质量标准》IV类水体标准保护</w:t>
            </w:r>
            <w:r>
              <w:rPr>
                <w:color w:val="auto"/>
              </w:rPr>
              <w:t>。</w:t>
            </w:r>
          </w:p>
          <w:p>
            <w:pPr>
              <w:ind w:firstLine="482"/>
              <w:rPr>
                <w:color w:val="auto"/>
              </w:rPr>
            </w:pPr>
            <w:r>
              <w:rPr>
                <w:b/>
                <w:bCs/>
                <w:color w:val="auto"/>
              </w:rPr>
              <w:t>3、地下水：</w:t>
            </w:r>
            <w:r>
              <w:rPr>
                <w:color w:val="auto"/>
              </w:rPr>
              <w:t>根据《环境影响评价技术导则-地下水环境》（HJ610-2016）附录A中</w:t>
            </w:r>
            <w:r>
              <w:rPr>
                <w:rFonts w:hint="eastAsia"/>
                <w:color w:val="auto"/>
              </w:rPr>
              <w:t>“</w:t>
            </w:r>
            <w:r>
              <w:rPr>
                <w:rFonts w:hint="eastAsia"/>
                <w:b/>
                <w:bCs/>
                <w:color w:val="auto"/>
              </w:rPr>
              <w:t>I</w:t>
            </w:r>
            <w:r>
              <w:rPr>
                <w:color w:val="auto"/>
              </w:rPr>
              <w:t>金属制品</w:t>
            </w:r>
            <w:r>
              <w:rPr>
                <w:rFonts w:hint="eastAsia"/>
                <w:color w:val="auto"/>
              </w:rPr>
              <w:t>-53</w:t>
            </w:r>
            <w:r>
              <w:rPr>
                <w:color w:val="auto"/>
              </w:rPr>
              <w:t>金属制品</w:t>
            </w:r>
            <w:r>
              <w:rPr>
                <w:rFonts w:hint="eastAsia"/>
                <w:color w:val="auto"/>
              </w:rPr>
              <w:t>加工制造-报告表-</w:t>
            </w:r>
            <w:r>
              <w:rPr>
                <w:color w:val="auto"/>
              </w:rPr>
              <w:t>其他</w:t>
            </w:r>
            <w:r>
              <w:rPr>
                <w:rFonts w:hint="eastAsia"/>
                <w:color w:val="auto"/>
              </w:rPr>
              <w:t>-</w:t>
            </w:r>
            <w:r>
              <w:rPr>
                <w:color w:val="auto"/>
              </w:rPr>
              <w:t>Ⅳ类</w:t>
            </w:r>
            <w:r>
              <w:rPr>
                <w:rFonts w:hint="eastAsia"/>
                <w:color w:val="auto"/>
              </w:rPr>
              <w:t>”</w:t>
            </w:r>
            <w:r>
              <w:rPr>
                <w:color w:val="auto"/>
              </w:rPr>
              <w:t>，本项</w:t>
            </w:r>
            <w:r>
              <w:rPr>
                <w:rFonts w:hint="eastAsia"/>
                <w:color w:val="auto"/>
              </w:rPr>
              <w:t>目</w:t>
            </w:r>
            <w:r>
              <w:rPr>
                <w:color w:val="auto"/>
              </w:rPr>
              <w:t>属于Ⅳ类项目，不需开展地下水环境影响评价。</w:t>
            </w:r>
          </w:p>
          <w:p>
            <w:pPr>
              <w:ind w:firstLine="482"/>
              <w:rPr>
                <w:color w:val="auto"/>
              </w:rPr>
            </w:pPr>
            <w:r>
              <w:rPr>
                <w:b/>
                <w:bCs/>
                <w:color w:val="auto"/>
              </w:rPr>
              <w:t>4、声环境：</w:t>
            </w:r>
            <w:r>
              <w:rPr>
                <w:color w:val="auto"/>
              </w:rPr>
              <w:t>项目范围区及周边声环境，按《声环境质量标准》（GB3096-2008）3类标准进行保护。项目周围200m范围内无居民区、学校、医院、事业单位等，因此无声环境保护目标。</w:t>
            </w:r>
          </w:p>
          <w:p>
            <w:pPr>
              <w:ind w:firstLine="480" w:firstLineChars="0"/>
              <w:rPr>
                <w:color w:val="auto"/>
              </w:rPr>
            </w:pPr>
            <w:r>
              <w:rPr>
                <w:b/>
                <w:bCs/>
                <w:color w:val="auto"/>
              </w:rPr>
              <w:t>5、土壤环境：</w:t>
            </w:r>
            <w:r>
              <w:rPr>
                <w:rFonts w:hint="eastAsia"/>
                <w:color w:val="auto"/>
              </w:rPr>
              <w:t>根据《环境影响评价技术导则 土壤环境》（HJ964-2018）附录A表A.1，本项目行业类别为</w:t>
            </w:r>
            <w:r>
              <w:rPr>
                <w:color w:val="auto"/>
              </w:rPr>
              <w:t>Ⅲ</w:t>
            </w:r>
            <w:r>
              <w:rPr>
                <w:rFonts w:hint="eastAsia"/>
                <w:color w:val="auto"/>
              </w:rPr>
              <w:t>类项目，占地规模为小型（1500m</w:t>
            </w:r>
            <w:r>
              <w:rPr>
                <w:rFonts w:hint="eastAsia"/>
                <w:color w:val="auto"/>
                <w:vertAlign w:val="superscript"/>
              </w:rPr>
              <w:t>2</w:t>
            </w:r>
            <w:r>
              <w:rPr>
                <w:rFonts w:hint="eastAsia" w:ascii="宋体" w:hAnsi="宋体" w:cs="宋体"/>
                <w:color w:val="auto"/>
                <w:kern w:val="2"/>
              </w:rPr>
              <w:t>（</w:t>
            </w:r>
            <w:r>
              <w:rPr>
                <w:rFonts w:hint="eastAsia"/>
                <w:color w:val="auto"/>
                <w:kern w:val="2"/>
              </w:rPr>
              <w:t>0.3</w:t>
            </w:r>
            <w:r>
              <w:rPr>
                <w:color w:val="auto"/>
                <w:kern w:val="2"/>
              </w:rPr>
              <w:t>hm</w:t>
            </w:r>
            <w:r>
              <w:rPr>
                <w:color w:val="auto"/>
                <w:kern w:val="2"/>
                <w:vertAlign w:val="superscript"/>
              </w:rPr>
              <w:t>2</w:t>
            </w:r>
            <w:r>
              <w:rPr>
                <w:rFonts w:hint="eastAsia" w:ascii="宋体" w:hAnsi="宋体" w:cs="宋体"/>
                <w:color w:val="auto"/>
                <w:kern w:val="2"/>
              </w:rPr>
              <w:t>）</w:t>
            </w:r>
            <w:r>
              <w:rPr>
                <w:rFonts w:hint="eastAsia"/>
                <w:color w:val="auto"/>
              </w:rPr>
              <w:t>≤5hm</w:t>
            </w:r>
            <w:r>
              <w:rPr>
                <w:rFonts w:hint="eastAsia"/>
                <w:color w:val="auto"/>
                <w:vertAlign w:val="superscript"/>
              </w:rPr>
              <w:t>2</w:t>
            </w:r>
            <w:r>
              <w:rPr>
                <w:rFonts w:hint="eastAsia"/>
                <w:color w:val="auto"/>
              </w:rPr>
              <w:t>），项目区为富民工业园区大营—茨塘片区大营五金建材园，属于工业用地，周边无土壤环境敏感目标，故为不敏感，项目评价工作等级为“-”，故</w:t>
            </w:r>
            <w:r>
              <w:rPr>
                <w:rFonts w:hint="eastAsia" w:ascii="宋体" w:hAnsi="宋体" w:cs="宋体"/>
                <w:color w:val="auto"/>
              </w:rPr>
              <w:t>可不进行</w:t>
            </w:r>
            <w:r>
              <w:rPr>
                <w:color w:val="auto"/>
              </w:rPr>
              <w:t>土壤环境影响评价。</w:t>
            </w:r>
          </w:p>
          <w:p>
            <w:pPr>
              <w:ind w:firstLine="480"/>
              <w:rPr>
                <w:color w:val="auto"/>
              </w:rPr>
            </w:pPr>
            <w:r>
              <w:rPr>
                <w:color w:val="auto"/>
              </w:rPr>
              <w:t>项目位于</w:t>
            </w:r>
            <w:r>
              <w:rPr>
                <w:rFonts w:hint="eastAsia"/>
                <w:color w:val="auto"/>
              </w:rPr>
              <w:t>富民工业园区大营—茨塘片区大营五金建材园昆明力线电缆制造有限公司</w:t>
            </w:r>
            <w:r>
              <w:rPr>
                <w:color w:val="auto"/>
              </w:rPr>
              <w:t>内，周边分布主要为</w:t>
            </w:r>
            <w:r>
              <w:rPr>
                <w:rFonts w:hint="eastAsia"/>
                <w:color w:val="auto"/>
              </w:rPr>
              <w:t>项目东侧为闲置厂房，南侧为空地，项目北侧及西侧为富民克林轻工机械有限公司及其仓库</w:t>
            </w:r>
            <w:r>
              <w:rPr>
                <w:color w:val="auto"/>
              </w:rPr>
              <w:t>。项目周边200m范围内无居民集中点、学校、医院等声环境保护目标，其他保护目标见表3-</w:t>
            </w:r>
            <w:r>
              <w:rPr>
                <w:rFonts w:hint="eastAsia"/>
                <w:color w:val="auto"/>
                <w:lang w:val="en-US" w:eastAsia="zh-CN"/>
              </w:rPr>
              <w:t>5</w:t>
            </w:r>
            <w:r>
              <w:rPr>
                <w:color w:val="auto"/>
              </w:rPr>
              <w:t>。</w:t>
            </w:r>
          </w:p>
          <w:p>
            <w:pPr>
              <w:spacing w:line="240" w:lineRule="auto"/>
              <w:ind w:firstLine="0" w:firstLineChars="0"/>
              <w:jc w:val="center"/>
              <w:rPr>
                <w:b/>
                <w:snapToGrid/>
                <w:color w:val="auto"/>
                <w:sz w:val="21"/>
                <w:szCs w:val="21"/>
              </w:rPr>
            </w:pPr>
            <w:r>
              <w:rPr>
                <w:b/>
                <w:snapToGrid/>
                <w:color w:val="auto"/>
                <w:sz w:val="21"/>
                <w:szCs w:val="21"/>
              </w:rPr>
              <w:t>表3-</w:t>
            </w:r>
            <w:r>
              <w:rPr>
                <w:rFonts w:hint="eastAsia"/>
                <w:b/>
                <w:snapToGrid/>
                <w:color w:val="auto"/>
                <w:sz w:val="21"/>
                <w:szCs w:val="21"/>
                <w:lang w:val="en-US" w:eastAsia="zh-CN"/>
              </w:rPr>
              <w:t>5</w:t>
            </w:r>
            <w:r>
              <w:rPr>
                <w:rFonts w:hint="eastAsia"/>
                <w:b/>
                <w:snapToGrid/>
                <w:color w:val="auto"/>
                <w:sz w:val="21"/>
                <w:szCs w:val="21"/>
              </w:rPr>
              <w:t xml:space="preserve"> </w:t>
            </w:r>
            <w:r>
              <w:rPr>
                <w:b/>
                <w:snapToGrid/>
                <w:color w:val="auto"/>
                <w:sz w:val="21"/>
                <w:szCs w:val="21"/>
              </w:rPr>
              <w:t>项目环境保护目标表</w:t>
            </w:r>
          </w:p>
          <w:tbl>
            <w:tblPr>
              <w:tblStyle w:val="3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095"/>
              <w:gridCol w:w="1092"/>
              <w:gridCol w:w="930"/>
              <w:gridCol w:w="1048"/>
              <w:gridCol w:w="1499"/>
              <w:gridCol w:w="739"/>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restart"/>
                  <w:tcBorders>
                    <w:top w:val="single" w:color="auto" w:sz="4" w:space="0"/>
                    <w:left w:val="single" w:color="auto" w:sz="4" w:space="0"/>
                    <w:right w:val="single" w:color="auto" w:sz="4" w:space="0"/>
                  </w:tcBorders>
                  <w:vAlign w:val="center"/>
                </w:tcPr>
                <w:p>
                  <w:pPr>
                    <w:pStyle w:val="50"/>
                    <w:rPr>
                      <w:color w:val="auto"/>
                    </w:rPr>
                  </w:pPr>
                  <w:r>
                    <w:rPr>
                      <w:color w:val="auto"/>
                    </w:rPr>
                    <w:t>环境要素</w:t>
                  </w:r>
                </w:p>
              </w:tc>
              <w:tc>
                <w:tcPr>
                  <w:tcW w:w="619" w:type="pct"/>
                  <w:vMerge w:val="restart"/>
                  <w:tcBorders>
                    <w:top w:val="single" w:color="auto" w:sz="4" w:space="0"/>
                    <w:left w:val="nil"/>
                    <w:right w:val="single" w:color="auto" w:sz="4" w:space="0"/>
                  </w:tcBorders>
                  <w:vAlign w:val="center"/>
                </w:tcPr>
                <w:p>
                  <w:pPr>
                    <w:pStyle w:val="50"/>
                    <w:rPr>
                      <w:color w:val="auto"/>
                    </w:rPr>
                  </w:pPr>
                  <w:r>
                    <w:rPr>
                      <w:color w:val="auto"/>
                    </w:rPr>
                    <w:t>保护目标</w:t>
                  </w:r>
                </w:p>
              </w:tc>
              <w:tc>
                <w:tcPr>
                  <w:tcW w:w="1143" w:type="pct"/>
                  <w:gridSpan w:val="2"/>
                  <w:tcBorders>
                    <w:top w:val="single" w:color="auto" w:sz="4" w:space="0"/>
                    <w:left w:val="nil"/>
                    <w:bottom w:val="single" w:color="auto" w:sz="4" w:space="0"/>
                    <w:right w:val="single" w:color="auto" w:sz="4" w:space="0"/>
                  </w:tcBorders>
                  <w:vAlign w:val="center"/>
                </w:tcPr>
                <w:p>
                  <w:pPr>
                    <w:pStyle w:val="50"/>
                    <w:rPr>
                      <w:color w:val="auto"/>
                    </w:rPr>
                  </w:pPr>
                  <w:r>
                    <w:rPr>
                      <w:color w:val="auto"/>
                    </w:rPr>
                    <w:t>坐标</w:t>
                  </w:r>
                </w:p>
              </w:tc>
              <w:tc>
                <w:tcPr>
                  <w:tcW w:w="593" w:type="pct"/>
                  <w:vMerge w:val="restart"/>
                  <w:tcBorders>
                    <w:top w:val="single" w:color="auto" w:sz="4" w:space="0"/>
                    <w:left w:val="nil"/>
                    <w:right w:val="single" w:color="auto" w:sz="4" w:space="0"/>
                  </w:tcBorders>
                  <w:vAlign w:val="center"/>
                </w:tcPr>
                <w:p>
                  <w:pPr>
                    <w:pStyle w:val="50"/>
                    <w:rPr>
                      <w:color w:val="auto"/>
                    </w:rPr>
                  </w:pPr>
                  <w:r>
                    <w:rPr>
                      <w:color w:val="auto"/>
                    </w:rPr>
                    <w:t>规模（户数/人数）</w:t>
                  </w:r>
                </w:p>
              </w:tc>
              <w:tc>
                <w:tcPr>
                  <w:tcW w:w="848" w:type="pct"/>
                  <w:vMerge w:val="restart"/>
                  <w:tcBorders>
                    <w:top w:val="single" w:color="auto" w:sz="4" w:space="0"/>
                    <w:left w:val="nil"/>
                    <w:right w:val="single" w:color="auto" w:sz="4" w:space="0"/>
                  </w:tcBorders>
                  <w:vAlign w:val="center"/>
                </w:tcPr>
                <w:p>
                  <w:pPr>
                    <w:pStyle w:val="50"/>
                    <w:rPr>
                      <w:color w:val="auto"/>
                    </w:rPr>
                  </w:pPr>
                  <w:r>
                    <w:rPr>
                      <w:color w:val="auto"/>
                    </w:rPr>
                    <w:t>与项目</w:t>
                  </w:r>
                  <w:r>
                    <w:rPr>
                      <w:rFonts w:hint="eastAsia"/>
                      <w:color w:val="auto"/>
                    </w:rPr>
                    <w:t>区方位/距离</w:t>
                  </w:r>
                </w:p>
              </w:tc>
              <w:tc>
                <w:tcPr>
                  <w:tcW w:w="415"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保护对象</w:t>
                  </w:r>
                </w:p>
              </w:tc>
              <w:tc>
                <w:tcPr>
                  <w:tcW w:w="1013" w:type="pct"/>
                  <w:vMerge w:val="restart"/>
                  <w:tcBorders>
                    <w:top w:val="single" w:color="auto" w:sz="4" w:space="0"/>
                    <w:left w:val="nil"/>
                    <w:right w:val="single" w:color="auto" w:sz="4" w:space="0"/>
                  </w:tcBorders>
                  <w:vAlign w:val="center"/>
                </w:tcPr>
                <w:p>
                  <w:pPr>
                    <w:pStyle w:val="50"/>
                    <w:rPr>
                      <w:color w:val="auto"/>
                    </w:rPr>
                  </w:pPr>
                  <w:r>
                    <w:rPr>
                      <w:color w:val="auto"/>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365"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19" w:type="pct"/>
                  <w:vMerge w:val="continue"/>
                  <w:tcBorders>
                    <w:left w:val="nil"/>
                    <w:bottom w:val="single" w:color="auto" w:sz="4" w:space="0"/>
                    <w:right w:val="single" w:color="auto" w:sz="4" w:space="0"/>
                  </w:tcBorders>
                  <w:vAlign w:val="center"/>
                </w:tcPr>
                <w:p>
                  <w:pPr>
                    <w:pStyle w:val="50"/>
                    <w:rPr>
                      <w:color w:val="auto"/>
                    </w:rPr>
                  </w:pP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X</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Y</w:t>
                  </w:r>
                </w:p>
              </w:tc>
              <w:tc>
                <w:tcPr>
                  <w:tcW w:w="593" w:type="pct"/>
                  <w:vMerge w:val="continue"/>
                  <w:tcBorders>
                    <w:left w:val="nil"/>
                    <w:bottom w:val="single" w:color="auto" w:sz="4" w:space="0"/>
                    <w:right w:val="single" w:color="auto" w:sz="4" w:space="0"/>
                  </w:tcBorders>
                  <w:vAlign w:val="center"/>
                </w:tcPr>
                <w:p>
                  <w:pPr>
                    <w:pStyle w:val="50"/>
                    <w:rPr>
                      <w:color w:val="auto"/>
                    </w:rPr>
                  </w:pPr>
                </w:p>
              </w:tc>
              <w:tc>
                <w:tcPr>
                  <w:tcW w:w="848" w:type="pct"/>
                  <w:vMerge w:val="continue"/>
                  <w:tcBorders>
                    <w:left w:val="nil"/>
                    <w:bottom w:val="single" w:color="auto" w:sz="4" w:space="0"/>
                    <w:right w:val="single" w:color="auto" w:sz="4" w:space="0"/>
                  </w:tcBorders>
                  <w:vAlign w:val="center"/>
                </w:tcPr>
                <w:p>
                  <w:pPr>
                    <w:pStyle w:val="50"/>
                    <w:rPr>
                      <w:color w:val="auto"/>
                    </w:rPr>
                  </w:pPr>
                </w:p>
              </w:tc>
              <w:tc>
                <w:tcPr>
                  <w:tcW w:w="415" w:type="pct"/>
                  <w:vMerge w:val="continue"/>
                  <w:tcBorders>
                    <w:left w:val="nil"/>
                    <w:bottom w:val="single" w:color="auto" w:sz="4" w:space="0"/>
                    <w:right w:val="single" w:color="auto" w:sz="4" w:space="0"/>
                  </w:tcBorders>
                  <w:vAlign w:val="center"/>
                </w:tcPr>
                <w:p>
                  <w:pPr>
                    <w:pStyle w:val="50"/>
                    <w:rPr>
                      <w:color w:val="auto"/>
                    </w:rPr>
                  </w:pPr>
                </w:p>
              </w:tc>
              <w:tc>
                <w:tcPr>
                  <w:tcW w:w="1013"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365" w:type="pct"/>
                  <w:vMerge w:val="restart"/>
                  <w:tcBorders>
                    <w:top w:val="nil"/>
                    <w:left w:val="single" w:color="auto" w:sz="4" w:space="0"/>
                    <w:right w:val="single" w:color="auto" w:sz="4" w:space="0"/>
                  </w:tcBorders>
                  <w:vAlign w:val="center"/>
                </w:tcPr>
                <w:p>
                  <w:pPr>
                    <w:pStyle w:val="50"/>
                    <w:rPr>
                      <w:color w:val="auto"/>
                    </w:rPr>
                  </w:pPr>
                  <w:r>
                    <w:rPr>
                      <w:color w:val="auto"/>
                    </w:rPr>
                    <w:t>大气环境</w:t>
                  </w: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大营村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102.5232</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25.2269</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78</w:t>
                  </w:r>
                  <w:r>
                    <w:rPr>
                      <w:color w:val="auto"/>
                    </w:rPr>
                    <w:t>/</w:t>
                  </w:r>
                  <w:r>
                    <w:rPr>
                      <w:rFonts w:hint="eastAsia"/>
                      <w:color w:val="auto"/>
                    </w:rPr>
                    <w:t>282</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西南侧</w:t>
                  </w:r>
                  <w:r>
                    <w:rPr>
                      <w:rFonts w:hint="eastAsia"/>
                      <w:color w:val="auto"/>
                    </w:rPr>
                    <w:t>/536</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restart"/>
                  <w:tcBorders>
                    <w:top w:val="nil"/>
                    <w:left w:val="nil"/>
                    <w:right w:val="single" w:color="auto" w:sz="4" w:space="0"/>
                  </w:tcBorders>
                  <w:vAlign w:val="center"/>
                </w:tcPr>
                <w:p>
                  <w:pPr>
                    <w:pStyle w:val="50"/>
                    <w:rPr>
                      <w:color w:val="auto"/>
                    </w:rPr>
                  </w:pPr>
                  <w:r>
                    <w:rPr>
                      <w:color w:val="auto"/>
                    </w:rPr>
                    <w:t>《环境空气质量标准》（GB3095-2012）二级标准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枫桥家园</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102.5221</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25.2349</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13</w:t>
                  </w:r>
                  <w:r>
                    <w:rPr>
                      <w:rFonts w:hint="eastAsia"/>
                      <w:color w:val="auto"/>
                    </w:rPr>
                    <w:t>6</w:t>
                  </w:r>
                  <w:r>
                    <w:rPr>
                      <w:color w:val="auto"/>
                    </w:rPr>
                    <w:t>/4</w:t>
                  </w:r>
                  <w:r>
                    <w:rPr>
                      <w:rFonts w:hint="eastAsia"/>
                      <w:color w:val="auto"/>
                    </w:rPr>
                    <w:t>12</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西北</w:t>
                  </w:r>
                  <w:r>
                    <w:rPr>
                      <w:color w:val="auto"/>
                    </w:rPr>
                    <w:t>侧</w:t>
                  </w:r>
                  <w:r>
                    <w:rPr>
                      <w:rFonts w:hint="eastAsia"/>
                      <w:color w:val="auto"/>
                    </w:rPr>
                    <w:t>/550</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lang w:eastAsia="zh-CN"/>
                    </w:rPr>
                    <w:t>公租房</w:t>
                  </w:r>
                </w:p>
              </w:tc>
              <w:tc>
                <w:tcPr>
                  <w:tcW w:w="1092" w:type="dxa"/>
                  <w:tcBorders>
                    <w:top w:val="single" w:color="auto" w:sz="4" w:space="0"/>
                    <w:left w:val="nil"/>
                    <w:bottom w:val="single" w:color="auto" w:sz="4" w:space="0"/>
                    <w:right w:val="single" w:color="auto" w:sz="4" w:space="0"/>
                  </w:tcBorders>
                  <w:vAlign w:val="center"/>
                </w:tcPr>
                <w:p>
                  <w:pPr>
                    <w:pStyle w:val="50"/>
                    <w:ind w:firstLine="0" w:firstLineChars="0"/>
                    <w:rPr>
                      <w:rFonts w:hint="eastAsia" w:eastAsia="宋体"/>
                      <w:color w:val="auto"/>
                      <w:lang w:eastAsia="zh-CN"/>
                    </w:rPr>
                  </w:pPr>
                  <w:r>
                    <w:rPr>
                      <w:rFonts w:hint="eastAsia"/>
                      <w:color w:val="auto"/>
                    </w:rPr>
                    <w:t>102.523</w:t>
                  </w:r>
                  <w:r>
                    <w:rPr>
                      <w:rFonts w:hint="eastAsia"/>
                      <w:color w:val="auto"/>
                      <w:lang w:val="en-US" w:eastAsia="zh-CN"/>
                    </w:rPr>
                    <w:t>5</w:t>
                  </w:r>
                </w:p>
              </w:tc>
              <w:tc>
                <w:tcPr>
                  <w:tcW w:w="930" w:type="dxa"/>
                  <w:tcBorders>
                    <w:top w:val="single" w:color="auto" w:sz="4" w:space="0"/>
                    <w:left w:val="nil"/>
                    <w:bottom w:val="single" w:color="auto" w:sz="4" w:space="0"/>
                    <w:right w:val="single" w:color="auto" w:sz="4" w:space="0"/>
                  </w:tcBorders>
                  <w:vAlign w:val="center"/>
                </w:tcPr>
                <w:p>
                  <w:pPr>
                    <w:pStyle w:val="50"/>
                    <w:ind w:firstLine="0" w:firstLineChars="0"/>
                    <w:rPr>
                      <w:rFonts w:hint="eastAsia" w:eastAsia="宋体"/>
                      <w:color w:val="auto"/>
                      <w:lang w:eastAsia="zh-CN"/>
                    </w:rPr>
                  </w:pPr>
                  <w:r>
                    <w:rPr>
                      <w:rFonts w:hint="eastAsia"/>
                      <w:color w:val="auto"/>
                    </w:rPr>
                    <w:t>25.226</w:t>
                  </w:r>
                  <w:r>
                    <w:rPr>
                      <w:rFonts w:hint="eastAsia"/>
                      <w:color w:val="auto"/>
                      <w:lang w:val="en-US" w:eastAsia="zh-CN"/>
                    </w:rPr>
                    <w:t>8</w:t>
                  </w:r>
                </w:p>
              </w:tc>
              <w:tc>
                <w:tcPr>
                  <w:tcW w:w="593" w:type="pct"/>
                  <w:tcBorders>
                    <w:top w:val="single" w:color="auto" w:sz="4" w:space="0"/>
                    <w:left w:val="nil"/>
                    <w:bottom w:val="single" w:color="auto" w:sz="4" w:space="0"/>
                    <w:right w:val="single" w:color="auto" w:sz="4" w:space="0"/>
                  </w:tcBorders>
                  <w:vAlign w:val="center"/>
                </w:tcPr>
                <w:p>
                  <w:pPr>
                    <w:pStyle w:val="50"/>
                    <w:rPr>
                      <w:rFonts w:hint="default" w:eastAsia="宋体"/>
                      <w:color w:val="auto"/>
                      <w:lang w:val="en-US" w:eastAsia="zh-CN"/>
                    </w:rPr>
                  </w:pPr>
                  <w:r>
                    <w:rPr>
                      <w:rFonts w:hint="eastAsia"/>
                      <w:color w:val="auto"/>
                      <w:lang w:val="en-US" w:eastAsia="zh-CN"/>
                    </w:rPr>
                    <w:t>796</w:t>
                  </w:r>
                  <w:r>
                    <w:rPr>
                      <w:color w:val="auto"/>
                    </w:rPr>
                    <w:t>/</w:t>
                  </w:r>
                  <w:r>
                    <w:rPr>
                      <w:rFonts w:hint="eastAsia"/>
                      <w:color w:val="auto"/>
                      <w:lang w:val="en-US" w:eastAsia="zh-CN"/>
                    </w:rPr>
                    <w:t>2802</w:t>
                  </w:r>
                </w:p>
              </w:tc>
              <w:tc>
                <w:tcPr>
                  <w:tcW w:w="848" w:type="pct"/>
                  <w:tcBorders>
                    <w:top w:val="single" w:color="auto" w:sz="4" w:space="0"/>
                    <w:left w:val="nil"/>
                    <w:bottom w:val="single" w:color="auto" w:sz="4" w:space="0"/>
                    <w:right w:val="single" w:color="auto" w:sz="4" w:space="0"/>
                  </w:tcBorders>
                  <w:vAlign w:val="center"/>
                </w:tcPr>
                <w:p>
                  <w:pPr>
                    <w:pStyle w:val="50"/>
                    <w:rPr>
                      <w:rFonts w:hint="eastAsia"/>
                      <w:color w:val="auto"/>
                    </w:rPr>
                  </w:pPr>
                  <w:r>
                    <w:rPr>
                      <w:color w:val="auto"/>
                    </w:rPr>
                    <w:t>南侧</w:t>
                  </w:r>
                  <w:r>
                    <w:rPr>
                      <w:rFonts w:hint="eastAsia"/>
                      <w:color w:val="auto"/>
                    </w:rPr>
                    <w:t>/5</w:t>
                  </w:r>
                  <w:r>
                    <w:rPr>
                      <w:rFonts w:hint="eastAsia"/>
                      <w:color w:val="auto"/>
                      <w:lang w:val="en-US" w:eastAsia="zh-CN"/>
                    </w:rPr>
                    <w:t>92</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lang w:eastAsia="zh-CN"/>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深沟箐</w:t>
                  </w:r>
                  <w:r>
                    <w:rPr>
                      <w:color w:val="auto"/>
                    </w:rPr>
                    <w:t>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102.5322</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25.2273</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35</w:t>
                  </w:r>
                  <w:r>
                    <w:rPr>
                      <w:color w:val="auto"/>
                    </w:rPr>
                    <w:t>/</w:t>
                  </w:r>
                  <w:r>
                    <w:rPr>
                      <w:rFonts w:hint="eastAsia"/>
                      <w:color w:val="auto"/>
                    </w:rPr>
                    <w:t>120</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/635</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南边</w:t>
                  </w:r>
                  <w:r>
                    <w:rPr>
                      <w:color w:val="auto"/>
                    </w:rPr>
                    <w:t>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102.5158</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25.2351</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w:t>
                  </w:r>
                  <w:r>
                    <w:rPr>
                      <w:color w:val="auto"/>
                    </w:rPr>
                    <w:t>45/1</w:t>
                  </w:r>
                  <w:r>
                    <w:rPr>
                      <w:rFonts w:hint="eastAsia"/>
                      <w:color w:val="auto"/>
                    </w:rPr>
                    <w:t>286</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西北</w:t>
                  </w:r>
                  <w:r>
                    <w:rPr>
                      <w:color w:val="auto"/>
                    </w:rPr>
                    <w:t>侧</w:t>
                  </w:r>
                  <w:r>
                    <w:rPr>
                      <w:rFonts w:hint="eastAsia"/>
                      <w:color w:val="auto"/>
                    </w:rPr>
                    <w:t>/1095</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何官营村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102.5331</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25.2209</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315</w:t>
                  </w:r>
                  <w:r>
                    <w:rPr>
                      <w:color w:val="auto"/>
                    </w:rPr>
                    <w:t>/</w:t>
                  </w:r>
                  <w:r>
                    <w:rPr>
                      <w:rFonts w:hint="eastAsia"/>
                      <w:color w:val="auto"/>
                    </w:rPr>
                    <w:t>958</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/1185</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沙锅村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102.5432</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25.2279</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56</w:t>
                  </w:r>
                  <w:r>
                    <w:rPr>
                      <w:color w:val="auto"/>
                    </w:rPr>
                    <w:t>/</w:t>
                  </w:r>
                  <w:r>
                    <w:rPr>
                      <w:rFonts w:hint="eastAsia"/>
                      <w:color w:val="auto"/>
                    </w:rPr>
                    <w:t>179</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/1508</w:t>
                  </w:r>
                  <w:r>
                    <w:rPr>
                      <w:color w:val="auto"/>
                    </w:rPr>
                    <w:t>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65" w:type="pct"/>
                  <w:vMerge w:val="continue"/>
                  <w:tcBorders>
                    <w:left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梨花</w:t>
                  </w:r>
                  <w:r>
                    <w:rPr>
                      <w:color w:val="auto"/>
                    </w:rPr>
                    <w:t>村</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102.5211</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25.2163</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42</w:t>
                  </w:r>
                  <w:r>
                    <w:rPr>
                      <w:color w:val="auto"/>
                    </w:rPr>
                    <w:t>/</w:t>
                  </w:r>
                  <w:r>
                    <w:rPr>
                      <w:rFonts w:hint="eastAsia"/>
                      <w:color w:val="auto"/>
                    </w:rPr>
                    <w:t>136</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西南侧/1760m</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365"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奎南村</w:t>
                  </w:r>
                </w:p>
              </w:tc>
              <w:tc>
                <w:tcPr>
                  <w:tcW w:w="1092"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102.5126</w:t>
                  </w:r>
                </w:p>
              </w:tc>
              <w:tc>
                <w:tcPr>
                  <w:tcW w:w="930"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25.2399</w:t>
                  </w:r>
                </w:p>
              </w:tc>
              <w:tc>
                <w:tcPr>
                  <w:tcW w:w="1048"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125</w:t>
                  </w:r>
                  <w:r>
                    <w:rPr>
                      <w:color w:val="auto"/>
                    </w:rPr>
                    <w:t>/</w:t>
                  </w:r>
                  <w:r>
                    <w:rPr>
                      <w:rFonts w:hint="eastAsia"/>
                      <w:color w:val="auto"/>
                    </w:rPr>
                    <w:t>379</w:t>
                  </w:r>
                </w:p>
              </w:tc>
              <w:tc>
                <w:tcPr>
                  <w:tcW w:w="1499" w:type="dxa"/>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739"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365"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旧县村</w:t>
                  </w:r>
                </w:p>
              </w:tc>
              <w:tc>
                <w:tcPr>
                  <w:tcW w:w="1092"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102.5178</w:t>
                  </w:r>
                </w:p>
              </w:tc>
              <w:tc>
                <w:tcPr>
                  <w:tcW w:w="930"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25.2142</w:t>
                  </w:r>
                </w:p>
              </w:tc>
              <w:tc>
                <w:tcPr>
                  <w:tcW w:w="1048"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112</w:t>
                  </w:r>
                  <w:r>
                    <w:rPr>
                      <w:color w:val="auto"/>
                    </w:rPr>
                    <w:t>/</w:t>
                  </w:r>
                  <w:r>
                    <w:rPr>
                      <w:rFonts w:hint="eastAsia"/>
                      <w:color w:val="auto"/>
                    </w:rPr>
                    <w:t>335</w:t>
                  </w:r>
                </w:p>
              </w:tc>
              <w:tc>
                <w:tcPr>
                  <w:tcW w:w="1499" w:type="dxa"/>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739"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365"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肖家营</w:t>
                  </w:r>
                </w:p>
              </w:tc>
              <w:tc>
                <w:tcPr>
                  <w:tcW w:w="1092"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102.5112</w:t>
                  </w:r>
                </w:p>
              </w:tc>
              <w:tc>
                <w:tcPr>
                  <w:tcW w:w="930"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25.2472</w:t>
                  </w:r>
                </w:p>
              </w:tc>
              <w:tc>
                <w:tcPr>
                  <w:tcW w:w="1048"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127</w:t>
                  </w:r>
                  <w:r>
                    <w:rPr>
                      <w:color w:val="auto"/>
                    </w:rPr>
                    <w:t>/</w:t>
                  </w:r>
                  <w:r>
                    <w:rPr>
                      <w:rFonts w:hint="eastAsia"/>
                      <w:color w:val="auto"/>
                    </w:rPr>
                    <w:t>398</w:t>
                  </w:r>
                </w:p>
              </w:tc>
              <w:tc>
                <w:tcPr>
                  <w:tcW w:w="1499" w:type="dxa"/>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739" w:type="dxa"/>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1013"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365" w:type="pct"/>
                  <w:tcBorders>
                    <w:top w:val="nil"/>
                    <w:left w:val="single" w:color="auto" w:sz="4" w:space="0"/>
                    <w:bottom w:val="single" w:color="auto" w:sz="4" w:space="0"/>
                    <w:right w:val="single" w:color="auto" w:sz="4" w:space="0"/>
                  </w:tcBorders>
                  <w:vAlign w:val="center"/>
                </w:tcPr>
                <w:p>
                  <w:pPr>
                    <w:pStyle w:val="50"/>
                    <w:rPr>
                      <w:color w:val="auto"/>
                    </w:rPr>
                  </w:pPr>
                  <w:r>
                    <w:rPr>
                      <w:color w:val="auto"/>
                    </w:rPr>
                    <w:t>声环境</w:t>
                  </w:r>
                </w:p>
              </w:tc>
              <w:tc>
                <w:tcPr>
                  <w:tcW w:w="3621" w:type="pct"/>
                  <w:gridSpan w:val="6"/>
                  <w:tcBorders>
                    <w:top w:val="single" w:color="auto" w:sz="4" w:space="0"/>
                    <w:left w:val="nil"/>
                    <w:bottom w:val="single" w:color="auto" w:sz="4" w:space="0"/>
                    <w:right w:val="single" w:color="auto" w:sz="4" w:space="0"/>
                  </w:tcBorders>
                  <w:vAlign w:val="center"/>
                </w:tcPr>
                <w:p>
                  <w:pPr>
                    <w:pStyle w:val="50"/>
                    <w:rPr>
                      <w:color w:val="auto"/>
                    </w:rPr>
                  </w:pPr>
                  <w:r>
                    <w:rPr>
                      <w:color w:val="auto"/>
                    </w:rPr>
                    <w:t>项目周边200m范围内无居民集中点、学校、医院等敏感点，故声环境无相关保护目标。</w:t>
                  </w:r>
                </w:p>
              </w:tc>
              <w:tc>
                <w:tcPr>
                  <w:tcW w:w="1013" w:type="pct"/>
                  <w:tcBorders>
                    <w:top w:val="nil"/>
                    <w:left w:val="nil"/>
                    <w:bottom w:val="single" w:color="auto" w:sz="4" w:space="0"/>
                    <w:right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365"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color w:val="auto"/>
                    </w:rPr>
                    <w:t>地表水</w:t>
                  </w:r>
                </w:p>
              </w:tc>
              <w:tc>
                <w:tcPr>
                  <w:tcW w:w="61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大营河</w:t>
                  </w:r>
                </w:p>
              </w:tc>
              <w:tc>
                <w:tcPr>
                  <w:tcW w:w="617"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102.4897</w:t>
                  </w:r>
                </w:p>
              </w:tc>
              <w:tc>
                <w:tcPr>
                  <w:tcW w:w="526"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24.6883</w:t>
                  </w:r>
                </w:p>
              </w:tc>
              <w:tc>
                <w:tcPr>
                  <w:tcW w:w="59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水体功能为</w:t>
                  </w:r>
                  <w:r>
                    <w:rPr>
                      <w:rFonts w:hint="eastAsia"/>
                      <w:color w:val="auto"/>
                    </w:rPr>
                    <w:t>工业用水</w:t>
                  </w:r>
                </w:p>
              </w:tc>
              <w:tc>
                <w:tcPr>
                  <w:tcW w:w="84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南</w:t>
                  </w:r>
                  <w:r>
                    <w:rPr>
                      <w:color w:val="auto"/>
                    </w:rPr>
                    <w:t>侧</w:t>
                  </w:r>
                </w:p>
              </w:tc>
              <w:tc>
                <w:tcPr>
                  <w:tcW w:w="4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790</w:t>
                  </w:r>
                  <w:r>
                    <w:rPr>
                      <w:color w:val="auto"/>
                    </w:rPr>
                    <w:t>m</w:t>
                  </w:r>
                </w:p>
              </w:tc>
              <w:tc>
                <w:tcPr>
                  <w:tcW w:w="10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《地表水环境质量标准》（GB3838-2002）Ⅳ类标准</w:t>
                  </w:r>
                </w:p>
              </w:tc>
            </w:tr>
          </w:tbl>
          <w:p>
            <w:pPr>
              <w:pBdr>
                <w:bottom w:val="single" w:color="auto" w:sz="4" w:space="0"/>
              </w:pBdr>
              <w:spacing w:line="240" w:lineRule="auto"/>
              <w:ind w:firstLine="0" w:firstLineChars="0"/>
              <w:jc w:val="center"/>
              <w:rPr>
                <w:b/>
                <w:snapToGrid/>
                <w:color w:val="auto"/>
                <w:sz w:val="21"/>
                <w:szCs w:val="21"/>
              </w:rPr>
            </w:pP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rPr>
                <w:rFonts w:hint="default"/>
                <w:b/>
                <w:bCs/>
                <w:color w:val="auto"/>
                <w:lang w:val="en-US" w:eastAsia="zh-CN"/>
              </w:rPr>
            </w:pPr>
            <w:r>
              <w:rPr>
                <w:rFonts w:hint="eastAsia"/>
                <w:b/>
                <w:bCs/>
                <w:color w:val="auto"/>
                <w:lang w:val="en-US" w:eastAsia="zh-CN"/>
              </w:rPr>
              <w:t>项目区基础设施调查</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0"/>
              <w:textAlignment w:val="auto"/>
              <w:rPr>
                <w:rFonts w:hint="default" w:eastAsia="宋体"/>
                <w:color w:val="auto"/>
                <w:lang w:val="en-US" w:eastAsia="zh-CN"/>
              </w:rPr>
            </w:pPr>
            <w:r>
              <w:rPr>
                <w:rFonts w:hint="eastAsia"/>
                <w:color w:val="auto"/>
                <w:lang w:val="en-US" w:eastAsia="zh-CN"/>
              </w:rPr>
              <w:t>1、天然气：根据与建设单位调查了解，目前</w:t>
            </w:r>
            <w:r>
              <w:rPr>
                <w:rFonts w:hint="default" w:ascii="Times New Roman" w:hAnsi="Times New Roman" w:cs="Times New Roman"/>
                <w:color w:val="auto"/>
              </w:rPr>
              <w:t>富民工业园区</w:t>
            </w:r>
            <w:r>
              <w:rPr>
                <w:rFonts w:hint="eastAsia" w:cs="Times New Roman"/>
                <w:color w:val="auto"/>
                <w:lang w:val="en-US" w:eastAsia="zh-CN"/>
              </w:rPr>
              <w:t>部分地区已经接通天然气管道，根据与园区管委会调查了解，目前本项目区域还无法满足接通天然气管道的要求，具体接通时间需根据  园区的企业入驻情况和需求情况，因此本项目运营后以购买罐装液化天然气进行生产建设。</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0"/>
              <w:textAlignment w:val="auto"/>
              <w:rPr>
                <w:color w:val="auto"/>
              </w:rPr>
            </w:pPr>
            <w:r>
              <w:rPr>
                <w:rFonts w:hint="eastAsia"/>
                <w:color w:val="auto"/>
                <w:lang w:val="en-US" w:eastAsia="zh-CN"/>
              </w:rPr>
              <w:t>2、园区污水处理厂和雨污管网铺设：根据</w:t>
            </w:r>
            <w:r>
              <w:rPr>
                <w:rFonts w:hint="default" w:ascii="Times New Roman" w:hAnsi="Times New Roman" w:cs="Times New Roman"/>
                <w:color w:val="auto"/>
              </w:rPr>
              <w:t>富民工业园区</w:t>
            </w:r>
            <w:r>
              <w:rPr>
                <w:rFonts w:hint="eastAsia" w:cs="Times New Roman"/>
                <w:color w:val="auto"/>
                <w:lang w:val="en-US" w:eastAsia="zh-CN"/>
              </w:rPr>
              <w:t>的规划情况，园区暂未规划建设污水处理厂，要求企业自行建设污水处理设施进行处理后回用；项目附近雨水管网和污水管网也未接通。本项目租用</w:t>
            </w:r>
            <w:r>
              <w:rPr>
                <w:rFonts w:hint="default" w:ascii="Times New Roman" w:hAnsi="Times New Roman" w:cs="Times New Roman"/>
                <w:color w:val="auto"/>
              </w:rPr>
              <w:t>昆明力线电缆制造有限公司</w:t>
            </w:r>
            <w:r>
              <w:rPr>
                <w:rFonts w:hint="eastAsia" w:cs="Times New Roman"/>
                <w:color w:val="auto"/>
                <w:lang w:val="en-US" w:eastAsia="zh-CN"/>
              </w:rPr>
              <w:t>的闲置厂房进行建设，</w:t>
            </w:r>
            <w:r>
              <w:rPr>
                <w:rFonts w:hint="default" w:ascii="Times New Roman" w:hAnsi="Times New Roman" w:cs="Times New Roman"/>
                <w:color w:val="auto"/>
              </w:rPr>
              <w:t>昆明力线电缆制造有限公司</w:t>
            </w:r>
            <w:r>
              <w:rPr>
                <w:rFonts w:hint="eastAsia" w:cs="Times New Roman"/>
                <w:color w:val="auto"/>
                <w:lang w:val="en-US" w:eastAsia="zh-CN"/>
              </w:rPr>
              <w:t>已建设有一体化污水处理设施。</w:t>
            </w: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8" w:name="_Toc14530"/>
      <w:bookmarkStart w:id="9" w:name="_Toc32634"/>
      <w:r>
        <w:rPr>
          <w:rFonts w:hint="default" w:ascii="Times New Roman" w:hAnsi="Times New Roman" w:eastAsia="宋体" w:cs="Times New Roman"/>
          <w:b/>
          <w:bCs/>
          <w:color w:val="auto"/>
          <w:sz w:val="28"/>
          <w:szCs w:val="28"/>
        </w:rPr>
        <w:t>四、评价适用标准</w:t>
      </w:r>
      <w:bookmarkEnd w:id="8"/>
      <w:bookmarkEnd w:id="9"/>
    </w:p>
    <w:tbl>
      <w:tblPr>
        <w:tblStyle w:val="36"/>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28" w:type="dxa"/>
          <w:bottom w:w="0" w:type="dxa"/>
          <w:right w:w="28" w:type="dxa"/>
        </w:tblCellMar>
      </w:tblPr>
      <w:tblGrid>
        <w:gridCol w:w="445"/>
        <w:gridCol w:w="86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23" w:hRule="atLeast"/>
          <w:jc w:val="center"/>
        </w:trPr>
        <w:tc>
          <w:tcPr>
            <w:tcW w:w="445" w:type="dxa"/>
            <w:tcBorders>
              <w:tl2br w:val="nil"/>
              <w:tr2bl w:val="nil"/>
            </w:tcBorders>
            <w:vAlign w:val="center"/>
          </w:tcPr>
          <w:p>
            <w:pPr>
              <w:adjustRightInd/>
              <w:snapToGrid/>
              <w:ind w:firstLine="0" w:firstLineChars="0"/>
              <w:contextualSpacing/>
              <w:jc w:val="center"/>
              <w:rPr>
                <w:color w:val="auto"/>
                <w:spacing w:val="-20"/>
                <w:szCs w:val="21"/>
              </w:rPr>
            </w:pPr>
            <w:r>
              <w:rPr>
                <w:color w:val="auto"/>
                <w:spacing w:val="-20"/>
                <w:szCs w:val="21"/>
              </w:rPr>
              <w:t>环</w:t>
            </w:r>
          </w:p>
          <w:p>
            <w:pPr>
              <w:adjustRightInd/>
              <w:snapToGrid/>
              <w:ind w:firstLine="0" w:firstLineChars="0"/>
              <w:contextualSpacing/>
              <w:jc w:val="center"/>
              <w:rPr>
                <w:color w:val="auto"/>
                <w:spacing w:val="-20"/>
                <w:szCs w:val="21"/>
              </w:rPr>
            </w:pPr>
            <w:r>
              <w:rPr>
                <w:color w:val="auto"/>
                <w:spacing w:val="-20"/>
                <w:szCs w:val="21"/>
              </w:rPr>
              <w:t>境</w:t>
            </w:r>
          </w:p>
          <w:p>
            <w:pPr>
              <w:adjustRightInd/>
              <w:snapToGrid/>
              <w:ind w:firstLine="0" w:firstLineChars="0"/>
              <w:contextualSpacing/>
              <w:jc w:val="center"/>
              <w:rPr>
                <w:color w:val="auto"/>
                <w:spacing w:val="-20"/>
                <w:szCs w:val="21"/>
              </w:rPr>
            </w:pPr>
            <w:r>
              <w:rPr>
                <w:color w:val="auto"/>
                <w:spacing w:val="-20"/>
                <w:szCs w:val="21"/>
              </w:rPr>
              <w:t>质</w:t>
            </w:r>
          </w:p>
          <w:p>
            <w:pPr>
              <w:adjustRightInd/>
              <w:snapToGrid/>
              <w:ind w:firstLine="0" w:firstLineChars="0"/>
              <w:contextualSpacing/>
              <w:jc w:val="center"/>
              <w:rPr>
                <w:color w:val="auto"/>
                <w:spacing w:val="-20"/>
                <w:szCs w:val="21"/>
              </w:rPr>
            </w:pPr>
            <w:r>
              <w:rPr>
                <w:color w:val="auto"/>
                <w:spacing w:val="-20"/>
                <w:szCs w:val="21"/>
              </w:rPr>
              <w:t>量</w:t>
            </w:r>
          </w:p>
          <w:p>
            <w:pPr>
              <w:adjustRightInd/>
              <w:snapToGrid/>
              <w:ind w:firstLine="0" w:firstLineChars="0"/>
              <w:contextualSpacing/>
              <w:jc w:val="center"/>
              <w:rPr>
                <w:color w:val="auto"/>
                <w:spacing w:val="-20"/>
                <w:szCs w:val="21"/>
              </w:rPr>
            </w:pPr>
            <w:r>
              <w:rPr>
                <w:color w:val="auto"/>
                <w:spacing w:val="-20"/>
                <w:szCs w:val="21"/>
              </w:rPr>
              <w:t>标</w:t>
            </w:r>
          </w:p>
          <w:p>
            <w:pPr>
              <w:adjustRightInd/>
              <w:snapToGrid/>
              <w:ind w:firstLine="0" w:firstLineChars="0"/>
              <w:contextualSpacing/>
              <w:jc w:val="center"/>
              <w:rPr>
                <w:color w:val="auto"/>
                <w:spacing w:val="-20"/>
                <w:szCs w:val="21"/>
              </w:rPr>
            </w:pPr>
            <w:r>
              <w:rPr>
                <w:color w:val="auto"/>
                <w:spacing w:val="-20"/>
                <w:szCs w:val="21"/>
              </w:rPr>
              <w:t>准</w:t>
            </w:r>
          </w:p>
        </w:tc>
        <w:tc>
          <w:tcPr>
            <w:tcW w:w="8626" w:type="dxa"/>
            <w:tcBorders>
              <w:tl2br w:val="nil"/>
              <w:tr2bl w:val="nil"/>
            </w:tcBorders>
            <w:vAlign w:val="center"/>
          </w:tcPr>
          <w:p>
            <w:pPr>
              <w:pStyle w:val="13"/>
              <w:adjustRightInd/>
              <w:spacing w:line="360" w:lineRule="auto"/>
              <w:contextualSpacing/>
              <w:jc w:val="both"/>
              <w:rPr>
                <w:b/>
                <w:color w:val="auto"/>
                <w:w w:val="100"/>
              </w:rPr>
            </w:pPr>
            <w:r>
              <w:rPr>
                <w:b/>
                <w:color w:val="auto"/>
                <w:w w:val="100"/>
              </w:rPr>
              <w:t>1、环境空气质量标准</w:t>
            </w:r>
          </w:p>
          <w:p>
            <w:pPr>
              <w:ind w:firstLine="480"/>
              <w:rPr>
                <w:color w:val="auto"/>
              </w:rPr>
            </w:pPr>
            <w:r>
              <w:rPr>
                <w:color w:val="auto"/>
              </w:rPr>
              <w:t>项目位于</w:t>
            </w:r>
            <w:r>
              <w:rPr>
                <w:rFonts w:hint="eastAsia"/>
                <w:color w:val="auto"/>
              </w:rPr>
              <w:t>富民工业园区大营—茨塘片区大营五金建材园</w:t>
            </w:r>
            <w:r>
              <w:rPr>
                <w:color w:val="auto"/>
              </w:rPr>
              <w:t>，环境空气质量为二类区，大气中TSP、PM</w:t>
            </w:r>
            <w:r>
              <w:rPr>
                <w:color w:val="auto"/>
                <w:vertAlign w:val="subscript"/>
              </w:rPr>
              <w:t>10</w:t>
            </w:r>
            <w:r>
              <w:rPr>
                <w:color w:val="auto"/>
              </w:rPr>
              <w:t>、PM</w:t>
            </w:r>
            <w:r>
              <w:rPr>
                <w:rFonts w:hint="eastAsia"/>
                <w:color w:val="auto"/>
                <w:vertAlign w:val="subscript"/>
              </w:rPr>
              <w:t>2.5</w:t>
            </w:r>
            <w:r>
              <w:rPr>
                <w:color w:val="auto"/>
              </w:rPr>
              <w:t>、SO</w:t>
            </w:r>
            <w:r>
              <w:rPr>
                <w:color w:val="auto"/>
                <w:vertAlign w:val="subscript"/>
              </w:rPr>
              <w:t>2</w:t>
            </w:r>
            <w:r>
              <w:rPr>
                <w:color w:val="auto"/>
              </w:rPr>
              <w:t>、NO</w:t>
            </w:r>
            <w:r>
              <w:rPr>
                <w:rFonts w:hint="eastAsia"/>
                <w:color w:val="auto"/>
              </w:rPr>
              <w:t>x</w:t>
            </w:r>
            <w:r>
              <w:rPr>
                <w:color w:val="auto"/>
              </w:rPr>
              <w:t>等执行GB3095-2012《环境空气质量标准》二级标准</w:t>
            </w:r>
            <w:r>
              <w:rPr>
                <w:rFonts w:hint="eastAsia"/>
                <w:color w:val="auto"/>
              </w:rPr>
              <w:t>。TVOC执行《环境影响评价技术导则大气环境》（HJ2.2-2018）附录D中限值要求</w:t>
            </w:r>
            <w:r>
              <w:rPr>
                <w:color w:val="auto"/>
              </w:rPr>
              <w:t>。具体标准值见表4-1。</w:t>
            </w:r>
          </w:p>
          <w:p>
            <w:pPr>
              <w:pStyle w:val="48"/>
              <w:ind w:firstLine="422"/>
              <w:rPr>
                <w:bCs w:val="0"/>
                <w:color w:val="auto"/>
              </w:rPr>
            </w:pPr>
            <w:r>
              <w:rPr>
                <w:bCs w:val="0"/>
                <w:color w:val="auto"/>
              </w:rPr>
              <w:t>表4-1  环境空气污染物项目浓度限值（单位：mg/m</w:t>
            </w:r>
            <w:r>
              <w:rPr>
                <w:bCs w:val="0"/>
                <w:color w:val="auto"/>
                <w:vertAlign w:val="superscript"/>
              </w:rPr>
              <w:t>3</w:t>
            </w:r>
            <w:r>
              <w:rPr>
                <w:bCs w:val="0"/>
                <w:color w:val="auto"/>
              </w:rPr>
              <w:t>）</w:t>
            </w:r>
          </w:p>
          <w:tbl>
            <w:tblPr>
              <w:tblStyle w:val="36"/>
              <w:tblW w:w="4889" w:type="pct"/>
              <w:tblInd w:w="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1402"/>
              <w:gridCol w:w="1296"/>
              <w:gridCol w:w="1187"/>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82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污染物项目</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取值时间</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标准限值</w:t>
                  </w:r>
                </w:p>
              </w:tc>
              <w:tc>
                <w:tcPr>
                  <w:tcW w:w="709"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单位</w:t>
                  </w:r>
                </w:p>
              </w:tc>
              <w:tc>
                <w:tcPr>
                  <w:tcW w:w="1851"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环境空气质量标准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SO₂</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年平均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60</w:t>
                  </w:r>
                </w:p>
              </w:tc>
              <w:tc>
                <w:tcPr>
                  <w:tcW w:w="709" w:type="pct"/>
                  <w:vMerge w:val="restart"/>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μg/</w:t>
                  </w:r>
                  <w:r>
                    <w:rPr>
                      <w:rFonts w:hint="eastAsia"/>
                      <w:color w:val="auto"/>
                      <w:sz w:val="21"/>
                      <w:szCs w:val="21"/>
                    </w:rPr>
                    <w:t>m</w:t>
                  </w:r>
                  <w:r>
                    <w:rPr>
                      <w:rFonts w:hint="eastAsia"/>
                      <w:color w:val="auto"/>
                      <w:sz w:val="21"/>
                      <w:szCs w:val="21"/>
                      <w:vertAlign w:val="superscript"/>
                    </w:rPr>
                    <w:t>3</w:t>
                  </w:r>
                </w:p>
              </w:tc>
              <w:tc>
                <w:tcPr>
                  <w:tcW w:w="1851" w:type="pct"/>
                  <w:vMerge w:val="restart"/>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《环境空气质量标准》（GB3095-</w:t>
                  </w:r>
                  <w:r>
                    <w:rPr>
                      <w:rFonts w:hint="eastAsia"/>
                      <w:color w:val="auto"/>
                      <w:sz w:val="21"/>
                      <w:szCs w:val="21"/>
                    </w:rPr>
                    <w:t>2012</w:t>
                  </w:r>
                  <w:r>
                    <w:rPr>
                      <w:color w:val="auto"/>
                      <w:sz w:val="21"/>
                      <w:szCs w:val="21"/>
                    </w:rPr>
                    <w:t>）中的</w:t>
                  </w:r>
                  <w:r>
                    <w:rPr>
                      <w:rFonts w:hint="eastAsia"/>
                      <w:color w:val="auto"/>
                      <w:sz w:val="21"/>
                      <w:szCs w:val="21"/>
                    </w:rPr>
                    <w:t>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150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500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NOx</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年平均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50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100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250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TSP</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年平均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200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300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PM</w:t>
                  </w:r>
                  <w:r>
                    <w:rPr>
                      <w:color w:val="auto"/>
                      <w:sz w:val="21"/>
                      <w:szCs w:val="21"/>
                      <w:vertAlign w:val="subscript"/>
                    </w:rPr>
                    <w:t>10</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年平均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70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150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PM</w:t>
                  </w:r>
                  <w:r>
                    <w:rPr>
                      <w:rFonts w:hint="eastAsia"/>
                      <w:color w:val="auto"/>
                      <w:sz w:val="21"/>
                      <w:szCs w:val="21"/>
                      <w:vertAlign w:val="subscript"/>
                    </w:rPr>
                    <w:t>2.5</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年平均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35</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75</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CO</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4</w:t>
                  </w:r>
                </w:p>
              </w:tc>
              <w:tc>
                <w:tcPr>
                  <w:tcW w:w="709" w:type="pct"/>
                  <w:vMerge w:val="restart"/>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mg/m</w:t>
                  </w:r>
                  <w:r>
                    <w:rPr>
                      <w:rFonts w:hint="eastAsia"/>
                      <w:color w:val="auto"/>
                      <w:sz w:val="21"/>
                      <w:szCs w:val="21"/>
                      <w:vertAlign w:val="superscript"/>
                    </w:rPr>
                    <w:t>3</w:t>
                  </w: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日平均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10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restart"/>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O</w:t>
                  </w:r>
                  <w:r>
                    <w:rPr>
                      <w:rFonts w:hint="eastAsia"/>
                      <w:color w:val="auto"/>
                      <w:sz w:val="21"/>
                      <w:szCs w:val="21"/>
                      <w:vertAlign w:val="subscript"/>
                    </w:rPr>
                    <w:t>3</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8小时平均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160</w:t>
                  </w:r>
                </w:p>
              </w:tc>
              <w:tc>
                <w:tcPr>
                  <w:tcW w:w="709" w:type="pct"/>
                  <w:vMerge w:val="restart"/>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μg/</w:t>
                  </w:r>
                  <w:r>
                    <w:rPr>
                      <w:rFonts w:hint="eastAsia"/>
                      <w:color w:val="auto"/>
                      <w:sz w:val="21"/>
                      <w:szCs w:val="21"/>
                    </w:rPr>
                    <w:t>m</w:t>
                  </w:r>
                  <w:r>
                    <w:rPr>
                      <w:rFonts w:hint="eastAsia"/>
                      <w:color w:val="auto"/>
                      <w:sz w:val="21"/>
                      <w:szCs w:val="21"/>
                      <w:vertAlign w:val="superscript"/>
                    </w:rPr>
                    <w:t>3</w:t>
                  </w: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827" w:type="pct"/>
                  <w:vMerge w:val="continue"/>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200</w:t>
                  </w:r>
                </w:p>
              </w:tc>
              <w:tc>
                <w:tcPr>
                  <w:tcW w:w="709"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c>
                <w:tcPr>
                  <w:tcW w:w="1851" w:type="pct"/>
                  <w:vMerge w:val="continue"/>
                  <w:tcBorders>
                    <w:top w:val="nil"/>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827"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TVOC</w:t>
                  </w:r>
                </w:p>
              </w:tc>
              <w:tc>
                <w:tcPr>
                  <w:tcW w:w="837"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lang w:val="en-US" w:eastAsia="zh-CN"/>
                    </w:rPr>
                    <w:t>8</w:t>
                  </w:r>
                  <w:r>
                    <w:rPr>
                      <w:rFonts w:hint="eastAsia"/>
                      <w:color w:val="auto"/>
                      <w:sz w:val="21"/>
                      <w:szCs w:val="21"/>
                    </w:rPr>
                    <w:t>小时平均</w:t>
                  </w:r>
                </w:p>
              </w:tc>
              <w:tc>
                <w:tcPr>
                  <w:tcW w:w="774"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rFonts w:hint="default"/>
                      <w:color w:val="auto"/>
                      <w:sz w:val="21"/>
                      <w:szCs w:val="21"/>
                      <w:lang w:val="en-US"/>
                    </w:rPr>
                  </w:pPr>
                  <w:r>
                    <w:rPr>
                      <w:rFonts w:hint="eastAsia"/>
                      <w:color w:val="auto"/>
                      <w:sz w:val="21"/>
                      <w:szCs w:val="21"/>
                      <w:lang w:val="en-US" w:eastAsia="zh-CN"/>
                    </w:rPr>
                    <w:t>600</w:t>
                  </w:r>
                </w:p>
              </w:tc>
              <w:tc>
                <w:tcPr>
                  <w:tcW w:w="709"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color w:val="auto"/>
                      <w:sz w:val="21"/>
                      <w:szCs w:val="21"/>
                    </w:rPr>
                    <w:t>μg</w:t>
                  </w:r>
                  <w:r>
                    <w:rPr>
                      <w:rFonts w:hint="eastAsia"/>
                      <w:color w:val="auto"/>
                      <w:sz w:val="21"/>
                      <w:szCs w:val="21"/>
                    </w:rPr>
                    <w:t>/m</w:t>
                  </w:r>
                  <w:r>
                    <w:rPr>
                      <w:rFonts w:hint="eastAsia"/>
                      <w:color w:val="auto"/>
                      <w:sz w:val="21"/>
                      <w:szCs w:val="21"/>
                      <w:vertAlign w:val="superscript"/>
                    </w:rPr>
                    <w:t>3</w:t>
                  </w:r>
                </w:p>
              </w:tc>
              <w:tc>
                <w:tcPr>
                  <w:tcW w:w="1851" w:type="pct"/>
                  <w:tcBorders>
                    <w:top w:val="single" w:color="auto" w:sz="4" w:space="0"/>
                    <w:left w:val="nil"/>
                    <w:bottom w:val="single" w:color="auto" w:sz="4" w:space="0"/>
                    <w:right w:val="single" w:color="auto" w:sz="4" w:space="0"/>
                  </w:tcBorders>
                  <w:vAlign w:val="center"/>
                </w:tcPr>
                <w:p>
                  <w:pPr>
                    <w:spacing w:line="240" w:lineRule="auto"/>
                    <w:ind w:firstLine="0" w:firstLineChars="0"/>
                    <w:jc w:val="center"/>
                    <w:rPr>
                      <w:color w:val="auto"/>
                      <w:sz w:val="21"/>
                      <w:szCs w:val="21"/>
                    </w:rPr>
                  </w:pPr>
                  <w:r>
                    <w:rPr>
                      <w:rFonts w:hint="eastAsia"/>
                      <w:color w:val="auto"/>
                      <w:sz w:val="21"/>
                      <w:szCs w:val="21"/>
                    </w:rPr>
                    <w:t>《环境影响评价技术导则大气环境》（HJ2.2-2018）附录D</w:t>
                  </w:r>
                </w:p>
              </w:tc>
            </w:tr>
          </w:tbl>
          <w:p>
            <w:pPr>
              <w:pStyle w:val="13"/>
              <w:spacing w:line="360" w:lineRule="auto"/>
              <w:ind w:firstLine="105" w:firstLineChars="50"/>
              <w:jc w:val="both"/>
              <w:rPr>
                <w:color w:val="auto"/>
                <w:w w:val="100"/>
                <w:sz w:val="21"/>
                <w:szCs w:val="21"/>
              </w:rPr>
            </w:pPr>
            <w:r>
              <w:rPr>
                <w:color w:val="auto"/>
                <w:w w:val="100"/>
                <w:sz w:val="21"/>
                <w:szCs w:val="21"/>
              </w:rPr>
              <w:t>注：TSP、PM</w:t>
            </w:r>
            <w:r>
              <w:rPr>
                <w:color w:val="auto"/>
                <w:w w:val="100"/>
                <w:sz w:val="21"/>
                <w:szCs w:val="21"/>
                <w:vertAlign w:val="subscript"/>
              </w:rPr>
              <w:t>10</w:t>
            </w:r>
            <w:r>
              <w:rPr>
                <w:color w:val="auto"/>
                <w:w w:val="100"/>
                <w:sz w:val="21"/>
                <w:szCs w:val="21"/>
              </w:rPr>
              <w:t>小时浓度值按日均值的3倍计算。</w:t>
            </w:r>
          </w:p>
          <w:p>
            <w:pPr>
              <w:pStyle w:val="13"/>
              <w:adjustRightInd/>
              <w:spacing w:line="360" w:lineRule="auto"/>
              <w:contextualSpacing/>
              <w:jc w:val="both"/>
              <w:rPr>
                <w:b/>
                <w:color w:val="auto"/>
                <w:w w:val="100"/>
              </w:rPr>
            </w:pPr>
            <w:r>
              <w:rPr>
                <w:b/>
                <w:color w:val="auto"/>
                <w:w w:val="100"/>
              </w:rPr>
              <w:t>2、地表水环境质量标准</w:t>
            </w:r>
          </w:p>
          <w:p>
            <w:pPr>
              <w:ind w:firstLine="480"/>
              <w:rPr>
                <w:color w:val="auto"/>
              </w:rPr>
            </w:pPr>
            <w:r>
              <w:rPr>
                <w:rFonts w:hint="eastAsia"/>
                <w:color w:val="auto"/>
              </w:rPr>
              <w:t>项目区</w:t>
            </w:r>
            <w:r>
              <w:rPr>
                <w:color w:val="auto"/>
              </w:rPr>
              <w:t>主要地表水体为</w:t>
            </w:r>
            <w:r>
              <w:rPr>
                <w:rFonts w:hint="eastAsia"/>
                <w:color w:val="auto"/>
              </w:rPr>
              <w:t>南</w:t>
            </w:r>
            <w:r>
              <w:rPr>
                <w:color w:val="auto"/>
              </w:rPr>
              <w:t>面</w:t>
            </w:r>
            <w:r>
              <w:rPr>
                <w:rFonts w:hint="eastAsia"/>
                <w:color w:val="auto"/>
              </w:rPr>
              <w:t>790</w:t>
            </w:r>
            <w:r>
              <w:rPr>
                <w:color w:val="auto"/>
              </w:rPr>
              <w:t>米的</w:t>
            </w:r>
            <w:r>
              <w:rPr>
                <w:rFonts w:hint="eastAsia"/>
                <w:color w:val="auto"/>
              </w:rPr>
              <w:t>大营河</w:t>
            </w:r>
            <w:r>
              <w:rPr>
                <w:color w:val="auto"/>
              </w:rPr>
              <w:t>，</w:t>
            </w:r>
            <w:r>
              <w:rPr>
                <w:rFonts w:hint="eastAsia"/>
                <w:color w:val="auto"/>
              </w:rPr>
              <w:t>大营河</w:t>
            </w:r>
            <w:r>
              <w:rPr>
                <w:color w:val="auto"/>
              </w:rPr>
              <w:t>下游汇入</w:t>
            </w:r>
            <w:r>
              <w:rPr>
                <w:rFonts w:hint="eastAsia"/>
                <w:color w:val="auto"/>
              </w:rPr>
              <w:t>螳螂川，</w:t>
            </w:r>
            <w:r>
              <w:rPr>
                <w:color w:val="auto"/>
              </w:rPr>
              <w:t>最终流入金沙江</w:t>
            </w:r>
            <w:r>
              <w:rPr>
                <w:snapToGrid/>
                <w:color w:val="auto"/>
                <w:kern w:val="2"/>
              </w:rPr>
              <w:t>，属长江流域金沙江水系。</w:t>
            </w:r>
            <w:r>
              <w:rPr>
                <w:color w:val="auto"/>
              </w:rPr>
              <w:t>根据《云南省地表水水环境功能区划 （2010-20</w:t>
            </w:r>
            <w:r>
              <w:rPr>
                <w:snapToGrid/>
                <w:color w:val="auto"/>
              </w:rPr>
              <w:t>20年</w:t>
            </w:r>
            <w:r>
              <w:rPr>
                <w:color w:val="auto"/>
              </w:rPr>
              <w:t>）》，</w:t>
            </w:r>
            <w:r>
              <w:rPr>
                <w:rFonts w:hint="eastAsia"/>
                <w:color w:val="auto"/>
              </w:rPr>
              <w:t>螳螂川—普渡河</w:t>
            </w:r>
            <w:r>
              <w:rPr>
                <w:color w:val="auto"/>
              </w:rPr>
              <w:t>，</w:t>
            </w:r>
            <w:r>
              <w:rPr>
                <w:rFonts w:hint="eastAsia"/>
                <w:color w:val="auto"/>
              </w:rPr>
              <w:t>富民大桥—普渡河桥水体功能为工业用水，按《地表水环境质量标准》IV类水体标准保护。本项目位于富民大桥断面和普河桥断面之间，执行《地表水环境质量标准》（GB3838-2002）IV类水标准。</w:t>
            </w:r>
            <w:r>
              <w:rPr>
                <w:color w:val="auto"/>
              </w:rPr>
              <w:t>具体标准限值见表4-2。</w:t>
            </w:r>
          </w:p>
          <w:p>
            <w:pPr>
              <w:pStyle w:val="48"/>
              <w:ind w:firstLine="422"/>
              <w:rPr>
                <w:bCs w:val="0"/>
                <w:color w:val="auto"/>
              </w:rPr>
            </w:pPr>
            <w:r>
              <w:rPr>
                <w:bCs w:val="0"/>
                <w:color w:val="auto"/>
              </w:rPr>
              <w:t>表4-2  GB3838-2002《地表水环境质量标准》  单位：mg/L</w:t>
            </w:r>
          </w:p>
          <w:tbl>
            <w:tblPr>
              <w:tblStyle w:val="36"/>
              <w:tblW w:w="8482"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627"/>
              <w:gridCol w:w="696"/>
              <w:gridCol w:w="818"/>
              <w:gridCol w:w="886"/>
              <w:gridCol w:w="707"/>
              <w:gridCol w:w="736"/>
              <w:gridCol w:w="1364"/>
              <w:gridCol w:w="1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 w:hRule="atLeast"/>
              </w:trPr>
              <w:tc>
                <w:tcPr>
                  <w:tcW w:w="410" w:type="pct"/>
                  <w:vAlign w:val="center"/>
                </w:tcPr>
                <w:p>
                  <w:pPr>
                    <w:pStyle w:val="50"/>
                    <w:rPr>
                      <w:color w:val="auto"/>
                    </w:rPr>
                  </w:pPr>
                  <w:r>
                    <w:rPr>
                      <w:color w:val="auto"/>
                    </w:rPr>
                    <w:t>项目</w:t>
                  </w:r>
                </w:p>
              </w:tc>
              <w:tc>
                <w:tcPr>
                  <w:tcW w:w="369" w:type="pct"/>
                  <w:vAlign w:val="center"/>
                </w:tcPr>
                <w:p>
                  <w:pPr>
                    <w:pStyle w:val="50"/>
                    <w:rPr>
                      <w:color w:val="auto"/>
                    </w:rPr>
                  </w:pPr>
                  <w:r>
                    <w:rPr>
                      <w:color w:val="auto"/>
                    </w:rPr>
                    <w:t>pH</w:t>
                  </w:r>
                </w:p>
              </w:tc>
              <w:tc>
                <w:tcPr>
                  <w:tcW w:w="410" w:type="pct"/>
                  <w:vAlign w:val="center"/>
                </w:tcPr>
                <w:p>
                  <w:pPr>
                    <w:pStyle w:val="50"/>
                    <w:rPr>
                      <w:color w:val="auto"/>
                    </w:rPr>
                  </w:pPr>
                  <w:r>
                    <w:rPr>
                      <w:color w:val="auto"/>
                    </w:rPr>
                    <w:t>COD</w:t>
                  </w:r>
                </w:p>
              </w:tc>
              <w:tc>
                <w:tcPr>
                  <w:tcW w:w="482" w:type="pct"/>
                  <w:vAlign w:val="center"/>
                </w:tcPr>
                <w:p>
                  <w:pPr>
                    <w:pStyle w:val="50"/>
                    <w:rPr>
                      <w:color w:val="auto"/>
                    </w:rPr>
                  </w:pPr>
                  <w:r>
                    <w:rPr>
                      <w:color w:val="auto"/>
                    </w:rPr>
                    <w:t>BOD5</w:t>
                  </w:r>
                </w:p>
              </w:tc>
              <w:tc>
                <w:tcPr>
                  <w:tcW w:w="522" w:type="pct"/>
                  <w:vAlign w:val="center"/>
                </w:tcPr>
                <w:p>
                  <w:pPr>
                    <w:pStyle w:val="50"/>
                    <w:rPr>
                      <w:color w:val="auto"/>
                    </w:rPr>
                  </w:pPr>
                  <w:r>
                    <w:rPr>
                      <w:color w:val="auto"/>
                    </w:rPr>
                    <w:t>NH3-N</w:t>
                  </w:r>
                </w:p>
              </w:tc>
              <w:tc>
                <w:tcPr>
                  <w:tcW w:w="417" w:type="pct"/>
                  <w:vAlign w:val="center"/>
                </w:tcPr>
                <w:p>
                  <w:pPr>
                    <w:pStyle w:val="50"/>
                    <w:rPr>
                      <w:color w:val="auto"/>
                    </w:rPr>
                  </w:pPr>
                  <w:r>
                    <w:rPr>
                      <w:color w:val="auto"/>
                    </w:rPr>
                    <w:t>TP</w:t>
                  </w:r>
                </w:p>
              </w:tc>
              <w:tc>
                <w:tcPr>
                  <w:tcW w:w="434" w:type="pct"/>
                  <w:vAlign w:val="center"/>
                </w:tcPr>
                <w:p>
                  <w:pPr>
                    <w:pStyle w:val="50"/>
                    <w:rPr>
                      <w:color w:val="auto"/>
                    </w:rPr>
                  </w:pPr>
                  <w:r>
                    <w:rPr>
                      <w:color w:val="auto"/>
                    </w:rPr>
                    <w:t>总氮</w:t>
                  </w:r>
                </w:p>
              </w:tc>
              <w:tc>
                <w:tcPr>
                  <w:tcW w:w="803" w:type="pct"/>
                  <w:vAlign w:val="center"/>
                </w:tcPr>
                <w:p>
                  <w:pPr>
                    <w:pStyle w:val="50"/>
                    <w:rPr>
                      <w:color w:val="auto"/>
                    </w:rPr>
                  </w:pPr>
                  <w:r>
                    <w:rPr>
                      <w:color w:val="auto"/>
                    </w:rPr>
                    <w:t>阴离子表面活性剂</w:t>
                  </w:r>
                </w:p>
              </w:tc>
              <w:tc>
                <w:tcPr>
                  <w:tcW w:w="1149" w:type="pct"/>
                  <w:vAlign w:val="center"/>
                </w:tcPr>
                <w:p>
                  <w:pPr>
                    <w:pStyle w:val="50"/>
                    <w:rPr>
                      <w:color w:val="auto"/>
                    </w:rPr>
                  </w:pPr>
                  <w:r>
                    <w:rPr>
                      <w:color w:val="auto"/>
                    </w:rPr>
                    <w:t>总大肠菌群（个/L）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3" w:hRule="atLeast"/>
              </w:trPr>
              <w:tc>
                <w:tcPr>
                  <w:tcW w:w="410" w:type="pct"/>
                  <w:vAlign w:val="center"/>
                </w:tcPr>
                <w:p>
                  <w:pPr>
                    <w:pStyle w:val="50"/>
                    <w:rPr>
                      <w:color w:val="auto"/>
                    </w:rPr>
                  </w:pPr>
                  <w:r>
                    <w:rPr>
                      <w:rFonts w:hint="default"/>
                      <w:color w:val="auto"/>
                    </w:rPr>
                    <w:t>IV</w:t>
                  </w:r>
                  <w:r>
                    <w:rPr>
                      <w:color w:val="auto"/>
                    </w:rPr>
                    <w:t>类</w:t>
                  </w:r>
                </w:p>
              </w:tc>
              <w:tc>
                <w:tcPr>
                  <w:tcW w:w="369" w:type="pct"/>
                  <w:vAlign w:val="center"/>
                </w:tcPr>
                <w:p>
                  <w:pPr>
                    <w:pStyle w:val="50"/>
                    <w:rPr>
                      <w:color w:val="auto"/>
                    </w:rPr>
                  </w:pPr>
                  <w:r>
                    <w:rPr>
                      <w:color w:val="auto"/>
                    </w:rPr>
                    <w:t>6-9</w:t>
                  </w:r>
                </w:p>
              </w:tc>
              <w:tc>
                <w:tcPr>
                  <w:tcW w:w="410" w:type="pct"/>
                  <w:vAlign w:val="center"/>
                </w:tcPr>
                <w:p>
                  <w:pPr>
                    <w:pStyle w:val="50"/>
                    <w:rPr>
                      <w:color w:val="auto"/>
                    </w:rPr>
                  </w:pPr>
                  <w:r>
                    <w:rPr>
                      <w:color w:val="auto"/>
                    </w:rPr>
                    <w:t>≤30</w:t>
                  </w:r>
                </w:p>
              </w:tc>
              <w:tc>
                <w:tcPr>
                  <w:tcW w:w="482" w:type="pct"/>
                  <w:vAlign w:val="center"/>
                </w:tcPr>
                <w:p>
                  <w:pPr>
                    <w:pStyle w:val="50"/>
                    <w:rPr>
                      <w:color w:val="auto"/>
                    </w:rPr>
                  </w:pPr>
                  <w:r>
                    <w:rPr>
                      <w:color w:val="auto"/>
                    </w:rPr>
                    <w:t>≤6</w:t>
                  </w:r>
                </w:p>
              </w:tc>
              <w:tc>
                <w:tcPr>
                  <w:tcW w:w="522" w:type="pct"/>
                  <w:vAlign w:val="center"/>
                </w:tcPr>
                <w:p>
                  <w:pPr>
                    <w:pStyle w:val="50"/>
                    <w:rPr>
                      <w:color w:val="auto"/>
                    </w:rPr>
                  </w:pPr>
                  <w:r>
                    <w:rPr>
                      <w:color w:val="auto"/>
                    </w:rPr>
                    <w:t>≤1.5</w:t>
                  </w:r>
                </w:p>
              </w:tc>
              <w:tc>
                <w:tcPr>
                  <w:tcW w:w="417" w:type="pct"/>
                  <w:vAlign w:val="center"/>
                </w:tcPr>
                <w:p>
                  <w:pPr>
                    <w:pStyle w:val="50"/>
                    <w:rPr>
                      <w:color w:val="auto"/>
                    </w:rPr>
                  </w:pPr>
                  <w:r>
                    <w:rPr>
                      <w:color w:val="auto"/>
                    </w:rPr>
                    <w:t>≤0.3</w:t>
                  </w:r>
                </w:p>
              </w:tc>
              <w:tc>
                <w:tcPr>
                  <w:tcW w:w="434" w:type="pct"/>
                  <w:vAlign w:val="center"/>
                </w:tcPr>
                <w:p>
                  <w:pPr>
                    <w:pStyle w:val="50"/>
                    <w:rPr>
                      <w:color w:val="auto"/>
                    </w:rPr>
                  </w:pPr>
                  <w:r>
                    <w:rPr>
                      <w:color w:val="auto"/>
                    </w:rPr>
                    <w:t>≤1.5</w:t>
                  </w:r>
                </w:p>
              </w:tc>
              <w:tc>
                <w:tcPr>
                  <w:tcW w:w="803" w:type="pct"/>
                  <w:vAlign w:val="center"/>
                </w:tcPr>
                <w:p>
                  <w:pPr>
                    <w:pStyle w:val="50"/>
                    <w:rPr>
                      <w:color w:val="auto"/>
                    </w:rPr>
                  </w:pPr>
                  <w:r>
                    <w:rPr>
                      <w:color w:val="auto"/>
                    </w:rPr>
                    <w:t>≤0.3</w:t>
                  </w:r>
                </w:p>
              </w:tc>
              <w:tc>
                <w:tcPr>
                  <w:tcW w:w="1149" w:type="pct"/>
                  <w:vAlign w:val="center"/>
                </w:tcPr>
                <w:p>
                  <w:pPr>
                    <w:pStyle w:val="50"/>
                    <w:rPr>
                      <w:color w:val="auto"/>
                    </w:rPr>
                  </w:pPr>
                  <w:r>
                    <w:rPr>
                      <w:color w:val="auto"/>
                    </w:rPr>
                    <w:t>≤20000</w:t>
                  </w:r>
                </w:p>
              </w:tc>
            </w:tr>
          </w:tbl>
          <w:p>
            <w:pPr>
              <w:ind w:firstLine="482"/>
              <w:contextualSpacing/>
              <w:rPr>
                <w:b/>
                <w:color w:val="auto"/>
              </w:rPr>
            </w:pPr>
            <w:r>
              <w:rPr>
                <w:b/>
                <w:color w:val="auto"/>
              </w:rPr>
              <w:t>3、声环境质量标准</w:t>
            </w:r>
          </w:p>
          <w:p>
            <w:pPr>
              <w:ind w:firstLine="480"/>
              <w:rPr>
                <w:color w:val="auto"/>
              </w:rPr>
            </w:pPr>
            <w:r>
              <w:rPr>
                <w:color w:val="auto"/>
              </w:rPr>
              <w:t>项目所在区域执行（GB3096-2008）《声环境质量标准》3类区标准，具体标准值见表4-3。</w:t>
            </w:r>
          </w:p>
          <w:p>
            <w:pPr>
              <w:pStyle w:val="48"/>
              <w:ind w:firstLine="422"/>
              <w:rPr>
                <w:bCs w:val="0"/>
                <w:color w:val="auto"/>
              </w:rPr>
            </w:pPr>
            <w:bookmarkStart w:id="10" w:name="_Ref288726187"/>
            <w:bookmarkStart w:id="11" w:name="_Ref287427487"/>
            <w:r>
              <w:rPr>
                <w:bCs w:val="0"/>
                <w:color w:val="auto"/>
              </w:rPr>
              <w:t>表 4</w:t>
            </w:r>
            <w:bookmarkEnd w:id="10"/>
            <w:bookmarkEnd w:id="11"/>
            <w:r>
              <w:rPr>
                <w:bCs w:val="0"/>
                <w:color w:val="auto"/>
              </w:rPr>
              <w:t>-3  （GB3096-2008）《声环境质量标准》3 类区标准  单位：dB(A)</w:t>
            </w:r>
          </w:p>
          <w:tbl>
            <w:tblPr>
              <w:tblStyle w:val="36"/>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9"/>
              <w:gridCol w:w="4929"/>
              <w:gridCol w:w="1106"/>
              <w:gridCol w:w="1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289" w:type="dxa"/>
                  <w:vMerge w:val="restart"/>
                  <w:vAlign w:val="center"/>
                </w:tcPr>
                <w:p>
                  <w:pPr>
                    <w:pStyle w:val="50"/>
                    <w:rPr>
                      <w:color w:val="auto"/>
                    </w:rPr>
                  </w:pPr>
                  <w:r>
                    <w:rPr>
                      <w:color w:val="auto"/>
                    </w:rPr>
                    <w:t>类别</w:t>
                  </w:r>
                </w:p>
              </w:tc>
              <w:tc>
                <w:tcPr>
                  <w:tcW w:w="4929" w:type="dxa"/>
                  <w:vMerge w:val="restart"/>
                  <w:vAlign w:val="center"/>
                </w:tcPr>
                <w:p>
                  <w:pPr>
                    <w:pStyle w:val="50"/>
                    <w:rPr>
                      <w:color w:val="auto"/>
                    </w:rPr>
                  </w:pPr>
                  <w:r>
                    <w:rPr>
                      <w:color w:val="auto"/>
                    </w:rPr>
                    <w:t>适用区域</w:t>
                  </w:r>
                </w:p>
              </w:tc>
              <w:tc>
                <w:tcPr>
                  <w:tcW w:w="2349" w:type="dxa"/>
                  <w:gridSpan w:val="2"/>
                  <w:vAlign w:val="center"/>
                </w:tcPr>
                <w:p>
                  <w:pPr>
                    <w:pStyle w:val="50"/>
                    <w:rPr>
                      <w:color w:val="auto"/>
                    </w:rPr>
                  </w:pPr>
                  <w:r>
                    <w:rPr>
                      <w:color w:val="auto"/>
                    </w:rPr>
                    <w:t>等效声级[dB(A)]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9" w:type="dxa"/>
                  <w:vMerge w:val="continue"/>
                  <w:vAlign w:val="center"/>
                </w:tcPr>
                <w:p>
                  <w:pPr>
                    <w:pStyle w:val="50"/>
                    <w:rPr>
                      <w:color w:val="auto"/>
                    </w:rPr>
                  </w:pPr>
                </w:p>
              </w:tc>
              <w:tc>
                <w:tcPr>
                  <w:tcW w:w="4929" w:type="dxa"/>
                  <w:vMerge w:val="continue"/>
                  <w:vAlign w:val="center"/>
                </w:tcPr>
                <w:p>
                  <w:pPr>
                    <w:pStyle w:val="50"/>
                    <w:rPr>
                      <w:color w:val="auto"/>
                    </w:rPr>
                  </w:pPr>
                </w:p>
              </w:tc>
              <w:tc>
                <w:tcPr>
                  <w:tcW w:w="1106" w:type="dxa"/>
                  <w:vAlign w:val="center"/>
                </w:tcPr>
                <w:p>
                  <w:pPr>
                    <w:pStyle w:val="50"/>
                    <w:rPr>
                      <w:color w:val="auto"/>
                    </w:rPr>
                  </w:pPr>
                  <w:r>
                    <w:rPr>
                      <w:color w:val="auto"/>
                    </w:rPr>
                    <w:t>昼间</w:t>
                  </w:r>
                </w:p>
              </w:tc>
              <w:tc>
                <w:tcPr>
                  <w:tcW w:w="1243" w:type="dxa"/>
                  <w:vAlign w:val="center"/>
                </w:tcPr>
                <w:p>
                  <w:pPr>
                    <w:pStyle w:val="50"/>
                    <w:rPr>
                      <w:color w:val="auto"/>
                    </w:rPr>
                  </w:pPr>
                  <w:r>
                    <w:rPr>
                      <w:color w:val="auto"/>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1289" w:type="dxa"/>
                  <w:vAlign w:val="center"/>
                </w:tcPr>
                <w:p>
                  <w:pPr>
                    <w:pStyle w:val="50"/>
                    <w:rPr>
                      <w:color w:val="auto"/>
                    </w:rPr>
                  </w:pPr>
                  <w:r>
                    <w:rPr>
                      <w:color w:val="auto"/>
                    </w:rPr>
                    <w:t>3类</w:t>
                  </w:r>
                </w:p>
              </w:tc>
              <w:tc>
                <w:tcPr>
                  <w:tcW w:w="4929" w:type="dxa"/>
                  <w:vAlign w:val="center"/>
                </w:tcPr>
                <w:p>
                  <w:pPr>
                    <w:pStyle w:val="50"/>
                    <w:rPr>
                      <w:color w:val="auto"/>
                    </w:rPr>
                  </w:pPr>
                  <w:r>
                    <w:rPr>
                      <w:color w:val="auto"/>
                    </w:rPr>
                    <w:t>工业区</w:t>
                  </w:r>
                </w:p>
              </w:tc>
              <w:tc>
                <w:tcPr>
                  <w:tcW w:w="1106" w:type="dxa"/>
                  <w:vAlign w:val="center"/>
                </w:tcPr>
                <w:p>
                  <w:pPr>
                    <w:pStyle w:val="50"/>
                    <w:rPr>
                      <w:color w:val="auto"/>
                    </w:rPr>
                  </w:pPr>
                  <w:r>
                    <w:rPr>
                      <w:color w:val="auto"/>
                    </w:rPr>
                    <w:t>65</w:t>
                  </w:r>
                </w:p>
              </w:tc>
              <w:tc>
                <w:tcPr>
                  <w:tcW w:w="1243" w:type="dxa"/>
                  <w:vAlign w:val="center"/>
                </w:tcPr>
                <w:p>
                  <w:pPr>
                    <w:pStyle w:val="50"/>
                    <w:rPr>
                      <w:color w:val="auto"/>
                    </w:rPr>
                  </w:pPr>
                  <w:r>
                    <w:rPr>
                      <w:color w:val="auto"/>
                    </w:rPr>
                    <w:t>55</w:t>
                  </w:r>
                </w:p>
              </w:tc>
            </w:tr>
          </w:tbl>
          <w:p>
            <w:pPr>
              <w:ind w:firstLine="480"/>
              <w:contextualSpacing/>
              <w:rPr>
                <w:color w:val="auto"/>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28" w:type="dxa"/>
            <w:bottom w:w="0" w:type="dxa"/>
            <w:right w:w="28" w:type="dxa"/>
          </w:tblCellMar>
        </w:tblPrEx>
        <w:trPr>
          <w:trHeight w:val="393" w:hRule="atLeast"/>
          <w:jc w:val="center"/>
        </w:trPr>
        <w:tc>
          <w:tcPr>
            <w:tcW w:w="445" w:type="dxa"/>
            <w:tcBorders>
              <w:tl2br w:val="nil"/>
              <w:tr2bl w:val="nil"/>
            </w:tcBorders>
            <w:vAlign w:val="center"/>
          </w:tcPr>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p>
          <w:p>
            <w:pPr>
              <w:adjustRightInd/>
              <w:snapToGrid/>
              <w:ind w:firstLine="0" w:firstLineChars="0"/>
              <w:contextualSpacing/>
              <w:jc w:val="center"/>
              <w:rPr>
                <w:color w:val="auto"/>
                <w:spacing w:val="-20"/>
                <w:szCs w:val="21"/>
              </w:rPr>
            </w:pPr>
            <w:r>
              <w:rPr>
                <w:color w:val="auto"/>
                <w:spacing w:val="-20"/>
                <w:szCs w:val="21"/>
              </w:rPr>
              <w:t>污</w:t>
            </w:r>
          </w:p>
          <w:p>
            <w:pPr>
              <w:adjustRightInd/>
              <w:snapToGrid/>
              <w:ind w:firstLine="0" w:firstLineChars="0"/>
              <w:contextualSpacing/>
              <w:jc w:val="center"/>
              <w:rPr>
                <w:color w:val="auto"/>
                <w:spacing w:val="-20"/>
                <w:szCs w:val="21"/>
              </w:rPr>
            </w:pPr>
            <w:r>
              <w:rPr>
                <w:color w:val="auto"/>
                <w:spacing w:val="-20"/>
                <w:szCs w:val="21"/>
              </w:rPr>
              <w:t>染</w:t>
            </w:r>
          </w:p>
          <w:p>
            <w:pPr>
              <w:adjustRightInd/>
              <w:snapToGrid/>
              <w:ind w:firstLine="0" w:firstLineChars="0"/>
              <w:contextualSpacing/>
              <w:jc w:val="center"/>
              <w:rPr>
                <w:color w:val="auto"/>
                <w:spacing w:val="-20"/>
                <w:szCs w:val="21"/>
              </w:rPr>
            </w:pPr>
            <w:r>
              <w:rPr>
                <w:color w:val="auto"/>
                <w:spacing w:val="-20"/>
                <w:szCs w:val="21"/>
              </w:rPr>
              <w:t>物</w:t>
            </w:r>
          </w:p>
          <w:p>
            <w:pPr>
              <w:adjustRightInd/>
              <w:snapToGrid/>
              <w:ind w:firstLine="0" w:firstLineChars="0"/>
              <w:contextualSpacing/>
              <w:jc w:val="center"/>
              <w:rPr>
                <w:color w:val="auto"/>
                <w:spacing w:val="-20"/>
                <w:szCs w:val="21"/>
              </w:rPr>
            </w:pPr>
            <w:r>
              <w:rPr>
                <w:color w:val="auto"/>
                <w:spacing w:val="-20"/>
                <w:szCs w:val="21"/>
              </w:rPr>
              <w:t>排</w:t>
            </w:r>
          </w:p>
          <w:p>
            <w:pPr>
              <w:adjustRightInd/>
              <w:snapToGrid/>
              <w:ind w:firstLine="0" w:firstLineChars="0"/>
              <w:contextualSpacing/>
              <w:jc w:val="center"/>
              <w:rPr>
                <w:color w:val="auto"/>
                <w:spacing w:val="-20"/>
                <w:szCs w:val="21"/>
              </w:rPr>
            </w:pPr>
            <w:r>
              <w:rPr>
                <w:color w:val="auto"/>
                <w:spacing w:val="-20"/>
                <w:szCs w:val="21"/>
              </w:rPr>
              <w:t>放</w:t>
            </w:r>
          </w:p>
          <w:p>
            <w:pPr>
              <w:adjustRightInd/>
              <w:snapToGrid/>
              <w:ind w:firstLine="0" w:firstLineChars="0"/>
              <w:contextualSpacing/>
              <w:jc w:val="center"/>
              <w:rPr>
                <w:color w:val="auto"/>
                <w:spacing w:val="-20"/>
                <w:szCs w:val="21"/>
              </w:rPr>
            </w:pPr>
            <w:r>
              <w:rPr>
                <w:color w:val="auto"/>
                <w:spacing w:val="-20"/>
                <w:szCs w:val="21"/>
              </w:rPr>
              <w:t>标</w:t>
            </w:r>
          </w:p>
          <w:p>
            <w:pPr>
              <w:adjustRightInd/>
              <w:snapToGrid/>
              <w:ind w:firstLine="0" w:firstLineChars="0"/>
              <w:contextualSpacing/>
              <w:jc w:val="center"/>
              <w:rPr>
                <w:color w:val="auto"/>
                <w:spacing w:val="-20"/>
                <w:szCs w:val="21"/>
              </w:rPr>
            </w:pPr>
            <w:r>
              <w:rPr>
                <w:color w:val="auto"/>
                <w:spacing w:val="-20"/>
                <w:szCs w:val="21"/>
              </w:rPr>
              <w:t xml:space="preserve">准  </w:t>
            </w:r>
          </w:p>
        </w:tc>
        <w:tc>
          <w:tcPr>
            <w:tcW w:w="8626" w:type="dxa"/>
            <w:tcBorders>
              <w:tl2br w:val="nil"/>
              <w:tr2bl w:val="nil"/>
            </w:tcBorders>
          </w:tcPr>
          <w:p>
            <w:pPr>
              <w:ind w:firstLine="482"/>
              <w:contextualSpacing/>
              <w:rPr>
                <w:b/>
                <w:color w:val="auto"/>
                <w:szCs w:val="21"/>
              </w:rPr>
            </w:pPr>
            <w:r>
              <w:rPr>
                <w:b/>
                <w:color w:val="auto"/>
                <w:szCs w:val="21"/>
              </w:rPr>
              <w:t>施工期：</w:t>
            </w:r>
          </w:p>
          <w:p>
            <w:pPr>
              <w:ind w:firstLine="482"/>
              <w:contextualSpacing/>
              <w:rPr>
                <w:b/>
                <w:color w:val="auto"/>
              </w:rPr>
            </w:pPr>
            <w:r>
              <w:rPr>
                <w:b/>
                <w:color w:val="auto"/>
              </w:rPr>
              <w:t>1、噪声</w:t>
            </w:r>
          </w:p>
          <w:p>
            <w:pPr>
              <w:ind w:firstLine="480"/>
              <w:contextualSpacing/>
              <w:rPr>
                <w:color w:val="auto"/>
              </w:rPr>
            </w:pPr>
            <w:r>
              <w:rPr>
                <w:color w:val="auto"/>
              </w:rPr>
              <w:t>施工期产生噪声有机器调试噪声和车辆运输噪声，该部分噪声排放执行GB12523－2011《建筑施工场界环境噪声排放标准》，见表4-4。</w:t>
            </w:r>
          </w:p>
          <w:p>
            <w:pPr>
              <w:pStyle w:val="48"/>
              <w:ind w:firstLine="422"/>
              <w:rPr>
                <w:color w:val="auto"/>
              </w:rPr>
            </w:pPr>
            <w:r>
              <w:rPr>
                <w:color w:val="auto"/>
              </w:rPr>
              <w:t>表4-4   GB12523－2011《建筑施工场界环境噪声排放标准》</w:t>
            </w:r>
          </w:p>
          <w:tbl>
            <w:tblPr>
              <w:tblStyle w:val="36"/>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4"/>
              <w:gridCol w:w="4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 w:hRule="atLeast"/>
                <w:jc w:val="center"/>
              </w:trPr>
              <w:tc>
                <w:tcPr>
                  <w:tcW w:w="3844" w:type="dxa"/>
                  <w:vAlign w:val="center"/>
                </w:tcPr>
                <w:p>
                  <w:pPr>
                    <w:pStyle w:val="50"/>
                    <w:rPr>
                      <w:color w:val="auto"/>
                    </w:rPr>
                  </w:pPr>
                  <w:r>
                    <w:rPr>
                      <w:color w:val="auto"/>
                    </w:rPr>
                    <w:t>昼间</w:t>
                  </w:r>
                </w:p>
              </w:tc>
              <w:tc>
                <w:tcPr>
                  <w:tcW w:w="4723" w:type="dxa"/>
                  <w:vAlign w:val="center"/>
                </w:tcPr>
                <w:p>
                  <w:pPr>
                    <w:pStyle w:val="50"/>
                    <w:rPr>
                      <w:color w:val="auto"/>
                    </w:rPr>
                  </w:pPr>
                  <w:r>
                    <w:rPr>
                      <w:color w:val="auto"/>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44" w:type="dxa"/>
                  <w:vAlign w:val="center"/>
                </w:tcPr>
                <w:p>
                  <w:pPr>
                    <w:pStyle w:val="50"/>
                    <w:rPr>
                      <w:color w:val="auto"/>
                    </w:rPr>
                  </w:pPr>
                  <w:r>
                    <w:rPr>
                      <w:color w:val="auto"/>
                    </w:rPr>
                    <w:t>70</w:t>
                  </w:r>
                </w:p>
              </w:tc>
              <w:tc>
                <w:tcPr>
                  <w:tcW w:w="4723" w:type="dxa"/>
                  <w:vAlign w:val="center"/>
                </w:tcPr>
                <w:p>
                  <w:pPr>
                    <w:pStyle w:val="50"/>
                    <w:rPr>
                      <w:color w:val="auto"/>
                    </w:rPr>
                  </w:pPr>
                  <w:r>
                    <w:rPr>
                      <w:color w:val="auto"/>
                    </w:rPr>
                    <w:t>55</w:t>
                  </w:r>
                </w:p>
              </w:tc>
            </w:tr>
          </w:tbl>
          <w:p>
            <w:pPr>
              <w:ind w:firstLine="482"/>
              <w:contextualSpacing/>
              <w:rPr>
                <w:b/>
                <w:color w:val="auto"/>
                <w:szCs w:val="21"/>
              </w:rPr>
            </w:pPr>
            <w:r>
              <w:rPr>
                <w:b/>
                <w:color w:val="auto"/>
                <w:szCs w:val="21"/>
              </w:rPr>
              <w:t>2、废气</w:t>
            </w:r>
          </w:p>
          <w:p>
            <w:pPr>
              <w:ind w:firstLine="480"/>
              <w:rPr>
                <w:color w:val="auto"/>
              </w:rPr>
            </w:pPr>
            <w:r>
              <w:rPr>
                <w:color w:val="auto"/>
              </w:rPr>
              <w:t>施工期产生废气有道路扬尘、汽车尾气，该部分废气均为无组织排放，执行GB16297-1996《大气污染物综合排放标准》无组织排放监控浓度限制，见表4-5。</w:t>
            </w:r>
          </w:p>
          <w:p>
            <w:pPr>
              <w:pStyle w:val="48"/>
              <w:ind w:firstLine="422"/>
              <w:rPr>
                <w:bCs w:val="0"/>
                <w:color w:val="auto"/>
              </w:rPr>
            </w:pPr>
            <w:r>
              <w:rPr>
                <w:bCs w:val="0"/>
                <w:color w:val="auto"/>
              </w:rPr>
              <w:t>表4-5 施工期大气污染物排放限值  单位：mg/m</w:t>
            </w:r>
            <w:r>
              <w:rPr>
                <w:color w:val="auto"/>
                <w:vertAlign w:val="superscript"/>
              </w:rPr>
              <w:t>3</w:t>
            </w:r>
          </w:p>
          <w:tbl>
            <w:tblPr>
              <w:tblStyle w:val="36"/>
              <w:tblW w:w="856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016"/>
              <w:gridCol w:w="1929"/>
              <w:gridCol w:w="1633"/>
              <w:gridCol w:w="3989"/>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2" w:hRule="atLeast"/>
                <w:jc w:val="center"/>
              </w:trPr>
              <w:tc>
                <w:tcPr>
                  <w:tcW w:w="1016" w:type="dxa"/>
                  <w:vAlign w:val="center"/>
                </w:tcPr>
                <w:p>
                  <w:pPr>
                    <w:pStyle w:val="50"/>
                    <w:rPr>
                      <w:color w:val="auto"/>
                    </w:rPr>
                  </w:pPr>
                  <w:r>
                    <w:rPr>
                      <w:color w:val="auto"/>
                    </w:rPr>
                    <w:t>序号</w:t>
                  </w:r>
                </w:p>
              </w:tc>
              <w:tc>
                <w:tcPr>
                  <w:tcW w:w="3562" w:type="dxa"/>
                  <w:gridSpan w:val="2"/>
                  <w:vAlign w:val="center"/>
                </w:tcPr>
                <w:p>
                  <w:pPr>
                    <w:pStyle w:val="50"/>
                    <w:rPr>
                      <w:color w:val="auto"/>
                    </w:rPr>
                  </w:pPr>
                  <w:r>
                    <w:rPr>
                      <w:color w:val="auto"/>
                    </w:rPr>
                    <w:t>污染物因子</w:t>
                  </w:r>
                </w:p>
              </w:tc>
              <w:tc>
                <w:tcPr>
                  <w:tcW w:w="3989" w:type="dxa"/>
                  <w:vAlign w:val="center"/>
                </w:tcPr>
                <w:p>
                  <w:pPr>
                    <w:pStyle w:val="50"/>
                    <w:rPr>
                      <w:color w:val="auto"/>
                    </w:rPr>
                  </w:pPr>
                  <w:r>
                    <w:rPr>
                      <w:color w:val="auto"/>
                    </w:rPr>
                    <w:t>无组织排放监控浓度限制</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1016" w:type="dxa"/>
                  <w:vAlign w:val="center"/>
                </w:tcPr>
                <w:p>
                  <w:pPr>
                    <w:pStyle w:val="50"/>
                    <w:rPr>
                      <w:color w:val="auto"/>
                    </w:rPr>
                  </w:pPr>
                  <w:r>
                    <w:rPr>
                      <w:color w:val="auto"/>
                    </w:rPr>
                    <w:t>1</w:t>
                  </w:r>
                </w:p>
              </w:tc>
              <w:tc>
                <w:tcPr>
                  <w:tcW w:w="1929" w:type="dxa"/>
                  <w:vAlign w:val="center"/>
                </w:tcPr>
                <w:p>
                  <w:pPr>
                    <w:pStyle w:val="50"/>
                    <w:rPr>
                      <w:color w:val="auto"/>
                    </w:rPr>
                  </w:pPr>
                  <w:r>
                    <w:rPr>
                      <w:color w:val="auto"/>
                    </w:rPr>
                    <w:t>施工期周界</w:t>
                  </w:r>
                </w:p>
              </w:tc>
              <w:tc>
                <w:tcPr>
                  <w:tcW w:w="1633" w:type="dxa"/>
                  <w:vAlign w:val="center"/>
                </w:tcPr>
                <w:p>
                  <w:pPr>
                    <w:pStyle w:val="50"/>
                    <w:rPr>
                      <w:color w:val="auto"/>
                    </w:rPr>
                  </w:pPr>
                  <w:r>
                    <w:rPr>
                      <w:color w:val="auto"/>
                    </w:rPr>
                    <w:t>TSP</w:t>
                  </w:r>
                </w:p>
              </w:tc>
              <w:tc>
                <w:tcPr>
                  <w:tcW w:w="3989" w:type="dxa"/>
                  <w:vAlign w:val="center"/>
                </w:tcPr>
                <w:p>
                  <w:pPr>
                    <w:pStyle w:val="50"/>
                    <w:rPr>
                      <w:color w:val="auto"/>
                    </w:rPr>
                  </w:pPr>
                  <w:r>
                    <w:rPr>
                      <w:color w:val="auto"/>
                    </w:rPr>
                    <w:t>≤1.0</w:t>
                  </w:r>
                </w:p>
              </w:tc>
            </w:tr>
          </w:tbl>
          <w:p>
            <w:pPr>
              <w:ind w:firstLine="482"/>
              <w:contextualSpacing/>
              <w:rPr>
                <w:b/>
                <w:color w:val="auto"/>
                <w:szCs w:val="21"/>
              </w:rPr>
            </w:pPr>
            <w:r>
              <w:rPr>
                <w:b/>
                <w:color w:val="auto"/>
                <w:szCs w:val="21"/>
              </w:rPr>
              <w:t>运营期：</w:t>
            </w:r>
          </w:p>
          <w:p>
            <w:pPr>
              <w:ind w:firstLine="482"/>
              <w:contextualSpacing/>
              <w:rPr>
                <w:b/>
                <w:color w:val="auto"/>
                <w:szCs w:val="21"/>
              </w:rPr>
            </w:pPr>
            <w:r>
              <w:rPr>
                <w:b/>
                <w:color w:val="auto"/>
                <w:szCs w:val="21"/>
              </w:rPr>
              <w:t>1、废水</w:t>
            </w:r>
          </w:p>
          <w:p>
            <w:pPr>
              <w:ind w:firstLine="480" w:firstLineChars="0"/>
              <w:rPr>
                <w:color w:val="auto"/>
              </w:rPr>
            </w:pPr>
            <w:r>
              <w:rPr>
                <w:rFonts w:hint="eastAsia"/>
                <w:color w:val="auto"/>
              </w:rPr>
              <w:t>项目生产不使用水，员工住宿在附近村庄，自由就餐；卫生间使用昆明力线电缆制造有限公司已建成公共卫生间，据调查公共卫生间旁设置了一个总容积为10m</w:t>
            </w:r>
            <w:r>
              <w:rPr>
                <w:rFonts w:hint="eastAsia"/>
                <w:color w:val="auto"/>
                <w:vertAlign w:val="superscript"/>
              </w:rPr>
              <w:t>3</w:t>
            </w:r>
            <w:r>
              <w:rPr>
                <w:rFonts w:hint="eastAsia"/>
                <w:color w:val="auto"/>
              </w:rPr>
              <w:t>的化粪池，卫生间冲厕废水依托昆明力线电缆制造有限公司已建设的化粪池及一体化污水处理设备处理（处理规模为10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）标准</w:t>
            </w:r>
            <w:r>
              <w:rPr>
                <w:rFonts w:hint="eastAsia"/>
                <w:color w:val="auto"/>
              </w:rPr>
              <w:t>后回用于绿化及道路清扫，不外排</w:t>
            </w:r>
            <w:r>
              <w:rPr>
                <w:rFonts w:hint="eastAsia" w:ascii="宋体" w:hAnsi="宋体" w:cs="宋体"/>
                <w:color w:val="auto"/>
              </w:rPr>
              <w:t>。</w:t>
            </w:r>
            <w:r>
              <w:rPr>
                <w:rFonts w:hint="eastAsia"/>
                <w:color w:val="auto"/>
              </w:rPr>
              <w:t>因此，本项目无生产废水</w:t>
            </w:r>
            <w:r>
              <w:rPr>
                <w:rFonts w:hint="eastAsia"/>
                <w:color w:val="auto"/>
                <w:lang w:eastAsia="zh-CN"/>
              </w:rPr>
              <w:t>，</w:t>
            </w:r>
            <w:r>
              <w:rPr>
                <w:rFonts w:hint="eastAsia"/>
                <w:color w:val="auto"/>
              </w:rPr>
              <w:t>生活</w:t>
            </w:r>
            <w:r>
              <w:rPr>
                <w:rFonts w:hint="eastAsia"/>
                <w:color w:val="auto"/>
                <w:lang w:eastAsia="zh-CN"/>
              </w:rPr>
              <w:t>废水不</w:t>
            </w:r>
            <w:r>
              <w:rPr>
                <w:rFonts w:hint="eastAsia"/>
                <w:color w:val="auto"/>
              </w:rPr>
              <w:t>外排。</w:t>
            </w:r>
          </w:p>
          <w:p>
            <w:pPr>
              <w:widowControl/>
              <w:ind w:firstLine="482"/>
              <w:contextualSpacing/>
              <w:rPr>
                <w:b/>
                <w:color w:val="auto"/>
              </w:rPr>
            </w:pPr>
            <w:r>
              <w:rPr>
                <w:b/>
                <w:color w:val="auto"/>
                <w:szCs w:val="21"/>
              </w:rPr>
              <w:t>2、</w:t>
            </w:r>
            <w:r>
              <w:rPr>
                <w:b/>
                <w:color w:val="auto"/>
              </w:rPr>
              <w:t>废气</w:t>
            </w:r>
          </w:p>
          <w:p>
            <w:pPr>
              <w:ind w:firstLine="480"/>
              <w:rPr>
                <w:color w:val="auto"/>
              </w:rPr>
            </w:pPr>
            <w:r>
              <w:rPr>
                <w:color w:val="auto"/>
              </w:rPr>
              <w:t>项目运营期生产过程中</w:t>
            </w:r>
            <w:r>
              <w:rPr>
                <w:rFonts w:hint="eastAsia"/>
                <w:color w:val="auto"/>
              </w:rPr>
              <w:t>，切割、打孔过程会产生金属粉尘，焊接过程会产生焊接烟尘，喷塑过程会产生喷塑粉尘；固化过程会产生固化废气以及热源天然气燃烧会产生燃烧废气。金属粉尘无组织排放、焊接烟尘经过多虑筒焊烟净化设备处理后车间无组织排放，喷塑粉尘</w:t>
            </w:r>
            <w:r>
              <w:rPr>
                <w:color w:val="auto"/>
              </w:rPr>
              <w:t>采用</w:t>
            </w:r>
            <w:r>
              <w:rPr>
                <w:rFonts w:hint="eastAsia"/>
                <w:color w:val="auto"/>
              </w:rPr>
              <w:t>二级滤芯脉冲除尘处理</w:t>
            </w:r>
            <w:r>
              <w:rPr>
                <w:color w:val="auto"/>
              </w:rPr>
              <w:t>后由</w:t>
            </w:r>
            <w:r>
              <w:rPr>
                <w:rFonts w:hint="eastAsia"/>
                <w:color w:val="auto"/>
              </w:rPr>
              <w:t>15m高（1#）排气筒</w:t>
            </w:r>
            <w:r>
              <w:rPr>
                <w:color w:val="auto"/>
              </w:rPr>
              <w:t>外排</w:t>
            </w:r>
            <w:r>
              <w:rPr>
                <w:rFonts w:hint="eastAsia"/>
                <w:color w:val="auto"/>
              </w:rPr>
              <w:t>，固化废气经</w:t>
            </w:r>
            <w:r>
              <w:rPr>
                <w:rFonts w:hint="eastAsia"/>
                <w:color w:val="auto"/>
                <w:lang w:val="en-US" w:eastAsia="zh-CN"/>
              </w:rPr>
              <w:t>UV光氧+</w:t>
            </w:r>
            <w:r>
              <w:rPr>
                <w:rFonts w:hint="eastAsia"/>
                <w:color w:val="auto"/>
              </w:rPr>
              <w:t>活性炭吸附装置处理后至15m高（2#）排气筒排放。其过程产生的颗粒物、</w:t>
            </w:r>
            <w:r>
              <w:rPr>
                <w:rFonts w:hint="eastAsia"/>
                <w:color w:val="auto"/>
                <w:lang w:val="en-US" w:eastAsia="zh-CN"/>
              </w:rPr>
              <w:t>VOCs（以非甲烷总烃计）</w:t>
            </w:r>
            <w:r>
              <w:rPr>
                <w:color w:val="auto"/>
              </w:rPr>
              <w:t>排放浓度</w:t>
            </w:r>
            <w:r>
              <w:rPr>
                <w:rFonts w:hint="eastAsia"/>
                <w:color w:val="auto"/>
              </w:rPr>
              <w:t>均</w:t>
            </w:r>
            <w:r>
              <w:rPr>
                <w:color w:val="auto"/>
              </w:rPr>
              <w:t>执行GB16297-1996《大气污染物综合排放标准》表2二级标准限值</w:t>
            </w:r>
            <w:r>
              <w:rPr>
                <w:rFonts w:hint="eastAsia"/>
                <w:color w:val="auto"/>
              </w:rPr>
              <w:t>，</w:t>
            </w:r>
            <w:r>
              <w:rPr>
                <w:color w:val="auto"/>
              </w:rPr>
              <w:t>标准值见表4-</w:t>
            </w:r>
            <w:r>
              <w:rPr>
                <w:rFonts w:hint="eastAsia"/>
                <w:color w:val="auto"/>
              </w:rPr>
              <w:t>6</w:t>
            </w:r>
            <w:r>
              <w:rPr>
                <w:color w:val="auto"/>
              </w:rPr>
              <w:t>。</w:t>
            </w:r>
          </w:p>
          <w:p>
            <w:pPr>
              <w:pStyle w:val="48"/>
              <w:widowControl/>
              <w:ind w:firstLine="0" w:firstLineChars="0"/>
              <w:rPr>
                <w:color w:val="auto"/>
              </w:rPr>
            </w:pPr>
            <w:r>
              <w:rPr>
                <w:bCs w:val="0"/>
                <w:color w:val="auto"/>
              </w:rPr>
              <w:t>表 4-6 大气污染物排放标准限值</w:t>
            </w:r>
          </w:p>
          <w:tbl>
            <w:tblPr>
              <w:tblStyle w:val="37"/>
              <w:tblW w:w="4906" w:type="pct"/>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377"/>
              <w:gridCol w:w="1184"/>
              <w:gridCol w:w="1218"/>
              <w:gridCol w:w="1950"/>
              <w:gridCol w:w="1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pct"/>
                  <w:vMerge w:val="restart"/>
                  <w:vAlign w:val="center"/>
                </w:tcPr>
                <w:p>
                  <w:pPr>
                    <w:pStyle w:val="50"/>
                    <w:rPr>
                      <w:color w:val="auto"/>
                    </w:rPr>
                  </w:pPr>
                  <w:r>
                    <w:rPr>
                      <w:color w:val="auto"/>
                    </w:rPr>
                    <w:t>污染物名称</w:t>
                  </w:r>
                </w:p>
              </w:tc>
              <w:tc>
                <w:tcPr>
                  <w:tcW w:w="819" w:type="pct"/>
                  <w:vMerge w:val="restart"/>
                  <w:vAlign w:val="center"/>
                </w:tcPr>
                <w:p>
                  <w:pPr>
                    <w:pStyle w:val="50"/>
                    <w:rPr>
                      <w:color w:val="auto"/>
                    </w:rPr>
                  </w:pPr>
                  <w:r>
                    <w:rPr>
                      <w:color w:val="auto"/>
                    </w:rPr>
                    <w:t>最高允许排放浓度</w:t>
                  </w:r>
                </w:p>
                <w:p>
                  <w:pPr>
                    <w:pStyle w:val="50"/>
                    <w:rPr>
                      <w:color w:val="auto"/>
                    </w:rPr>
                  </w:pPr>
                  <w:r>
                    <w:rPr>
                      <w:color w:val="auto"/>
                    </w:rPr>
                    <w:t>（mg/m</w:t>
                  </w:r>
                  <w:r>
                    <w:rPr>
                      <w:color w:val="auto"/>
                      <w:vertAlign w:val="superscript"/>
                    </w:rPr>
                    <w:t>3</w:t>
                  </w:r>
                  <w:r>
                    <w:rPr>
                      <w:color w:val="auto"/>
                    </w:rPr>
                    <w:t>）</w:t>
                  </w:r>
                </w:p>
              </w:tc>
              <w:tc>
                <w:tcPr>
                  <w:tcW w:w="1430" w:type="pct"/>
                  <w:gridSpan w:val="2"/>
                  <w:vAlign w:val="center"/>
                </w:tcPr>
                <w:p>
                  <w:pPr>
                    <w:pStyle w:val="50"/>
                    <w:rPr>
                      <w:color w:val="auto"/>
                    </w:rPr>
                  </w:pPr>
                  <w:r>
                    <w:rPr>
                      <w:color w:val="auto"/>
                    </w:rPr>
                    <w:t>最高允许排放速率</w:t>
                  </w:r>
                </w:p>
              </w:tc>
              <w:tc>
                <w:tcPr>
                  <w:tcW w:w="1904" w:type="pct"/>
                  <w:gridSpan w:val="2"/>
                  <w:vAlign w:val="center"/>
                </w:tcPr>
                <w:p>
                  <w:pPr>
                    <w:pStyle w:val="50"/>
                    <w:rPr>
                      <w:color w:val="auto"/>
                    </w:rPr>
                  </w:pPr>
                  <w:r>
                    <w:rPr>
                      <w:color w:val="auto"/>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pct"/>
                  <w:vMerge w:val="continue"/>
                  <w:vAlign w:val="center"/>
                </w:tcPr>
                <w:p>
                  <w:pPr>
                    <w:pStyle w:val="50"/>
                    <w:rPr>
                      <w:color w:val="auto"/>
                    </w:rPr>
                  </w:pPr>
                </w:p>
              </w:tc>
              <w:tc>
                <w:tcPr>
                  <w:tcW w:w="819" w:type="pct"/>
                  <w:vMerge w:val="continue"/>
                  <w:vAlign w:val="center"/>
                </w:tcPr>
                <w:p>
                  <w:pPr>
                    <w:pStyle w:val="50"/>
                    <w:rPr>
                      <w:color w:val="auto"/>
                    </w:rPr>
                  </w:pPr>
                </w:p>
              </w:tc>
              <w:tc>
                <w:tcPr>
                  <w:tcW w:w="705" w:type="pct"/>
                  <w:vAlign w:val="center"/>
                </w:tcPr>
                <w:p>
                  <w:pPr>
                    <w:pStyle w:val="50"/>
                    <w:rPr>
                      <w:color w:val="auto"/>
                    </w:rPr>
                  </w:pPr>
                  <w:r>
                    <w:rPr>
                      <w:color w:val="auto"/>
                    </w:rPr>
                    <w:t>排气筒高度（m）</w:t>
                  </w:r>
                </w:p>
              </w:tc>
              <w:tc>
                <w:tcPr>
                  <w:tcW w:w="725" w:type="pct"/>
                  <w:vAlign w:val="center"/>
                </w:tcPr>
                <w:p>
                  <w:pPr>
                    <w:pStyle w:val="50"/>
                    <w:rPr>
                      <w:color w:val="auto"/>
                    </w:rPr>
                  </w:pPr>
                  <w:r>
                    <w:rPr>
                      <w:color w:val="auto"/>
                    </w:rPr>
                    <w:t>二级标准（kg/h）</w:t>
                  </w:r>
                </w:p>
              </w:tc>
              <w:tc>
                <w:tcPr>
                  <w:tcW w:w="1160" w:type="pct"/>
                  <w:vAlign w:val="center"/>
                </w:tcPr>
                <w:p>
                  <w:pPr>
                    <w:pStyle w:val="50"/>
                    <w:rPr>
                      <w:color w:val="auto"/>
                    </w:rPr>
                  </w:pPr>
                  <w:r>
                    <w:rPr>
                      <w:color w:val="auto"/>
                    </w:rPr>
                    <w:t>监控点</w:t>
                  </w:r>
                </w:p>
              </w:tc>
              <w:tc>
                <w:tcPr>
                  <w:tcW w:w="744" w:type="pct"/>
                  <w:vAlign w:val="center"/>
                </w:tcPr>
                <w:p>
                  <w:pPr>
                    <w:pStyle w:val="50"/>
                    <w:rPr>
                      <w:color w:val="auto"/>
                    </w:rPr>
                  </w:pPr>
                  <w:r>
                    <w:rPr>
                      <w:color w:val="auto"/>
                    </w:rPr>
                    <w:t>浓度限值（mg/m</w:t>
                  </w:r>
                  <w:r>
                    <w:rPr>
                      <w:color w:val="auto"/>
                      <w:vertAlign w:val="superscript"/>
                    </w:rPr>
                    <w:t>3</w:t>
                  </w: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pct"/>
                  <w:vAlign w:val="center"/>
                </w:tcPr>
                <w:p>
                  <w:pPr>
                    <w:pStyle w:val="50"/>
                    <w:rPr>
                      <w:color w:val="auto"/>
                    </w:rPr>
                  </w:pPr>
                  <w:r>
                    <w:rPr>
                      <w:color w:val="auto"/>
                    </w:rPr>
                    <w:t>颗粒物</w:t>
                  </w:r>
                </w:p>
              </w:tc>
              <w:tc>
                <w:tcPr>
                  <w:tcW w:w="819" w:type="pct"/>
                  <w:vAlign w:val="center"/>
                </w:tcPr>
                <w:p>
                  <w:pPr>
                    <w:pStyle w:val="50"/>
                    <w:rPr>
                      <w:color w:val="auto"/>
                    </w:rPr>
                  </w:pPr>
                  <w:r>
                    <w:rPr>
                      <w:color w:val="auto"/>
                    </w:rPr>
                    <w:t>120</w:t>
                  </w:r>
                </w:p>
              </w:tc>
              <w:tc>
                <w:tcPr>
                  <w:tcW w:w="705" w:type="pct"/>
                  <w:vAlign w:val="center"/>
                </w:tcPr>
                <w:p>
                  <w:pPr>
                    <w:pStyle w:val="50"/>
                    <w:rPr>
                      <w:color w:val="auto"/>
                    </w:rPr>
                  </w:pPr>
                  <w:r>
                    <w:rPr>
                      <w:color w:val="auto"/>
                    </w:rPr>
                    <w:t>15</w:t>
                  </w:r>
                </w:p>
              </w:tc>
              <w:tc>
                <w:tcPr>
                  <w:tcW w:w="725" w:type="pct"/>
                  <w:vAlign w:val="center"/>
                </w:tcPr>
                <w:p>
                  <w:pPr>
                    <w:pStyle w:val="50"/>
                    <w:rPr>
                      <w:color w:val="auto"/>
                    </w:rPr>
                  </w:pPr>
                  <w:r>
                    <w:rPr>
                      <w:color w:val="auto"/>
                    </w:rPr>
                    <w:t>3.5</w:t>
                  </w:r>
                </w:p>
              </w:tc>
              <w:tc>
                <w:tcPr>
                  <w:tcW w:w="1160" w:type="pct"/>
                  <w:vAlign w:val="center"/>
                </w:tcPr>
                <w:p>
                  <w:pPr>
                    <w:pStyle w:val="50"/>
                    <w:rPr>
                      <w:color w:val="auto"/>
                    </w:rPr>
                  </w:pPr>
                  <w:r>
                    <w:rPr>
                      <w:color w:val="auto"/>
                    </w:rPr>
                    <w:t>周界外浓度最高点</w:t>
                  </w:r>
                </w:p>
              </w:tc>
              <w:tc>
                <w:tcPr>
                  <w:tcW w:w="744" w:type="pct"/>
                  <w:vAlign w:val="center"/>
                </w:tcPr>
                <w:p>
                  <w:pPr>
                    <w:pStyle w:val="50"/>
                    <w:rPr>
                      <w:color w:val="auto"/>
                    </w:rPr>
                  </w:pPr>
                  <w:r>
                    <w:rPr>
                      <w:color w:val="auto"/>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 w:type="pct"/>
                  <w:vAlign w:val="center"/>
                </w:tcPr>
                <w:p>
                  <w:pPr>
                    <w:pStyle w:val="50"/>
                    <w:rPr>
                      <w:color w:val="auto"/>
                    </w:rPr>
                  </w:pPr>
                  <w:r>
                    <w:rPr>
                      <w:rFonts w:hint="eastAsia"/>
                      <w:color w:val="auto"/>
                    </w:rPr>
                    <w:t>非甲烷总烃</w:t>
                  </w:r>
                </w:p>
              </w:tc>
              <w:tc>
                <w:tcPr>
                  <w:tcW w:w="819" w:type="pct"/>
                  <w:vAlign w:val="center"/>
                </w:tcPr>
                <w:p>
                  <w:pPr>
                    <w:pStyle w:val="50"/>
                    <w:rPr>
                      <w:color w:val="auto"/>
                    </w:rPr>
                  </w:pPr>
                  <w:r>
                    <w:rPr>
                      <w:rFonts w:hint="eastAsia"/>
                      <w:color w:val="auto"/>
                    </w:rPr>
                    <w:t>120</w:t>
                  </w:r>
                </w:p>
              </w:tc>
              <w:tc>
                <w:tcPr>
                  <w:tcW w:w="705" w:type="pct"/>
                  <w:vAlign w:val="center"/>
                </w:tcPr>
                <w:p>
                  <w:pPr>
                    <w:pStyle w:val="50"/>
                    <w:rPr>
                      <w:color w:val="auto"/>
                    </w:rPr>
                  </w:pPr>
                  <w:r>
                    <w:rPr>
                      <w:rFonts w:hint="eastAsia"/>
                      <w:color w:val="auto"/>
                    </w:rPr>
                    <w:t>15</w:t>
                  </w:r>
                </w:p>
              </w:tc>
              <w:tc>
                <w:tcPr>
                  <w:tcW w:w="725" w:type="pct"/>
                  <w:vAlign w:val="center"/>
                </w:tcPr>
                <w:p>
                  <w:pPr>
                    <w:pStyle w:val="50"/>
                    <w:rPr>
                      <w:color w:val="auto"/>
                    </w:rPr>
                  </w:pPr>
                  <w:r>
                    <w:rPr>
                      <w:rFonts w:hint="eastAsia"/>
                      <w:color w:val="auto"/>
                    </w:rPr>
                    <w:t>10</w:t>
                  </w:r>
                </w:p>
              </w:tc>
              <w:tc>
                <w:tcPr>
                  <w:tcW w:w="1160" w:type="pct"/>
                  <w:vAlign w:val="center"/>
                </w:tcPr>
                <w:p>
                  <w:pPr>
                    <w:pStyle w:val="50"/>
                    <w:rPr>
                      <w:color w:val="auto"/>
                    </w:rPr>
                  </w:pPr>
                  <w:r>
                    <w:rPr>
                      <w:color w:val="auto"/>
                    </w:rPr>
                    <w:t>周界外浓度最高点</w:t>
                  </w:r>
                </w:p>
              </w:tc>
              <w:tc>
                <w:tcPr>
                  <w:tcW w:w="744" w:type="pct"/>
                  <w:vAlign w:val="center"/>
                </w:tcPr>
                <w:p>
                  <w:pPr>
                    <w:pStyle w:val="50"/>
                    <w:rPr>
                      <w:color w:val="auto"/>
                    </w:rPr>
                  </w:pPr>
                  <w:r>
                    <w:rPr>
                      <w:rFonts w:hint="eastAsia"/>
                      <w:color w:val="auto"/>
                    </w:rPr>
                    <w:t>4.0</w:t>
                  </w:r>
                </w:p>
              </w:tc>
            </w:tr>
          </w:tbl>
          <w:p>
            <w:pPr>
              <w:ind w:firstLine="480"/>
              <w:rPr>
                <w:b/>
                <w:color w:val="auto"/>
                <w:sz w:val="21"/>
                <w:szCs w:val="21"/>
              </w:rPr>
            </w:pPr>
            <w:r>
              <w:rPr>
                <w:rFonts w:hint="eastAsia" w:cs="宋体"/>
                <w:color w:val="auto"/>
              </w:rPr>
              <w:t>项目无组织</w:t>
            </w:r>
            <w:r>
              <w:rPr>
                <w:rFonts w:hint="eastAsia"/>
                <w:color w:val="auto"/>
                <w:lang w:val="en-US" w:eastAsia="zh-CN"/>
              </w:rPr>
              <w:t>VOCs（以非甲烷总烃计）</w:t>
            </w:r>
            <w:r>
              <w:rPr>
                <w:rFonts w:hint="eastAsia" w:cs="宋体"/>
                <w:color w:val="auto"/>
              </w:rPr>
              <w:t>，厂区内执行</w:t>
            </w:r>
            <w:r>
              <w:rPr>
                <w:color w:val="auto"/>
              </w:rPr>
              <w:t>《挥发性有机物无组织排放控制标准》（GB37822-2019）附录A厂区内</w:t>
            </w:r>
            <w:r>
              <w:rPr>
                <w:rFonts w:hint="eastAsia"/>
                <w:color w:val="auto"/>
              </w:rPr>
              <w:t>非甲烷总烃</w:t>
            </w:r>
            <w:r>
              <w:rPr>
                <w:color w:val="auto"/>
              </w:rPr>
              <w:t>无组织排放限值，见表</w:t>
            </w:r>
            <w:r>
              <w:rPr>
                <w:rFonts w:hint="eastAsia"/>
                <w:color w:val="auto"/>
              </w:rPr>
              <w:t>4-7</w:t>
            </w:r>
            <w:r>
              <w:rPr>
                <w:color w:val="auto"/>
              </w:rPr>
              <w:t>。</w:t>
            </w:r>
          </w:p>
          <w:p>
            <w:pPr>
              <w:pStyle w:val="48"/>
              <w:ind w:firstLine="422"/>
              <w:rPr>
                <w:bCs w:val="0"/>
                <w:color w:val="auto"/>
              </w:rPr>
            </w:pPr>
            <w:r>
              <w:rPr>
                <w:bCs w:val="0"/>
                <w:color w:val="auto"/>
              </w:rPr>
              <w:t>表4-</w:t>
            </w:r>
            <w:r>
              <w:rPr>
                <w:rFonts w:hint="eastAsia"/>
                <w:bCs w:val="0"/>
                <w:color w:val="auto"/>
              </w:rPr>
              <w:t xml:space="preserve">7 </w:t>
            </w:r>
            <w:r>
              <w:rPr>
                <w:bCs w:val="0"/>
                <w:color w:val="auto"/>
              </w:rPr>
              <w:t>厂区内挥发性有机物无组织排放标准限值 单位：mg/m</w:t>
            </w:r>
            <w:r>
              <w:rPr>
                <w:bCs w:val="0"/>
                <w:color w:val="auto"/>
                <w:vertAlign w:val="superscript"/>
              </w:rPr>
              <w:t>3</w:t>
            </w:r>
          </w:p>
          <w:tbl>
            <w:tblPr>
              <w:tblStyle w:val="37"/>
              <w:tblW w:w="8405"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6"/>
              <w:gridCol w:w="1309"/>
              <w:gridCol w:w="3032"/>
              <w:gridCol w:w="2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616" w:type="dxa"/>
                  <w:tcBorders>
                    <w:top w:val="single" w:color="auto" w:sz="4" w:space="0"/>
                    <w:left w:val="single" w:color="auto" w:sz="4" w:space="0"/>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污染物项目</w:t>
                  </w:r>
                </w:p>
              </w:tc>
              <w:tc>
                <w:tcPr>
                  <w:tcW w:w="1309"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排放限值</w:t>
                  </w:r>
                </w:p>
              </w:tc>
              <w:tc>
                <w:tcPr>
                  <w:tcW w:w="3032"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210" w:firstLineChars="100"/>
                    <w:jc w:val="center"/>
                    <w:rPr>
                      <w:rFonts w:ascii="Times New Roman" w:hAnsi="Times New Roman"/>
                      <w:color w:val="auto"/>
                      <w:sz w:val="21"/>
                      <w:szCs w:val="21"/>
                    </w:rPr>
                  </w:pPr>
                  <w:r>
                    <w:rPr>
                      <w:rFonts w:ascii="Times New Roman" w:hAnsi="Times New Roman"/>
                      <w:color w:val="auto"/>
                      <w:sz w:val="21"/>
                      <w:szCs w:val="21"/>
                    </w:rPr>
                    <w:t>限值含义</w:t>
                  </w:r>
                </w:p>
              </w:tc>
              <w:tc>
                <w:tcPr>
                  <w:tcW w:w="2448"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无组织排放监控位置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616" w:type="dxa"/>
                  <w:vMerge w:val="restart"/>
                  <w:tcBorders>
                    <w:top w:val="nil"/>
                    <w:left w:val="single" w:color="auto" w:sz="4" w:space="0"/>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非甲烷总烃</w:t>
                  </w:r>
                </w:p>
              </w:tc>
              <w:tc>
                <w:tcPr>
                  <w:tcW w:w="1309"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10</w:t>
                  </w:r>
                </w:p>
              </w:tc>
              <w:tc>
                <w:tcPr>
                  <w:tcW w:w="3032"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监控点处1h</w:t>
                  </w:r>
                  <w:r>
                    <w:rPr>
                      <w:rFonts w:hint="eastAsia" w:cs="宋体"/>
                      <w:color w:val="auto"/>
                      <w:sz w:val="21"/>
                      <w:szCs w:val="21"/>
                    </w:rPr>
                    <w:t>平均浓度值</w:t>
                  </w:r>
                </w:p>
              </w:tc>
              <w:tc>
                <w:tcPr>
                  <w:tcW w:w="2448" w:type="dxa"/>
                  <w:vMerge w:val="restart"/>
                  <w:tcBorders>
                    <w:top w:val="nil"/>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在厂房外设置监控点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616" w:type="dxa"/>
                  <w:vMerge w:val="continue"/>
                  <w:tcBorders>
                    <w:top w:val="nil"/>
                    <w:left w:val="single" w:color="auto" w:sz="4" w:space="0"/>
                    <w:bottom w:val="single" w:color="auto" w:sz="4" w:space="0"/>
                    <w:right w:val="single" w:color="auto" w:sz="4" w:space="0"/>
                  </w:tcBorders>
                  <w:vAlign w:val="center"/>
                </w:tcPr>
                <w:p>
                  <w:pPr>
                    <w:ind w:firstLine="400"/>
                    <w:rPr>
                      <w:color w:val="auto"/>
                      <w:sz w:val="20"/>
                      <w:szCs w:val="20"/>
                    </w:rPr>
                  </w:pPr>
                </w:p>
              </w:tc>
              <w:tc>
                <w:tcPr>
                  <w:tcW w:w="1309"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30</w:t>
                  </w:r>
                </w:p>
              </w:tc>
              <w:tc>
                <w:tcPr>
                  <w:tcW w:w="3032" w:type="dxa"/>
                  <w:tcBorders>
                    <w:top w:val="single" w:color="auto" w:sz="4" w:space="0"/>
                    <w:left w:val="nil"/>
                    <w:bottom w:val="single" w:color="auto" w:sz="4" w:space="0"/>
                    <w:right w:val="single" w:color="auto" w:sz="4" w:space="0"/>
                  </w:tcBorders>
                  <w:vAlign w:val="center"/>
                </w:tcPr>
                <w:p>
                  <w:pPr>
                    <w:pStyle w:val="31"/>
                    <w:widowControl w:val="0"/>
                    <w:spacing w:before="0" w:after="0" w:afterAutospacing="0"/>
                    <w:ind w:firstLine="0" w:firstLineChars="0"/>
                    <w:jc w:val="center"/>
                    <w:rPr>
                      <w:rFonts w:ascii="Times New Roman" w:hAnsi="Times New Roman"/>
                      <w:color w:val="auto"/>
                      <w:sz w:val="21"/>
                      <w:szCs w:val="21"/>
                    </w:rPr>
                  </w:pPr>
                  <w:r>
                    <w:rPr>
                      <w:rFonts w:ascii="Times New Roman" w:hAnsi="Times New Roman"/>
                      <w:color w:val="auto"/>
                      <w:sz w:val="21"/>
                      <w:szCs w:val="21"/>
                    </w:rPr>
                    <w:t>监控点处任意一次浓度值</w:t>
                  </w:r>
                </w:p>
              </w:tc>
              <w:tc>
                <w:tcPr>
                  <w:tcW w:w="2448" w:type="dxa"/>
                  <w:vMerge w:val="continue"/>
                  <w:tcBorders>
                    <w:top w:val="nil"/>
                    <w:left w:val="nil"/>
                    <w:bottom w:val="single" w:color="auto" w:sz="4" w:space="0"/>
                    <w:right w:val="single" w:color="auto" w:sz="4" w:space="0"/>
                  </w:tcBorders>
                  <w:vAlign w:val="center"/>
                </w:tcPr>
                <w:p>
                  <w:pPr>
                    <w:ind w:firstLine="400"/>
                    <w:rPr>
                      <w:color w:val="auto"/>
                      <w:sz w:val="20"/>
                      <w:szCs w:val="20"/>
                    </w:rPr>
                  </w:pPr>
                </w:p>
              </w:tc>
            </w:tr>
          </w:tbl>
          <w:p>
            <w:pPr>
              <w:ind w:firstLine="480"/>
              <w:rPr>
                <w:color w:val="auto"/>
              </w:rPr>
            </w:pPr>
            <w:r>
              <w:rPr>
                <w:color w:val="auto"/>
              </w:rPr>
              <w:t>项目</w:t>
            </w:r>
            <w:r>
              <w:rPr>
                <w:rFonts w:hint="eastAsia"/>
                <w:color w:val="auto"/>
              </w:rPr>
              <w:t>固化</w:t>
            </w:r>
            <w:r>
              <w:rPr>
                <w:color w:val="auto"/>
              </w:rPr>
              <w:t>炉燃料为</w:t>
            </w:r>
            <w:r>
              <w:rPr>
                <w:rFonts w:hint="eastAsia"/>
                <w:color w:val="auto"/>
              </w:rPr>
              <w:t>外购天然气</w:t>
            </w:r>
            <w:r>
              <w:rPr>
                <w:color w:val="auto"/>
              </w:rPr>
              <w:t>，</w:t>
            </w:r>
            <w:r>
              <w:rPr>
                <w:rFonts w:hint="eastAsia"/>
                <w:color w:val="auto"/>
              </w:rPr>
              <w:t>热风循环方式加热，热风进入炉膛直接加热产品表面进行固化，燃烧产生的废气通过15m高（2#）排气筒排放。燃烧废气颗粒物、二氧化硫和氮氧化物满足</w:t>
            </w:r>
            <w:r>
              <w:rPr>
                <w:color w:val="auto"/>
              </w:rPr>
              <w:t>GB16297-1996《大气污染物综合排放标准》表2二级标准限值</w:t>
            </w:r>
            <w:r>
              <w:rPr>
                <w:rFonts w:hint="eastAsia"/>
                <w:color w:val="auto"/>
              </w:rPr>
              <w:t>，即颗粒物≤120mg/m</w:t>
            </w:r>
            <w:r>
              <w:rPr>
                <w:rFonts w:hint="eastAsia"/>
                <w:color w:val="auto"/>
                <w:vertAlign w:val="superscript"/>
              </w:rPr>
              <w:t>3</w:t>
            </w:r>
            <w:r>
              <w:rPr>
                <w:rFonts w:hint="eastAsia"/>
                <w:color w:val="auto"/>
              </w:rPr>
              <w:t>，SO</w:t>
            </w:r>
            <w:r>
              <w:rPr>
                <w:rFonts w:hint="eastAsia"/>
                <w:color w:val="auto"/>
                <w:vertAlign w:val="subscript"/>
              </w:rPr>
              <w:t>2</w:t>
            </w:r>
            <w:r>
              <w:rPr>
                <w:rFonts w:hint="eastAsia"/>
                <w:color w:val="auto"/>
              </w:rPr>
              <w:t>≤550mg/m</w:t>
            </w:r>
            <w:r>
              <w:rPr>
                <w:rFonts w:hint="eastAsia"/>
                <w:color w:val="auto"/>
                <w:vertAlign w:val="superscript"/>
              </w:rPr>
              <w:t>3</w:t>
            </w:r>
            <w:r>
              <w:rPr>
                <w:rFonts w:hint="eastAsia"/>
                <w:color w:val="auto"/>
              </w:rPr>
              <w:t>，NOx≤240mg/m</w:t>
            </w:r>
            <w:r>
              <w:rPr>
                <w:rFonts w:hint="eastAsia"/>
                <w:color w:val="auto"/>
                <w:vertAlign w:val="superscript"/>
              </w:rPr>
              <w:t>3</w:t>
            </w:r>
            <w:r>
              <w:rPr>
                <w:rFonts w:hint="eastAsia"/>
                <w:color w:val="auto"/>
              </w:rPr>
              <w:t>。</w:t>
            </w:r>
            <w:r>
              <w:rPr>
                <w:color w:val="auto"/>
              </w:rPr>
              <w:t>标准值见表4-</w:t>
            </w:r>
            <w:r>
              <w:rPr>
                <w:rFonts w:hint="eastAsia"/>
                <w:color w:val="auto"/>
              </w:rPr>
              <w:t>8。</w:t>
            </w:r>
          </w:p>
          <w:p>
            <w:pPr>
              <w:pStyle w:val="48"/>
              <w:widowControl/>
              <w:ind w:firstLine="0" w:firstLineChars="0"/>
              <w:rPr>
                <w:color w:val="auto"/>
              </w:rPr>
            </w:pPr>
            <w:r>
              <w:rPr>
                <w:bCs w:val="0"/>
                <w:color w:val="auto"/>
              </w:rPr>
              <w:t>表 4-</w:t>
            </w:r>
            <w:r>
              <w:rPr>
                <w:rFonts w:hint="eastAsia"/>
                <w:bCs w:val="0"/>
                <w:color w:val="auto"/>
              </w:rPr>
              <w:t>8</w:t>
            </w:r>
            <w:r>
              <w:rPr>
                <w:bCs w:val="0"/>
                <w:color w:val="auto"/>
              </w:rPr>
              <w:t xml:space="preserve"> 《大气污染物综合排放标准》表2二级标准限值</w:t>
            </w:r>
          </w:p>
          <w:tbl>
            <w:tblPr>
              <w:tblStyle w:val="37"/>
              <w:tblW w:w="4882" w:type="pct"/>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7"/>
              <w:gridCol w:w="1327"/>
              <w:gridCol w:w="1249"/>
              <w:gridCol w:w="1219"/>
              <w:gridCol w:w="1972"/>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Merge w:val="restart"/>
                  <w:vAlign w:val="center"/>
                </w:tcPr>
                <w:p>
                  <w:pPr>
                    <w:pStyle w:val="50"/>
                    <w:rPr>
                      <w:color w:val="auto"/>
                    </w:rPr>
                  </w:pPr>
                  <w:r>
                    <w:rPr>
                      <w:color w:val="auto"/>
                    </w:rPr>
                    <w:t>污染物名称</w:t>
                  </w:r>
                </w:p>
              </w:tc>
              <w:tc>
                <w:tcPr>
                  <w:tcW w:w="793" w:type="pct"/>
                  <w:vMerge w:val="restart"/>
                  <w:vAlign w:val="center"/>
                </w:tcPr>
                <w:p>
                  <w:pPr>
                    <w:pStyle w:val="50"/>
                    <w:rPr>
                      <w:color w:val="auto"/>
                    </w:rPr>
                  </w:pPr>
                  <w:r>
                    <w:rPr>
                      <w:color w:val="auto"/>
                    </w:rPr>
                    <w:t>最高允许排放浓度</w:t>
                  </w:r>
                </w:p>
                <w:p>
                  <w:pPr>
                    <w:pStyle w:val="50"/>
                    <w:rPr>
                      <w:color w:val="auto"/>
                    </w:rPr>
                  </w:pPr>
                  <w:r>
                    <w:rPr>
                      <w:color w:val="auto"/>
                    </w:rPr>
                    <w:t>（mg/m</w:t>
                  </w:r>
                  <w:r>
                    <w:rPr>
                      <w:color w:val="auto"/>
                      <w:vertAlign w:val="superscript"/>
                    </w:rPr>
                    <w:t>3</w:t>
                  </w:r>
                  <w:r>
                    <w:rPr>
                      <w:color w:val="auto"/>
                    </w:rPr>
                    <w:t>）</w:t>
                  </w:r>
                </w:p>
              </w:tc>
              <w:tc>
                <w:tcPr>
                  <w:tcW w:w="1476" w:type="pct"/>
                  <w:gridSpan w:val="2"/>
                  <w:vAlign w:val="center"/>
                </w:tcPr>
                <w:p>
                  <w:pPr>
                    <w:pStyle w:val="50"/>
                    <w:rPr>
                      <w:color w:val="auto"/>
                    </w:rPr>
                  </w:pPr>
                  <w:r>
                    <w:rPr>
                      <w:color w:val="auto"/>
                    </w:rPr>
                    <w:t>最高允许排放速率</w:t>
                  </w:r>
                </w:p>
              </w:tc>
              <w:tc>
                <w:tcPr>
                  <w:tcW w:w="1906" w:type="pct"/>
                  <w:gridSpan w:val="2"/>
                  <w:vAlign w:val="center"/>
                </w:tcPr>
                <w:p>
                  <w:pPr>
                    <w:pStyle w:val="50"/>
                    <w:rPr>
                      <w:color w:val="auto"/>
                    </w:rPr>
                  </w:pPr>
                  <w:r>
                    <w:rPr>
                      <w:color w:val="auto"/>
                    </w:rPr>
                    <w:t>无组织排放监控浓度限值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Merge w:val="continue"/>
                  <w:vAlign w:val="center"/>
                </w:tcPr>
                <w:p>
                  <w:pPr>
                    <w:pStyle w:val="50"/>
                    <w:rPr>
                      <w:color w:val="auto"/>
                    </w:rPr>
                  </w:pPr>
                </w:p>
              </w:tc>
              <w:tc>
                <w:tcPr>
                  <w:tcW w:w="793" w:type="pct"/>
                  <w:vMerge w:val="continue"/>
                  <w:vAlign w:val="center"/>
                </w:tcPr>
                <w:p>
                  <w:pPr>
                    <w:pStyle w:val="50"/>
                    <w:rPr>
                      <w:color w:val="auto"/>
                    </w:rPr>
                  </w:pPr>
                </w:p>
              </w:tc>
              <w:tc>
                <w:tcPr>
                  <w:tcW w:w="747" w:type="pct"/>
                  <w:vAlign w:val="center"/>
                </w:tcPr>
                <w:p>
                  <w:pPr>
                    <w:pStyle w:val="50"/>
                    <w:rPr>
                      <w:color w:val="auto"/>
                    </w:rPr>
                  </w:pPr>
                  <w:r>
                    <w:rPr>
                      <w:color w:val="auto"/>
                    </w:rPr>
                    <w:t>排气筒高度（m）</w:t>
                  </w:r>
                </w:p>
              </w:tc>
              <w:tc>
                <w:tcPr>
                  <w:tcW w:w="729" w:type="pct"/>
                  <w:vAlign w:val="center"/>
                </w:tcPr>
                <w:p>
                  <w:pPr>
                    <w:pStyle w:val="50"/>
                    <w:rPr>
                      <w:color w:val="auto"/>
                    </w:rPr>
                  </w:pPr>
                  <w:r>
                    <w:rPr>
                      <w:color w:val="auto"/>
                    </w:rPr>
                    <w:t>二级标准（kg/h）</w:t>
                  </w:r>
                </w:p>
              </w:tc>
              <w:tc>
                <w:tcPr>
                  <w:tcW w:w="1180" w:type="pct"/>
                  <w:vAlign w:val="center"/>
                </w:tcPr>
                <w:p>
                  <w:pPr>
                    <w:pStyle w:val="50"/>
                    <w:rPr>
                      <w:color w:val="auto"/>
                    </w:rPr>
                  </w:pPr>
                  <w:r>
                    <w:rPr>
                      <w:color w:val="auto"/>
                    </w:rPr>
                    <w:t>监控点</w:t>
                  </w:r>
                </w:p>
              </w:tc>
              <w:tc>
                <w:tcPr>
                  <w:tcW w:w="726" w:type="pct"/>
                  <w:vAlign w:val="center"/>
                </w:tcPr>
                <w:p>
                  <w:pPr>
                    <w:pStyle w:val="50"/>
                    <w:rPr>
                      <w:color w:val="auto"/>
                    </w:rPr>
                  </w:pPr>
                  <w:r>
                    <w:rPr>
                      <w:color w:val="auto"/>
                    </w:rPr>
                    <w:t>浓度限值（mg/m</w:t>
                  </w:r>
                  <w:r>
                    <w:rPr>
                      <w:color w:val="auto"/>
                      <w:vertAlign w:val="superscript"/>
                    </w:rPr>
                    <w:t>3</w:t>
                  </w: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7" w:type="dxa"/>
                  <w:vAlign w:val="center"/>
                </w:tcPr>
                <w:p>
                  <w:pPr>
                    <w:pStyle w:val="50"/>
                    <w:rPr>
                      <w:color w:val="auto"/>
                    </w:rPr>
                  </w:pPr>
                  <w:r>
                    <w:rPr>
                      <w:color w:val="auto"/>
                    </w:rPr>
                    <w:t>颗粒物</w:t>
                  </w:r>
                </w:p>
              </w:tc>
              <w:tc>
                <w:tcPr>
                  <w:tcW w:w="1327" w:type="dxa"/>
                  <w:vAlign w:val="center"/>
                </w:tcPr>
                <w:p>
                  <w:pPr>
                    <w:pStyle w:val="50"/>
                    <w:rPr>
                      <w:color w:val="auto"/>
                    </w:rPr>
                  </w:pPr>
                  <w:r>
                    <w:rPr>
                      <w:color w:val="auto"/>
                    </w:rPr>
                    <w:t>120</w:t>
                  </w:r>
                </w:p>
              </w:tc>
              <w:tc>
                <w:tcPr>
                  <w:tcW w:w="1249" w:type="dxa"/>
                  <w:vAlign w:val="center"/>
                </w:tcPr>
                <w:p>
                  <w:pPr>
                    <w:pStyle w:val="50"/>
                    <w:rPr>
                      <w:color w:val="auto"/>
                    </w:rPr>
                  </w:pPr>
                  <w:r>
                    <w:rPr>
                      <w:color w:val="auto"/>
                    </w:rPr>
                    <w:t>15</w:t>
                  </w:r>
                </w:p>
              </w:tc>
              <w:tc>
                <w:tcPr>
                  <w:tcW w:w="1219" w:type="dxa"/>
                  <w:vAlign w:val="center"/>
                </w:tcPr>
                <w:p>
                  <w:pPr>
                    <w:pStyle w:val="50"/>
                    <w:rPr>
                      <w:color w:val="auto"/>
                    </w:rPr>
                  </w:pPr>
                  <w:r>
                    <w:rPr>
                      <w:color w:val="auto"/>
                    </w:rPr>
                    <w:t>3.5</w:t>
                  </w:r>
                </w:p>
              </w:tc>
              <w:tc>
                <w:tcPr>
                  <w:tcW w:w="1972" w:type="dxa"/>
                  <w:vAlign w:val="center"/>
                </w:tcPr>
                <w:p>
                  <w:pPr>
                    <w:pStyle w:val="50"/>
                    <w:rPr>
                      <w:color w:val="auto"/>
                    </w:rPr>
                  </w:pPr>
                  <w:r>
                    <w:rPr>
                      <w:color w:val="auto"/>
                    </w:rPr>
                    <w:t>周界外浓度最高点</w:t>
                  </w:r>
                </w:p>
              </w:tc>
              <w:tc>
                <w:tcPr>
                  <w:tcW w:w="1214" w:type="dxa"/>
                  <w:vAlign w:val="center"/>
                </w:tcPr>
                <w:p>
                  <w:pPr>
                    <w:pStyle w:val="50"/>
                    <w:rPr>
                      <w:color w:val="auto"/>
                    </w:rPr>
                  </w:pPr>
                  <w:r>
                    <w:rPr>
                      <w:color w:val="auto"/>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Align w:val="center"/>
                </w:tcPr>
                <w:p>
                  <w:pPr>
                    <w:pStyle w:val="50"/>
                    <w:rPr>
                      <w:color w:val="auto"/>
                    </w:rPr>
                  </w:pPr>
                  <w:r>
                    <w:rPr>
                      <w:color w:val="auto"/>
                    </w:rPr>
                    <w:t>二氧化硫</w:t>
                  </w:r>
                </w:p>
              </w:tc>
              <w:tc>
                <w:tcPr>
                  <w:tcW w:w="793" w:type="pct"/>
                  <w:vAlign w:val="center"/>
                </w:tcPr>
                <w:p>
                  <w:pPr>
                    <w:pStyle w:val="50"/>
                    <w:rPr>
                      <w:color w:val="auto"/>
                    </w:rPr>
                  </w:pPr>
                  <w:r>
                    <w:rPr>
                      <w:rFonts w:hint="eastAsia"/>
                      <w:color w:val="auto"/>
                    </w:rPr>
                    <w:t>550</w:t>
                  </w:r>
                </w:p>
              </w:tc>
              <w:tc>
                <w:tcPr>
                  <w:tcW w:w="747" w:type="pct"/>
                  <w:vAlign w:val="center"/>
                </w:tcPr>
                <w:p>
                  <w:pPr>
                    <w:pStyle w:val="50"/>
                    <w:rPr>
                      <w:color w:val="auto"/>
                    </w:rPr>
                  </w:pPr>
                  <w:r>
                    <w:rPr>
                      <w:color w:val="auto"/>
                    </w:rPr>
                    <w:t>15</w:t>
                  </w:r>
                </w:p>
              </w:tc>
              <w:tc>
                <w:tcPr>
                  <w:tcW w:w="729" w:type="pct"/>
                  <w:vAlign w:val="center"/>
                </w:tcPr>
                <w:p>
                  <w:pPr>
                    <w:pStyle w:val="50"/>
                    <w:rPr>
                      <w:color w:val="auto"/>
                    </w:rPr>
                  </w:pPr>
                  <w:r>
                    <w:rPr>
                      <w:rFonts w:hint="eastAsia"/>
                      <w:color w:val="auto"/>
                    </w:rPr>
                    <w:t>2.6</w:t>
                  </w:r>
                </w:p>
              </w:tc>
              <w:tc>
                <w:tcPr>
                  <w:tcW w:w="1180" w:type="pct"/>
                  <w:vAlign w:val="center"/>
                </w:tcPr>
                <w:p>
                  <w:pPr>
                    <w:pStyle w:val="50"/>
                    <w:rPr>
                      <w:color w:val="auto"/>
                    </w:rPr>
                  </w:pPr>
                  <w:r>
                    <w:rPr>
                      <w:color w:val="auto"/>
                    </w:rPr>
                    <w:t>周界外浓度最高点</w:t>
                  </w:r>
                </w:p>
              </w:tc>
              <w:tc>
                <w:tcPr>
                  <w:tcW w:w="726" w:type="pct"/>
                  <w:vAlign w:val="center"/>
                </w:tcPr>
                <w:p>
                  <w:pPr>
                    <w:pStyle w:val="50"/>
                    <w:rPr>
                      <w:color w:val="auto"/>
                    </w:rPr>
                  </w:pPr>
                  <w:r>
                    <w:rPr>
                      <w:rFonts w:hint="eastAsia"/>
                      <w:color w:val="auto"/>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3" w:type="pct"/>
                  <w:vAlign w:val="center"/>
                </w:tcPr>
                <w:p>
                  <w:pPr>
                    <w:pStyle w:val="50"/>
                    <w:rPr>
                      <w:color w:val="auto"/>
                    </w:rPr>
                  </w:pPr>
                  <w:r>
                    <w:rPr>
                      <w:color w:val="auto"/>
                    </w:rPr>
                    <w:t>氮氧化物</w:t>
                  </w:r>
                </w:p>
              </w:tc>
              <w:tc>
                <w:tcPr>
                  <w:tcW w:w="793" w:type="pct"/>
                  <w:vAlign w:val="center"/>
                </w:tcPr>
                <w:p>
                  <w:pPr>
                    <w:pStyle w:val="50"/>
                    <w:rPr>
                      <w:color w:val="auto"/>
                    </w:rPr>
                  </w:pPr>
                  <w:r>
                    <w:rPr>
                      <w:rFonts w:hint="eastAsia"/>
                      <w:color w:val="auto"/>
                    </w:rPr>
                    <w:t>240</w:t>
                  </w:r>
                </w:p>
              </w:tc>
              <w:tc>
                <w:tcPr>
                  <w:tcW w:w="747" w:type="pct"/>
                  <w:vAlign w:val="center"/>
                </w:tcPr>
                <w:p>
                  <w:pPr>
                    <w:pStyle w:val="50"/>
                    <w:rPr>
                      <w:color w:val="auto"/>
                    </w:rPr>
                  </w:pPr>
                  <w:r>
                    <w:rPr>
                      <w:rFonts w:hint="eastAsia"/>
                      <w:color w:val="auto"/>
                    </w:rPr>
                    <w:t>15</w:t>
                  </w:r>
                </w:p>
              </w:tc>
              <w:tc>
                <w:tcPr>
                  <w:tcW w:w="729" w:type="pct"/>
                  <w:vAlign w:val="center"/>
                </w:tcPr>
                <w:p>
                  <w:pPr>
                    <w:pStyle w:val="50"/>
                    <w:rPr>
                      <w:color w:val="auto"/>
                    </w:rPr>
                  </w:pPr>
                  <w:r>
                    <w:rPr>
                      <w:rFonts w:hint="eastAsia"/>
                      <w:color w:val="auto"/>
                    </w:rPr>
                    <w:t>0.77</w:t>
                  </w:r>
                </w:p>
              </w:tc>
              <w:tc>
                <w:tcPr>
                  <w:tcW w:w="1180" w:type="pct"/>
                  <w:vAlign w:val="center"/>
                </w:tcPr>
                <w:p>
                  <w:pPr>
                    <w:pStyle w:val="50"/>
                    <w:rPr>
                      <w:color w:val="auto"/>
                    </w:rPr>
                  </w:pPr>
                  <w:r>
                    <w:rPr>
                      <w:color w:val="auto"/>
                    </w:rPr>
                    <w:t>周界外浓度最高点</w:t>
                  </w:r>
                </w:p>
              </w:tc>
              <w:tc>
                <w:tcPr>
                  <w:tcW w:w="726" w:type="pct"/>
                  <w:vAlign w:val="center"/>
                </w:tcPr>
                <w:p>
                  <w:pPr>
                    <w:pStyle w:val="50"/>
                    <w:rPr>
                      <w:color w:val="auto"/>
                    </w:rPr>
                  </w:pPr>
                  <w:r>
                    <w:rPr>
                      <w:rFonts w:hint="eastAsia"/>
                      <w:color w:val="auto"/>
                    </w:rPr>
                    <w:t>0.12</w:t>
                  </w:r>
                </w:p>
              </w:tc>
            </w:tr>
          </w:tbl>
          <w:p>
            <w:pPr>
              <w:ind w:firstLine="482"/>
              <w:contextualSpacing/>
              <w:rPr>
                <w:b/>
                <w:color w:val="auto"/>
                <w:szCs w:val="21"/>
              </w:rPr>
            </w:pPr>
            <w:r>
              <w:rPr>
                <w:b/>
                <w:color w:val="auto"/>
                <w:szCs w:val="21"/>
              </w:rPr>
              <w:t>3、噪声</w:t>
            </w:r>
          </w:p>
          <w:p>
            <w:pPr>
              <w:ind w:firstLine="480"/>
              <w:rPr>
                <w:color w:val="auto"/>
              </w:rPr>
            </w:pPr>
            <w:r>
              <w:rPr>
                <w:color w:val="auto"/>
              </w:rPr>
              <w:t>项目位于（GB3096-2008）《声环境质量标准》3类功能区，因此，运营期执行（</w:t>
            </w:r>
            <w:r>
              <w:rPr>
                <w:color w:val="auto"/>
                <w:spacing w:val="-1"/>
              </w:rPr>
              <w:t>GB12348-200</w:t>
            </w:r>
            <w:r>
              <w:rPr>
                <w:color w:val="auto"/>
              </w:rPr>
              <w:t>8）《工业企业厂界环境噪声排放标准》中3类区标准，具体指标见表4-</w:t>
            </w:r>
            <w:r>
              <w:rPr>
                <w:rFonts w:hint="eastAsia"/>
                <w:color w:val="auto"/>
              </w:rPr>
              <w:t>9</w:t>
            </w:r>
            <w:r>
              <w:rPr>
                <w:color w:val="auto"/>
              </w:rPr>
              <w:t>。</w:t>
            </w:r>
          </w:p>
          <w:p>
            <w:pPr>
              <w:pStyle w:val="48"/>
              <w:ind w:firstLine="422"/>
              <w:rPr>
                <w:bCs w:val="0"/>
                <w:color w:val="auto"/>
              </w:rPr>
            </w:pPr>
            <w:r>
              <w:rPr>
                <w:bCs w:val="0"/>
                <w:color w:val="auto"/>
              </w:rPr>
              <w:t>表4-</w:t>
            </w:r>
            <w:r>
              <w:rPr>
                <w:rFonts w:hint="eastAsia"/>
                <w:bCs w:val="0"/>
                <w:color w:val="auto"/>
              </w:rPr>
              <w:t>9</w:t>
            </w:r>
            <w:r>
              <w:rPr>
                <w:bCs w:val="0"/>
                <w:color w:val="auto"/>
              </w:rPr>
              <w:t xml:space="preserve"> 厂界噪声执行标准 单位：dB（A）</w:t>
            </w:r>
          </w:p>
          <w:tbl>
            <w:tblPr>
              <w:tblStyle w:val="36"/>
              <w:tblW w:w="8467"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3692"/>
              <w:gridCol w:w="2599"/>
              <w:gridCol w:w="2176"/>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PrEx>
              <w:trPr>
                <w:trHeight w:val="556" w:hRule="atLeast"/>
                <w:jc w:val="center"/>
              </w:trPr>
              <w:tc>
                <w:tcPr>
                  <w:tcW w:w="3692" w:type="dxa"/>
                  <w:vAlign w:val="center"/>
                </w:tcPr>
                <w:p>
                  <w:pPr>
                    <w:pStyle w:val="50"/>
                    <w:rPr>
                      <w:color w:val="auto"/>
                    </w:rPr>
                  </w:pPr>
                  <w:r>
                    <w:rPr>
                      <w:color w:val="auto"/>
                    </w:rPr>
                    <w:pict>
                      <v:group id="_x0000_s1033" o:spid="_x0000_s1033" o:spt="203" style="position:absolute;left:0pt;margin-left:11.15pt;margin-top:3pt;height:19.6pt;width:165.85pt;mso-position-horizontal-relative:page;mso-position-vertical-relative:line;z-index:-251657216;mso-width-relative:page;mso-height-relative:page;" coordorigin="2358,5777" coordsize="2992,894" o:gfxdata="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Jxk/hvWAAAABgEAAA8AAAAA&#10;AAAAAQAgAAAAIgAAAGRycy9kb3ducmV2LnhtbFBLAQIUABQAAAAIAIdO4kBrVEooMwMAAEQHAAAO&#10;AAAAAAAAAAEAIAAAACUBAABkcnMvZTJvRG9jLnhtbFBLBQYAAAAABgAGAFkBAADKBgAAAAA=&#10;">
                        <o:lock v:ext="edit" aspectratio="f"/>
                        <v:shape id="Freeform 5" o:spid="_x0000_s1026" o:spt="100" style="position:absolute;left:2358;top:5777;height:894;width:2992;" filled="f" stroked="t" coordsize="4016,863" o:gfxdata="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roI2ugAAANoA&#10;AAAPAAAAAAAAAAEAIAAAACIAAABkcnMvZG93bnJldi54bWxQSwECFAAUAAAACACHTuJAMy8FnjsA&#10;AAA5AAAAEAAAAAAAAAABACAAAAAJAQAAZHJzL3NoYXBleG1sLnhtbFBLBQYAAAAABgAGAFsBAACz&#10;AwAAAAA=&#10;" path="m0,0l4016,863e">
                          <v:path o:connecttype="segments" o:connectlocs="0,0;2992,894" o:connectangles="0,0"/>
                          <v:fill on="f" focussize="0,0"/>
                          <v:stroke weight="0.45pt" color="#000000" joinstyle="round"/>
                          <v:imagedata o:title=""/>
                          <o:lock v:ext="edit" aspectratio="f"/>
                        </v:shape>
                      </v:group>
                    </w:pict>
                  </w:r>
                  <w:r>
                    <w:rPr>
                      <w:color w:val="auto"/>
                    </w:rPr>
                    <w:t xml:space="preserve"> 时段</w:t>
                  </w:r>
                </w:p>
                <w:p>
                  <w:pPr>
                    <w:pStyle w:val="50"/>
                    <w:jc w:val="both"/>
                    <w:rPr>
                      <w:color w:val="auto"/>
                    </w:rPr>
                  </w:pPr>
                  <w:r>
                    <w:rPr>
                      <w:color w:val="auto"/>
                    </w:rPr>
                    <w:t>厂界外声环境功能区类别</w:t>
                  </w:r>
                </w:p>
              </w:tc>
              <w:tc>
                <w:tcPr>
                  <w:tcW w:w="2599" w:type="dxa"/>
                  <w:vAlign w:val="center"/>
                </w:tcPr>
                <w:p>
                  <w:pPr>
                    <w:pStyle w:val="50"/>
                    <w:rPr>
                      <w:color w:val="auto"/>
                    </w:rPr>
                  </w:pPr>
                  <w:r>
                    <w:rPr>
                      <w:color w:val="auto"/>
                    </w:rPr>
                    <w:t>昼间</w:t>
                  </w:r>
                </w:p>
              </w:tc>
              <w:tc>
                <w:tcPr>
                  <w:tcW w:w="2176" w:type="dxa"/>
                  <w:vAlign w:val="center"/>
                </w:tcPr>
                <w:p>
                  <w:pPr>
                    <w:pStyle w:val="50"/>
                    <w:rPr>
                      <w:color w:val="auto"/>
                    </w:rPr>
                  </w:pPr>
                  <w:r>
                    <w:rPr>
                      <w:color w:val="auto"/>
                    </w:rPr>
                    <w:t>夜间</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28" w:hRule="atLeast"/>
                <w:jc w:val="center"/>
              </w:trPr>
              <w:tc>
                <w:tcPr>
                  <w:tcW w:w="3692" w:type="dxa"/>
                  <w:vAlign w:val="center"/>
                </w:tcPr>
                <w:p>
                  <w:pPr>
                    <w:pStyle w:val="50"/>
                    <w:rPr>
                      <w:color w:val="auto"/>
                    </w:rPr>
                  </w:pPr>
                  <w:r>
                    <w:rPr>
                      <w:color w:val="auto"/>
                    </w:rPr>
                    <w:t>3类</w:t>
                  </w:r>
                </w:p>
              </w:tc>
              <w:tc>
                <w:tcPr>
                  <w:tcW w:w="2599" w:type="dxa"/>
                  <w:vAlign w:val="center"/>
                </w:tcPr>
                <w:p>
                  <w:pPr>
                    <w:pStyle w:val="50"/>
                    <w:rPr>
                      <w:color w:val="auto"/>
                    </w:rPr>
                  </w:pPr>
                  <w:r>
                    <w:rPr>
                      <w:color w:val="auto"/>
                    </w:rPr>
                    <w:t>65</w:t>
                  </w:r>
                </w:p>
              </w:tc>
              <w:tc>
                <w:tcPr>
                  <w:tcW w:w="2176" w:type="dxa"/>
                  <w:vAlign w:val="center"/>
                </w:tcPr>
                <w:p>
                  <w:pPr>
                    <w:pStyle w:val="50"/>
                    <w:rPr>
                      <w:color w:val="auto"/>
                    </w:rPr>
                  </w:pPr>
                  <w:r>
                    <w:rPr>
                      <w:color w:val="auto"/>
                    </w:rPr>
                    <w:t>55</w:t>
                  </w:r>
                </w:p>
              </w:tc>
            </w:tr>
          </w:tbl>
          <w:p>
            <w:pPr>
              <w:ind w:firstLine="482"/>
              <w:rPr>
                <w:b/>
                <w:bCs/>
                <w:color w:val="auto"/>
              </w:rPr>
            </w:pPr>
            <w:r>
              <w:rPr>
                <w:b/>
                <w:bCs/>
                <w:color w:val="auto"/>
              </w:rPr>
              <w:t>4、固体废弃物</w:t>
            </w:r>
          </w:p>
          <w:p>
            <w:pPr>
              <w:ind w:firstLine="480"/>
              <w:rPr>
                <w:b/>
                <w:color w:val="auto"/>
              </w:rPr>
            </w:pPr>
            <w:r>
              <w:rPr>
                <w:color w:val="auto"/>
              </w:rPr>
              <w:t>项目一般工业固体废弃</w:t>
            </w:r>
            <w:r>
              <w:rPr>
                <w:rFonts w:hint="eastAsia"/>
                <w:color w:val="auto"/>
              </w:rPr>
              <w:t>物</w:t>
            </w:r>
            <w:r>
              <w:rPr>
                <w:color w:val="auto"/>
              </w:rPr>
              <w:t>执行GB18599-2001《一般工业固体废物贮存、处置场污染控制标准》及其修改单的相关规定，危险废物执行《危险废物贮存污染物控制标准》（GB18597-2001）及其修改单的相关规定。</w:t>
            </w:r>
          </w:p>
        </w:tc>
      </w:tr>
    </w:tbl>
    <w:p>
      <w:pPr>
        <w:ind w:firstLine="480"/>
        <w:rPr>
          <w:color w:val="auto"/>
        </w:rPr>
        <w:sectPr>
          <w:footerReference r:id="rId11" w:type="default"/>
          <w:pgSz w:w="11906" w:h="16838"/>
          <w:pgMar w:top="1276" w:right="1800" w:bottom="1418" w:left="1800" w:header="851" w:footer="992" w:gutter="0"/>
          <w:pgNumType w:start="1"/>
          <w:cols w:space="720" w:num="1"/>
          <w:docGrid w:type="lines" w:linePitch="312" w:charSpace="0"/>
        </w:sectPr>
      </w:pPr>
    </w:p>
    <w:tbl>
      <w:tblPr>
        <w:tblStyle w:val="36"/>
        <w:tblW w:w="907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445"/>
        <w:gridCol w:w="862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jc w:val="center"/>
        </w:trPr>
        <w:tc>
          <w:tcPr>
            <w:tcW w:w="445" w:type="dxa"/>
            <w:tcBorders>
              <w:top w:val="single" w:color="000000" w:sz="4" w:space="0"/>
              <w:left w:val="single" w:color="000000" w:sz="2" w:space="0"/>
              <w:bottom w:val="single" w:color="000000" w:sz="2" w:space="0"/>
              <w:right w:val="single" w:color="000000" w:sz="2" w:space="0"/>
            </w:tcBorders>
            <w:vAlign w:val="center"/>
          </w:tcPr>
          <w:p>
            <w:pPr>
              <w:adjustRightInd/>
              <w:snapToGrid/>
              <w:spacing w:line="240" w:lineRule="auto"/>
              <w:ind w:firstLine="0" w:firstLineChars="0"/>
              <w:contextualSpacing/>
              <w:jc w:val="center"/>
              <w:rPr>
                <w:color w:val="auto"/>
                <w:spacing w:val="-20"/>
                <w:szCs w:val="21"/>
              </w:rPr>
            </w:pPr>
            <w:r>
              <w:rPr>
                <w:color w:val="auto"/>
                <w:spacing w:val="-20"/>
                <w:szCs w:val="21"/>
              </w:rPr>
              <w:t>总量控制标准</w:t>
            </w:r>
          </w:p>
        </w:tc>
        <w:tc>
          <w:tcPr>
            <w:tcW w:w="8626" w:type="dxa"/>
            <w:tcBorders>
              <w:top w:val="single" w:color="000000" w:sz="4" w:space="0"/>
              <w:left w:val="single" w:color="000000" w:sz="2" w:space="0"/>
              <w:bottom w:val="single" w:color="000000" w:sz="2" w:space="0"/>
              <w:right w:val="single" w:color="000000" w:sz="2" w:space="0"/>
            </w:tcBorders>
          </w:tcPr>
          <w:p>
            <w:pPr>
              <w:ind w:firstLine="480"/>
              <w:rPr>
                <w:color w:val="auto"/>
              </w:rPr>
            </w:pPr>
            <w:r>
              <w:rPr>
                <w:color w:val="auto"/>
              </w:rPr>
              <w:t>根据本项目的具体情况，结合国家污染物排放总量控制原则，建议本项目的总量控制指标如下：</w:t>
            </w:r>
          </w:p>
          <w:p>
            <w:pPr>
              <w:ind w:firstLine="480"/>
              <w:rPr>
                <w:color w:val="auto"/>
              </w:rPr>
            </w:pPr>
            <w:r>
              <w:rPr>
                <w:color w:val="auto"/>
              </w:rPr>
              <w:t>1、废水</w:t>
            </w:r>
            <w:r>
              <w:rPr>
                <w:rFonts w:hint="eastAsia"/>
                <w:color w:val="auto"/>
              </w:rPr>
              <w:t>：</w:t>
            </w:r>
            <w:r>
              <w:rPr>
                <w:color w:val="auto"/>
              </w:rPr>
              <w:t>本项目废水不外排，不设废水污染物总量控制指标。</w:t>
            </w:r>
          </w:p>
          <w:p>
            <w:pPr>
              <w:numPr>
                <w:ilvl w:val="255"/>
                <w:numId w:val="0"/>
              </w:numPr>
              <w:ind w:firstLine="480"/>
              <w:rPr>
                <w:color w:val="auto"/>
              </w:rPr>
            </w:pPr>
            <w:r>
              <w:rPr>
                <w:rFonts w:hint="eastAsia"/>
                <w:color w:val="auto"/>
              </w:rPr>
              <w:t>2、</w:t>
            </w:r>
            <w:r>
              <w:rPr>
                <w:color w:val="auto"/>
              </w:rPr>
              <w:t>废气排放量：</w:t>
            </w:r>
            <w:r>
              <w:rPr>
                <w:rFonts w:hint="eastAsia"/>
                <w:color w:val="auto"/>
              </w:rPr>
              <w:t>废气排放总量为2400</w:t>
            </w:r>
            <w:r>
              <w:rPr>
                <w:color w:val="auto"/>
              </w:rPr>
              <w:t>万标m</w:t>
            </w:r>
            <w:r>
              <w:rPr>
                <w:color w:val="auto"/>
                <w:vertAlign w:val="superscript"/>
              </w:rPr>
              <w:t>3</w:t>
            </w:r>
            <w:r>
              <w:rPr>
                <w:color w:val="auto"/>
              </w:rPr>
              <w:t>/a</w:t>
            </w:r>
            <w:r>
              <w:rPr>
                <w:rFonts w:hint="eastAsia"/>
                <w:color w:val="auto"/>
              </w:rPr>
              <w:t>，有组织非甲烷总烃</w:t>
            </w:r>
            <w:r>
              <w:rPr>
                <w:rFonts w:hint="eastAsia"/>
                <w:color w:val="auto"/>
                <w:szCs w:val="22"/>
              </w:rPr>
              <w:t>排放量为0.0</w:t>
            </w:r>
            <w:r>
              <w:rPr>
                <w:rFonts w:hint="eastAsia"/>
                <w:color w:val="auto"/>
                <w:szCs w:val="22"/>
                <w:lang w:val="en-US" w:eastAsia="zh-CN"/>
              </w:rPr>
              <w:t>168</w:t>
            </w:r>
            <w:r>
              <w:rPr>
                <w:rFonts w:hint="eastAsia"/>
                <w:color w:val="auto"/>
                <w:szCs w:val="22"/>
              </w:rPr>
              <w:t>t/a，</w:t>
            </w:r>
            <w:r>
              <w:rPr>
                <w:rFonts w:hint="eastAsia"/>
                <w:color w:val="auto"/>
              </w:rPr>
              <w:t>有组织颗粒物排放量为</w:t>
            </w:r>
            <w:r>
              <w:rPr>
                <w:rFonts w:hint="eastAsia"/>
                <w:color w:val="auto"/>
                <w:lang w:val="en-US" w:eastAsia="zh-CN"/>
              </w:rPr>
              <w:t>0.05315</w:t>
            </w:r>
            <w:r>
              <w:rPr>
                <w:rFonts w:hint="eastAsia"/>
                <w:color w:val="auto"/>
              </w:rPr>
              <w:t>t/a，有组织二氧化硫排放量为</w:t>
            </w:r>
            <w:r>
              <w:rPr>
                <w:rFonts w:hint="eastAsia"/>
                <w:color w:val="auto"/>
                <w:lang w:eastAsia="zh-CN"/>
              </w:rPr>
              <w:t>0.00384</w:t>
            </w:r>
            <w:r>
              <w:rPr>
                <w:rFonts w:hint="eastAsia"/>
                <w:color w:val="auto"/>
              </w:rPr>
              <w:t>t/a，有组织氮氧化物排放量为</w:t>
            </w:r>
            <w:r>
              <w:rPr>
                <w:rFonts w:hint="eastAsia"/>
                <w:color w:val="auto"/>
                <w:lang w:eastAsia="zh-CN"/>
              </w:rPr>
              <w:t>0.18</w:t>
            </w:r>
            <w:r>
              <w:rPr>
                <w:rFonts w:hint="eastAsia"/>
                <w:color w:val="auto"/>
              </w:rPr>
              <w:t>t/a；无组织颗粒物</w:t>
            </w:r>
            <w:r>
              <w:rPr>
                <w:color w:val="auto"/>
              </w:rPr>
              <w:t>排放量为：</w:t>
            </w:r>
            <w:r>
              <w:rPr>
                <w:rFonts w:hint="eastAsia"/>
                <w:color w:val="auto"/>
              </w:rPr>
              <w:t>0.286</w:t>
            </w:r>
            <w:r>
              <w:rPr>
                <w:color w:val="auto"/>
              </w:rPr>
              <w:t>t/a。</w:t>
            </w:r>
          </w:p>
          <w:p>
            <w:pPr>
              <w:ind w:firstLine="480"/>
              <w:rPr>
                <w:rFonts w:hint="eastAsia"/>
                <w:color w:val="auto"/>
                <w:lang w:eastAsia="zh-CN"/>
              </w:rPr>
            </w:pPr>
            <w:r>
              <w:rPr>
                <w:rFonts w:hint="eastAsia"/>
                <w:color w:val="auto"/>
              </w:rPr>
              <w:t>3、</w:t>
            </w:r>
            <w:r>
              <w:rPr>
                <w:color w:val="auto"/>
              </w:rPr>
              <w:t>固体废弃物处置率：100%</w:t>
            </w:r>
            <w:r>
              <w:rPr>
                <w:rFonts w:hint="eastAsia"/>
                <w:color w:val="auto"/>
                <w:lang w:eastAsia="zh-CN"/>
              </w:rPr>
              <w:t>。</w:t>
            </w: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rFonts w:hint="eastAsia"/>
                <w:color w:val="auto"/>
                <w:lang w:eastAsia="zh-CN"/>
              </w:rPr>
            </w:pPr>
          </w:p>
          <w:p>
            <w:pPr>
              <w:ind w:firstLine="480"/>
              <w:rPr>
                <w:color w:val="auto"/>
              </w:rPr>
            </w:pP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12" w:name="_Toc2892"/>
      <w:bookmarkStart w:id="13" w:name="_Toc24961"/>
      <w:r>
        <w:rPr>
          <w:rFonts w:hint="default" w:ascii="Times New Roman" w:hAnsi="Times New Roman" w:eastAsia="宋体" w:cs="Times New Roman"/>
          <w:b/>
          <w:bCs/>
          <w:color w:val="auto"/>
          <w:sz w:val="28"/>
          <w:szCs w:val="28"/>
        </w:rPr>
        <w:t>五、建设项目工程分析</w:t>
      </w:r>
      <w:bookmarkEnd w:id="12"/>
      <w:bookmarkEnd w:id="13"/>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071" w:type="dxa"/>
            <w:vAlign w:val="center"/>
          </w:tcPr>
          <w:p>
            <w:pPr>
              <w:ind w:firstLine="0" w:firstLineChars="0"/>
              <w:rPr>
                <w:b/>
                <w:bCs/>
                <w:color w:val="auto"/>
              </w:rPr>
            </w:pPr>
            <w:r>
              <w:rPr>
                <w:b/>
                <w:bCs/>
                <w:color w:val="auto"/>
              </w:rPr>
              <w:t>工艺流程简述</w:t>
            </w:r>
          </w:p>
          <w:p>
            <w:pPr>
              <w:ind w:firstLine="482"/>
              <w:contextualSpacing/>
              <w:rPr>
                <w:b/>
                <w:color w:val="auto"/>
              </w:rPr>
            </w:pPr>
            <w:r>
              <w:rPr>
                <w:b/>
                <w:color w:val="auto"/>
              </w:rPr>
              <w:t>一、施工期</w:t>
            </w:r>
          </w:p>
          <w:p>
            <w:pPr>
              <w:ind w:firstLine="482"/>
              <w:rPr>
                <w:b/>
                <w:bCs/>
                <w:color w:val="auto"/>
              </w:rPr>
            </w:pPr>
            <w:r>
              <w:rPr>
                <w:b/>
                <w:bCs/>
                <w:color w:val="auto"/>
              </w:rPr>
              <w:t>1、施工工艺流程</w:t>
            </w:r>
          </w:p>
          <w:p>
            <w:pPr>
              <w:ind w:firstLine="480"/>
              <w:rPr>
                <w:snapToGrid/>
                <w:color w:val="auto"/>
              </w:rPr>
            </w:pPr>
            <w:r>
              <w:rPr>
                <w:color w:val="auto"/>
              </w:rPr>
              <w:t>目前，建设方与</w:t>
            </w:r>
            <w:r>
              <w:rPr>
                <w:rFonts w:hint="eastAsia"/>
                <w:color w:val="auto"/>
              </w:rPr>
              <w:t>昆明力线电缆制造有限公司</w:t>
            </w:r>
            <w:r>
              <w:rPr>
                <w:color w:val="auto"/>
              </w:rPr>
              <w:t>签订了租赁协议，</w:t>
            </w:r>
            <w:r>
              <w:rPr>
                <w:rFonts w:hint="eastAsia"/>
                <w:color w:val="auto"/>
              </w:rPr>
              <w:t>厂房已</w:t>
            </w:r>
            <w:r>
              <w:rPr>
                <w:color w:val="auto"/>
              </w:rPr>
              <w:t>进行装修</w:t>
            </w:r>
            <w:r>
              <w:rPr>
                <w:rFonts w:hint="eastAsia"/>
                <w:color w:val="auto"/>
              </w:rPr>
              <w:t>，</w:t>
            </w:r>
            <w:r>
              <w:rPr>
                <w:color w:val="auto"/>
              </w:rPr>
              <w:t>项目设备暂未</w:t>
            </w:r>
            <w:r>
              <w:rPr>
                <w:rFonts w:hint="eastAsia"/>
                <w:color w:val="auto"/>
              </w:rPr>
              <w:t>安装、</w:t>
            </w:r>
            <w:r>
              <w:rPr>
                <w:color w:val="auto"/>
              </w:rPr>
              <w:t>未投入运行，计划202</w:t>
            </w:r>
            <w:r>
              <w:rPr>
                <w:rFonts w:hint="eastAsia"/>
                <w:color w:val="auto"/>
              </w:rPr>
              <w:t>1</w:t>
            </w:r>
            <w:r>
              <w:rPr>
                <w:color w:val="auto"/>
              </w:rPr>
              <w:t>年</w:t>
            </w:r>
            <w:r>
              <w:rPr>
                <w:rFonts w:hint="eastAsia"/>
                <w:color w:val="auto"/>
              </w:rPr>
              <w:t>3</w:t>
            </w:r>
            <w:r>
              <w:rPr>
                <w:color w:val="auto"/>
              </w:rPr>
              <w:t>月开始设备安装</w:t>
            </w:r>
            <w:r>
              <w:rPr>
                <w:rFonts w:hint="eastAsia"/>
                <w:color w:val="auto"/>
              </w:rPr>
              <w:t>，计划2021年</w:t>
            </w:r>
            <w:r>
              <w:rPr>
                <w:rFonts w:hint="eastAsia"/>
                <w:color w:val="auto"/>
                <w:lang w:val="en-US" w:eastAsia="zh-CN"/>
              </w:rPr>
              <w:t>6</w:t>
            </w:r>
            <w:r>
              <w:rPr>
                <w:rFonts w:hint="eastAsia"/>
                <w:color w:val="auto"/>
              </w:rPr>
              <w:t>月竣工，预计建设周期为3个月。施工期工艺流程为设备安装、机器调试、投</w:t>
            </w:r>
            <w:r>
              <w:rPr>
                <w:color w:val="auto"/>
              </w:rPr>
              <w:t>入运营。施工期</w:t>
            </w:r>
            <w:r>
              <w:rPr>
                <w:color w:val="auto"/>
                <w:spacing w:val="-1"/>
              </w:rPr>
              <w:t>对环境的污染有施工人员生活垃圾、机器调试噪声、汽车尾气、道路扬尘和</w:t>
            </w:r>
            <w:r>
              <w:rPr>
                <w:color w:val="auto"/>
              </w:rPr>
              <w:t>车辆运输噪声等。项目施工期的主要影响为声环境影响。施工期各阶段产污环节见图5-1。</w:t>
            </w:r>
          </w:p>
          <w:p>
            <w:pPr>
              <w:ind w:firstLine="0" w:firstLineChars="0"/>
              <w:jc w:val="center"/>
              <w:rPr>
                <w:color w:val="auto"/>
                <w:sz w:val="28"/>
                <w:szCs w:val="28"/>
              </w:rPr>
            </w:pPr>
            <w:r>
              <w:rPr>
                <w:color w:val="auto"/>
                <w:sz w:val="28"/>
                <w:szCs w:val="28"/>
              </w:rPr>
              <w:object>
                <v:shape id="_x0000_i1025" o:spt="75" type="#_x0000_t75" style="height:129.75pt;width:260.15pt;" o:ole="t" filled="f" o:preferrelative="t" stroked="f" coordsize="21600,21600">
                  <v:path/>
                  <v:fill on="f" focussize="0,0"/>
                  <v:stroke on="f" joinstyle="miter"/>
                  <v:imagedata r:id="rId14" o:title=""/>
                  <o:lock v:ext="edit" aspectratio="f"/>
                  <w10:wrap type="none"/>
                  <w10:anchorlock/>
                </v:shape>
                <o:OLEObject Type="Embed" ProgID="Visio.Drawing.11" ShapeID="_x0000_i1025" DrawAspect="Content" ObjectID="_1468075725" r:id="rId13">
                  <o:LockedField>false</o:LockedField>
                </o:OLEObject>
              </w:object>
            </w:r>
          </w:p>
          <w:p>
            <w:pPr>
              <w:ind w:firstLine="422"/>
              <w:jc w:val="center"/>
              <w:rPr>
                <w:b/>
                <w:color w:val="auto"/>
                <w:sz w:val="21"/>
                <w:szCs w:val="21"/>
              </w:rPr>
            </w:pPr>
            <w:r>
              <w:rPr>
                <w:b/>
                <w:color w:val="auto"/>
                <w:sz w:val="21"/>
                <w:szCs w:val="21"/>
              </w:rPr>
              <w:t>图5-1  项目施工期产污环节示意图</w:t>
            </w:r>
          </w:p>
          <w:p>
            <w:pPr>
              <w:ind w:firstLine="482"/>
              <w:contextualSpacing/>
              <w:rPr>
                <w:b/>
                <w:color w:val="auto"/>
              </w:rPr>
            </w:pPr>
            <w:r>
              <w:rPr>
                <w:b/>
                <w:color w:val="auto"/>
              </w:rPr>
              <w:t>二、运营期</w:t>
            </w:r>
          </w:p>
          <w:p>
            <w:pPr>
              <w:ind w:firstLine="482"/>
              <w:contextualSpacing/>
              <w:rPr>
                <w:b/>
                <w:bCs/>
                <w:color w:val="auto"/>
              </w:rPr>
            </w:pPr>
            <w:r>
              <w:rPr>
                <w:b/>
                <w:bCs/>
                <w:color w:val="auto"/>
              </w:rPr>
              <w:t>1、项目运营期污染工序</w:t>
            </w:r>
          </w:p>
          <w:p>
            <w:pPr>
              <w:ind w:firstLine="480"/>
              <w:rPr>
                <w:color w:val="auto"/>
              </w:rPr>
            </w:pPr>
            <w:r>
              <w:rPr>
                <w:color w:val="auto"/>
              </w:rPr>
              <w:t>本项目</w:t>
            </w:r>
            <w:r>
              <w:rPr>
                <w:rFonts w:hint="eastAsia"/>
                <w:color w:val="auto"/>
              </w:rPr>
              <w:t>年产网络机箱机柜产品1500台，5G机房800座，监控操作台1000台</w:t>
            </w:r>
            <w:r>
              <w:rPr>
                <w:color w:val="auto"/>
              </w:rPr>
              <w:t>，原辅材料</w:t>
            </w:r>
            <w:r>
              <w:rPr>
                <w:rFonts w:hint="eastAsia"/>
                <w:color w:val="auto"/>
              </w:rPr>
              <w:t>钢管、冷轧钢板、覆铝锌钢板、铝合金型材、五金配件、木板、防水胶条、塑粉、PU板、气泡膜等</w:t>
            </w:r>
            <w:r>
              <w:rPr>
                <w:color w:val="auto"/>
              </w:rPr>
              <w:t>为直接外购成品。项目</w:t>
            </w:r>
            <w:r>
              <w:rPr>
                <w:rFonts w:hint="eastAsia"/>
                <w:color w:val="auto"/>
              </w:rPr>
              <w:t>共建设1条网络机箱机柜、5G机房、监控操作台生产线。</w:t>
            </w:r>
          </w:p>
          <w:p>
            <w:pPr>
              <w:ind w:firstLine="480"/>
              <w:rPr>
                <w:color w:val="auto"/>
              </w:rPr>
            </w:pPr>
            <w:r>
              <w:rPr>
                <w:rFonts w:hint="eastAsia"/>
                <w:color w:val="auto"/>
              </w:rPr>
              <w:t>产品生产用原辅材料有所不同，生产工艺基本相同，生产过程中都包含有切割、打孔、折弯、焊接、喷塑、固化等工序，共用一条加工生产线。项目生产过程中切割过程会产生金属粉尘，焊接过程会产生焊接烟尘，喷塑过程会产生喷塑粉尘；固化过程会产生燃烧废气及固化废气。生产过程不涉及电镀、磷化等表面处理。</w:t>
            </w:r>
          </w:p>
          <w:p>
            <w:pPr>
              <w:ind w:firstLine="480"/>
              <w:rPr>
                <w:color w:val="auto"/>
              </w:rPr>
            </w:pPr>
            <w:r>
              <w:rPr>
                <w:color w:val="auto"/>
              </w:rPr>
              <w:t>1）</w:t>
            </w:r>
            <w:r>
              <w:rPr>
                <w:rFonts w:hint="eastAsia"/>
                <w:color w:val="auto"/>
              </w:rPr>
              <w:t>项目</w:t>
            </w:r>
            <w:r>
              <w:rPr>
                <w:color w:val="auto"/>
              </w:rPr>
              <w:t>工艺流程</w:t>
            </w:r>
          </w:p>
          <w:p>
            <w:pPr>
              <w:ind w:firstLine="480"/>
              <w:rPr>
                <w:color w:val="auto"/>
              </w:rPr>
            </w:pPr>
            <w:r>
              <w:rPr>
                <w:rFonts w:hint="eastAsia"/>
                <w:color w:val="auto"/>
              </w:rPr>
              <w:t>项目生产</w:t>
            </w:r>
            <w:r>
              <w:rPr>
                <w:color w:val="auto"/>
              </w:rPr>
              <w:t>主要工序包括</w:t>
            </w:r>
            <w:r>
              <w:rPr>
                <w:rFonts w:hint="eastAsia"/>
                <w:color w:val="auto"/>
              </w:rPr>
              <w:t>切割、打孔、折弯、焊接、喷塑、固化、组装、成品出售</w:t>
            </w:r>
            <w:r>
              <w:rPr>
                <w:color w:val="auto"/>
              </w:rPr>
              <w:t>。</w:t>
            </w:r>
            <w:r>
              <w:rPr>
                <w:rFonts w:hint="eastAsia"/>
                <w:color w:val="auto"/>
              </w:rPr>
              <w:t>网络机箱机柜、5G机房、监控操作台</w:t>
            </w:r>
            <w:r>
              <w:rPr>
                <w:color w:val="auto"/>
              </w:rPr>
              <w:t>生产工艺流程及产污环节见图5-2</w:t>
            </w:r>
            <w:r>
              <w:rPr>
                <w:rFonts w:hint="eastAsia"/>
                <w:color w:val="auto"/>
              </w:rPr>
              <w:t>、</w:t>
            </w:r>
            <w:r>
              <w:rPr>
                <w:color w:val="auto"/>
              </w:rPr>
              <w:t>5-</w:t>
            </w:r>
            <w:r>
              <w:rPr>
                <w:rFonts w:hint="eastAsia"/>
                <w:color w:val="auto"/>
              </w:rPr>
              <w:t>3、</w:t>
            </w:r>
            <w:r>
              <w:rPr>
                <w:color w:val="auto"/>
              </w:rPr>
              <w:t>5-</w:t>
            </w:r>
            <w:r>
              <w:rPr>
                <w:rFonts w:hint="eastAsia"/>
                <w:color w:val="auto"/>
              </w:rPr>
              <w:t>4</w:t>
            </w:r>
            <w:r>
              <w:rPr>
                <w:color w:val="auto"/>
              </w:rPr>
              <w:t>。</w:t>
            </w:r>
          </w:p>
          <w:p>
            <w:pPr>
              <w:ind w:firstLine="0" w:firstLineChars="0"/>
              <w:rPr>
                <w:color w:val="auto"/>
              </w:rPr>
            </w:pPr>
            <w:r>
              <w:rPr>
                <w:color w:val="auto"/>
              </w:rPr>
              <w:object>
                <v:shape id="_x0000_i1026" o:spt="75" type="#_x0000_t75" style="height:320.6pt;width:358.65pt;" o:ole="t" filled="f" o:preferrelative="t" stroked="f" coordsize="21600,21600">
                  <v:path/>
                  <v:fill on="f" focussize="0,0"/>
                  <v:stroke on="f" joinstyle="miter"/>
                  <v:imagedata r:id="rId16" o:title=""/>
                  <o:lock v:ext="edit" aspectratio="f"/>
                  <w10:wrap type="none"/>
                  <w10:anchorlock/>
                </v:shape>
                <o:OLEObject Type="Embed" ProgID="Visio.Drawing.11" ShapeID="_x0000_i1026" DrawAspect="Content" ObjectID="_1468075726" r:id="rId15">
                  <o:LockedField>false</o:LockedField>
                </o:OLEObject>
              </w:object>
            </w:r>
          </w:p>
          <w:p>
            <w:pPr>
              <w:ind w:firstLine="422"/>
              <w:jc w:val="center"/>
              <w:rPr>
                <w:color w:val="auto"/>
              </w:rPr>
            </w:pPr>
            <w:r>
              <w:rPr>
                <w:b/>
                <w:color w:val="auto"/>
                <w:sz w:val="21"/>
                <w:szCs w:val="21"/>
              </w:rPr>
              <w:t>图5-2</w:t>
            </w:r>
            <w:r>
              <w:rPr>
                <w:rFonts w:hint="eastAsia"/>
                <w:b/>
                <w:color w:val="auto"/>
                <w:spacing w:val="1"/>
                <w:sz w:val="21"/>
                <w:szCs w:val="21"/>
              </w:rPr>
              <w:t>网络机箱机柜项目</w:t>
            </w:r>
            <w:r>
              <w:rPr>
                <w:b/>
                <w:color w:val="auto"/>
                <w:spacing w:val="1"/>
                <w:sz w:val="21"/>
                <w:szCs w:val="21"/>
              </w:rPr>
              <w:t>生产工艺流程及产污环节</w:t>
            </w:r>
          </w:p>
          <w:p>
            <w:pPr>
              <w:ind w:firstLine="480"/>
              <w:rPr>
                <w:color w:val="auto"/>
              </w:rPr>
            </w:pPr>
            <w:r>
              <w:rPr>
                <w:color w:val="auto"/>
              </w:rPr>
              <w:object>
                <v:shape id="_x0000_i1027" o:spt="75" type="#_x0000_t75" style="height:323.3pt;width:351.85pt;" o:ole="t" filled="f" o:preferrelative="t" stroked="f" coordsize="21600,21600">
                  <v:path/>
                  <v:fill on="f" focussize="0,0"/>
                  <v:stroke on="f" joinstyle="miter"/>
                  <v:imagedata r:id="rId18" o:title=""/>
                  <o:lock v:ext="edit" aspectratio="f"/>
                  <w10:wrap type="none"/>
                  <w10:anchorlock/>
                </v:shape>
                <o:OLEObject Type="Embed" ProgID="Visio.Drawing.11" ShapeID="_x0000_i1027" DrawAspect="Content" ObjectID="_1468075727" r:id="rId17">
                  <o:LockedField>false</o:LockedField>
                </o:OLEObject>
              </w:object>
            </w:r>
          </w:p>
          <w:p>
            <w:pPr>
              <w:ind w:firstLine="422"/>
              <w:jc w:val="center"/>
              <w:rPr>
                <w:color w:val="auto"/>
              </w:rPr>
            </w:pPr>
            <w:r>
              <w:rPr>
                <w:b/>
                <w:color w:val="auto"/>
                <w:sz w:val="21"/>
                <w:szCs w:val="21"/>
              </w:rPr>
              <w:t>图5-</w:t>
            </w:r>
            <w:r>
              <w:rPr>
                <w:rFonts w:hint="eastAsia"/>
                <w:b/>
                <w:color w:val="auto"/>
                <w:sz w:val="21"/>
                <w:szCs w:val="21"/>
              </w:rPr>
              <w:t xml:space="preserve">3  </w:t>
            </w:r>
            <w:r>
              <w:rPr>
                <w:b/>
                <w:color w:val="auto"/>
                <w:spacing w:val="1"/>
                <w:sz w:val="21"/>
                <w:szCs w:val="21"/>
              </w:rPr>
              <w:t>5G机房</w:t>
            </w:r>
            <w:r>
              <w:rPr>
                <w:rFonts w:hint="eastAsia"/>
                <w:b/>
                <w:color w:val="auto"/>
                <w:spacing w:val="1"/>
                <w:sz w:val="21"/>
                <w:szCs w:val="21"/>
              </w:rPr>
              <w:t>项目</w:t>
            </w:r>
            <w:r>
              <w:rPr>
                <w:b/>
                <w:color w:val="auto"/>
                <w:spacing w:val="1"/>
                <w:sz w:val="21"/>
                <w:szCs w:val="21"/>
              </w:rPr>
              <w:t>生产工艺流程及产污环节</w:t>
            </w:r>
          </w:p>
          <w:p>
            <w:pPr>
              <w:ind w:firstLine="480"/>
              <w:rPr>
                <w:color w:val="auto"/>
              </w:rPr>
            </w:pPr>
            <w:r>
              <w:rPr>
                <w:rFonts w:hint="eastAsia"/>
                <w:color w:val="auto"/>
              </w:rPr>
              <w:object>
                <v:shape id="_x0000_i1028" o:spt="75" type="#_x0000_t75" style="height:347.75pt;width:372.25pt;" o:ole="t" filled="f" o:preferrelative="t" stroked="f" coordsize="21600,21600">
                  <v:path/>
                  <v:fill on="f" focussize="0,0"/>
                  <v:stroke on="f" joinstyle="miter"/>
                  <v:imagedata r:id="rId20" o:title=""/>
                  <o:lock v:ext="edit" aspectratio="f"/>
                  <w10:wrap type="none"/>
                  <w10:anchorlock/>
                </v:shape>
                <o:OLEObject Type="Embed" ProgID="Visio.Drawing.11" ShapeID="_x0000_i1028" DrawAspect="Content" ObjectID="_1468075728" r:id="rId19">
                  <o:LockedField>false</o:LockedField>
                </o:OLEObject>
              </w:object>
            </w:r>
          </w:p>
          <w:p>
            <w:pPr>
              <w:ind w:firstLine="422"/>
              <w:jc w:val="center"/>
              <w:rPr>
                <w:color w:val="auto"/>
              </w:rPr>
            </w:pPr>
            <w:r>
              <w:rPr>
                <w:b/>
                <w:color w:val="auto"/>
                <w:sz w:val="21"/>
                <w:szCs w:val="21"/>
              </w:rPr>
              <w:t>图5-</w:t>
            </w:r>
            <w:r>
              <w:rPr>
                <w:rFonts w:hint="eastAsia"/>
                <w:b/>
                <w:color w:val="auto"/>
                <w:sz w:val="21"/>
                <w:szCs w:val="21"/>
              </w:rPr>
              <w:t xml:space="preserve">4  </w:t>
            </w:r>
            <w:r>
              <w:rPr>
                <w:rFonts w:hint="eastAsia"/>
                <w:b/>
                <w:color w:val="auto"/>
                <w:spacing w:val="1"/>
                <w:sz w:val="21"/>
                <w:szCs w:val="21"/>
              </w:rPr>
              <w:t>监控操作台项目</w:t>
            </w:r>
            <w:r>
              <w:rPr>
                <w:b/>
                <w:color w:val="auto"/>
                <w:spacing w:val="1"/>
                <w:sz w:val="21"/>
                <w:szCs w:val="21"/>
              </w:rPr>
              <w:t>生产工艺流程及产污环节</w:t>
            </w:r>
          </w:p>
          <w:p>
            <w:pPr>
              <w:ind w:firstLine="480"/>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rFonts w:hint="eastAsia"/>
                <w:color w:val="auto"/>
              </w:rPr>
              <w:t>切割、打孔</w:t>
            </w:r>
          </w:p>
          <w:p>
            <w:pPr>
              <w:ind w:firstLine="480"/>
              <w:rPr>
                <w:color w:val="auto"/>
              </w:rPr>
            </w:pPr>
            <w:r>
              <w:rPr>
                <w:rFonts w:hint="eastAsia"/>
                <w:color w:val="auto"/>
              </w:rPr>
              <w:t>钢管、冷轧钢板、覆铝锌钢板、铝合金型材等根据客户单位提供的设计尺寸，采用剪板机、激光切割机对各类原材料板材进行切割和裁剪成尺寸合适的构件。切割下料后，应按安装要求进行打孔加工，打孔尺寸标准及位置根据设备图纸精确定位。把工件放置在冲床上，利用工件与钻头的相对运动，使之达到设计图纸要求的孔径。</w:t>
            </w:r>
          </w:p>
          <w:p>
            <w:pPr>
              <w:ind w:firstLine="480"/>
              <w:rPr>
                <w:color w:val="auto"/>
              </w:rPr>
            </w:pPr>
            <w:r>
              <w:rPr>
                <w:rFonts w:hint="eastAsia"/>
                <w:color w:val="auto"/>
              </w:rPr>
              <w:t>该工序所用设备为剪板机、激光切割机、数控冲床，产生主要污染物为噪声（N）和废金属边角料等固体废物（S1）以及金属粉尘（G1），</w:t>
            </w:r>
            <w:r>
              <w:rPr>
                <w:rFonts w:hint="eastAsia"/>
                <w:bCs/>
                <w:color w:val="auto"/>
              </w:rPr>
              <w:t>金属粉尘颗粒大，大部分在厂房内沉降，以无组织形式排放</w:t>
            </w:r>
            <w:r>
              <w:rPr>
                <w:rFonts w:hint="eastAsia"/>
                <w:color w:val="auto"/>
              </w:rPr>
              <w:t>。</w:t>
            </w:r>
          </w:p>
          <w:p>
            <w:pPr>
              <w:ind w:firstLine="480" w:firstLineChars="0"/>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rFonts w:hint="eastAsia"/>
                <w:color w:val="auto"/>
              </w:rPr>
              <w:t>折弯</w:t>
            </w:r>
          </w:p>
          <w:p>
            <w:pPr>
              <w:ind w:firstLine="480"/>
              <w:contextualSpacing/>
              <w:rPr>
                <w:color w:val="auto"/>
              </w:rPr>
            </w:pPr>
            <w:r>
              <w:rPr>
                <w:rFonts w:hint="eastAsia"/>
                <w:color w:val="auto"/>
              </w:rPr>
              <w:t>将切割、打孔的2D平板件，折弯成3D的部件，其加工需要有折弯机床及相应的折弯模具来完成操作，它也有一定的折弯顺序，其原则是对下一刀不产生干涉的先折，会产生干涉的后折。</w:t>
            </w:r>
          </w:p>
          <w:p>
            <w:pPr>
              <w:ind w:firstLine="480"/>
              <w:contextualSpacing/>
              <w:rPr>
                <w:color w:val="auto"/>
              </w:rPr>
            </w:pPr>
            <w:r>
              <w:rPr>
                <w:rFonts w:hint="eastAsia"/>
                <w:color w:val="auto"/>
              </w:rPr>
              <w:t>该工序所用设备为折弯机，产生主要污染物为噪声（N）。</w:t>
            </w:r>
          </w:p>
          <w:p>
            <w:pPr>
              <w:ind w:firstLine="480"/>
              <w:contextualSpacing/>
              <w:rPr>
                <w:color w:val="auto"/>
              </w:rPr>
            </w:pPr>
            <w:r>
              <w:rPr>
                <w:color w:val="auto"/>
              </w:rPr>
              <w:fldChar w:fldCharType="begin"/>
            </w:r>
            <w:r>
              <w:rPr>
                <w:color w:val="auto"/>
              </w:rPr>
              <w:instrText xml:space="preserve"> = 3 \* GB3 \* MERGEFORMAT </w:instrText>
            </w:r>
            <w:r>
              <w:rPr>
                <w:color w:val="auto"/>
              </w:rPr>
              <w:fldChar w:fldCharType="separate"/>
            </w:r>
            <w:r>
              <w:rPr>
                <w:color w:val="auto"/>
              </w:rPr>
              <w:t>③</w:t>
            </w:r>
            <w:r>
              <w:rPr>
                <w:color w:val="auto"/>
              </w:rPr>
              <w:fldChar w:fldCharType="end"/>
            </w:r>
            <w:r>
              <w:rPr>
                <w:rFonts w:hint="eastAsia"/>
                <w:color w:val="auto"/>
              </w:rPr>
              <w:t>焊接</w:t>
            </w:r>
          </w:p>
          <w:p>
            <w:pPr>
              <w:ind w:firstLine="480"/>
              <w:rPr>
                <w:color w:val="auto"/>
              </w:rPr>
            </w:pPr>
            <w:r>
              <w:rPr>
                <w:rFonts w:hint="eastAsia"/>
                <w:color w:val="auto"/>
              </w:rPr>
              <w:t>点焊：使用组立</w:t>
            </w:r>
            <w:r>
              <w:rPr>
                <w:color w:val="auto"/>
              </w:rPr>
              <w:t>机对切割好的钢部件进行组装并人工点焊固定，点焊过程采用二氧化碳气体保护。</w:t>
            </w:r>
          </w:p>
          <w:p>
            <w:pPr>
              <w:ind w:firstLine="480"/>
              <w:rPr>
                <w:color w:val="auto"/>
              </w:rPr>
            </w:pPr>
            <w:r>
              <w:rPr>
                <w:rFonts w:hint="eastAsia"/>
                <w:color w:val="auto"/>
              </w:rPr>
              <w:t>切割、打孔及折弯后的构件根据产品要求采用</w:t>
            </w:r>
            <w:r>
              <w:rPr>
                <w:color w:val="auto"/>
                <w:kern w:val="2"/>
              </w:rPr>
              <w:t>气</w:t>
            </w:r>
            <w:r>
              <w:rPr>
                <w:rFonts w:hint="eastAsia"/>
                <w:color w:val="auto"/>
                <w:kern w:val="2"/>
              </w:rPr>
              <w:t>体</w:t>
            </w:r>
            <w:r>
              <w:rPr>
                <w:rFonts w:hint="eastAsia"/>
                <w:color w:val="auto"/>
              </w:rPr>
              <w:t>保护焊进行拼装焊接。该工序根据产品工艺需要以二氧化碳气、氩气为保护气体进行人工焊接，在应用方面操作简单。</w:t>
            </w:r>
          </w:p>
          <w:p>
            <w:pPr>
              <w:ind w:firstLine="480"/>
              <w:rPr>
                <w:color w:val="auto"/>
              </w:rPr>
            </w:pPr>
            <w:r>
              <w:rPr>
                <w:rFonts w:hint="eastAsia"/>
                <w:color w:val="auto"/>
              </w:rPr>
              <w:t>该工序会产生噪声（N）、焊渣（S2）和焊接烟尘（G2），</w:t>
            </w:r>
            <w:r>
              <w:rPr>
                <w:color w:val="auto"/>
              </w:rPr>
              <w:t>焊接烟尘</w:t>
            </w:r>
            <w:r>
              <w:rPr>
                <w:rFonts w:hint="eastAsia"/>
                <w:color w:val="auto"/>
              </w:rPr>
              <w:t>（G2）</w:t>
            </w:r>
            <w:r>
              <w:rPr>
                <w:color w:val="auto"/>
              </w:rPr>
              <w:t>经</w:t>
            </w:r>
            <w:r>
              <w:rPr>
                <w:rFonts w:hint="eastAsia"/>
                <w:color w:val="auto"/>
              </w:rPr>
              <w:t>多虑筒焊烟净化设备</w:t>
            </w:r>
            <w:r>
              <w:rPr>
                <w:color w:val="auto"/>
              </w:rPr>
              <w:t>处理后排至车间，</w:t>
            </w:r>
            <w:r>
              <w:rPr>
                <w:rFonts w:hint="eastAsia"/>
                <w:bCs/>
                <w:color w:val="auto"/>
              </w:rPr>
              <w:t>以无组织形式排放</w:t>
            </w:r>
            <w:r>
              <w:rPr>
                <w:rFonts w:hint="eastAsia"/>
                <w:color w:val="auto"/>
              </w:rPr>
              <w:t>。</w:t>
            </w:r>
          </w:p>
          <w:p>
            <w:pPr>
              <w:ind w:firstLine="480"/>
              <w:contextualSpacing/>
              <w:rPr>
                <w:color w:val="auto"/>
              </w:rPr>
            </w:pPr>
            <w:r>
              <w:rPr>
                <w:color w:val="auto"/>
              </w:rPr>
              <w:fldChar w:fldCharType="begin"/>
            </w:r>
            <w:r>
              <w:rPr>
                <w:color w:val="auto"/>
              </w:rPr>
              <w:instrText xml:space="preserve"> = 4 \* GB3 </w:instrText>
            </w:r>
            <w:r>
              <w:rPr>
                <w:color w:val="auto"/>
              </w:rPr>
              <w:fldChar w:fldCharType="separate"/>
            </w:r>
            <w:r>
              <w:rPr>
                <w:color w:val="auto"/>
              </w:rPr>
              <w:t>④</w:t>
            </w:r>
            <w:r>
              <w:rPr>
                <w:color w:val="auto"/>
              </w:rPr>
              <w:fldChar w:fldCharType="end"/>
            </w:r>
            <w:r>
              <w:rPr>
                <w:rFonts w:hint="eastAsia"/>
                <w:color w:val="auto"/>
              </w:rPr>
              <w:t>喷塑</w:t>
            </w:r>
          </w:p>
          <w:p>
            <w:pPr>
              <w:ind w:firstLine="480"/>
              <w:rPr>
                <w:color w:val="auto"/>
              </w:rPr>
            </w:pPr>
            <w:r>
              <w:rPr>
                <w:rFonts w:hint="eastAsia"/>
                <w:color w:val="auto"/>
              </w:rPr>
              <w:t>经过焊接后的工件（无酸洗、磷化、除油、除锈等前处理工序）人工挂入工件传输架上，工件依序进入喷粉设备，设备采用</w:t>
            </w:r>
            <w:r>
              <w:rPr>
                <w:rFonts w:hint="eastAsia" w:ascii="宋体" w:hAnsi="宋体"/>
                <w:color w:val="auto"/>
                <w:szCs w:val="21"/>
              </w:rPr>
              <w:t>欧洲先进技术的</w:t>
            </w:r>
            <w:r>
              <w:rPr>
                <w:rFonts w:hint="eastAsia"/>
                <w:color w:val="auto"/>
                <w:szCs w:val="21"/>
              </w:rPr>
              <w:t>变色龙系统</w:t>
            </w:r>
            <w:r>
              <w:rPr>
                <w:rFonts w:hint="eastAsia" w:ascii="宋体" w:hAnsi="宋体"/>
                <w:color w:val="auto"/>
                <w:szCs w:val="21"/>
              </w:rPr>
              <w:t>大旋风粉房自动线</w:t>
            </w:r>
            <w:r>
              <w:rPr>
                <w:rFonts w:hint="eastAsia"/>
                <w:color w:val="auto"/>
              </w:rPr>
              <w:t>。粉末涂料由供粉系统借压缩空气气体送入喷枪，在喷枪前端加有高压静电发生器产生的高压，由于电晕放电，在其附近产生密集的电荷，粉末由枪嘴喷出时，形成带电涂料粒子，它受静电力的作用，利用电晕放电现象使粉末涂料吸附在工件上。</w:t>
            </w:r>
          </w:p>
          <w:p>
            <w:pPr>
              <w:ind w:firstLine="480"/>
              <w:rPr>
                <w:color w:val="auto"/>
              </w:rPr>
            </w:pPr>
            <w:r>
              <w:rPr>
                <w:rFonts w:hint="eastAsia"/>
                <w:color w:val="auto"/>
              </w:rPr>
              <w:t>该工序产生设备噪声（N）、喷塑粉尘（G3）。喷塑间内产生的喷塑粉尘（G3）采用设备自带的二级滤芯脉冲除尘装置回收。粉尘在抽风系统负压作用下，被迅速吸入喷塑间安装的二级滤芯脉冲除尘装置过滤筛分，风机在除尘装置内抽空气，大量粉尘被过滤，筛分下的粉末经</w:t>
            </w:r>
            <w:r>
              <w:rPr>
                <w:rFonts w:hint="eastAsia" w:ascii="宋体" w:hAnsi="宋体"/>
                <w:color w:val="auto"/>
                <w:szCs w:val="21"/>
              </w:rPr>
              <w:t>脉冲气流自动清理系统</w:t>
            </w:r>
            <w:r>
              <w:rPr>
                <w:rFonts w:hint="eastAsia"/>
                <w:color w:val="auto"/>
              </w:rPr>
              <w:t>（</w:t>
            </w:r>
            <w:r>
              <w:rPr>
                <w:color w:val="auto"/>
              </w:rPr>
              <w:t>脉冲反吹滤芯回收系统</w:t>
            </w:r>
            <w:r>
              <w:rPr>
                <w:rFonts w:hint="eastAsia"/>
                <w:color w:val="auto"/>
              </w:rPr>
              <w:t>）回收至供粉装置回用，少量粉尘随空气进入排风系统送至厂房顶15m高（1#）排气筒排放。</w:t>
            </w:r>
          </w:p>
          <w:p>
            <w:pPr>
              <w:ind w:firstLine="480"/>
              <w:contextualSpacing/>
              <w:rPr>
                <w:color w:val="auto"/>
              </w:rPr>
            </w:pPr>
            <w:r>
              <w:rPr>
                <w:color w:val="auto"/>
              </w:rPr>
              <w:fldChar w:fldCharType="begin"/>
            </w:r>
            <w:r>
              <w:rPr>
                <w:color w:val="auto"/>
              </w:rPr>
              <w:instrText xml:space="preserve"> = 5 \* GB3 \* MERGEFORMAT </w:instrText>
            </w:r>
            <w:r>
              <w:rPr>
                <w:color w:val="auto"/>
              </w:rPr>
              <w:fldChar w:fldCharType="separate"/>
            </w:r>
            <w:r>
              <w:rPr>
                <w:color w:val="auto"/>
              </w:rPr>
              <w:t>⑤</w:t>
            </w:r>
            <w:r>
              <w:rPr>
                <w:color w:val="auto"/>
              </w:rPr>
              <w:fldChar w:fldCharType="end"/>
            </w:r>
            <w:r>
              <w:rPr>
                <w:rFonts w:hint="eastAsia"/>
                <w:color w:val="auto"/>
              </w:rPr>
              <w:t>固化</w:t>
            </w:r>
          </w:p>
          <w:p>
            <w:pPr>
              <w:ind w:firstLine="480"/>
              <w:rPr>
                <w:color w:val="auto"/>
              </w:rPr>
            </w:pPr>
            <w:r>
              <w:rPr>
                <w:rFonts w:hint="eastAsia"/>
                <w:color w:val="auto"/>
              </w:rPr>
              <w:t>项目工件喷塑后需进行烘烤固化，加热采用天然气热风循环方式加热</w:t>
            </w:r>
            <w:r>
              <w:rPr>
                <w:rFonts w:hint="eastAsia"/>
                <w:color w:val="auto"/>
                <w:lang w:eastAsia="zh-CN"/>
              </w:rPr>
              <w:t>和电加热炉加热</w:t>
            </w:r>
            <w:r>
              <w:rPr>
                <w:rFonts w:hint="eastAsia"/>
                <w:color w:val="auto"/>
              </w:rPr>
              <w:t>，天然气由燃烧机燃烧供热，热量在循环室的炉膛内加热炉体的空气，由循环风机将高温空气送入炉体内部致使炉体温度达到工艺烘烤温度；由于工件进入炉内吸热致使炉内温度下降，因此设置炉内与燃烧炉膛回风管道，将炉内因工件吸热降低温度的空气送回炉膛内二次助燃升温再由循环风机送回炉内加温炉内温度，</w:t>
            </w:r>
            <w:r>
              <w:rPr>
                <w:rFonts w:hint="eastAsia"/>
                <w:color w:val="auto"/>
                <w:szCs w:val="21"/>
              </w:rPr>
              <w:t>此种加热系统炉内与燃烧炉内的内部空气一直形成循环</w:t>
            </w:r>
            <w:r>
              <w:rPr>
                <w:rFonts w:hint="eastAsia"/>
                <w:color w:val="auto"/>
              </w:rPr>
              <w:t>。烘烤固化温度为180~210℃，加热时间为15-20min，使</w:t>
            </w:r>
            <w:r>
              <w:rPr>
                <w:color w:val="auto"/>
                <w:kern w:val="2"/>
              </w:rPr>
              <w:t>环氧聚酯塑粉</w:t>
            </w:r>
            <w:r>
              <w:rPr>
                <w:rFonts w:hint="eastAsia"/>
                <w:color w:val="auto"/>
              </w:rPr>
              <w:t>熔化、流平、固化。</w:t>
            </w:r>
          </w:p>
          <w:p>
            <w:pPr>
              <w:ind w:firstLine="480"/>
              <w:contextualSpacing/>
              <w:rPr>
                <w:color w:val="auto"/>
              </w:rPr>
            </w:pPr>
            <w:r>
              <w:rPr>
                <w:rFonts w:hint="eastAsia"/>
                <w:color w:val="auto"/>
              </w:rPr>
              <w:t>该工序会产生燃烧废气（G4）和固化废气（G5），天然气燃烧产生的废气（G4）、金属构件喷塑后固化废气（G5）主要为有机废气</w:t>
            </w:r>
            <w:r>
              <w:rPr>
                <w:rFonts w:hint="eastAsia"/>
                <w:color w:val="auto"/>
                <w:lang w:val="en-US" w:eastAsia="zh-CN"/>
              </w:rPr>
              <w:t>VOCs</w:t>
            </w:r>
            <w:r>
              <w:rPr>
                <w:rFonts w:hint="eastAsia"/>
                <w:color w:val="auto"/>
              </w:rPr>
              <w:t>（以非甲烷总烃计），固化完成后打开固化炉顶部设置的抽风系统，经</w:t>
            </w:r>
            <w:r>
              <w:rPr>
                <w:rFonts w:hint="eastAsia"/>
                <w:color w:val="auto"/>
                <w:lang w:val="en-US" w:eastAsia="zh-CN"/>
              </w:rPr>
              <w:t>UV光氧+</w:t>
            </w:r>
            <w:r>
              <w:rPr>
                <w:rFonts w:hint="eastAsia"/>
                <w:color w:val="auto"/>
              </w:rPr>
              <w:t>活性炭吸附装置处理后至15m高（2#）排气筒排放。</w:t>
            </w:r>
          </w:p>
          <w:p>
            <w:pPr>
              <w:ind w:firstLine="480"/>
              <w:contextualSpacing/>
              <w:rPr>
                <w:color w:val="auto"/>
              </w:rPr>
            </w:pPr>
            <w:r>
              <w:rPr>
                <w:rFonts w:hint="eastAsia"/>
                <w:color w:val="auto"/>
              </w:rPr>
              <w:fldChar w:fldCharType="begin"/>
            </w:r>
            <w:r>
              <w:rPr>
                <w:rFonts w:hint="eastAsia"/>
                <w:color w:val="auto"/>
              </w:rPr>
              <w:instrText xml:space="preserve"> = 6 \* GB3 \* MERGEFORMAT </w:instrText>
            </w:r>
            <w:r>
              <w:rPr>
                <w:rFonts w:hint="eastAsia"/>
                <w:color w:val="auto"/>
              </w:rPr>
              <w:fldChar w:fldCharType="separate"/>
            </w:r>
            <w:r>
              <w:rPr>
                <w:color w:val="auto"/>
              </w:rPr>
              <w:t>⑥</w:t>
            </w:r>
            <w:r>
              <w:rPr>
                <w:rFonts w:hint="eastAsia"/>
                <w:color w:val="auto"/>
              </w:rPr>
              <w:fldChar w:fldCharType="end"/>
            </w:r>
            <w:r>
              <w:rPr>
                <w:rFonts w:hint="eastAsia"/>
                <w:color w:val="auto"/>
              </w:rPr>
              <w:t>组装出售</w:t>
            </w:r>
          </w:p>
          <w:p>
            <w:pPr>
              <w:ind w:firstLine="480"/>
              <w:contextualSpacing/>
              <w:rPr>
                <w:color w:val="auto"/>
              </w:rPr>
            </w:pPr>
            <w:r>
              <w:rPr>
                <w:rFonts w:hint="eastAsia"/>
                <w:color w:val="auto"/>
              </w:rPr>
              <w:t>5G机房除按客户尺寸要求制作完成的主体部件外，还需组装刷好木油的木板及防水胶条，然后成品气泡膜包装待售；监控操作台除已制作好的主体部件组装外，还需组装PU板，然后成品气泡膜包装待售；不合格产品返工重做。</w:t>
            </w:r>
          </w:p>
          <w:p>
            <w:pPr>
              <w:ind w:firstLine="482"/>
              <w:rPr>
                <w:b/>
                <w:bCs/>
                <w:color w:val="auto"/>
              </w:rPr>
            </w:pPr>
            <w:r>
              <w:rPr>
                <w:b/>
                <w:bCs/>
                <w:color w:val="auto"/>
              </w:rPr>
              <w:t>主要污染工序</w:t>
            </w:r>
          </w:p>
          <w:p>
            <w:pPr>
              <w:ind w:firstLine="482"/>
              <w:contextualSpacing/>
              <w:rPr>
                <w:b/>
                <w:color w:val="auto"/>
              </w:rPr>
            </w:pPr>
            <w:r>
              <w:rPr>
                <w:b/>
                <w:color w:val="auto"/>
              </w:rPr>
              <w:t xml:space="preserve">一、施工期污染源分析 </w:t>
            </w:r>
          </w:p>
          <w:p>
            <w:pPr>
              <w:ind w:firstLine="480"/>
              <w:rPr>
                <w:color w:val="auto"/>
              </w:rPr>
            </w:pPr>
            <w:r>
              <w:rPr>
                <w:color w:val="auto"/>
              </w:rPr>
              <w:t>此阶段主要污染是</w:t>
            </w:r>
            <w:r>
              <w:rPr>
                <w:color w:val="auto"/>
                <w:spacing w:val="-1"/>
              </w:rPr>
              <w:t>施工人员生活垃圾、设备包装材料、机器调试噪声、汽车尾气、道路扬尘和</w:t>
            </w:r>
            <w:r>
              <w:rPr>
                <w:color w:val="auto"/>
              </w:rPr>
              <w:t>车辆运输噪声等。</w:t>
            </w:r>
          </w:p>
          <w:p>
            <w:pPr>
              <w:ind w:firstLine="480"/>
              <w:rPr>
                <w:snapToGrid/>
                <w:color w:val="auto"/>
              </w:rPr>
            </w:pPr>
            <w:r>
              <w:rPr>
                <w:color w:val="auto"/>
              </w:rPr>
              <w:t>1、废气</w:t>
            </w:r>
          </w:p>
          <w:p>
            <w:pPr>
              <w:ind w:firstLine="480"/>
              <w:rPr>
                <w:snapToGrid/>
                <w:color w:val="auto"/>
              </w:rPr>
            </w:pPr>
            <w:r>
              <w:rPr>
                <w:color w:val="auto"/>
              </w:rPr>
              <w:t>项目施工期产生的废气为道路扬尘和汽车尾气。</w:t>
            </w:r>
          </w:p>
          <w:p>
            <w:pPr>
              <w:ind w:firstLine="480"/>
              <w:rPr>
                <w:snapToGrid/>
                <w:color w:val="auto"/>
              </w:rPr>
            </w:pPr>
            <w:r>
              <w:rPr>
                <w:color w:val="auto"/>
              </w:rPr>
              <w:t>（1）道路扬尘</w:t>
            </w:r>
          </w:p>
          <w:p>
            <w:pPr>
              <w:ind w:firstLine="480"/>
              <w:rPr>
                <w:snapToGrid/>
                <w:color w:val="auto"/>
              </w:rPr>
            </w:pPr>
            <w:r>
              <w:rPr>
                <w:color w:val="auto"/>
              </w:rPr>
              <w:t>施工期产生的扬尘主要来自来往运输车辆引起的道路扬尘。是由运输装修材料和生产设备的车辆进入施工场区行驶产生的扬尘，道路扬尘产生量与来往车辆及车速、天气状况有关。</w:t>
            </w:r>
          </w:p>
          <w:p>
            <w:pPr>
              <w:ind w:firstLine="480"/>
              <w:rPr>
                <w:snapToGrid/>
                <w:color w:val="auto"/>
              </w:rPr>
            </w:pPr>
            <w:r>
              <w:rPr>
                <w:color w:val="auto"/>
              </w:rPr>
              <w:t>（2）汽车尾气</w:t>
            </w:r>
          </w:p>
          <w:p>
            <w:pPr>
              <w:ind w:firstLine="480"/>
              <w:rPr>
                <w:snapToGrid/>
                <w:color w:val="auto"/>
              </w:rPr>
            </w:pPr>
            <w:r>
              <w:rPr>
                <w:color w:val="auto"/>
              </w:rPr>
              <w:t>项目施工期间，有运输材料车辆进入，会产生少量汽车尾气，该部分废气通过植被吸附、空气自然消散。</w:t>
            </w:r>
          </w:p>
          <w:p>
            <w:pPr>
              <w:ind w:firstLine="480"/>
              <w:rPr>
                <w:snapToGrid/>
                <w:color w:val="auto"/>
              </w:rPr>
            </w:pPr>
            <w:r>
              <w:rPr>
                <w:color w:val="auto"/>
              </w:rPr>
              <w:t>2、废水</w:t>
            </w:r>
          </w:p>
          <w:p>
            <w:pPr>
              <w:ind w:firstLine="480"/>
              <w:rPr>
                <w:snapToGrid/>
                <w:color w:val="auto"/>
              </w:rPr>
            </w:pPr>
            <w:r>
              <w:rPr>
                <w:color w:val="auto"/>
              </w:rPr>
              <w:t>项目无土建等施工，少量施工废水沉淀后用于项目区控尘。施工人员</w:t>
            </w:r>
            <w:r>
              <w:rPr>
                <w:rFonts w:hint="eastAsia"/>
                <w:color w:val="auto"/>
              </w:rPr>
              <w:t>冲厕</w:t>
            </w:r>
            <w:r>
              <w:rPr>
                <w:color w:val="auto"/>
              </w:rPr>
              <w:t>废水依托</w:t>
            </w:r>
            <w:r>
              <w:rPr>
                <w:rFonts w:hint="eastAsia"/>
                <w:color w:val="auto"/>
              </w:rPr>
              <w:t>昆明力线电缆制造有限公司已建设的化粪池及一体化污水处理设备处理达标后回用于绿化及道路清扫，不外排</w:t>
            </w:r>
            <w:r>
              <w:rPr>
                <w:rFonts w:hint="eastAsia" w:ascii="宋体" w:hAnsi="宋体" w:cs="宋体"/>
                <w:color w:val="auto"/>
              </w:rPr>
              <w:t>。</w:t>
            </w:r>
          </w:p>
          <w:p>
            <w:pPr>
              <w:ind w:firstLine="480"/>
              <w:rPr>
                <w:snapToGrid/>
                <w:color w:val="auto"/>
              </w:rPr>
            </w:pPr>
            <w:r>
              <w:rPr>
                <w:color w:val="auto"/>
              </w:rPr>
              <w:t>3、噪声</w:t>
            </w:r>
          </w:p>
          <w:p>
            <w:pPr>
              <w:ind w:firstLine="480"/>
              <w:rPr>
                <w:snapToGrid/>
                <w:color w:val="auto"/>
              </w:rPr>
            </w:pPr>
            <w:r>
              <w:rPr>
                <w:color w:val="auto"/>
              </w:rPr>
              <w:t>项目建设期间噪声源为车辆运输和设备安装调试等，噪声值约80~90dB(A)，噪声周期较短，随着设备安装完成，噪声消失。</w:t>
            </w:r>
          </w:p>
          <w:p>
            <w:pPr>
              <w:ind w:firstLine="480"/>
              <w:rPr>
                <w:snapToGrid/>
                <w:color w:val="auto"/>
              </w:rPr>
            </w:pPr>
            <w:r>
              <w:rPr>
                <w:color w:val="auto"/>
              </w:rPr>
              <w:t>4、固体废物</w:t>
            </w:r>
          </w:p>
          <w:p>
            <w:pPr>
              <w:ind w:firstLine="480"/>
              <w:rPr>
                <w:snapToGrid/>
                <w:color w:val="auto"/>
              </w:rPr>
            </w:pPr>
            <w:r>
              <w:rPr>
                <w:color w:val="auto"/>
              </w:rPr>
              <w:t>项目施工期产生的固体废弃物为少量的建筑垃圾和设备包装材料以及施工人员生活垃圾。建筑垃圾收集后堆放于城建部门指定地点，可再生利用的回收利用，出售给废品站</w:t>
            </w:r>
            <w:r>
              <w:rPr>
                <w:rFonts w:hint="eastAsia"/>
                <w:color w:val="auto"/>
              </w:rPr>
              <w:t>；</w:t>
            </w:r>
            <w:r>
              <w:rPr>
                <w:color w:val="auto"/>
              </w:rPr>
              <w:t>生活垃圾经统一收集后委托环卫部门清运</w:t>
            </w:r>
            <w:r>
              <w:rPr>
                <w:color w:val="auto"/>
                <w:spacing w:val="12"/>
              </w:rPr>
              <w:t>。</w:t>
            </w:r>
          </w:p>
          <w:p>
            <w:pPr>
              <w:ind w:firstLine="360" w:firstLineChars="150"/>
              <w:contextualSpacing/>
              <w:rPr>
                <w:color w:val="auto"/>
              </w:rPr>
            </w:pPr>
            <w:r>
              <w:rPr>
                <w:rFonts w:hint="eastAsia"/>
                <w:color w:val="auto"/>
              </w:rPr>
              <w:t>5、</w:t>
            </w:r>
            <w:r>
              <w:rPr>
                <w:color w:val="auto"/>
              </w:rPr>
              <w:t>生态环境</w:t>
            </w:r>
          </w:p>
          <w:p>
            <w:pPr>
              <w:ind w:firstLine="480"/>
              <w:contextualSpacing/>
              <w:rPr>
                <w:color w:val="auto"/>
              </w:rPr>
            </w:pPr>
            <w:r>
              <w:rPr>
                <w:color w:val="auto"/>
              </w:rPr>
              <w:t>因项目施工只对现有厂房进行设备安装，不涉及场地土建施工，因此施工期不会对地表植被产生影响，也不会引发水土流失。</w:t>
            </w:r>
          </w:p>
          <w:p>
            <w:pPr>
              <w:ind w:firstLine="482"/>
              <w:contextualSpacing/>
              <w:rPr>
                <w:b/>
                <w:color w:val="auto"/>
              </w:rPr>
            </w:pPr>
            <w:r>
              <w:rPr>
                <w:b/>
                <w:color w:val="auto"/>
              </w:rPr>
              <w:t>二、运营期污染源及污染物分析</w:t>
            </w:r>
          </w:p>
          <w:p>
            <w:pPr>
              <w:ind w:firstLine="482"/>
              <w:contextualSpacing/>
              <w:rPr>
                <w:b/>
                <w:snapToGrid/>
                <w:color w:val="auto"/>
              </w:rPr>
            </w:pPr>
            <w:r>
              <w:rPr>
                <w:b/>
                <w:color w:val="auto"/>
              </w:rPr>
              <w:t>1、废气</w:t>
            </w:r>
          </w:p>
          <w:p>
            <w:pPr>
              <w:ind w:firstLine="478"/>
              <w:contextualSpacing/>
              <w:rPr>
                <w:b/>
                <w:snapToGrid/>
                <w:color w:val="auto"/>
                <w:spacing w:val="-1"/>
              </w:rPr>
            </w:pPr>
            <w:r>
              <w:rPr>
                <w:b/>
                <w:color w:val="auto"/>
                <w:spacing w:val="-1"/>
              </w:rPr>
              <w:t>（1）金属粉尘（G1）</w:t>
            </w:r>
          </w:p>
          <w:p>
            <w:pPr>
              <w:ind w:firstLine="480"/>
              <w:rPr>
                <w:snapToGrid/>
                <w:color w:val="auto"/>
              </w:rPr>
            </w:pPr>
            <w:r>
              <w:rPr>
                <w:rFonts w:hint="eastAsia"/>
                <w:color w:val="auto"/>
              </w:rPr>
              <w:t>项目运营期钢管、冷轧钢板、覆铝锌钢板、铝合金型材等在切割、打孔时会产生一定的铁屑粉尘，粉尘产生量较小。根据《大气污染物排放达标技术指南》课题组对国内6个机加工企业调研表明，国内机加工企业各种车床周围5m处，金属颗粒物浓度在0.3~0.95mg/m</w:t>
            </w:r>
            <w:r>
              <w:rPr>
                <w:rFonts w:hint="eastAsia"/>
                <w:color w:val="auto"/>
                <w:vertAlign w:val="superscript"/>
              </w:rPr>
              <w:t>3</w:t>
            </w:r>
            <w:r>
              <w:rPr>
                <w:rFonts w:hint="eastAsia"/>
                <w:color w:val="auto"/>
              </w:rPr>
              <w:t>，平均浓度为0.61mg/m</w:t>
            </w:r>
            <w:r>
              <w:rPr>
                <w:rFonts w:hint="eastAsia"/>
                <w:color w:val="auto"/>
                <w:vertAlign w:val="superscript"/>
              </w:rPr>
              <w:t>3</w:t>
            </w:r>
            <w:r>
              <w:rPr>
                <w:rFonts w:hint="eastAsia"/>
                <w:color w:val="auto"/>
              </w:rPr>
              <w:t>。由于金属颗粒物质量较重，且有厂房阻拦，颗粒物散落范围很小，可利用金属颗粒自然沉降+厂房阻隔+自然通风措施无组织排放。评价认为，钢管、冷轧钢板、覆铝锌钢板、铝合金型材等在激光切割、打孔产生的粉尘量较小，且激光切割设备配置有激光空气过滤机，切割金属粉尘经激光空气过滤机过滤后排放，粉尘量较少；项目原材料基本为外购，多数原材料尺寸，供应商依据项目方需求已做调整，实际生产过程中需要切割加工的原材料很少，金属粉尘粒径较大，容易沉降下落到地面，不会长时间滞留在空气中形成飘尘。</w:t>
            </w:r>
          </w:p>
          <w:p>
            <w:pPr>
              <w:ind w:firstLine="478"/>
              <w:rPr>
                <w:rFonts w:ascii="宋体" w:hAnsi="宋体" w:cs="宋体"/>
                <w:color w:val="auto"/>
                <w:kern w:val="2"/>
              </w:rPr>
            </w:pPr>
            <w:r>
              <w:rPr>
                <w:b/>
                <w:color w:val="auto"/>
                <w:spacing w:val="-1"/>
              </w:rPr>
              <w:t>（2）焊接烟尘（G2）</w:t>
            </w:r>
          </w:p>
          <w:p>
            <w:pPr>
              <w:pStyle w:val="158"/>
              <w:ind w:firstLine="480"/>
              <w:rPr>
                <w:color w:val="auto"/>
              </w:rPr>
            </w:pPr>
            <w:r>
              <w:rPr>
                <w:color w:val="auto"/>
              </w:rPr>
              <w:t>项目在焊接中将产生烟尘，该烟尘是由金属在过热条件下产生的蒸汽经氧化和冷凝而形成的，烟尘粒子小呈碎片状。焊接烟尘的主要有害物质为Fe</w:t>
            </w:r>
            <w:r>
              <w:rPr>
                <w:color w:val="auto"/>
                <w:vertAlign w:val="subscript"/>
              </w:rPr>
              <w:t>2</w:t>
            </w:r>
            <w:r>
              <w:rPr>
                <w:color w:val="auto"/>
              </w:rPr>
              <w:t>O</w:t>
            </w:r>
            <w:r>
              <w:rPr>
                <w:color w:val="auto"/>
                <w:vertAlign w:val="subscript"/>
              </w:rPr>
              <w:t>3</w:t>
            </w:r>
            <w:r>
              <w:rPr>
                <w:color w:val="auto"/>
              </w:rPr>
              <w:t>、SiO</w:t>
            </w:r>
            <w:r>
              <w:rPr>
                <w:color w:val="auto"/>
                <w:vertAlign w:val="subscript"/>
              </w:rPr>
              <w:t>2</w:t>
            </w:r>
            <w:r>
              <w:rPr>
                <w:color w:val="auto"/>
              </w:rPr>
              <w:t>、MnO</w:t>
            </w:r>
            <w:r>
              <w:rPr>
                <w:color w:val="auto"/>
                <w:vertAlign w:val="subscript"/>
              </w:rPr>
              <w:t>2</w:t>
            </w:r>
            <w:r>
              <w:rPr>
                <w:color w:val="auto"/>
              </w:rPr>
              <w:t>等，其中含量最多的为Fe</w:t>
            </w:r>
            <w:r>
              <w:rPr>
                <w:color w:val="auto"/>
                <w:vertAlign w:val="subscript"/>
              </w:rPr>
              <w:t>2</w:t>
            </w:r>
            <w:r>
              <w:rPr>
                <w:color w:val="auto"/>
              </w:rPr>
              <w:t>O</w:t>
            </w:r>
            <w:r>
              <w:rPr>
                <w:color w:val="auto"/>
                <w:vertAlign w:val="subscript"/>
              </w:rPr>
              <w:t>3</w:t>
            </w:r>
            <w:r>
              <w:rPr>
                <w:color w:val="auto"/>
              </w:rPr>
              <w:t>，一般占烟尘总量的35.56%，其次是SiO</w:t>
            </w:r>
            <w:r>
              <w:rPr>
                <w:color w:val="auto"/>
                <w:vertAlign w:val="subscript"/>
              </w:rPr>
              <w:t>2</w:t>
            </w:r>
            <w:r>
              <w:rPr>
                <w:color w:val="auto"/>
              </w:rPr>
              <w:t>，其含量占10~20%，MnO</w:t>
            </w:r>
            <w:r>
              <w:rPr>
                <w:color w:val="auto"/>
                <w:vertAlign w:val="subscript"/>
              </w:rPr>
              <w:t>2</w:t>
            </w:r>
            <w:r>
              <w:rPr>
                <w:color w:val="auto"/>
              </w:rPr>
              <w:t>占5~20%左右。根据《焊接技术手册》（王文翰主编）</w:t>
            </w:r>
            <w:r>
              <w:rPr>
                <w:rFonts w:hint="eastAsia"/>
                <w:color w:val="auto"/>
              </w:rPr>
              <w:t>及</w:t>
            </w:r>
            <w:r>
              <w:rPr>
                <w:color w:val="auto"/>
              </w:rPr>
              <w:t>《焊接车间环境污染及控制技术进展》资料中有关说明可知焊接材料的发尘量为5~8g/kg，拟建项目根据有关资料推荐的经验排放系数，核算最大源强取值焊接材料的发尘量为8g/kg。则本项目焊接材料2t</w:t>
            </w:r>
            <w:r>
              <w:rPr>
                <w:rFonts w:hint="eastAsia"/>
                <w:color w:val="auto"/>
              </w:rPr>
              <w:t>，</w:t>
            </w:r>
            <w:r>
              <w:rPr>
                <w:color w:val="auto"/>
              </w:rPr>
              <w:t>焊接烟尘总产生量为</w:t>
            </w:r>
            <w:r>
              <w:rPr>
                <w:rFonts w:hint="eastAsia"/>
                <w:color w:val="auto"/>
              </w:rPr>
              <w:t>16kg</w:t>
            </w:r>
            <w:r>
              <w:rPr>
                <w:color w:val="auto"/>
              </w:rPr>
              <w:t>/a</w:t>
            </w:r>
            <w:r>
              <w:rPr>
                <w:rFonts w:hint="eastAsia"/>
                <w:color w:val="auto"/>
              </w:rPr>
              <w:t>，项目年运行</w:t>
            </w:r>
            <w:r>
              <w:rPr>
                <w:color w:val="auto"/>
              </w:rPr>
              <w:t>天数为300天，</w:t>
            </w:r>
            <w:r>
              <w:rPr>
                <w:rFonts w:hint="eastAsia"/>
                <w:color w:val="auto"/>
              </w:rPr>
              <w:t>每天工作8</w:t>
            </w:r>
            <w:r>
              <w:rPr>
                <w:color w:val="auto"/>
              </w:rPr>
              <w:t>h/d</w:t>
            </w:r>
            <w:r>
              <w:rPr>
                <w:rFonts w:hint="eastAsia"/>
                <w:color w:val="auto"/>
              </w:rPr>
              <w:t>，</w:t>
            </w:r>
            <w:r>
              <w:rPr>
                <w:color w:val="auto"/>
              </w:rPr>
              <w:t>产生速率为</w:t>
            </w:r>
            <w:r>
              <w:rPr>
                <w:rFonts w:hint="eastAsia"/>
                <w:color w:val="auto"/>
              </w:rPr>
              <w:t>0.0067kg/h。</w:t>
            </w:r>
          </w:p>
          <w:p>
            <w:pPr>
              <w:pStyle w:val="158"/>
              <w:ind w:firstLine="480"/>
              <w:rPr>
                <w:color w:val="auto"/>
                <w:lang w:val="en-GB"/>
              </w:rPr>
            </w:pPr>
            <w:r>
              <w:rPr>
                <w:color w:val="auto"/>
                <w:lang w:val="en-GB"/>
              </w:rPr>
              <w:t>气体保护焊机配套</w:t>
            </w:r>
            <w:r>
              <w:rPr>
                <w:rFonts w:hint="eastAsia"/>
                <w:color w:val="auto"/>
                <w:lang w:val="en-GB"/>
              </w:rPr>
              <w:t>多虑筒焊烟净化设备</w:t>
            </w:r>
            <w:r>
              <w:rPr>
                <w:color w:val="auto"/>
                <w:lang w:val="en-GB"/>
              </w:rPr>
              <w:t>进行处理，</w:t>
            </w:r>
            <w:r>
              <w:rPr>
                <w:rFonts w:hint="eastAsia"/>
                <w:color w:val="auto"/>
              </w:rPr>
              <w:t>烟尘收集率为80%，处理效率以80%计</w:t>
            </w:r>
            <w:r>
              <w:rPr>
                <w:color w:val="auto"/>
              </w:rPr>
              <w:t>，经计算，</w:t>
            </w:r>
            <w:r>
              <w:rPr>
                <w:rFonts w:hint="eastAsia"/>
                <w:color w:val="auto"/>
              </w:rPr>
              <w:t>则</w:t>
            </w:r>
            <w:r>
              <w:rPr>
                <w:color w:val="auto"/>
              </w:rPr>
              <w:t>焊接烟尘</w:t>
            </w:r>
            <w:r>
              <w:rPr>
                <w:rFonts w:hint="eastAsia"/>
                <w:color w:val="auto"/>
              </w:rPr>
              <w:t>收集处理后车间</w:t>
            </w:r>
            <w:r>
              <w:rPr>
                <w:color w:val="auto"/>
              </w:rPr>
              <w:t>无组织</w:t>
            </w:r>
            <w:r>
              <w:rPr>
                <w:rFonts w:hint="eastAsia"/>
                <w:color w:val="auto"/>
              </w:rPr>
              <w:t>排放量为2.56kg/a，未收集到的无组织烟尘量为3.2kg</w:t>
            </w:r>
            <w:r>
              <w:rPr>
                <w:color w:val="auto"/>
              </w:rPr>
              <w:t>/a</w:t>
            </w:r>
            <w:r>
              <w:rPr>
                <w:rFonts w:hint="eastAsia"/>
                <w:color w:val="auto"/>
              </w:rPr>
              <w:t>（20%未收集），合计无组织烟尘排放量为5.76kg</w:t>
            </w:r>
            <w:r>
              <w:rPr>
                <w:color w:val="auto"/>
              </w:rPr>
              <w:t>/a</w:t>
            </w:r>
            <w:r>
              <w:rPr>
                <w:rFonts w:hint="eastAsia"/>
                <w:color w:val="auto"/>
              </w:rPr>
              <w:t>，排放速率2.4g/h</w:t>
            </w:r>
            <w:r>
              <w:rPr>
                <w:color w:val="auto"/>
              </w:rPr>
              <w:t>。焊接烟尘经</w:t>
            </w:r>
            <w:r>
              <w:rPr>
                <w:rFonts w:hint="eastAsia"/>
                <w:color w:val="auto"/>
              </w:rPr>
              <w:t>多虑筒焊烟净化设备</w:t>
            </w:r>
            <w:r>
              <w:rPr>
                <w:color w:val="auto"/>
              </w:rPr>
              <w:t>处理后排至车间，</w:t>
            </w:r>
            <w:r>
              <w:rPr>
                <w:rFonts w:hint="eastAsia"/>
                <w:color w:val="auto"/>
              </w:rPr>
              <w:t>再</w:t>
            </w:r>
            <w:r>
              <w:rPr>
                <w:color w:val="auto"/>
              </w:rPr>
              <w:t>由</w:t>
            </w:r>
            <w:r>
              <w:rPr>
                <w:rFonts w:hint="eastAsia"/>
                <w:color w:val="auto"/>
              </w:rPr>
              <w:t>厂房设置的通风设备</w:t>
            </w:r>
            <w:r>
              <w:rPr>
                <w:color w:val="auto"/>
              </w:rPr>
              <w:t>将烟尘抽至室外排放。</w:t>
            </w:r>
          </w:p>
          <w:p>
            <w:pPr>
              <w:ind w:firstLine="478"/>
              <w:rPr>
                <w:rFonts w:ascii="宋体" w:hAnsi="宋体" w:cs="宋体"/>
                <w:color w:val="auto"/>
                <w:kern w:val="2"/>
              </w:rPr>
            </w:pPr>
            <w:r>
              <w:rPr>
                <w:b/>
                <w:color w:val="auto"/>
                <w:spacing w:val="-1"/>
              </w:rPr>
              <w:t>（</w:t>
            </w:r>
            <w:r>
              <w:rPr>
                <w:rFonts w:hint="eastAsia"/>
                <w:b/>
                <w:color w:val="auto"/>
                <w:spacing w:val="-1"/>
              </w:rPr>
              <w:t>3</w:t>
            </w:r>
            <w:r>
              <w:rPr>
                <w:b/>
                <w:color w:val="auto"/>
                <w:spacing w:val="-1"/>
              </w:rPr>
              <w:t>）</w:t>
            </w:r>
            <w:r>
              <w:rPr>
                <w:rFonts w:hint="eastAsia"/>
                <w:b/>
                <w:color w:val="auto"/>
                <w:spacing w:val="-1"/>
              </w:rPr>
              <w:t>喷塑粉尘</w:t>
            </w:r>
            <w:r>
              <w:rPr>
                <w:b/>
                <w:color w:val="auto"/>
                <w:spacing w:val="-1"/>
              </w:rPr>
              <w:t>（G3）</w:t>
            </w:r>
          </w:p>
          <w:p>
            <w:pPr>
              <w:ind w:firstLine="480"/>
              <w:rPr>
                <w:color w:val="auto"/>
              </w:rPr>
            </w:pPr>
            <w:r>
              <w:rPr>
                <w:rFonts w:hint="eastAsia" w:ascii="宋体" w:hAnsi="宋体" w:cs="宋体"/>
                <w:color w:val="auto"/>
                <w:kern w:val="2"/>
              </w:rPr>
              <w:t>项目喷塑工</w:t>
            </w:r>
            <w:r>
              <w:rPr>
                <w:color w:val="auto"/>
              </w:rPr>
              <w:t>艺</w:t>
            </w:r>
            <w:r>
              <w:rPr>
                <w:rFonts w:hint="eastAsia"/>
                <w:color w:val="auto"/>
              </w:rPr>
              <w:t>塑粉由供粉系统借压缩空气气体送入喷枪</w:t>
            </w:r>
            <w:r>
              <w:rPr>
                <w:color w:val="auto"/>
              </w:rPr>
              <w:t>，</w:t>
            </w:r>
            <w:r>
              <w:rPr>
                <w:rFonts w:hint="eastAsia"/>
                <w:color w:val="auto"/>
              </w:rPr>
              <w:t>喷枪对工件表面进行喷涂时，未附着在工件上的粉尘逸散在喷塑房内，形成喷塑粉尘。根据《喷塑行业污染物源强估算及治理方法探讨》（中国环境管理干部学院学报杂志 王世杰、 朱童琪等），确定本项目</w:t>
            </w:r>
            <w:r>
              <w:rPr>
                <w:color w:val="auto"/>
              </w:rPr>
              <w:t>喷</w:t>
            </w:r>
            <w:r>
              <w:rPr>
                <w:rFonts w:hint="eastAsia"/>
                <w:color w:val="auto"/>
              </w:rPr>
              <w:t>塑</w:t>
            </w:r>
            <w:r>
              <w:rPr>
                <w:color w:val="auto"/>
              </w:rPr>
              <w:t>过程中</w:t>
            </w:r>
            <w:r>
              <w:rPr>
                <w:rFonts w:hint="eastAsia"/>
                <w:color w:val="auto"/>
              </w:rPr>
              <w:t>塑粉</w:t>
            </w:r>
            <w:r>
              <w:rPr>
                <w:color w:val="auto"/>
              </w:rPr>
              <w:t>附着率为</w:t>
            </w:r>
            <w:r>
              <w:rPr>
                <w:rFonts w:hint="eastAsia"/>
                <w:color w:val="auto"/>
              </w:rPr>
              <w:t>80</w:t>
            </w:r>
            <w:r>
              <w:rPr>
                <w:color w:val="auto"/>
              </w:rPr>
              <w:t>%，项目年使用塑粉</w:t>
            </w:r>
            <w:r>
              <w:rPr>
                <w:rFonts w:hint="eastAsia"/>
                <w:color w:val="auto"/>
              </w:rPr>
              <w:t>14</w:t>
            </w:r>
            <w:r>
              <w:rPr>
                <w:color w:val="auto"/>
              </w:rPr>
              <w:t>t，未附着塑粉量为</w:t>
            </w:r>
            <w:r>
              <w:rPr>
                <w:rFonts w:hint="eastAsia"/>
                <w:color w:val="auto"/>
              </w:rPr>
              <w:t>2.8</w:t>
            </w:r>
            <w:r>
              <w:rPr>
                <w:color w:val="auto"/>
              </w:rPr>
              <w:t>t/a，</w:t>
            </w:r>
            <w:r>
              <w:rPr>
                <w:rFonts w:hint="eastAsia"/>
                <w:color w:val="auto"/>
              </w:rPr>
              <w:t>则</w:t>
            </w:r>
            <w:r>
              <w:rPr>
                <w:color w:val="auto"/>
              </w:rPr>
              <w:t>喷塑粉尘产生量为</w:t>
            </w:r>
            <w:r>
              <w:rPr>
                <w:rFonts w:hint="eastAsia"/>
                <w:color w:val="auto"/>
              </w:rPr>
              <w:t>2.8</w:t>
            </w:r>
            <w:r>
              <w:rPr>
                <w:color w:val="auto"/>
              </w:rPr>
              <w:t>t/a，该部分塑粉在喷塑房内经</w:t>
            </w:r>
            <w:r>
              <w:rPr>
                <w:rFonts w:hint="eastAsia"/>
                <w:color w:val="auto"/>
              </w:rPr>
              <w:t>设置的</w:t>
            </w:r>
            <w:r>
              <w:rPr>
                <w:rFonts w:hint="eastAsia" w:ascii="宋体" w:hAnsi="宋体"/>
                <w:color w:val="auto"/>
                <w:szCs w:val="21"/>
              </w:rPr>
              <w:t>脉冲气流自动清理系统</w:t>
            </w:r>
            <w:r>
              <w:rPr>
                <w:rFonts w:hint="eastAsia"/>
                <w:color w:val="auto"/>
              </w:rPr>
              <w:t>（</w:t>
            </w:r>
            <w:r>
              <w:rPr>
                <w:color w:val="auto"/>
              </w:rPr>
              <w:t>脉冲反吹滤芯回收系统</w:t>
            </w:r>
            <w:r>
              <w:rPr>
                <w:rFonts w:hint="eastAsia"/>
                <w:color w:val="auto"/>
              </w:rPr>
              <w:t>）</w:t>
            </w:r>
            <w:r>
              <w:rPr>
                <w:color w:val="auto"/>
              </w:rPr>
              <w:t>过滤后</w:t>
            </w:r>
            <w:r>
              <w:rPr>
                <w:rFonts w:hint="eastAsia"/>
                <w:color w:val="auto"/>
              </w:rPr>
              <w:t>回收至供粉装置，回用于生产。</w:t>
            </w:r>
          </w:p>
          <w:p>
            <w:pPr>
              <w:ind w:firstLine="480"/>
              <w:rPr>
                <w:color w:val="auto"/>
              </w:rPr>
            </w:pPr>
            <w:r>
              <w:rPr>
                <w:rFonts w:hint="eastAsia"/>
                <w:color w:val="auto"/>
              </w:rPr>
              <w:t>项目</w:t>
            </w:r>
            <w:r>
              <w:rPr>
                <w:rFonts w:hint="eastAsia" w:ascii="宋体" w:hAnsi="宋体" w:cs="宋体"/>
                <w:color w:val="auto"/>
                <w:kern w:val="2"/>
              </w:rPr>
              <w:t>喷塑工</w:t>
            </w:r>
            <w:r>
              <w:rPr>
                <w:color w:val="auto"/>
              </w:rPr>
              <w:t>艺</w:t>
            </w:r>
            <w:r>
              <w:rPr>
                <w:rFonts w:hint="eastAsia"/>
                <w:color w:val="auto"/>
              </w:rPr>
              <w:t>，</w:t>
            </w:r>
            <w:r>
              <w:rPr>
                <w:color w:val="auto"/>
              </w:rPr>
              <w:t>采用“</w:t>
            </w:r>
            <w:r>
              <w:rPr>
                <w:rFonts w:hint="eastAsia"/>
                <w:color w:val="auto"/>
              </w:rPr>
              <w:t>二级滤芯脉冲除尘</w:t>
            </w:r>
            <w:r>
              <w:rPr>
                <w:color w:val="auto"/>
              </w:rPr>
              <w:t>”</w:t>
            </w:r>
            <w:r>
              <w:rPr>
                <w:rFonts w:hint="eastAsia"/>
                <w:color w:val="auto"/>
              </w:rPr>
              <w:t>的</w:t>
            </w:r>
            <w:r>
              <w:rPr>
                <w:color w:val="auto"/>
              </w:rPr>
              <w:t>二级除尘技术，</w:t>
            </w:r>
            <w:r>
              <w:rPr>
                <w:rFonts w:hint="eastAsia"/>
                <w:color w:val="auto"/>
              </w:rPr>
              <w:t>除尘效率达98%</w:t>
            </w:r>
            <w:r>
              <w:rPr>
                <w:color w:val="auto"/>
              </w:rPr>
              <w:t>以上，喷塑粉尘产生量为2</w:t>
            </w:r>
            <w:r>
              <w:rPr>
                <w:rFonts w:hint="eastAsia"/>
                <w:color w:val="auto"/>
              </w:rPr>
              <w:t>.8</w:t>
            </w:r>
            <w:r>
              <w:rPr>
                <w:color w:val="auto"/>
              </w:rPr>
              <w:t>t/a，喷塑</w:t>
            </w:r>
            <w:r>
              <w:rPr>
                <w:rFonts w:hint="eastAsia"/>
                <w:color w:val="auto"/>
              </w:rPr>
              <w:t>房</w:t>
            </w:r>
            <w:r>
              <w:rPr>
                <w:color w:val="auto"/>
              </w:rPr>
              <w:t>整体集气，</w:t>
            </w:r>
            <w:r>
              <w:rPr>
                <w:rFonts w:hint="eastAsia"/>
                <w:color w:val="auto"/>
              </w:rPr>
              <w:t>大旋风系统收集，</w:t>
            </w:r>
            <w:r>
              <w:rPr>
                <w:color w:val="auto"/>
              </w:rPr>
              <w:t>其大部分</w:t>
            </w:r>
            <w:r>
              <w:rPr>
                <w:rFonts w:hint="eastAsia"/>
                <w:color w:val="auto"/>
              </w:rPr>
              <w:t>粉尘</w:t>
            </w:r>
            <w:r>
              <w:rPr>
                <w:color w:val="auto"/>
              </w:rPr>
              <w:t>废气经收集后处理，只有少量从</w:t>
            </w:r>
            <w:r>
              <w:rPr>
                <w:rFonts w:hint="eastAsia"/>
                <w:color w:val="auto"/>
              </w:rPr>
              <w:t>进出</w:t>
            </w:r>
            <w:r>
              <w:rPr>
                <w:color w:val="auto"/>
              </w:rPr>
              <w:t>件口溢出，</w:t>
            </w:r>
            <w:r>
              <w:rPr>
                <w:rFonts w:hint="eastAsia"/>
                <w:color w:val="auto"/>
              </w:rPr>
              <w:t>设备</w:t>
            </w:r>
            <w:r>
              <w:rPr>
                <w:color w:val="auto"/>
              </w:rPr>
              <w:t>集气率为</w:t>
            </w:r>
            <w:r>
              <w:rPr>
                <w:rFonts w:hint="eastAsia"/>
                <w:color w:val="auto"/>
              </w:rPr>
              <w:t>90</w:t>
            </w:r>
            <w:r>
              <w:rPr>
                <w:color w:val="auto"/>
              </w:rPr>
              <w:t>%，喷塑粉尘进入</w:t>
            </w:r>
            <w:r>
              <w:rPr>
                <w:rFonts w:hint="eastAsia"/>
                <w:color w:val="auto"/>
              </w:rPr>
              <w:t>二级滤芯脉冲除尘</w:t>
            </w:r>
            <w:r>
              <w:rPr>
                <w:color w:val="auto"/>
              </w:rPr>
              <w:t>装置</w:t>
            </w:r>
            <w:r>
              <w:rPr>
                <w:rFonts w:hint="eastAsia"/>
                <w:color w:val="auto"/>
              </w:rPr>
              <w:t>除尘</w:t>
            </w:r>
            <w:r>
              <w:rPr>
                <w:color w:val="auto"/>
              </w:rPr>
              <w:t>后由</w:t>
            </w:r>
            <w:r>
              <w:rPr>
                <w:rFonts w:hint="eastAsia"/>
                <w:color w:val="auto"/>
              </w:rPr>
              <w:t>15m高（1#）排气筒</w:t>
            </w:r>
            <w:r>
              <w:rPr>
                <w:color w:val="auto"/>
              </w:rPr>
              <w:t>外排</w:t>
            </w:r>
            <w:r>
              <w:rPr>
                <w:rFonts w:hint="eastAsia"/>
                <w:color w:val="auto"/>
              </w:rPr>
              <w:t>，即有组织粉尘产生</w:t>
            </w:r>
            <w:r>
              <w:rPr>
                <w:color w:val="auto"/>
              </w:rPr>
              <w:t>量为</w:t>
            </w:r>
            <w:r>
              <w:rPr>
                <w:rFonts w:hint="eastAsia"/>
                <w:color w:val="auto"/>
              </w:rPr>
              <w:t>2.52</w:t>
            </w:r>
            <w:r>
              <w:rPr>
                <w:color w:val="auto"/>
              </w:rPr>
              <w:t>t/a</w:t>
            </w:r>
            <w:r>
              <w:rPr>
                <w:rFonts w:hint="eastAsia"/>
                <w:color w:val="auto"/>
              </w:rPr>
              <w:t>，有组织</w:t>
            </w:r>
            <w:r>
              <w:rPr>
                <w:color w:val="auto"/>
              </w:rPr>
              <w:t>粉尘排放量为</w:t>
            </w:r>
            <w:r>
              <w:rPr>
                <w:rFonts w:hint="eastAsia"/>
                <w:color w:val="auto"/>
              </w:rPr>
              <w:t>0.0504</w:t>
            </w:r>
            <w:r>
              <w:rPr>
                <w:color w:val="auto"/>
              </w:rPr>
              <w:t>t/a</w:t>
            </w:r>
            <w:r>
              <w:rPr>
                <w:rFonts w:hint="eastAsia"/>
                <w:color w:val="auto"/>
              </w:rPr>
              <w:t>。</w:t>
            </w:r>
            <w:r>
              <w:rPr>
                <w:color w:val="auto"/>
              </w:rPr>
              <w:t>引风机风量为</w:t>
            </w:r>
            <w:r>
              <w:rPr>
                <w:rFonts w:hint="eastAsia"/>
                <w:color w:val="auto"/>
              </w:rPr>
              <w:t>5</w:t>
            </w:r>
            <w:r>
              <w:rPr>
                <w:color w:val="auto"/>
              </w:rPr>
              <w:t>000m</w:t>
            </w:r>
            <w:r>
              <w:rPr>
                <w:color w:val="auto"/>
                <w:vertAlign w:val="superscript"/>
              </w:rPr>
              <w:t>3</w:t>
            </w:r>
            <w:r>
              <w:rPr>
                <w:color w:val="auto"/>
              </w:rPr>
              <w:t>/h，喷涂时间为</w:t>
            </w:r>
            <w:r>
              <w:rPr>
                <w:rFonts w:hint="eastAsia"/>
                <w:color w:val="auto"/>
              </w:rPr>
              <w:t>8</w:t>
            </w:r>
            <w:r>
              <w:rPr>
                <w:color w:val="auto"/>
              </w:rPr>
              <w:t>h/d，年工作天数为300天，则</w:t>
            </w:r>
            <w:r>
              <w:rPr>
                <w:rFonts w:hint="eastAsia"/>
                <w:color w:val="auto"/>
              </w:rPr>
              <w:t>有组织</w:t>
            </w:r>
            <w:r>
              <w:rPr>
                <w:color w:val="auto"/>
              </w:rPr>
              <w:t>粉尘排放速率为</w:t>
            </w:r>
            <w:r>
              <w:rPr>
                <w:rFonts w:hint="eastAsia"/>
                <w:color w:val="auto"/>
              </w:rPr>
              <w:t>0.021k</w:t>
            </w:r>
            <w:r>
              <w:rPr>
                <w:color w:val="auto"/>
              </w:rPr>
              <w:t>g/h，排放浓度为</w:t>
            </w:r>
            <w:r>
              <w:rPr>
                <w:rFonts w:hint="eastAsia"/>
                <w:color w:val="auto"/>
              </w:rPr>
              <w:t>4.2</w:t>
            </w:r>
            <w:r>
              <w:rPr>
                <w:color w:val="auto"/>
              </w:rPr>
              <w:t>mg/m</w:t>
            </w:r>
            <w:r>
              <w:rPr>
                <w:color w:val="auto"/>
                <w:vertAlign w:val="superscript"/>
              </w:rPr>
              <w:t>3</w:t>
            </w:r>
            <w:r>
              <w:rPr>
                <w:color w:val="auto"/>
              </w:rPr>
              <w:t>，喷塑过程中无组织粉尘排放量为0.</w:t>
            </w:r>
            <w:r>
              <w:rPr>
                <w:rFonts w:hint="eastAsia"/>
                <w:color w:val="auto"/>
              </w:rPr>
              <w:t>28</w:t>
            </w:r>
            <w:r>
              <w:rPr>
                <w:color w:val="auto"/>
              </w:rPr>
              <w:t>t/a，排放速率为</w:t>
            </w:r>
            <w:r>
              <w:rPr>
                <w:rFonts w:hint="eastAsia"/>
                <w:color w:val="auto"/>
              </w:rPr>
              <w:t>0.117</w:t>
            </w:r>
            <w:r>
              <w:rPr>
                <w:color w:val="auto"/>
              </w:rPr>
              <w:t>kg/h。</w:t>
            </w:r>
          </w:p>
          <w:p>
            <w:pPr>
              <w:ind w:firstLine="478"/>
              <w:contextualSpacing/>
              <w:rPr>
                <w:color w:val="auto"/>
              </w:rPr>
            </w:pPr>
            <w:r>
              <w:rPr>
                <w:b/>
                <w:color w:val="auto"/>
                <w:spacing w:val="-1"/>
              </w:rPr>
              <w:t>（</w:t>
            </w:r>
            <w:r>
              <w:rPr>
                <w:rFonts w:hint="eastAsia"/>
                <w:b/>
                <w:color w:val="auto"/>
                <w:spacing w:val="-1"/>
              </w:rPr>
              <w:t>4</w:t>
            </w:r>
            <w:r>
              <w:rPr>
                <w:b/>
                <w:color w:val="auto"/>
                <w:spacing w:val="-1"/>
              </w:rPr>
              <w:t>）燃烧废气（G4）</w:t>
            </w:r>
          </w:p>
          <w:p>
            <w:pPr>
              <w:widowControl/>
              <w:ind w:firstLine="480"/>
              <w:jc w:val="left"/>
              <w:rPr>
                <w:color w:val="auto"/>
              </w:rPr>
            </w:pPr>
            <w:r>
              <w:rPr>
                <w:rFonts w:hint="eastAsia"/>
                <w:color w:val="auto"/>
              </w:rPr>
              <w:t>项目喷塑后金属构件需经固化炉烘烤固化，固化炉由1套电热固化炉和2套气热固化炉提供热量。</w:t>
            </w:r>
            <w:r>
              <w:rPr>
                <w:rFonts w:hint="eastAsia"/>
                <w:color w:val="auto"/>
              </w:rPr>
              <w:t>气热固化炉使用</w:t>
            </w:r>
            <w:r>
              <w:rPr>
                <w:rFonts w:hint="eastAsia"/>
                <w:color w:val="auto"/>
                <w:lang w:val="en-US" w:eastAsia="zh-CN"/>
              </w:rPr>
              <w:t>液化</w:t>
            </w:r>
            <w:r>
              <w:rPr>
                <w:rFonts w:hint="eastAsia"/>
                <w:color w:val="auto"/>
              </w:rPr>
              <w:t>天然气作为燃料，</w:t>
            </w:r>
            <w:r>
              <w:rPr>
                <w:rFonts w:hint="eastAsia"/>
                <w:color w:val="auto"/>
              </w:rPr>
              <w:t>项目每年使用天然气9.6万方。</w:t>
            </w:r>
          </w:p>
          <w:p>
            <w:pPr>
              <w:ind w:firstLine="480"/>
              <w:rPr>
                <w:color w:val="auto"/>
              </w:rPr>
            </w:pPr>
            <w:r>
              <w:rPr>
                <w:rFonts w:hint="eastAsia"/>
                <w:color w:val="auto"/>
              </w:rPr>
              <w:t>根据生态环境部2018年7月31日发布的《排污许可证申请与核发技术规范 锅炉(HJ953—2018)》附录F.4中可知天然气-室燃炉-所有规模中产污系数为：</w:t>
            </w:r>
          </w:p>
          <w:p>
            <w:pPr>
              <w:ind w:firstLine="480"/>
              <w:rPr>
                <w:color w:val="auto"/>
              </w:rPr>
            </w:pPr>
            <w:r>
              <w:rPr>
                <w:rFonts w:hint="eastAsia"/>
                <w:color w:val="auto"/>
              </w:rPr>
              <w:t>SO</w:t>
            </w:r>
            <w:r>
              <w:rPr>
                <w:rFonts w:hint="eastAsia"/>
                <w:color w:val="auto"/>
                <w:vertAlign w:val="subscript"/>
              </w:rPr>
              <w:t>2</w:t>
            </w:r>
            <w:r>
              <w:rPr>
                <w:rFonts w:hint="eastAsia"/>
                <w:color w:val="auto"/>
              </w:rPr>
              <w:t>产污系数为0.02S（S为硫含量，单位为毫克/立方米）kg/万立方米，根据客户资料，本项目硫含量为20</w:t>
            </w:r>
            <w:r>
              <w:rPr>
                <w:color w:val="auto"/>
              </w:rPr>
              <w:t>mg/m³</w:t>
            </w:r>
            <w:r>
              <w:rPr>
                <w:rFonts w:hint="eastAsia"/>
                <w:color w:val="auto"/>
              </w:rPr>
              <w:t>。因此，本项目含硫量以0.4kg/万立方米计，</w:t>
            </w:r>
          </w:p>
          <w:p>
            <w:pPr>
              <w:ind w:firstLine="480"/>
              <w:rPr>
                <w:color w:val="auto"/>
              </w:rPr>
            </w:pPr>
            <w:r>
              <w:rPr>
                <w:rFonts w:hint="eastAsia"/>
                <w:color w:val="auto"/>
              </w:rPr>
              <w:t>NO</w:t>
            </w:r>
            <w:r>
              <w:rPr>
                <w:rFonts w:hint="eastAsia"/>
                <w:color w:val="auto"/>
                <w:vertAlign w:val="subscript"/>
              </w:rPr>
              <w:t>X</w:t>
            </w:r>
            <w:r>
              <w:rPr>
                <w:rFonts w:hint="eastAsia"/>
                <w:color w:val="auto"/>
              </w:rPr>
              <w:t>产污系数为18.71kg/万立方米，</w:t>
            </w:r>
          </w:p>
          <w:p>
            <w:pPr>
              <w:ind w:firstLine="480"/>
              <w:rPr>
                <w:color w:val="auto"/>
              </w:rPr>
            </w:pPr>
            <w:r>
              <w:rPr>
                <w:rFonts w:hint="eastAsia"/>
                <w:color w:val="auto"/>
              </w:rPr>
              <w:t>颗粒物产污系数为2.86kg/万立方米。</w:t>
            </w:r>
          </w:p>
          <w:p>
            <w:pPr>
              <w:ind w:firstLine="480"/>
              <w:rPr>
                <w:color w:val="auto"/>
              </w:rPr>
            </w:pPr>
            <w:r>
              <w:rPr>
                <w:rFonts w:hint="eastAsia"/>
                <w:color w:val="auto"/>
              </w:rPr>
              <w:t>本项目燃料为天然气，引风机风量为5000</w:t>
            </w:r>
            <w:r>
              <w:rPr>
                <w:color w:val="auto"/>
              </w:rPr>
              <w:t>m³</w:t>
            </w:r>
            <w:r>
              <w:rPr>
                <w:rFonts w:hint="eastAsia"/>
                <w:color w:val="auto"/>
              </w:rPr>
              <w:t>/h，燃料燃烧过程会产生颗粒物、SO</w:t>
            </w:r>
            <w:r>
              <w:rPr>
                <w:rFonts w:hint="eastAsia"/>
                <w:color w:val="auto"/>
                <w:vertAlign w:val="subscript"/>
              </w:rPr>
              <w:t>2</w:t>
            </w:r>
            <w:r>
              <w:rPr>
                <w:rFonts w:hint="eastAsia"/>
                <w:color w:val="auto"/>
              </w:rPr>
              <w:t>、NOx等燃料尾气。天然气属环保清洁燃料，在运行时一般不需对烟气进行处理，但在操作中应严格按照操作程序执行，尽可能的使之充分燃烧。项目固化炉燃烧废气通过一根15m高（2#）排气筒排放</w:t>
            </w:r>
            <w:r>
              <w:rPr>
                <w:color w:val="auto"/>
              </w:rPr>
              <w:t>，</w:t>
            </w:r>
            <w:r>
              <w:rPr>
                <w:rFonts w:hint="eastAsia"/>
                <w:color w:val="auto"/>
              </w:rPr>
              <w:t xml:space="preserve">因此根据项目产排情况汇总详情如下表5-1。 </w:t>
            </w:r>
          </w:p>
          <w:p>
            <w:pPr>
              <w:pStyle w:val="48"/>
              <w:widowControl/>
              <w:ind w:firstLine="422" w:firstLineChars="0"/>
              <w:rPr>
                <w:color w:val="auto"/>
              </w:rPr>
            </w:pPr>
            <w:r>
              <w:rPr>
                <w:color w:val="auto"/>
              </w:rPr>
              <w:t>表5-1   固化炉的产排一览表</w:t>
            </w:r>
          </w:p>
          <w:tbl>
            <w:tblPr>
              <w:tblStyle w:val="37"/>
              <w:tblW w:w="8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1076"/>
              <w:gridCol w:w="1363"/>
              <w:gridCol w:w="1611"/>
              <w:gridCol w:w="1213"/>
              <w:gridCol w:w="1350"/>
              <w:gridCol w:w="1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vMerge w:val="restart"/>
                  <w:noWrap/>
                  <w:vAlign w:val="center"/>
                </w:tcPr>
                <w:p>
                  <w:pPr>
                    <w:pStyle w:val="50"/>
                    <w:rPr>
                      <w:color w:val="auto"/>
                    </w:rPr>
                  </w:pPr>
                  <w:r>
                    <w:rPr>
                      <w:color w:val="auto"/>
                    </w:rPr>
                    <w:t>污染物</w:t>
                  </w:r>
                </w:p>
              </w:tc>
              <w:tc>
                <w:tcPr>
                  <w:tcW w:w="607" w:type="pct"/>
                  <w:vMerge w:val="restart"/>
                  <w:noWrap/>
                  <w:vAlign w:val="center"/>
                </w:tcPr>
                <w:p>
                  <w:pPr>
                    <w:pStyle w:val="104"/>
                    <w:autoSpaceDE w:val="0"/>
                    <w:autoSpaceDN w:val="0"/>
                    <w:adjustRightInd/>
                    <w:snapToGrid/>
                    <w:spacing w:line="240" w:lineRule="atLeast"/>
                    <w:ind w:firstLine="0" w:firstLineChars="0"/>
                    <w:jc w:val="center"/>
                    <w:rPr>
                      <w:rFonts w:ascii="Times New Roman" w:hAnsi="Times New Roman"/>
                      <w:color w:val="auto"/>
                      <w:lang w:eastAsia="zh-CN"/>
                    </w:rPr>
                  </w:pPr>
                  <w:r>
                    <w:rPr>
                      <w:color w:val="auto"/>
                      <w:sz w:val="21"/>
                      <w:szCs w:val="21"/>
                      <w:lang w:eastAsia="zh-CN"/>
                    </w:rPr>
                    <w:t>排放方式</w:t>
                  </w:r>
                </w:p>
              </w:tc>
              <w:tc>
                <w:tcPr>
                  <w:tcW w:w="769" w:type="pct"/>
                  <w:vMerge w:val="restart"/>
                  <w:noWrap/>
                  <w:vAlign w:val="center"/>
                </w:tcPr>
                <w:p>
                  <w:pPr>
                    <w:pStyle w:val="50"/>
                    <w:rPr>
                      <w:color w:val="auto"/>
                    </w:rPr>
                  </w:pPr>
                  <w:r>
                    <w:rPr>
                      <w:color w:val="auto"/>
                    </w:rPr>
                    <w:t>用气量（万</w:t>
                  </w:r>
                </w:p>
                <w:p>
                  <w:pPr>
                    <w:pStyle w:val="50"/>
                    <w:rPr>
                      <w:color w:val="auto"/>
                    </w:rPr>
                  </w:pPr>
                  <w:r>
                    <w:rPr>
                      <w:color w:val="auto"/>
                    </w:rPr>
                    <w:t>m</w:t>
                  </w:r>
                  <w:r>
                    <w:rPr>
                      <w:color w:val="auto"/>
                      <w:vertAlign w:val="superscript"/>
                    </w:rPr>
                    <w:t>3</w:t>
                  </w:r>
                  <w:r>
                    <w:rPr>
                      <w:color w:val="auto"/>
                    </w:rPr>
                    <w:t>/a）</w:t>
                  </w:r>
                </w:p>
              </w:tc>
              <w:tc>
                <w:tcPr>
                  <w:tcW w:w="908" w:type="pct"/>
                  <w:vMerge w:val="restart"/>
                  <w:noWrap/>
                  <w:vAlign w:val="center"/>
                </w:tcPr>
                <w:p>
                  <w:pPr>
                    <w:pStyle w:val="50"/>
                    <w:rPr>
                      <w:color w:val="auto"/>
                    </w:rPr>
                  </w:pPr>
                  <w:r>
                    <w:rPr>
                      <w:color w:val="auto"/>
                    </w:rPr>
                    <w:t>排放系数</w:t>
                  </w:r>
                </w:p>
                <w:p>
                  <w:pPr>
                    <w:pStyle w:val="50"/>
                    <w:rPr>
                      <w:color w:val="auto"/>
                    </w:rPr>
                  </w:pPr>
                  <w:r>
                    <w:rPr>
                      <w:color w:val="auto"/>
                    </w:rPr>
                    <w:t>（kg/万m</w:t>
                  </w:r>
                  <w:r>
                    <w:rPr>
                      <w:color w:val="auto"/>
                      <w:vertAlign w:val="superscript"/>
                    </w:rPr>
                    <w:t>3</w:t>
                  </w:r>
                  <w:r>
                    <w:rPr>
                      <w:color w:val="auto"/>
                    </w:rPr>
                    <w:t>）</w:t>
                  </w:r>
                </w:p>
              </w:tc>
              <w:tc>
                <w:tcPr>
                  <w:tcW w:w="2019" w:type="pct"/>
                  <w:gridSpan w:val="3"/>
                  <w:noWrap/>
                  <w:vAlign w:val="center"/>
                </w:tcPr>
                <w:p>
                  <w:pPr>
                    <w:pStyle w:val="50"/>
                    <w:rPr>
                      <w:color w:val="auto"/>
                    </w:rPr>
                  </w:pPr>
                  <w:r>
                    <w:rPr>
                      <w:color w:val="auto"/>
                    </w:rPr>
                    <w:t>排放情况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694" w:type="pct"/>
                  <w:vMerge w:val="continue"/>
                  <w:noWrap/>
                  <w:vAlign w:val="center"/>
                </w:tcPr>
                <w:p>
                  <w:pPr>
                    <w:pStyle w:val="50"/>
                    <w:rPr>
                      <w:color w:val="auto"/>
                    </w:rPr>
                  </w:pPr>
                </w:p>
              </w:tc>
              <w:tc>
                <w:tcPr>
                  <w:tcW w:w="607" w:type="pct"/>
                  <w:vMerge w:val="continue"/>
                  <w:noWrap/>
                  <w:vAlign w:val="center"/>
                </w:tcPr>
                <w:p>
                  <w:pPr>
                    <w:pStyle w:val="50"/>
                    <w:rPr>
                      <w:color w:val="auto"/>
                    </w:rPr>
                  </w:pPr>
                </w:p>
              </w:tc>
              <w:tc>
                <w:tcPr>
                  <w:tcW w:w="769" w:type="pct"/>
                  <w:vMerge w:val="continue"/>
                  <w:noWrap/>
                  <w:vAlign w:val="center"/>
                </w:tcPr>
                <w:p>
                  <w:pPr>
                    <w:pStyle w:val="50"/>
                    <w:rPr>
                      <w:color w:val="auto"/>
                    </w:rPr>
                  </w:pPr>
                </w:p>
              </w:tc>
              <w:tc>
                <w:tcPr>
                  <w:tcW w:w="908" w:type="pct"/>
                  <w:vMerge w:val="continue"/>
                  <w:noWrap/>
                  <w:vAlign w:val="center"/>
                </w:tcPr>
                <w:p>
                  <w:pPr>
                    <w:pStyle w:val="50"/>
                    <w:rPr>
                      <w:color w:val="auto"/>
                    </w:rPr>
                  </w:pPr>
                </w:p>
              </w:tc>
              <w:tc>
                <w:tcPr>
                  <w:tcW w:w="684" w:type="pct"/>
                  <w:noWrap/>
                  <w:vAlign w:val="center"/>
                </w:tcPr>
                <w:p>
                  <w:pPr>
                    <w:pStyle w:val="50"/>
                    <w:rPr>
                      <w:color w:val="auto"/>
                    </w:rPr>
                  </w:pPr>
                  <w:r>
                    <w:rPr>
                      <w:rFonts w:hint="eastAsia"/>
                      <w:color w:val="auto"/>
                    </w:rPr>
                    <w:t>排放速率</w:t>
                  </w:r>
                  <w:r>
                    <w:rPr>
                      <w:color w:val="auto"/>
                    </w:rPr>
                    <w:t>kg/h</w:t>
                  </w:r>
                </w:p>
              </w:tc>
              <w:tc>
                <w:tcPr>
                  <w:tcW w:w="762" w:type="pct"/>
                  <w:noWrap/>
                  <w:vAlign w:val="center"/>
                </w:tcPr>
                <w:p>
                  <w:pPr>
                    <w:pStyle w:val="50"/>
                    <w:rPr>
                      <w:color w:val="auto"/>
                    </w:rPr>
                  </w:pPr>
                  <w:r>
                    <w:rPr>
                      <w:color w:val="auto"/>
                    </w:rPr>
                    <w:t>排放浓度mg/m</w:t>
                  </w:r>
                  <w:r>
                    <w:rPr>
                      <w:color w:val="auto"/>
                      <w:vertAlign w:val="superscript"/>
                    </w:rPr>
                    <w:t>3</w:t>
                  </w:r>
                </w:p>
              </w:tc>
              <w:tc>
                <w:tcPr>
                  <w:tcW w:w="572" w:type="pct"/>
                  <w:noWrap/>
                  <w:vAlign w:val="center"/>
                </w:tcPr>
                <w:p>
                  <w:pPr>
                    <w:pStyle w:val="50"/>
                    <w:rPr>
                      <w:color w:val="auto"/>
                    </w:rPr>
                  </w:pPr>
                  <w:r>
                    <w:rPr>
                      <w:color w:val="auto"/>
                    </w:rPr>
                    <w:t>排放量t/a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4" w:type="pct"/>
                  <w:noWrap/>
                  <w:vAlign w:val="center"/>
                </w:tcPr>
                <w:p>
                  <w:pPr>
                    <w:pStyle w:val="50"/>
                    <w:rPr>
                      <w:color w:val="auto"/>
                    </w:rPr>
                  </w:pPr>
                  <w:r>
                    <w:rPr>
                      <w:color w:val="auto"/>
                    </w:rPr>
                    <w:t>SO</w:t>
                  </w:r>
                  <w:r>
                    <w:rPr>
                      <w:color w:val="auto"/>
                      <w:vertAlign w:val="subscript"/>
                    </w:rPr>
                    <w:t>2</w:t>
                  </w:r>
                </w:p>
              </w:tc>
              <w:tc>
                <w:tcPr>
                  <w:tcW w:w="607" w:type="pct"/>
                  <w:vMerge w:val="restart"/>
                  <w:noWrap/>
                  <w:vAlign w:val="center"/>
                </w:tcPr>
                <w:p>
                  <w:pPr>
                    <w:pStyle w:val="104"/>
                    <w:autoSpaceDE w:val="0"/>
                    <w:autoSpaceDN w:val="0"/>
                    <w:adjustRightInd/>
                    <w:snapToGrid/>
                    <w:spacing w:line="240" w:lineRule="atLeast"/>
                    <w:ind w:firstLine="0" w:firstLineChars="0"/>
                    <w:jc w:val="center"/>
                    <w:rPr>
                      <w:color w:val="auto"/>
                      <w:lang w:eastAsia="zh-CN"/>
                    </w:rPr>
                  </w:pPr>
                  <w:r>
                    <w:rPr>
                      <w:color w:val="auto"/>
                      <w:sz w:val="21"/>
                      <w:szCs w:val="21"/>
                      <w:lang w:eastAsia="zh-CN"/>
                    </w:rPr>
                    <w:t>有组织</w:t>
                  </w:r>
                </w:p>
              </w:tc>
              <w:tc>
                <w:tcPr>
                  <w:tcW w:w="769" w:type="pct"/>
                  <w:vMerge w:val="restart"/>
                  <w:noWrap/>
                  <w:vAlign w:val="center"/>
                </w:tcPr>
                <w:p>
                  <w:pPr>
                    <w:pStyle w:val="50"/>
                    <w:rPr>
                      <w:color w:val="auto"/>
                    </w:rPr>
                  </w:pPr>
                  <w:r>
                    <w:rPr>
                      <w:rFonts w:hint="eastAsia"/>
                      <w:color w:val="auto"/>
                    </w:rPr>
                    <w:t>9.6</w:t>
                  </w:r>
                </w:p>
              </w:tc>
              <w:tc>
                <w:tcPr>
                  <w:tcW w:w="908" w:type="pct"/>
                  <w:noWrap/>
                  <w:vAlign w:val="center"/>
                </w:tcPr>
                <w:p>
                  <w:pPr>
                    <w:pStyle w:val="50"/>
                    <w:rPr>
                      <w:color w:val="auto"/>
                    </w:rPr>
                  </w:pPr>
                  <w:r>
                    <w:rPr>
                      <w:rFonts w:hint="eastAsia"/>
                      <w:color w:val="auto"/>
                    </w:rPr>
                    <w:t>0.4</w:t>
                  </w:r>
                </w:p>
              </w:tc>
              <w:tc>
                <w:tcPr>
                  <w:tcW w:w="684" w:type="pct"/>
                  <w:noWrap/>
                  <w:vAlign w:val="center"/>
                </w:tcPr>
                <w:p>
                  <w:pPr>
                    <w:pStyle w:val="50"/>
                    <w:rPr>
                      <w:color w:val="auto"/>
                    </w:rPr>
                  </w:pPr>
                  <w:r>
                    <w:rPr>
                      <w:rFonts w:hint="eastAsia"/>
                      <w:color w:val="auto"/>
                    </w:rPr>
                    <w:t>0.0016</w:t>
                  </w:r>
                </w:p>
              </w:tc>
              <w:tc>
                <w:tcPr>
                  <w:tcW w:w="762" w:type="pct"/>
                  <w:noWrap/>
                  <w:vAlign w:val="center"/>
                </w:tcPr>
                <w:p>
                  <w:pPr>
                    <w:pStyle w:val="50"/>
                    <w:rPr>
                      <w:color w:val="auto"/>
                    </w:rPr>
                  </w:pPr>
                  <w:r>
                    <w:rPr>
                      <w:rFonts w:hint="eastAsia"/>
                      <w:color w:val="auto"/>
                    </w:rPr>
                    <w:t>0.32</w:t>
                  </w:r>
                </w:p>
              </w:tc>
              <w:tc>
                <w:tcPr>
                  <w:tcW w:w="572" w:type="pct"/>
                  <w:noWrap/>
                  <w:vAlign w:val="center"/>
                </w:tcPr>
                <w:p>
                  <w:pPr>
                    <w:pStyle w:val="50"/>
                    <w:rPr>
                      <w:color w:val="auto"/>
                    </w:rPr>
                  </w:pPr>
                  <w:r>
                    <w:rPr>
                      <w:rFonts w:hint="eastAsia"/>
                      <w:color w:val="auto"/>
                    </w:rPr>
                    <w:t>0.00384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694" w:type="pct"/>
                  <w:noWrap/>
                  <w:vAlign w:val="center"/>
                </w:tcPr>
                <w:p>
                  <w:pPr>
                    <w:pStyle w:val="50"/>
                    <w:rPr>
                      <w:color w:val="auto"/>
                    </w:rPr>
                  </w:pPr>
                  <w:r>
                    <w:rPr>
                      <w:color w:val="auto"/>
                    </w:rPr>
                    <w:t>氮氧化物</w:t>
                  </w:r>
                </w:p>
              </w:tc>
              <w:tc>
                <w:tcPr>
                  <w:tcW w:w="607" w:type="pct"/>
                  <w:vMerge w:val="continue"/>
                  <w:noWrap/>
                  <w:vAlign w:val="center"/>
                </w:tcPr>
                <w:p>
                  <w:pPr>
                    <w:pStyle w:val="50"/>
                    <w:rPr>
                      <w:color w:val="auto"/>
                    </w:rPr>
                  </w:pPr>
                </w:p>
              </w:tc>
              <w:tc>
                <w:tcPr>
                  <w:tcW w:w="769" w:type="pct"/>
                  <w:vMerge w:val="continue"/>
                  <w:noWrap/>
                  <w:vAlign w:val="center"/>
                </w:tcPr>
                <w:p>
                  <w:pPr>
                    <w:pStyle w:val="50"/>
                    <w:rPr>
                      <w:color w:val="auto"/>
                    </w:rPr>
                  </w:pPr>
                </w:p>
              </w:tc>
              <w:tc>
                <w:tcPr>
                  <w:tcW w:w="908" w:type="pct"/>
                  <w:noWrap/>
                  <w:vAlign w:val="center"/>
                </w:tcPr>
                <w:p>
                  <w:pPr>
                    <w:pStyle w:val="50"/>
                    <w:rPr>
                      <w:color w:val="auto"/>
                    </w:rPr>
                  </w:pPr>
                  <w:r>
                    <w:rPr>
                      <w:rFonts w:hint="eastAsia"/>
                      <w:color w:val="auto"/>
                    </w:rPr>
                    <w:t>18.71</w:t>
                  </w:r>
                </w:p>
              </w:tc>
              <w:tc>
                <w:tcPr>
                  <w:tcW w:w="684" w:type="pct"/>
                  <w:noWrap/>
                  <w:vAlign w:val="center"/>
                </w:tcPr>
                <w:p>
                  <w:pPr>
                    <w:pStyle w:val="50"/>
                    <w:rPr>
                      <w:color w:val="auto"/>
                    </w:rPr>
                  </w:pPr>
                  <w:r>
                    <w:rPr>
                      <w:rFonts w:hint="eastAsia"/>
                      <w:color w:val="auto"/>
                    </w:rPr>
                    <w:t>0.075</w:t>
                  </w:r>
                </w:p>
              </w:tc>
              <w:tc>
                <w:tcPr>
                  <w:tcW w:w="762" w:type="pct"/>
                  <w:noWrap/>
                  <w:vAlign w:val="center"/>
                </w:tcPr>
                <w:p>
                  <w:pPr>
                    <w:pStyle w:val="50"/>
                    <w:rPr>
                      <w:color w:val="auto"/>
                    </w:rPr>
                  </w:pPr>
                  <w:r>
                    <w:rPr>
                      <w:rFonts w:hint="eastAsia"/>
                      <w:color w:val="auto"/>
                    </w:rPr>
                    <w:t>15</w:t>
                  </w:r>
                </w:p>
              </w:tc>
              <w:tc>
                <w:tcPr>
                  <w:tcW w:w="572" w:type="pct"/>
                  <w:noWrap/>
                  <w:vAlign w:val="center"/>
                </w:tcPr>
                <w:p>
                  <w:pPr>
                    <w:pStyle w:val="50"/>
                    <w:rPr>
                      <w:color w:val="auto"/>
                    </w:rPr>
                  </w:pPr>
                  <w:r>
                    <w:rPr>
                      <w:rFonts w:hint="eastAsia"/>
                      <w:color w:val="auto"/>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694" w:type="pct"/>
                  <w:noWrap/>
                  <w:vAlign w:val="center"/>
                </w:tcPr>
                <w:p>
                  <w:pPr>
                    <w:pStyle w:val="50"/>
                    <w:rPr>
                      <w:color w:val="auto"/>
                    </w:rPr>
                  </w:pPr>
                  <w:r>
                    <w:rPr>
                      <w:color w:val="auto"/>
                    </w:rPr>
                    <w:t>颗粒物</w:t>
                  </w:r>
                </w:p>
              </w:tc>
              <w:tc>
                <w:tcPr>
                  <w:tcW w:w="607" w:type="pct"/>
                  <w:vMerge w:val="continue"/>
                  <w:noWrap/>
                  <w:vAlign w:val="center"/>
                </w:tcPr>
                <w:p>
                  <w:pPr>
                    <w:pStyle w:val="50"/>
                    <w:rPr>
                      <w:color w:val="auto"/>
                    </w:rPr>
                  </w:pPr>
                </w:p>
              </w:tc>
              <w:tc>
                <w:tcPr>
                  <w:tcW w:w="769" w:type="pct"/>
                  <w:vMerge w:val="continue"/>
                  <w:noWrap/>
                  <w:vAlign w:val="center"/>
                </w:tcPr>
                <w:p>
                  <w:pPr>
                    <w:pStyle w:val="50"/>
                    <w:rPr>
                      <w:color w:val="auto"/>
                    </w:rPr>
                  </w:pPr>
                </w:p>
              </w:tc>
              <w:tc>
                <w:tcPr>
                  <w:tcW w:w="908" w:type="pct"/>
                  <w:noWrap/>
                  <w:vAlign w:val="center"/>
                </w:tcPr>
                <w:p>
                  <w:pPr>
                    <w:pStyle w:val="50"/>
                    <w:rPr>
                      <w:color w:val="auto"/>
                    </w:rPr>
                  </w:pPr>
                  <w:r>
                    <w:rPr>
                      <w:rFonts w:hint="eastAsia"/>
                      <w:color w:val="auto"/>
                    </w:rPr>
                    <w:t>2.86</w:t>
                  </w:r>
                </w:p>
              </w:tc>
              <w:tc>
                <w:tcPr>
                  <w:tcW w:w="684" w:type="pct"/>
                  <w:noWrap/>
                  <w:vAlign w:val="center"/>
                </w:tcPr>
                <w:p>
                  <w:pPr>
                    <w:pStyle w:val="50"/>
                    <w:rPr>
                      <w:color w:val="auto"/>
                    </w:rPr>
                  </w:pPr>
                  <w:r>
                    <w:rPr>
                      <w:rFonts w:hint="eastAsia"/>
                      <w:color w:val="auto"/>
                    </w:rPr>
                    <w:t>0.0115</w:t>
                  </w:r>
                </w:p>
              </w:tc>
              <w:tc>
                <w:tcPr>
                  <w:tcW w:w="762" w:type="pct"/>
                  <w:noWrap/>
                  <w:vAlign w:val="center"/>
                </w:tcPr>
                <w:p>
                  <w:pPr>
                    <w:pStyle w:val="50"/>
                    <w:rPr>
                      <w:color w:val="auto"/>
                    </w:rPr>
                  </w:pPr>
                  <w:r>
                    <w:rPr>
                      <w:rFonts w:hint="eastAsia"/>
                      <w:color w:val="auto"/>
                    </w:rPr>
                    <w:t>2.3</w:t>
                  </w:r>
                </w:p>
              </w:tc>
              <w:tc>
                <w:tcPr>
                  <w:tcW w:w="572" w:type="pct"/>
                  <w:noWrap/>
                  <w:vAlign w:val="center"/>
                </w:tcPr>
                <w:p>
                  <w:pPr>
                    <w:pStyle w:val="50"/>
                    <w:rPr>
                      <w:color w:val="auto"/>
                    </w:rPr>
                  </w:pPr>
                  <w:r>
                    <w:rPr>
                      <w:rFonts w:hint="eastAsia"/>
                      <w:color w:val="auto"/>
                    </w:rPr>
                    <w:t>0.0275</w:t>
                  </w:r>
                </w:p>
              </w:tc>
            </w:tr>
          </w:tbl>
          <w:p>
            <w:pPr>
              <w:widowControl/>
              <w:adjustRightInd/>
              <w:snapToGrid/>
              <w:ind w:firstLine="480"/>
              <w:rPr>
                <w:color w:val="auto"/>
              </w:rPr>
            </w:pPr>
            <w:r>
              <w:rPr>
                <w:rFonts w:hint="eastAsia"/>
                <w:color w:val="auto"/>
              </w:rPr>
              <w:t>根据上表统计结果可知，项目固化炉燃料为天然气，颗粒物、二氧化硫和氮氧化物满足GB16297-1996《大气污染物综合排放标准》表2二级标准限值，即颗粒物≤120mg/m</w:t>
            </w:r>
            <w:r>
              <w:rPr>
                <w:rFonts w:hint="eastAsia"/>
                <w:color w:val="auto"/>
                <w:vertAlign w:val="superscript"/>
              </w:rPr>
              <w:t>3</w:t>
            </w:r>
            <w:r>
              <w:rPr>
                <w:rFonts w:hint="eastAsia"/>
                <w:color w:val="auto"/>
              </w:rPr>
              <w:t>，SO</w:t>
            </w:r>
            <w:r>
              <w:rPr>
                <w:rFonts w:hint="eastAsia"/>
                <w:color w:val="auto"/>
                <w:vertAlign w:val="subscript"/>
              </w:rPr>
              <w:t>2</w:t>
            </w:r>
            <w:r>
              <w:rPr>
                <w:rFonts w:hint="eastAsia"/>
                <w:color w:val="auto"/>
              </w:rPr>
              <w:t>≤550mg/m</w:t>
            </w:r>
            <w:r>
              <w:rPr>
                <w:rFonts w:hint="eastAsia"/>
                <w:color w:val="auto"/>
                <w:vertAlign w:val="superscript"/>
              </w:rPr>
              <w:t>3</w:t>
            </w:r>
            <w:r>
              <w:rPr>
                <w:rFonts w:hint="eastAsia"/>
                <w:color w:val="auto"/>
              </w:rPr>
              <w:t>，NOx≤240mg/m</w:t>
            </w:r>
            <w:r>
              <w:rPr>
                <w:rFonts w:hint="eastAsia"/>
                <w:color w:val="auto"/>
                <w:vertAlign w:val="superscript"/>
              </w:rPr>
              <w:t>3</w:t>
            </w:r>
            <w:r>
              <w:rPr>
                <w:rFonts w:hint="eastAsia"/>
                <w:color w:val="auto"/>
              </w:rPr>
              <w:t>。</w:t>
            </w:r>
          </w:p>
          <w:p>
            <w:pPr>
              <w:ind w:firstLine="478"/>
              <w:contextualSpacing/>
              <w:rPr>
                <w:b/>
                <w:color w:val="auto"/>
                <w:spacing w:val="-1"/>
              </w:rPr>
            </w:pPr>
            <w:r>
              <w:rPr>
                <w:b/>
                <w:color w:val="auto"/>
                <w:spacing w:val="-1"/>
              </w:rPr>
              <w:t>（5）固化废气（G5）</w:t>
            </w:r>
          </w:p>
          <w:p>
            <w:pPr>
              <w:numPr>
                <w:ilvl w:val="255"/>
                <w:numId w:val="0"/>
              </w:numPr>
              <w:ind w:firstLine="480" w:firstLineChars="200"/>
              <w:rPr>
                <w:color w:val="auto"/>
              </w:rPr>
            </w:pPr>
            <w:r>
              <w:rPr>
                <w:rFonts w:hint="eastAsia"/>
                <w:color w:val="auto"/>
              </w:rPr>
              <w:t>喷塑后需进行烘烤固化，使树脂粉末牢固附着于构件表面，本项目所用塑粉为</w:t>
            </w:r>
            <w:r>
              <w:rPr>
                <w:color w:val="auto"/>
                <w:kern w:val="2"/>
              </w:rPr>
              <w:t>环氧聚酯塑粉</w:t>
            </w:r>
            <w:r>
              <w:rPr>
                <w:rFonts w:hint="eastAsia"/>
                <w:color w:val="auto"/>
              </w:rPr>
              <w:t>，其分解温度约为300℃，而本项目烘房控制最高温度为210℃，粉末固化过程有机物分解较少，其分解的主要是塑粉中的挥发份，产生的有机废气</w:t>
            </w:r>
            <w:r>
              <w:rPr>
                <w:rFonts w:hint="eastAsia"/>
                <w:color w:val="auto"/>
                <w:lang w:val="en-US" w:eastAsia="zh-CN"/>
              </w:rPr>
              <w:t>为VOCs（以非甲烷总烃计）</w:t>
            </w:r>
            <w:r>
              <w:rPr>
                <w:rFonts w:hint="eastAsia"/>
                <w:color w:val="auto"/>
              </w:rPr>
              <w:t>。根据《环氧-聚酯粉末涂料》HG/T2597-94和《熔融结合环氧树脂粉末涂料的防腐涂装》GB/T18593-2001，环氧聚酯粉末指标中挥发份含量≤0.6%，环评考虑最不利影响即本项目使用塑粉挥发份在烘烤固化阶段完全挥发，则本项目喷塑粉使用量为14t/a，挥发性有机物产生量为0.084t/a。固化炉年工作300天，每天8小时，固化炉为封闭循环加热，固化废气（G5）经固化炉顶部设置的抽风系统引入</w:t>
            </w:r>
            <w:r>
              <w:rPr>
                <w:rFonts w:hint="eastAsia"/>
                <w:color w:val="auto"/>
                <w:lang w:val="en-US" w:eastAsia="zh-CN"/>
              </w:rPr>
              <w:t>UV光氧+</w:t>
            </w:r>
            <w:r>
              <w:rPr>
                <w:rFonts w:hint="eastAsia"/>
                <w:color w:val="auto"/>
              </w:rPr>
              <w:t>活性炭吸附装置处理后至15m高（2#）排气筒排放。</w:t>
            </w:r>
            <w:r>
              <w:rPr>
                <w:color w:val="auto"/>
              </w:rPr>
              <w:t>根据《广东省印刷行业挥发性有机化合物废气治理技术指南》，</w:t>
            </w:r>
            <w:r>
              <w:rPr>
                <w:rFonts w:hint="default" w:ascii="Times New Roman" w:hAnsi="Times New Roman" w:eastAsia="宋体" w:cs="Times New Roman"/>
                <w:color w:val="auto"/>
                <w:lang w:val="en-US" w:eastAsia="zh-CN"/>
              </w:rPr>
              <w:t>UV</w:t>
            </w:r>
            <w:r>
              <w:rPr>
                <w:color w:val="auto"/>
              </w:rPr>
              <w:t>光氧催化设备净化效率为50~80%，活性炭吸附处理设备净化效率为50~80%，本项目</w:t>
            </w:r>
            <w:r>
              <w:rPr>
                <w:rFonts w:hint="default" w:ascii="Times New Roman" w:hAnsi="Times New Roman" w:eastAsia="宋体" w:cs="Times New Roman"/>
                <w:color w:val="auto"/>
                <w:lang w:val="en-US" w:eastAsia="zh-CN"/>
              </w:rPr>
              <w:t>UV光氧废气净化装置净化率</w:t>
            </w:r>
            <w:r>
              <w:rPr>
                <w:rFonts w:hint="eastAsia" w:eastAsia="宋体" w:cs="Times New Roman"/>
                <w:color w:val="auto"/>
                <w:lang w:val="en-US" w:eastAsia="zh-CN"/>
              </w:rPr>
              <w:t>取50</w:t>
            </w:r>
            <w:r>
              <w:rPr>
                <w:rFonts w:hint="default" w:ascii="Times New Roman" w:hAnsi="Times New Roman" w:eastAsia="宋体" w:cs="Times New Roman"/>
                <w:color w:val="auto"/>
                <w:lang w:val="en-US" w:eastAsia="zh-CN"/>
              </w:rPr>
              <w:t>%，</w:t>
            </w:r>
            <w:r>
              <w:rPr>
                <w:rFonts w:hint="eastAsia"/>
                <w:color w:val="auto"/>
              </w:rPr>
              <w:t>活性炭吸附设备</w:t>
            </w:r>
            <w:r>
              <w:rPr>
                <w:rFonts w:hint="default" w:ascii="Times New Roman" w:hAnsi="Times New Roman" w:eastAsia="宋体" w:cs="Times New Roman"/>
                <w:color w:val="auto"/>
                <w:lang w:val="en-US" w:eastAsia="zh-CN"/>
              </w:rPr>
              <w:t>净化率</w:t>
            </w:r>
            <w:r>
              <w:rPr>
                <w:rFonts w:hint="eastAsia" w:eastAsia="宋体" w:cs="Times New Roman"/>
                <w:color w:val="auto"/>
                <w:lang w:val="en-US" w:eastAsia="zh-CN"/>
              </w:rPr>
              <w:t>取60</w:t>
            </w:r>
            <w:r>
              <w:rPr>
                <w:rFonts w:hint="default" w:ascii="Times New Roman" w:hAnsi="Times New Roman" w:eastAsia="宋体" w:cs="Times New Roman"/>
                <w:color w:val="auto"/>
                <w:lang w:val="en-US" w:eastAsia="zh-CN"/>
              </w:rPr>
              <w:t>%</w:t>
            </w:r>
            <w:r>
              <w:rPr>
                <w:rFonts w:hint="eastAsia" w:eastAsia="宋体" w:cs="Times New Roman"/>
                <w:color w:val="auto"/>
                <w:lang w:val="en-US" w:eastAsia="zh-CN"/>
              </w:rPr>
              <w:t>，</w:t>
            </w:r>
            <w:r>
              <w:rPr>
                <w:rFonts w:hint="eastAsia"/>
                <w:color w:val="auto"/>
              </w:rPr>
              <w:t>引风机风量为5000</w:t>
            </w:r>
            <w:r>
              <w:rPr>
                <w:color w:val="auto"/>
              </w:rPr>
              <w:t>m³</w:t>
            </w:r>
            <w:r>
              <w:rPr>
                <w:rFonts w:hint="eastAsia"/>
                <w:color w:val="auto"/>
              </w:rPr>
              <w:t>/h，则固化废气（G5）有组织产生量为0.084t/a，有组织排放量为</w:t>
            </w:r>
            <w:r>
              <w:rPr>
                <w:rFonts w:hint="eastAsia"/>
                <w:color w:val="auto"/>
                <w:lang w:val="en-US" w:eastAsia="zh-CN"/>
              </w:rPr>
              <w:t>0.0168</w:t>
            </w:r>
            <w:r>
              <w:rPr>
                <w:rFonts w:hint="eastAsia"/>
                <w:color w:val="auto"/>
              </w:rPr>
              <w:t>t/a，有组织排放速率为</w:t>
            </w:r>
            <w:r>
              <w:rPr>
                <w:rFonts w:hint="eastAsia"/>
                <w:color w:val="auto"/>
                <w:lang w:val="en-US" w:eastAsia="zh-CN"/>
              </w:rPr>
              <w:t>0.007</w:t>
            </w:r>
            <w:r>
              <w:rPr>
                <w:rFonts w:hint="eastAsia"/>
                <w:color w:val="auto"/>
              </w:rPr>
              <w:t>kg/h，排放浓度为</w:t>
            </w:r>
            <w:r>
              <w:rPr>
                <w:rFonts w:hint="eastAsia"/>
                <w:color w:val="auto"/>
                <w:lang w:val="en-US" w:eastAsia="zh-CN"/>
              </w:rPr>
              <w:t>1.4</w:t>
            </w:r>
            <w:r>
              <w:rPr>
                <w:rFonts w:hint="eastAsia"/>
                <w:color w:val="auto"/>
              </w:rPr>
              <w:t>mg/m</w:t>
            </w:r>
            <w:r>
              <w:rPr>
                <w:rFonts w:hint="eastAsia"/>
                <w:color w:val="auto"/>
                <w:vertAlign w:val="superscript"/>
              </w:rPr>
              <w:t>3</w:t>
            </w:r>
            <w:r>
              <w:rPr>
                <w:color w:val="auto"/>
              </w:rPr>
              <w:t>。</w:t>
            </w:r>
          </w:p>
          <w:p>
            <w:pPr>
              <w:ind w:firstLine="480"/>
              <w:rPr>
                <w:rFonts w:cs="宋体"/>
                <w:color w:val="auto"/>
                <w:kern w:val="2"/>
              </w:rPr>
            </w:pPr>
            <w:r>
              <w:rPr>
                <w:rFonts w:hint="eastAsia" w:ascii="宋体" w:hAnsi="宋体" w:cs="宋体"/>
                <w:color w:val="auto"/>
                <w:kern w:val="2"/>
              </w:rPr>
              <w:t>综上所述，项目主要污染物排放情况汇总如下表</w:t>
            </w:r>
            <w:r>
              <w:rPr>
                <w:rFonts w:hint="eastAsia" w:cs="宋体"/>
                <w:color w:val="auto"/>
                <w:kern w:val="2"/>
              </w:rPr>
              <w:t>5-2</w:t>
            </w:r>
            <w:r>
              <w:rPr>
                <w:rFonts w:hint="eastAsia" w:ascii="宋体" w:hAnsi="宋体" w:cs="宋体"/>
                <w:color w:val="auto"/>
                <w:kern w:val="2"/>
              </w:rPr>
              <w:t>所示。</w:t>
            </w:r>
          </w:p>
          <w:p>
            <w:pPr>
              <w:pStyle w:val="48"/>
              <w:ind w:firstLine="0" w:firstLineChars="0"/>
              <w:rPr>
                <w:color w:val="auto"/>
              </w:rPr>
            </w:pPr>
            <w:r>
              <w:rPr>
                <w:color w:val="auto"/>
              </w:rPr>
              <w:t>表5-</w:t>
            </w:r>
            <w:r>
              <w:rPr>
                <w:rFonts w:hint="eastAsia"/>
                <w:color w:val="auto"/>
              </w:rPr>
              <w:t xml:space="preserve">2 </w:t>
            </w:r>
            <w:r>
              <w:rPr>
                <w:color w:val="auto"/>
              </w:rPr>
              <w:t xml:space="preserve"> 项目废气主要污染物排放情况表</w:t>
            </w:r>
          </w:p>
          <w:tbl>
            <w:tblPr>
              <w:tblStyle w:val="37"/>
              <w:tblW w:w="89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7"/>
              <w:gridCol w:w="944"/>
              <w:gridCol w:w="859"/>
              <w:gridCol w:w="859"/>
              <w:gridCol w:w="955"/>
              <w:gridCol w:w="1203"/>
              <w:gridCol w:w="822"/>
              <w:gridCol w:w="948"/>
              <w:gridCol w:w="981"/>
              <w:gridCol w:w="6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697" w:type="dxa"/>
                  <w:vMerge w:val="restart"/>
                  <w:shd w:val="clear" w:color="auto" w:fill="auto"/>
                  <w:vAlign w:val="center"/>
                </w:tcPr>
                <w:p>
                  <w:pPr>
                    <w:pStyle w:val="50"/>
                    <w:rPr>
                      <w:color w:val="auto"/>
                    </w:rPr>
                  </w:pPr>
                  <w:r>
                    <w:rPr>
                      <w:rFonts w:hint="eastAsia"/>
                      <w:color w:val="auto"/>
                    </w:rPr>
                    <w:t>排放源</w:t>
                  </w:r>
                </w:p>
              </w:tc>
              <w:tc>
                <w:tcPr>
                  <w:tcW w:w="944" w:type="dxa"/>
                  <w:vMerge w:val="restart"/>
                  <w:shd w:val="clear" w:color="auto" w:fill="auto"/>
                  <w:vAlign w:val="center"/>
                </w:tcPr>
                <w:p>
                  <w:pPr>
                    <w:pStyle w:val="50"/>
                    <w:rPr>
                      <w:color w:val="auto"/>
                    </w:rPr>
                  </w:pPr>
                  <w:r>
                    <w:rPr>
                      <w:rFonts w:hint="eastAsia"/>
                      <w:color w:val="auto"/>
                    </w:rPr>
                    <w:t>污染物</w:t>
                  </w:r>
                </w:p>
                <w:p>
                  <w:pPr>
                    <w:pStyle w:val="50"/>
                    <w:rPr>
                      <w:color w:val="auto"/>
                    </w:rPr>
                  </w:pPr>
                  <w:r>
                    <w:rPr>
                      <w:rFonts w:hint="eastAsia"/>
                      <w:color w:val="auto"/>
                    </w:rPr>
                    <w:t>名称</w:t>
                  </w:r>
                </w:p>
              </w:tc>
              <w:tc>
                <w:tcPr>
                  <w:tcW w:w="2673" w:type="dxa"/>
                  <w:gridSpan w:val="3"/>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产生情况</w:t>
                  </w:r>
                </w:p>
              </w:tc>
              <w:tc>
                <w:tcPr>
                  <w:tcW w:w="1203" w:type="dxa"/>
                  <w:vMerge w:val="restart"/>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治理措施</w:t>
                  </w:r>
                </w:p>
              </w:tc>
              <w:tc>
                <w:tcPr>
                  <w:tcW w:w="2751" w:type="dxa"/>
                  <w:gridSpan w:val="3"/>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排放情况</w:t>
                  </w:r>
                </w:p>
              </w:tc>
              <w:tc>
                <w:tcPr>
                  <w:tcW w:w="696" w:type="dxa"/>
                  <w:vMerge w:val="restart"/>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排放方式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 w:hRule="atLeast"/>
                <w:jc w:val="center"/>
              </w:trPr>
              <w:tc>
                <w:tcPr>
                  <w:tcW w:w="697" w:type="dxa"/>
                  <w:vMerge w:val="continue"/>
                  <w:shd w:val="clear" w:color="auto" w:fill="auto"/>
                  <w:vAlign w:val="center"/>
                </w:tcPr>
                <w:p>
                  <w:pPr>
                    <w:pStyle w:val="50"/>
                    <w:rPr>
                      <w:color w:val="auto"/>
                    </w:rPr>
                  </w:pPr>
                </w:p>
              </w:tc>
              <w:tc>
                <w:tcPr>
                  <w:tcW w:w="944" w:type="dxa"/>
                  <w:vMerge w:val="continue"/>
                  <w:shd w:val="clear" w:color="auto" w:fill="auto"/>
                  <w:vAlign w:val="center"/>
                </w:tcPr>
                <w:p>
                  <w:pPr>
                    <w:pStyle w:val="50"/>
                    <w:rPr>
                      <w:color w:val="auto"/>
                    </w:rPr>
                  </w:pPr>
                </w:p>
              </w:tc>
              <w:tc>
                <w:tcPr>
                  <w:tcW w:w="859"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产生量</w:t>
                  </w:r>
                  <w:r>
                    <w:rPr>
                      <w:rFonts w:ascii="Times New Roman" w:hAnsi="Times New Roman"/>
                      <w:snapToGrid/>
                      <w:color w:val="auto"/>
                      <w:spacing w:val="-11"/>
                      <w:sz w:val="21"/>
                      <w:szCs w:val="21"/>
                    </w:rPr>
                    <w:t>t/a</w:t>
                  </w:r>
                </w:p>
              </w:tc>
              <w:tc>
                <w:tcPr>
                  <w:tcW w:w="859"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产生速率</w:t>
                  </w:r>
                  <w:r>
                    <w:rPr>
                      <w:rFonts w:ascii="Times New Roman" w:hAnsi="Times New Roman"/>
                      <w:snapToGrid/>
                      <w:color w:val="auto"/>
                      <w:spacing w:val="-11"/>
                      <w:sz w:val="21"/>
                      <w:szCs w:val="21"/>
                    </w:rPr>
                    <w:t>kg/h</w:t>
                  </w:r>
                </w:p>
              </w:tc>
              <w:tc>
                <w:tcPr>
                  <w:tcW w:w="955"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产生浓度</w:t>
                  </w:r>
                  <w:r>
                    <w:rPr>
                      <w:rFonts w:ascii="Times New Roman" w:hAnsi="Times New Roman"/>
                      <w:snapToGrid/>
                      <w:color w:val="auto"/>
                      <w:spacing w:val="-11"/>
                      <w:sz w:val="21"/>
                      <w:szCs w:val="21"/>
                    </w:rPr>
                    <w:t>mg/m</w:t>
                  </w:r>
                  <w:r>
                    <w:rPr>
                      <w:rFonts w:hint="eastAsia" w:ascii="Times New Roman" w:hAnsi="Times New Roman" w:cs="宋体"/>
                      <w:snapToGrid/>
                      <w:color w:val="auto"/>
                      <w:spacing w:val="-11"/>
                      <w:sz w:val="21"/>
                      <w:szCs w:val="21"/>
                      <w:vertAlign w:val="superscript"/>
                    </w:rPr>
                    <w:t>3</w:t>
                  </w:r>
                </w:p>
              </w:tc>
              <w:tc>
                <w:tcPr>
                  <w:tcW w:w="1203" w:type="dxa"/>
                  <w:vMerge w:val="continue"/>
                  <w:shd w:val="clear" w:color="auto" w:fill="auto"/>
                  <w:vAlign w:val="center"/>
                </w:tcPr>
                <w:p>
                  <w:pPr>
                    <w:ind w:firstLine="400"/>
                    <w:rPr>
                      <w:snapToGrid/>
                      <w:color w:val="auto"/>
                      <w:sz w:val="20"/>
                      <w:szCs w:val="20"/>
                    </w:rPr>
                  </w:pPr>
                </w:p>
              </w:tc>
              <w:tc>
                <w:tcPr>
                  <w:tcW w:w="822"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排放量</w:t>
                  </w:r>
                  <w:r>
                    <w:rPr>
                      <w:rFonts w:ascii="Times New Roman" w:hAnsi="Times New Roman"/>
                      <w:snapToGrid/>
                      <w:color w:val="auto"/>
                      <w:spacing w:val="-11"/>
                      <w:sz w:val="21"/>
                      <w:szCs w:val="21"/>
                    </w:rPr>
                    <w:t>t/a</w:t>
                  </w:r>
                </w:p>
              </w:tc>
              <w:tc>
                <w:tcPr>
                  <w:tcW w:w="948"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排放速率</w:t>
                  </w:r>
                  <w:r>
                    <w:rPr>
                      <w:rFonts w:ascii="Times New Roman" w:hAnsi="Times New Roman"/>
                      <w:snapToGrid/>
                      <w:color w:val="auto"/>
                      <w:spacing w:val="-11"/>
                      <w:sz w:val="21"/>
                      <w:szCs w:val="21"/>
                    </w:rPr>
                    <w:t>kg/h</w:t>
                  </w:r>
                </w:p>
              </w:tc>
              <w:tc>
                <w:tcPr>
                  <w:tcW w:w="981"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排放浓度</w:t>
                  </w:r>
                  <w:r>
                    <w:rPr>
                      <w:rFonts w:ascii="Times New Roman" w:hAnsi="Times New Roman"/>
                      <w:snapToGrid/>
                      <w:color w:val="auto"/>
                      <w:spacing w:val="-11"/>
                      <w:sz w:val="21"/>
                      <w:szCs w:val="21"/>
                    </w:rPr>
                    <w:t>mg/m</w:t>
                  </w:r>
                  <w:r>
                    <w:rPr>
                      <w:rFonts w:hint="eastAsia" w:ascii="Times New Roman" w:hAnsi="Times New Roman" w:cs="宋体"/>
                      <w:snapToGrid/>
                      <w:color w:val="auto"/>
                      <w:spacing w:val="-11"/>
                      <w:sz w:val="21"/>
                      <w:szCs w:val="21"/>
                      <w:vertAlign w:val="superscript"/>
                    </w:rPr>
                    <w:t>3</w:t>
                  </w:r>
                </w:p>
              </w:tc>
              <w:tc>
                <w:tcPr>
                  <w:tcW w:w="696" w:type="dxa"/>
                  <w:vMerge w:val="continue"/>
                  <w:shd w:val="clear" w:color="auto" w:fill="auto"/>
                  <w:vAlign w:val="center"/>
                </w:tcPr>
                <w:p>
                  <w:pPr>
                    <w:ind w:firstLine="400"/>
                    <w:rPr>
                      <w:snapToGrid/>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jc w:val="center"/>
              </w:trPr>
              <w:tc>
                <w:tcPr>
                  <w:tcW w:w="697" w:type="dxa"/>
                  <w:shd w:val="clear" w:color="auto" w:fill="auto"/>
                  <w:vAlign w:val="center"/>
                </w:tcPr>
                <w:p>
                  <w:pPr>
                    <w:pStyle w:val="50"/>
                    <w:rPr>
                      <w:color w:val="auto"/>
                    </w:rPr>
                  </w:pPr>
                  <w:r>
                    <w:rPr>
                      <w:rFonts w:hint="eastAsia"/>
                      <w:color w:val="auto"/>
                    </w:rPr>
                    <w:t>1#排气筒</w:t>
                  </w:r>
                </w:p>
              </w:tc>
              <w:tc>
                <w:tcPr>
                  <w:tcW w:w="944" w:type="dxa"/>
                  <w:shd w:val="clear" w:color="auto" w:fill="auto"/>
                  <w:vAlign w:val="center"/>
                </w:tcPr>
                <w:p>
                  <w:pPr>
                    <w:pStyle w:val="50"/>
                    <w:rPr>
                      <w:color w:val="auto"/>
                    </w:rPr>
                  </w:pPr>
                  <w:r>
                    <w:rPr>
                      <w:rFonts w:hint="eastAsia"/>
                      <w:color w:val="auto"/>
                    </w:rPr>
                    <w:t>颗粒物（喷塑粉尘）</w:t>
                  </w:r>
                </w:p>
              </w:tc>
              <w:tc>
                <w:tcPr>
                  <w:tcW w:w="859"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2.52</w:t>
                  </w:r>
                </w:p>
              </w:tc>
              <w:tc>
                <w:tcPr>
                  <w:tcW w:w="859"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1.05</w:t>
                  </w:r>
                </w:p>
              </w:tc>
              <w:tc>
                <w:tcPr>
                  <w:tcW w:w="955"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210</w:t>
                  </w:r>
                </w:p>
              </w:tc>
              <w:tc>
                <w:tcPr>
                  <w:tcW w:w="1203" w:type="dxa"/>
                  <w:shd w:val="clear" w:color="auto" w:fill="auto"/>
                  <w:vAlign w:val="center"/>
                </w:tcPr>
                <w:p>
                  <w:pPr>
                    <w:pStyle w:val="31"/>
                    <w:widowControl w:val="0"/>
                    <w:spacing w:before="0" w:beforeAutospacing="0" w:after="0" w:afterAutospacing="0" w:line="240" w:lineRule="atLeast"/>
                    <w:ind w:firstLine="0" w:firstLineChars="0"/>
                    <w:jc w:val="center"/>
                    <w:rPr>
                      <w:rFonts w:hint="default" w:ascii="Times New Roman" w:hAnsi="Times New Roman" w:eastAsia="宋体" w:cs="宋体"/>
                      <w:color w:val="auto"/>
                      <w:spacing w:val="-11"/>
                      <w:sz w:val="21"/>
                      <w:szCs w:val="21"/>
                      <w:lang w:val="en-US" w:eastAsia="zh-CN"/>
                    </w:rPr>
                  </w:pPr>
                  <w:r>
                    <w:rPr>
                      <w:rFonts w:hint="eastAsia" w:ascii="Times New Roman" w:hAnsi="Times New Roman" w:cs="宋体"/>
                      <w:snapToGrid/>
                      <w:color w:val="auto"/>
                      <w:spacing w:val="-11"/>
                      <w:sz w:val="21"/>
                      <w:szCs w:val="21"/>
                    </w:rPr>
                    <w:t>二级滤芯脉冲除尘+15m</w:t>
                  </w:r>
                  <w:r>
                    <w:rPr>
                      <w:rFonts w:hint="eastAsia" w:cs="宋体"/>
                      <w:snapToGrid/>
                      <w:color w:val="auto"/>
                      <w:spacing w:val="-11"/>
                      <w:sz w:val="21"/>
                      <w:szCs w:val="21"/>
                    </w:rPr>
                    <w:t>高排气筒</w:t>
                  </w:r>
                  <w:r>
                    <w:rPr>
                      <w:rFonts w:hint="eastAsia" w:cs="宋体"/>
                      <w:snapToGrid/>
                      <w:color w:val="auto"/>
                      <w:spacing w:val="-11"/>
                      <w:sz w:val="21"/>
                      <w:szCs w:val="21"/>
                      <w:lang w:eastAsia="zh-CN"/>
                    </w:rPr>
                    <w:t>（</w:t>
                  </w:r>
                  <w:r>
                    <w:rPr>
                      <w:rFonts w:hint="eastAsia" w:cs="宋体"/>
                      <w:snapToGrid/>
                      <w:color w:val="auto"/>
                      <w:spacing w:val="-11"/>
                      <w:sz w:val="21"/>
                      <w:szCs w:val="21"/>
                      <w:lang w:val="en-US" w:eastAsia="zh-CN"/>
                    </w:rPr>
                    <w:t>1#</w:t>
                  </w:r>
                  <w:r>
                    <w:rPr>
                      <w:rFonts w:hint="eastAsia" w:cs="宋体"/>
                      <w:snapToGrid/>
                      <w:color w:val="auto"/>
                      <w:spacing w:val="-11"/>
                      <w:sz w:val="21"/>
                      <w:szCs w:val="21"/>
                      <w:lang w:eastAsia="zh-CN"/>
                    </w:rPr>
                    <w:t>）</w:t>
                  </w:r>
                </w:p>
              </w:tc>
              <w:tc>
                <w:tcPr>
                  <w:tcW w:w="822"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0.0504</w:t>
                  </w:r>
                </w:p>
              </w:tc>
              <w:tc>
                <w:tcPr>
                  <w:tcW w:w="948"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0.021</w:t>
                  </w:r>
                </w:p>
              </w:tc>
              <w:tc>
                <w:tcPr>
                  <w:tcW w:w="981"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olor w:val="auto"/>
                      <w:spacing w:val="-11"/>
                      <w:sz w:val="21"/>
                      <w:szCs w:val="21"/>
                    </w:rPr>
                  </w:pPr>
                  <w:r>
                    <w:rPr>
                      <w:rFonts w:hint="eastAsia" w:ascii="Times New Roman" w:hAnsi="Times New Roman" w:cs="宋体"/>
                      <w:snapToGrid/>
                      <w:color w:val="auto"/>
                      <w:spacing w:val="-11"/>
                      <w:sz w:val="21"/>
                      <w:szCs w:val="21"/>
                    </w:rPr>
                    <w:t>4.2</w:t>
                  </w:r>
                </w:p>
              </w:tc>
              <w:tc>
                <w:tcPr>
                  <w:tcW w:w="696" w:type="dxa"/>
                  <w:shd w:val="clear" w:color="auto" w:fill="auto"/>
                  <w:vAlign w:val="center"/>
                </w:tcPr>
                <w:p>
                  <w:pPr>
                    <w:pStyle w:val="31"/>
                    <w:widowControl w:val="0"/>
                    <w:spacing w:before="0" w:beforeAutospacing="0" w:after="0" w:afterAutospacing="0" w:line="240" w:lineRule="atLeast"/>
                    <w:ind w:firstLine="0" w:firstLineChars="0"/>
                    <w:jc w:val="center"/>
                    <w:rPr>
                      <w:rFonts w:ascii="Times New Roman" w:hAnsi="Times New Roman" w:cs="宋体"/>
                      <w:color w:val="auto"/>
                      <w:spacing w:val="-11"/>
                      <w:sz w:val="21"/>
                      <w:szCs w:val="21"/>
                    </w:rPr>
                  </w:pPr>
                  <w:r>
                    <w:rPr>
                      <w:rFonts w:hint="eastAsia" w:ascii="Times New Roman" w:hAnsi="Times New Roman" w:cs="宋体"/>
                      <w:snapToGrid/>
                      <w:color w:val="auto"/>
                      <w:spacing w:val="-11"/>
                      <w:sz w:val="21"/>
                      <w:szCs w:val="21"/>
                    </w:rPr>
                    <w:t>有组织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97" w:type="dxa"/>
                  <w:vMerge w:val="restart"/>
                  <w:shd w:val="clear" w:color="auto" w:fill="auto"/>
                  <w:vAlign w:val="center"/>
                </w:tcPr>
                <w:p>
                  <w:pPr>
                    <w:pStyle w:val="50"/>
                    <w:rPr>
                      <w:rFonts w:cs="宋体"/>
                      <w:snapToGrid/>
                      <w:color w:val="auto"/>
                      <w:spacing w:val="-11"/>
                    </w:rPr>
                  </w:pPr>
                  <w:r>
                    <w:rPr>
                      <w:rFonts w:hint="eastAsia"/>
                      <w:color w:val="auto"/>
                    </w:rPr>
                    <w:t>2#排气筒</w:t>
                  </w:r>
                </w:p>
              </w:tc>
              <w:tc>
                <w:tcPr>
                  <w:tcW w:w="944" w:type="dxa"/>
                  <w:shd w:val="clear" w:color="auto" w:fill="auto"/>
                  <w:vAlign w:val="center"/>
                </w:tcPr>
                <w:p>
                  <w:pPr>
                    <w:pStyle w:val="50"/>
                    <w:rPr>
                      <w:rFonts w:cs="宋体"/>
                      <w:snapToGrid/>
                      <w:color w:val="auto"/>
                      <w:spacing w:val="-11"/>
                    </w:rPr>
                  </w:pPr>
                  <w:r>
                    <w:rPr>
                      <w:rFonts w:hint="eastAsia" w:cs="宋体"/>
                      <w:snapToGrid/>
                      <w:color w:val="auto"/>
                      <w:spacing w:val="-11"/>
                    </w:rPr>
                    <w:t>SO</w:t>
                  </w:r>
                  <w:r>
                    <w:rPr>
                      <w:rFonts w:hint="eastAsia" w:cs="宋体"/>
                      <w:snapToGrid/>
                      <w:color w:val="auto"/>
                      <w:spacing w:val="-11"/>
                      <w:vertAlign w:val="subscript"/>
                    </w:rPr>
                    <w:t>2</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0.00384</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0.0016</w:t>
                  </w:r>
                </w:p>
              </w:tc>
              <w:tc>
                <w:tcPr>
                  <w:tcW w:w="955" w:type="dxa"/>
                  <w:shd w:val="clear" w:color="auto" w:fill="auto"/>
                  <w:vAlign w:val="center"/>
                </w:tcPr>
                <w:p>
                  <w:pPr>
                    <w:pStyle w:val="50"/>
                    <w:rPr>
                      <w:rFonts w:cs="宋体"/>
                      <w:snapToGrid/>
                      <w:color w:val="auto"/>
                      <w:spacing w:val="-11"/>
                    </w:rPr>
                  </w:pPr>
                  <w:r>
                    <w:rPr>
                      <w:rFonts w:hint="eastAsia" w:cs="宋体"/>
                      <w:snapToGrid/>
                      <w:color w:val="auto"/>
                      <w:spacing w:val="-11"/>
                    </w:rPr>
                    <w:t>0.32</w:t>
                  </w:r>
                </w:p>
              </w:tc>
              <w:tc>
                <w:tcPr>
                  <w:tcW w:w="1203" w:type="dxa"/>
                  <w:vMerge w:val="restart"/>
                  <w:shd w:val="clear" w:color="auto" w:fill="auto"/>
                  <w:vAlign w:val="center"/>
                </w:tcPr>
                <w:p>
                  <w:pPr>
                    <w:pStyle w:val="50"/>
                    <w:rPr>
                      <w:rFonts w:cs="宋体"/>
                      <w:snapToGrid/>
                      <w:color w:val="auto"/>
                      <w:spacing w:val="-11"/>
                    </w:rPr>
                  </w:pPr>
                </w:p>
                <w:p>
                  <w:pPr>
                    <w:pStyle w:val="50"/>
                    <w:rPr>
                      <w:rFonts w:hint="eastAsia" w:eastAsia="宋体" w:cs="宋体"/>
                      <w:snapToGrid/>
                      <w:color w:val="auto"/>
                      <w:spacing w:val="-11"/>
                      <w:lang w:eastAsia="zh-CN"/>
                    </w:rPr>
                  </w:pPr>
                  <w:r>
                    <w:rPr>
                      <w:rFonts w:hint="eastAsia" w:cs="宋体"/>
                      <w:snapToGrid/>
                      <w:color w:val="auto"/>
                      <w:spacing w:val="-11"/>
                      <w:lang w:val="en-US" w:eastAsia="zh-CN"/>
                    </w:rPr>
                    <w:t>UV光氧+</w:t>
                  </w:r>
                  <w:r>
                    <w:rPr>
                      <w:rFonts w:hint="eastAsia" w:cs="宋体"/>
                      <w:snapToGrid/>
                      <w:color w:val="auto"/>
                      <w:spacing w:val="-11"/>
                    </w:rPr>
                    <w:t>活性炭吸附+15m高排气筒</w:t>
                  </w:r>
                  <w:r>
                    <w:rPr>
                      <w:rFonts w:hint="eastAsia" w:cs="宋体"/>
                      <w:snapToGrid/>
                      <w:color w:val="auto"/>
                      <w:spacing w:val="-11"/>
                      <w:lang w:eastAsia="zh-CN"/>
                    </w:rPr>
                    <w:t>（</w:t>
                  </w:r>
                  <w:r>
                    <w:rPr>
                      <w:rFonts w:hint="eastAsia" w:cs="宋体"/>
                      <w:snapToGrid/>
                      <w:color w:val="auto"/>
                      <w:spacing w:val="-11"/>
                      <w:lang w:val="en-US" w:eastAsia="zh-CN"/>
                    </w:rPr>
                    <w:t>2#</w:t>
                  </w:r>
                  <w:r>
                    <w:rPr>
                      <w:rFonts w:hint="eastAsia" w:cs="宋体"/>
                      <w:snapToGrid/>
                      <w:color w:val="auto"/>
                      <w:spacing w:val="-11"/>
                      <w:lang w:eastAsia="zh-CN"/>
                    </w:rPr>
                    <w:t>）</w:t>
                  </w:r>
                </w:p>
              </w:tc>
              <w:tc>
                <w:tcPr>
                  <w:tcW w:w="822" w:type="dxa"/>
                  <w:shd w:val="clear" w:color="auto" w:fill="auto"/>
                  <w:vAlign w:val="center"/>
                </w:tcPr>
                <w:p>
                  <w:pPr>
                    <w:pStyle w:val="50"/>
                    <w:rPr>
                      <w:rFonts w:cs="宋体"/>
                      <w:snapToGrid/>
                      <w:color w:val="auto"/>
                      <w:spacing w:val="-11"/>
                    </w:rPr>
                  </w:pPr>
                  <w:r>
                    <w:rPr>
                      <w:rFonts w:hint="eastAsia" w:cs="宋体"/>
                      <w:snapToGrid/>
                      <w:color w:val="auto"/>
                      <w:spacing w:val="-11"/>
                    </w:rPr>
                    <w:t>0.00384</w:t>
                  </w:r>
                </w:p>
              </w:tc>
              <w:tc>
                <w:tcPr>
                  <w:tcW w:w="948" w:type="dxa"/>
                  <w:shd w:val="clear" w:color="auto" w:fill="auto"/>
                  <w:vAlign w:val="center"/>
                </w:tcPr>
                <w:p>
                  <w:pPr>
                    <w:pStyle w:val="50"/>
                    <w:rPr>
                      <w:rFonts w:cs="宋体"/>
                      <w:snapToGrid/>
                      <w:color w:val="auto"/>
                      <w:spacing w:val="-11"/>
                    </w:rPr>
                  </w:pPr>
                  <w:r>
                    <w:rPr>
                      <w:rFonts w:hint="eastAsia" w:cs="宋体"/>
                      <w:snapToGrid/>
                      <w:color w:val="auto"/>
                      <w:spacing w:val="-11"/>
                    </w:rPr>
                    <w:t>0.0016</w:t>
                  </w:r>
                </w:p>
              </w:tc>
              <w:tc>
                <w:tcPr>
                  <w:tcW w:w="981" w:type="dxa"/>
                  <w:shd w:val="clear" w:color="auto" w:fill="auto"/>
                  <w:vAlign w:val="center"/>
                </w:tcPr>
                <w:p>
                  <w:pPr>
                    <w:pStyle w:val="50"/>
                    <w:rPr>
                      <w:rFonts w:cs="宋体"/>
                      <w:snapToGrid/>
                      <w:color w:val="auto"/>
                      <w:spacing w:val="-11"/>
                    </w:rPr>
                  </w:pPr>
                  <w:r>
                    <w:rPr>
                      <w:rFonts w:hint="eastAsia" w:cs="宋体"/>
                      <w:snapToGrid/>
                      <w:color w:val="auto"/>
                      <w:spacing w:val="-11"/>
                    </w:rPr>
                    <w:t>0.32</w:t>
                  </w:r>
                </w:p>
              </w:tc>
              <w:tc>
                <w:tcPr>
                  <w:tcW w:w="696" w:type="dxa"/>
                  <w:vMerge w:val="restart"/>
                  <w:shd w:val="clear" w:color="auto" w:fill="auto"/>
                  <w:vAlign w:val="center"/>
                </w:tcPr>
                <w:p>
                  <w:pPr>
                    <w:pStyle w:val="50"/>
                    <w:rPr>
                      <w:rFonts w:cs="宋体"/>
                      <w:snapToGrid/>
                      <w:color w:val="auto"/>
                      <w:spacing w:val="-11"/>
                    </w:rPr>
                  </w:pPr>
                  <w:r>
                    <w:rPr>
                      <w:rFonts w:hint="eastAsia" w:cs="宋体"/>
                      <w:snapToGrid/>
                      <w:color w:val="auto"/>
                      <w:spacing w:val="-11"/>
                    </w:rPr>
                    <w:t>有组织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jc w:val="center"/>
              </w:trPr>
              <w:tc>
                <w:tcPr>
                  <w:tcW w:w="697" w:type="dxa"/>
                  <w:vMerge w:val="continue"/>
                  <w:shd w:val="clear" w:color="auto" w:fill="auto"/>
                  <w:vAlign w:val="center"/>
                </w:tcPr>
                <w:p>
                  <w:pPr>
                    <w:pStyle w:val="50"/>
                    <w:rPr>
                      <w:rFonts w:cs="宋体"/>
                      <w:snapToGrid/>
                      <w:color w:val="auto"/>
                      <w:spacing w:val="-11"/>
                    </w:rPr>
                  </w:pPr>
                </w:p>
              </w:tc>
              <w:tc>
                <w:tcPr>
                  <w:tcW w:w="944" w:type="dxa"/>
                  <w:shd w:val="clear" w:color="auto" w:fill="auto"/>
                  <w:vAlign w:val="center"/>
                </w:tcPr>
                <w:p>
                  <w:pPr>
                    <w:pStyle w:val="50"/>
                    <w:rPr>
                      <w:rFonts w:cs="宋体"/>
                      <w:snapToGrid/>
                      <w:color w:val="auto"/>
                      <w:spacing w:val="-11"/>
                    </w:rPr>
                  </w:pPr>
                  <w:r>
                    <w:rPr>
                      <w:rFonts w:hint="eastAsia" w:cs="宋体"/>
                      <w:snapToGrid/>
                      <w:color w:val="auto"/>
                      <w:spacing w:val="-11"/>
                    </w:rPr>
                    <w:t>NO</w:t>
                  </w:r>
                  <w:r>
                    <w:rPr>
                      <w:rFonts w:hint="eastAsia" w:cs="宋体"/>
                      <w:snapToGrid/>
                      <w:color w:val="auto"/>
                      <w:spacing w:val="-11"/>
                      <w:vertAlign w:val="subscript"/>
                    </w:rPr>
                    <w:t>X</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0.18</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0.075</w:t>
                  </w:r>
                </w:p>
              </w:tc>
              <w:tc>
                <w:tcPr>
                  <w:tcW w:w="955" w:type="dxa"/>
                  <w:shd w:val="clear" w:color="auto" w:fill="auto"/>
                  <w:vAlign w:val="center"/>
                </w:tcPr>
                <w:p>
                  <w:pPr>
                    <w:pStyle w:val="50"/>
                    <w:rPr>
                      <w:rFonts w:cs="宋体"/>
                      <w:snapToGrid/>
                      <w:color w:val="auto"/>
                      <w:spacing w:val="-11"/>
                    </w:rPr>
                  </w:pPr>
                  <w:r>
                    <w:rPr>
                      <w:rFonts w:hint="eastAsia" w:cs="宋体"/>
                      <w:snapToGrid/>
                      <w:color w:val="auto"/>
                      <w:spacing w:val="-11"/>
                    </w:rPr>
                    <w:t>15</w:t>
                  </w:r>
                </w:p>
              </w:tc>
              <w:tc>
                <w:tcPr>
                  <w:tcW w:w="1203" w:type="dxa"/>
                  <w:vMerge w:val="continue"/>
                  <w:shd w:val="clear" w:color="auto" w:fill="auto"/>
                  <w:vAlign w:val="center"/>
                </w:tcPr>
                <w:p>
                  <w:pPr>
                    <w:pStyle w:val="50"/>
                    <w:rPr>
                      <w:rFonts w:cs="宋体"/>
                      <w:snapToGrid/>
                      <w:color w:val="auto"/>
                      <w:spacing w:val="-11"/>
                    </w:rPr>
                  </w:pPr>
                </w:p>
              </w:tc>
              <w:tc>
                <w:tcPr>
                  <w:tcW w:w="822" w:type="dxa"/>
                  <w:shd w:val="clear" w:color="auto" w:fill="auto"/>
                  <w:vAlign w:val="center"/>
                </w:tcPr>
                <w:p>
                  <w:pPr>
                    <w:pStyle w:val="50"/>
                    <w:rPr>
                      <w:rFonts w:cs="宋体"/>
                      <w:snapToGrid/>
                      <w:color w:val="auto"/>
                      <w:spacing w:val="-11"/>
                    </w:rPr>
                  </w:pPr>
                  <w:r>
                    <w:rPr>
                      <w:rFonts w:hint="eastAsia" w:cs="宋体"/>
                      <w:snapToGrid/>
                      <w:color w:val="auto"/>
                      <w:spacing w:val="-11"/>
                    </w:rPr>
                    <w:t>0.18</w:t>
                  </w:r>
                </w:p>
              </w:tc>
              <w:tc>
                <w:tcPr>
                  <w:tcW w:w="948" w:type="dxa"/>
                  <w:shd w:val="clear" w:color="auto" w:fill="auto"/>
                  <w:vAlign w:val="center"/>
                </w:tcPr>
                <w:p>
                  <w:pPr>
                    <w:pStyle w:val="50"/>
                    <w:rPr>
                      <w:rFonts w:cs="宋体"/>
                      <w:snapToGrid/>
                      <w:color w:val="auto"/>
                      <w:spacing w:val="-11"/>
                    </w:rPr>
                  </w:pPr>
                  <w:r>
                    <w:rPr>
                      <w:rFonts w:hint="eastAsia" w:cs="宋体"/>
                      <w:snapToGrid/>
                      <w:color w:val="auto"/>
                      <w:spacing w:val="-11"/>
                    </w:rPr>
                    <w:t>0.075</w:t>
                  </w:r>
                </w:p>
              </w:tc>
              <w:tc>
                <w:tcPr>
                  <w:tcW w:w="981" w:type="dxa"/>
                  <w:shd w:val="clear" w:color="auto" w:fill="auto"/>
                  <w:vAlign w:val="center"/>
                </w:tcPr>
                <w:p>
                  <w:pPr>
                    <w:pStyle w:val="50"/>
                    <w:rPr>
                      <w:rFonts w:cs="宋体"/>
                      <w:snapToGrid/>
                      <w:color w:val="auto"/>
                      <w:spacing w:val="-11"/>
                    </w:rPr>
                  </w:pPr>
                  <w:r>
                    <w:rPr>
                      <w:rFonts w:hint="eastAsia" w:cs="宋体"/>
                      <w:snapToGrid/>
                      <w:color w:val="auto"/>
                      <w:spacing w:val="-11"/>
                    </w:rPr>
                    <w:t>15</w:t>
                  </w:r>
                </w:p>
              </w:tc>
              <w:tc>
                <w:tcPr>
                  <w:tcW w:w="696" w:type="dxa"/>
                  <w:vMerge w:val="continue"/>
                  <w:shd w:val="clear" w:color="auto" w:fill="auto"/>
                  <w:vAlign w:val="center"/>
                </w:tcPr>
                <w:p>
                  <w:pPr>
                    <w:pStyle w:val="50"/>
                    <w:rPr>
                      <w:rFonts w:cs="宋体"/>
                      <w:snapToGrid/>
                      <w:color w:val="auto"/>
                      <w:spacing w:val="-1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jc w:val="center"/>
              </w:trPr>
              <w:tc>
                <w:tcPr>
                  <w:tcW w:w="697" w:type="dxa"/>
                  <w:vMerge w:val="continue"/>
                  <w:shd w:val="clear" w:color="auto" w:fill="auto"/>
                  <w:vAlign w:val="center"/>
                </w:tcPr>
                <w:p>
                  <w:pPr>
                    <w:pStyle w:val="50"/>
                    <w:rPr>
                      <w:rFonts w:cs="宋体"/>
                      <w:snapToGrid/>
                      <w:color w:val="auto"/>
                      <w:spacing w:val="-11"/>
                    </w:rPr>
                  </w:pPr>
                </w:p>
              </w:tc>
              <w:tc>
                <w:tcPr>
                  <w:tcW w:w="944" w:type="dxa"/>
                  <w:shd w:val="clear" w:color="auto" w:fill="auto"/>
                  <w:vAlign w:val="center"/>
                </w:tcPr>
                <w:p>
                  <w:pPr>
                    <w:pStyle w:val="50"/>
                    <w:rPr>
                      <w:rFonts w:cs="宋体"/>
                      <w:snapToGrid/>
                      <w:color w:val="auto"/>
                      <w:spacing w:val="-11"/>
                    </w:rPr>
                  </w:pPr>
                  <w:r>
                    <w:rPr>
                      <w:rFonts w:hint="eastAsia" w:cs="宋体"/>
                      <w:snapToGrid/>
                      <w:color w:val="auto"/>
                      <w:spacing w:val="-11"/>
                    </w:rPr>
                    <w:t>颗粒物</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0.00275</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0.0115</w:t>
                  </w:r>
                </w:p>
              </w:tc>
              <w:tc>
                <w:tcPr>
                  <w:tcW w:w="955" w:type="dxa"/>
                  <w:shd w:val="clear" w:color="auto" w:fill="auto"/>
                  <w:vAlign w:val="center"/>
                </w:tcPr>
                <w:p>
                  <w:pPr>
                    <w:pStyle w:val="50"/>
                    <w:rPr>
                      <w:rFonts w:cs="宋体"/>
                      <w:snapToGrid/>
                      <w:color w:val="auto"/>
                      <w:spacing w:val="-11"/>
                    </w:rPr>
                  </w:pPr>
                  <w:r>
                    <w:rPr>
                      <w:rFonts w:hint="eastAsia" w:cs="宋体"/>
                      <w:snapToGrid/>
                      <w:color w:val="auto"/>
                      <w:spacing w:val="-11"/>
                    </w:rPr>
                    <w:t>2.3</w:t>
                  </w:r>
                </w:p>
              </w:tc>
              <w:tc>
                <w:tcPr>
                  <w:tcW w:w="1203" w:type="dxa"/>
                  <w:vMerge w:val="continue"/>
                  <w:shd w:val="clear" w:color="auto" w:fill="auto"/>
                  <w:vAlign w:val="center"/>
                </w:tcPr>
                <w:p>
                  <w:pPr>
                    <w:pStyle w:val="50"/>
                    <w:rPr>
                      <w:rFonts w:cs="宋体"/>
                      <w:snapToGrid/>
                      <w:color w:val="auto"/>
                      <w:spacing w:val="-11"/>
                    </w:rPr>
                  </w:pPr>
                </w:p>
              </w:tc>
              <w:tc>
                <w:tcPr>
                  <w:tcW w:w="822" w:type="dxa"/>
                  <w:shd w:val="clear" w:color="auto" w:fill="auto"/>
                  <w:vAlign w:val="center"/>
                </w:tcPr>
                <w:p>
                  <w:pPr>
                    <w:pStyle w:val="50"/>
                    <w:rPr>
                      <w:rFonts w:cs="宋体"/>
                      <w:snapToGrid/>
                      <w:color w:val="auto"/>
                      <w:spacing w:val="-11"/>
                    </w:rPr>
                  </w:pPr>
                  <w:r>
                    <w:rPr>
                      <w:rFonts w:hint="eastAsia" w:cs="宋体"/>
                      <w:snapToGrid/>
                      <w:color w:val="auto"/>
                      <w:spacing w:val="-11"/>
                    </w:rPr>
                    <w:t>0.00275</w:t>
                  </w:r>
                </w:p>
              </w:tc>
              <w:tc>
                <w:tcPr>
                  <w:tcW w:w="948" w:type="dxa"/>
                  <w:shd w:val="clear" w:color="auto" w:fill="auto"/>
                  <w:vAlign w:val="center"/>
                </w:tcPr>
                <w:p>
                  <w:pPr>
                    <w:pStyle w:val="50"/>
                    <w:rPr>
                      <w:rFonts w:cs="宋体"/>
                      <w:snapToGrid/>
                      <w:color w:val="auto"/>
                      <w:spacing w:val="-11"/>
                    </w:rPr>
                  </w:pPr>
                  <w:r>
                    <w:rPr>
                      <w:rFonts w:hint="eastAsia" w:cs="宋体"/>
                      <w:snapToGrid/>
                      <w:color w:val="auto"/>
                      <w:spacing w:val="-11"/>
                    </w:rPr>
                    <w:t>0.0115</w:t>
                  </w:r>
                </w:p>
              </w:tc>
              <w:tc>
                <w:tcPr>
                  <w:tcW w:w="981" w:type="dxa"/>
                  <w:shd w:val="clear" w:color="auto" w:fill="auto"/>
                  <w:vAlign w:val="center"/>
                </w:tcPr>
                <w:p>
                  <w:pPr>
                    <w:pStyle w:val="50"/>
                    <w:rPr>
                      <w:rFonts w:cs="宋体"/>
                      <w:snapToGrid/>
                      <w:color w:val="auto"/>
                      <w:spacing w:val="-11"/>
                    </w:rPr>
                  </w:pPr>
                  <w:r>
                    <w:rPr>
                      <w:rFonts w:hint="eastAsia" w:cs="宋体"/>
                      <w:snapToGrid/>
                      <w:color w:val="auto"/>
                      <w:spacing w:val="-11"/>
                    </w:rPr>
                    <w:t>2.3</w:t>
                  </w:r>
                </w:p>
              </w:tc>
              <w:tc>
                <w:tcPr>
                  <w:tcW w:w="696" w:type="dxa"/>
                  <w:vMerge w:val="continue"/>
                  <w:shd w:val="clear" w:color="auto" w:fill="auto"/>
                  <w:vAlign w:val="center"/>
                </w:tcPr>
                <w:p>
                  <w:pPr>
                    <w:pStyle w:val="50"/>
                    <w:rPr>
                      <w:rFonts w:cs="宋体"/>
                      <w:snapToGrid/>
                      <w:color w:val="auto"/>
                      <w:spacing w:val="-1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4" w:hRule="atLeast"/>
                <w:jc w:val="center"/>
              </w:trPr>
              <w:tc>
                <w:tcPr>
                  <w:tcW w:w="697" w:type="dxa"/>
                  <w:vMerge w:val="continue"/>
                  <w:shd w:val="clear" w:color="auto" w:fill="auto"/>
                  <w:vAlign w:val="center"/>
                </w:tcPr>
                <w:p>
                  <w:pPr>
                    <w:pStyle w:val="50"/>
                    <w:rPr>
                      <w:rFonts w:cs="宋体"/>
                      <w:snapToGrid/>
                      <w:color w:val="auto"/>
                      <w:spacing w:val="-11"/>
                    </w:rPr>
                  </w:pPr>
                </w:p>
              </w:tc>
              <w:tc>
                <w:tcPr>
                  <w:tcW w:w="944" w:type="dxa"/>
                  <w:shd w:val="clear" w:color="auto" w:fill="auto"/>
                  <w:vAlign w:val="center"/>
                </w:tcPr>
                <w:p>
                  <w:pPr>
                    <w:pStyle w:val="50"/>
                    <w:rPr>
                      <w:rFonts w:cs="宋体"/>
                      <w:snapToGrid/>
                      <w:color w:val="auto"/>
                      <w:spacing w:val="-11"/>
                    </w:rPr>
                  </w:pPr>
                  <w:r>
                    <w:rPr>
                      <w:rFonts w:hint="eastAsia" w:cs="宋体"/>
                      <w:snapToGrid/>
                      <w:color w:val="auto"/>
                      <w:spacing w:val="-11"/>
                    </w:rPr>
                    <w:t>非甲烷总烃</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0.084</w:t>
                  </w:r>
                </w:p>
              </w:tc>
              <w:tc>
                <w:tcPr>
                  <w:tcW w:w="859" w:type="dxa"/>
                  <w:shd w:val="clear" w:color="auto" w:fill="auto"/>
                  <w:vAlign w:val="center"/>
                </w:tcPr>
                <w:p>
                  <w:pPr>
                    <w:pStyle w:val="50"/>
                    <w:rPr>
                      <w:rFonts w:cs="宋体"/>
                      <w:snapToGrid/>
                      <w:color w:val="auto"/>
                      <w:spacing w:val="-11"/>
                    </w:rPr>
                  </w:pPr>
                  <w:r>
                    <w:rPr>
                      <w:rFonts w:hint="eastAsia" w:cs="宋体"/>
                      <w:snapToGrid/>
                      <w:color w:val="auto"/>
                      <w:spacing w:val="-11"/>
                    </w:rPr>
                    <w:t>0.035</w:t>
                  </w:r>
                </w:p>
              </w:tc>
              <w:tc>
                <w:tcPr>
                  <w:tcW w:w="955" w:type="dxa"/>
                  <w:shd w:val="clear" w:color="auto" w:fill="auto"/>
                  <w:vAlign w:val="center"/>
                </w:tcPr>
                <w:p>
                  <w:pPr>
                    <w:pStyle w:val="50"/>
                    <w:rPr>
                      <w:rFonts w:cs="宋体"/>
                      <w:snapToGrid/>
                      <w:color w:val="auto"/>
                      <w:spacing w:val="-11"/>
                    </w:rPr>
                  </w:pPr>
                  <w:r>
                    <w:rPr>
                      <w:rFonts w:hint="eastAsia" w:cs="宋体"/>
                      <w:snapToGrid/>
                      <w:color w:val="auto"/>
                      <w:spacing w:val="-11"/>
                    </w:rPr>
                    <w:t>7</w:t>
                  </w:r>
                </w:p>
              </w:tc>
              <w:tc>
                <w:tcPr>
                  <w:tcW w:w="1203" w:type="dxa"/>
                  <w:vMerge w:val="continue"/>
                  <w:shd w:val="clear" w:color="auto" w:fill="auto"/>
                  <w:vAlign w:val="center"/>
                </w:tcPr>
                <w:p>
                  <w:pPr>
                    <w:pStyle w:val="50"/>
                    <w:rPr>
                      <w:rFonts w:cs="宋体"/>
                      <w:snapToGrid/>
                      <w:color w:val="auto"/>
                      <w:spacing w:val="-11"/>
                    </w:rPr>
                  </w:pPr>
                </w:p>
              </w:tc>
              <w:tc>
                <w:tcPr>
                  <w:tcW w:w="822" w:type="dxa"/>
                  <w:shd w:val="clear" w:color="auto" w:fill="auto"/>
                  <w:vAlign w:val="center"/>
                </w:tcPr>
                <w:p>
                  <w:pPr>
                    <w:pStyle w:val="50"/>
                    <w:rPr>
                      <w:rFonts w:hint="default" w:eastAsia="宋体" w:cs="宋体"/>
                      <w:snapToGrid/>
                      <w:color w:val="auto"/>
                      <w:spacing w:val="-11"/>
                      <w:lang w:val="en-US" w:eastAsia="zh-CN"/>
                    </w:rPr>
                  </w:pPr>
                  <w:r>
                    <w:rPr>
                      <w:rFonts w:hint="eastAsia" w:cs="宋体"/>
                      <w:snapToGrid/>
                      <w:color w:val="auto"/>
                      <w:spacing w:val="-11"/>
                      <w:lang w:val="en-US" w:eastAsia="zh-CN"/>
                    </w:rPr>
                    <w:t>0.0168</w:t>
                  </w:r>
                </w:p>
              </w:tc>
              <w:tc>
                <w:tcPr>
                  <w:tcW w:w="948" w:type="dxa"/>
                  <w:shd w:val="clear" w:color="auto" w:fill="auto"/>
                  <w:vAlign w:val="center"/>
                </w:tcPr>
                <w:p>
                  <w:pPr>
                    <w:pStyle w:val="50"/>
                    <w:rPr>
                      <w:rFonts w:hint="default" w:eastAsia="宋体" w:cs="宋体"/>
                      <w:snapToGrid/>
                      <w:color w:val="auto"/>
                      <w:spacing w:val="-11"/>
                      <w:lang w:val="en-US" w:eastAsia="zh-CN"/>
                    </w:rPr>
                  </w:pPr>
                  <w:r>
                    <w:rPr>
                      <w:rFonts w:hint="eastAsia" w:cs="宋体"/>
                      <w:snapToGrid/>
                      <w:color w:val="auto"/>
                      <w:spacing w:val="-11"/>
                      <w:lang w:val="en-US" w:eastAsia="zh-CN"/>
                    </w:rPr>
                    <w:t>0.007</w:t>
                  </w:r>
                </w:p>
              </w:tc>
              <w:tc>
                <w:tcPr>
                  <w:tcW w:w="981" w:type="dxa"/>
                  <w:shd w:val="clear" w:color="auto" w:fill="auto"/>
                  <w:vAlign w:val="center"/>
                </w:tcPr>
                <w:p>
                  <w:pPr>
                    <w:pStyle w:val="50"/>
                    <w:rPr>
                      <w:rFonts w:hint="default" w:eastAsia="宋体" w:cs="宋体"/>
                      <w:snapToGrid/>
                      <w:color w:val="auto"/>
                      <w:spacing w:val="-11"/>
                      <w:lang w:val="en-US" w:eastAsia="zh-CN"/>
                    </w:rPr>
                  </w:pPr>
                  <w:r>
                    <w:rPr>
                      <w:rFonts w:hint="eastAsia" w:cs="宋体"/>
                      <w:snapToGrid/>
                      <w:color w:val="auto"/>
                      <w:spacing w:val="-11"/>
                      <w:lang w:val="en-US" w:eastAsia="zh-CN"/>
                    </w:rPr>
                    <w:t>1.4</w:t>
                  </w:r>
                </w:p>
              </w:tc>
              <w:tc>
                <w:tcPr>
                  <w:tcW w:w="696" w:type="dxa"/>
                  <w:shd w:val="clear" w:color="auto" w:fill="auto"/>
                  <w:vAlign w:val="center"/>
                </w:tcPr>
                <w:p>
                  <w:pPr>
                    <w:pStyle w:val="50"/>
                    <w:rPr>
                      <w:rFonts w:cs="宋体"/>
                      <w:snapToGrid/>
                      <w:color w:val="auto"/>
                      <w:spacing w:val="-11"/>
                    </w:rPr>
                  </w:pPr>
                  <w:r>
                    <w:rPr>
                      <w:rFonts w:hint="eastAsia" w:cs="宋体"/>
                      <w:snapToGrid/>
                      <w:color w:val="auto"/>
                      <w:spacing w:val="-11"/>
                    </w:rPr>
                    <w:t>有组织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jc w:val="center"/>
              </w:trPr>
              <w:tc>
                <w:tcPr>
                  <w:tcW w:w="697" w:type="dxa"/>
                  <w:shd w:val="clear" w:color="auto" w:fill="auto"/>
                  <w:vAlign w:val="center"/>
                </w:tcPr>
                <w:p>
                  <w:pPr>
                    <w:pStyle w:val="50"/>
                    <w:rPr>
                      <w:rFonts w:cs="宋体"/>
                      <w:snapToGrid/>
                      <w:color w:val="auto"/>
                      <w:spacing w:val="-11"/>
                    </w:rPr>
                  </w:pPr>
                  <w:r>
                    <w:rPr>
                      <w:rFonts w:hint="eastAsia" w:cs="宋体"/>
                      <w:snapToGrid/>
                      <w:color w:val="auto"/>
                      <w:spacing w:val="-11"/>
                    </w:rPr>
                    <w:t>厂界</w:t>
                  </w:r>
                </w:p>
              </w:tc>
              <w:tc>
                <w:tcPr>
                  <w:tcW w:w="944" w:type="dxa"/>
                  <w:shd w:val="clear" w:color="auto" w:fill="auto"/>
                  <w:vAlign w:val="center"/>
                </w:tcPr>
                <w:p>
                  <w:pPr>
                    <w:pStyle w:val="50"/>
                    <w:rPr>
                      <w:rFonts w:cs="宋体"/>
                      <w:snapToGrid/>
                      <w:color w:val="auto"/>
                      <w:spacing w:val="-11"/>
                    </w:rPr>
                  </w:pPr>
                  <w:r>
                    <w:rPr>
                      <w:rFonts w:hint="eastAsia" w:cs="宋体"/>
                      <w:snapToGrid/>
                      <w:color w:val="auto"/>
                      <w:spacing w:val="-11"/>
                    </w:rPr>
                    <w:t>颗粒物</w:t>
                  </w:r>
                </w:p>
              </w:tc>
              <w:tc>
                <w:tcPr>
                  <w:tcW w:w="859" w:type="dxa"/>
                  <w:shd w:val="clear" w:color="auto" w:fill="auto"/>
                  <w:vAlign w:val="center"/>
                </w:tcPr>
                <w:p>
                  <w:pPr>
                    <w:pStyle w:val="50"/>
                    <w:rPr>
                      <w:rFonts w:hint="eastAsia" w:eastAsia="宋体" w:cs="宋体"/>
                      <w:snapToGrid/>
                      <w:color w:val="auto"/>
                      <w:spacing w:val="-11"/>
                      <w:lang w:eastAsia="zh-CN"/>
                    </w:rPr>
                  </w:pPr>
                  <w:r>
                    <w:rPr>
                      <w:rFonts w:hint="eastAsia" w:cs="宋体"/>
                      <w:snapToGrid/>
                      <w:color w:val="auto"/>
                      <w:spacing w:val="-11"/>
                      <w:lang w:eastAsia="zh-CN"/>
                    </w:rPr>
                    <w:t>0.286</w:t>
                  </w:r>
                </w:p>
              </w:tc>
              <w:tc>
                <w:tcPr>
                  <w:tcW w:w="859" w:type="dxa"/>
                  <w:shd w:val="clear" w:color="auto" w:fill="auto"/>
                  <w:vAlign w:val="center"/>
                </w:tcPr>
                <w:p>
                  <w:pPr>
                    <w:pStyle w:val="50"/>
                    <w:rPr>
                      <w:rFonts w:hint="eastAsia" w:eastAsia="宋体" w:cs="宋体"/>
                      <w:snapToGrid/>
                      <w:color w:val="auto"/>
                      <w:spacing w:val="-11"/>
                      <w:lang w:eastAsia="zh-CN"/>
                    </w:rPr>
                  </w:pPr>
                  <w:r>
                    <w:rPr>
                      <w:rFonts w:hint="eastAsia" w:cs="宋体"/>
                      <w:snapToGrid/>
                      <w:color w:val="auto"/>
                      <w:spacing w:val="-11"/>
                      <w:lang w:eastAsia="zh-CN"/>
                    </w:rPr>
                    <w:t>0.119</w:t>
                  </w:r>
                </w:p>
              </w:tc>
              <w:tc>
                <w:tcPr>
                  <w:tcW w:w="955" w:type="dxa"/>
                  <w:shd w:val="clear" w:color="auto" w:fill="auto"/>
                  <w:vAlign w:val="center"/>
                </w:tcPr>
                <w:p>
                  <w:pPr>
                    <w:pStyle w:val="50"/>
                    <w:rPr>
                      <w:rFonts w:cs="宋体"/>
                      <w:snapToGrid/>
                      <w:color w:val="auto"/>
                      <w:spacing w:val="-11"/>
                    </w:rPr>
                  </w:pPr>
                  <w:r>
                    <w:rPr>
                      <w:rFonts w:hint="eastAsia" w:cs="宋体"/>
                      <w:snapToGrid/>
                      <w:color w:val="auto"/>
                      <w:spacing w:val="-11"/>
                    </w:rPr>
                    <w:t>/</w:t>
                  </w:r>
                </w:p>
              </w:tc>
              <w:tc>
                <w:tcPr>
                  <w:tcW w:w="1203" w:type="dxa"/>
                  <w:shd w:val="clear" w:color="auto" w:fill="auto"/>
                  <w:vAlign w:val="center"/>
                </w:tcPr>
                <w:p>
                  <w:pPr>
                    <w:pStyle w:val="50"/>
                    <w:rPr>
                      <w:rFonts w:cs="宋体"/>
                      <w:snapToGrid/>
                      <w:color w:val="auto"/>
                      <w:spacing w:val="-11"/>
                    </w:rPr>
                  </w:pPr>
                  <w:r>
                    <w:rPr>
                      <w:rFonts w:hint="eastAsia" w:cs="宋体"/>
                      <w:snapToGrid/>
                      <w:color w:val="auto"/>
                      <w:spacing w:val="-11"/>
                    </w:rPr>
                    <w:t>/</w:t>
                  </w:r>
                </w:p>
              </w:tc>
              <w:tc>
                <w:tcPr>
                  <w:tcW w:w="822" w:type="dxa"/>
                  <w:shd w:val="clear" w:color="auto" w:fill="auto"/>
                  <w:vAlign w:val="center"/>
                </w:tcPr>
                <w:p>
                  <w:pPr>
                    <w:pStyle w:val="50"/>
                    <w:rPr>
                      <w:rFonts w:hint="eastAsia" w:eastAsia="宋体" w:cs="宋体"/>
                      <w:snapToGrid/>
                      <w:color w:val="auto"/>
                      <w:spacing w:val="-11"/>
                      <w:lang w:eastAsia="zh-CN"/>
                    </w:rPr>
                  </w:pPr>
                  <w:r>
                    <w:rPr>
                      <w:rFonts w:hint="eastAsia" w:cs="宋体"/>
                      <w:snapToGrid/>
                      <w:color w:val="auto"/>
                      <w:spacing w:val="-11"/>
                      <w:lang w:eastAsia="zh-CN"/>
                    </w:rPr>
                    <w:t>0.286</w:t>
                  </w:r>
                </w:p>
              </w:tc>
              <w:tc>
                <w:tcPr>
                  <w:tcW w:w="948" w:type="dxa"/>
                  <w:shd w:val="clear" w:color="auto" w:fill="auto"/>
                  <w:vAlign w:val="center"/>
                </w:tcPr>
                <w:p>
                  <w:pPr>
                    <w:pStyle w:val="50"/>
                    <w:rPr>
                      <w:rFonts w:hint="eastAsia" w:eastAsia="宋体" w:cs="宋体"/>
                      <w:snapToGrid/>
                      <w:color w:val="auto"/>
                      <w:spacing w:val="-11"/>
                      <w:lang w:eastAsia="zh-CN"/>
                    </w:rPr>
                  </w:pPr>
                  <w:r>
                    <w:rPr>
                      <w:rFonts w:hint="eastAsia" w:cs="宋体"/>
                      <w:snapToGrid/>
                      <w:color w:val="auto"/>
                      <w:spacing w:val="-11"/>
                      <w:lang w:eastAsia="zh-CN"/>
                    </w:rPr>
                    <w:t>0.119</w:t>
                  </w:r>
                </w:p>
              </w:tc>
              <w:tc>
                <w:tcPr>
                  <w:tcW w:w="981" w:type="dxa"/>
                  <w:shd w:val="clear" w:color="auto" w:fill="auto"/>
                  <w:vAlign w:val="center"/>
                </w:tcPr>
                <w:p>
                  <w:pPr>
                    <w:pStyle w:val="50"/>
                    <w:rPr>
                      <w:rFonts w:cs="宋体"/>
                      <w:snapToGrid/>
                      <w:color w:val="auto"/>
                      <w:spacing w:val="-11"/>
                    </w:rPr>
                  </w:pPr>
                  <w:r>
                    <w:rPr>
                      <w:rFonts w:hint="eastAsia" w:cs="宋体"/>
                      <w:snapToGrid/>
                      <w:color w:val="auto"/>
                      <w:spacing w:val="-11"/>
                    </w:rPr>
                    <w:t>/</w:t>
                  </w:r>
                </w:p>
              </w:tc>
              <w:tc>
                <w:tcPr>
                  <w:tcW w:w="696" w:type="dxa"/>
                  <w:shd w:val="clear" w:color="auto" w:fill="auto"/>
                  <w:vAlign w:val="center"/>
                </w:tcPr>
                <w:p>
                  <w:pPr>
                    <w:pStyle w:val="50"/>
                    <w:rPr>
                      <w:rFonts w:cs="宋体"/>
                      <w:snapToGrid/>
                      <w:color w:val="auto"/>
                      <w:spacing w:val="-11"/>
                    </w:rPr>
                  </w:pPr>
                  <w:r>
                    <w:rPr>
                      <w:rFonts w:hint="eastAsia" w:cs="宋体"/>
                      <w:snapToGrid/>
                      <w:color w:val="auto"/>
                      <w:spacing w:val="-11"/>
                    </w:rPr>
                    <w:t>无组织</w:t>
                  </w:r>
                </w:p>
              </w:tc>
            </w:tr>
          </w:tbl>
          <w:p>
            <w:pPr>
              <w:numPr>
                <w:ilvl w:val="255"/>
                <w:numId w:val="0"/>
              </w:numPr>
              <w:ind w:firstLine="480" w:firstLineChars="200"/>
              <w:rPr>
                <w:rFonts w:hint="eastAsia"/>
                <w:b w:val="0"/>
                <w:bCs w:val="0"/>
                <w:color w:val="auto"/>
              </w:rPr>
            </w:pPr>
            <w:r>
              <w:rPr>
                <w:rFonts w:hint="eastAsia"/>
                <w:b w:val="0"/>
                <w:bCs w:val="0"/>
                <w:color w:val="auto"/>
              </w:rPr>
              <w:t>根据《大气污染物综合排放标准》（GB16297-1996），两个排放相同污染物的排气筒，若距离小于其几何高度之和，应合并视为一根等效排气筒，本项目的</w:t>
            </w:r>
            <w:r>
              <w:rPr>
                <w:rFonts w:hint="eastAsia"/>
                <w:b w:val="0"/>
                <w:bCs w:val="0"/>
                <w:color w:val="auto"/>
                <w:lang w:val="en-US" w:eastAsia="zh-CN"/>
              </w:rPr>
              <w:t>排气筒均排放有颗粒物</w:t>
            </w:r>
            <w:r>
              <w:rPr>
                <w:rFonts w:hint="eastAsia"/>
                <w:b w:val="0"/>
                <w:bCs w:val="0"/>
                <w:color w:val="auto"/>
              </w:rPr>
              <w:t>，其距离相加</w:t>
            </w:r>
            <w:r>
              <w:rPr>
                <w:rFonts w:hint="eastAsia"/>
                <w:b w:val="0"/>
                <w:bCs w:val="0"/>
                <w:color w:val="auto"/>
                <w:lang w:val="en-US" w:eastAsia="zh-CN"/>
              </w:rPr>
              <w:t>约</w:t>
            </w:r>
            <w:r>
              <w:rPr>
                <w:rFonts w:hint="eastAsia"/>
                <w:b w:val="0"/>
                <w:bCs w:val="0"/>
                <w:color w:val="auto"/>
              </w:rPr>
              <w:t>为</w:t>
            </w:r>
            <w:r>
              <w:rPr>
                <w:rFonts w:hint="eastAsia"/>
                <w:b w:val="0"/>
                <w:bCs w:val="0"/>
                <w:color w:val="auto"/>
                <w:lang w:val="en-US" w:eastAsia="zh-CN"/>
              </w:rPr>
              <w:t>20</w:t>
            </w:r>
            <w:r>
              <w:rPr>
                <w:rFonts w:hint="eastAsia"/>
                <w:b w:val="0"/>
                <w:bCs w:val="0"/>
                <w:color w:val="auto"/>
              </w:rPr>
              <w:t>m，小于排气筒高度之和</w:t>
            </w:r>
            <w:r>
              <w:rPr>
                <w:rFonts w:hint="eastAsia"/>
                <w:b w:val="0"/>
                <w:bCs w:val="0"/>
                <w:color w:val="auto"/>
                <w:lang w:val="en-US" w:eastAsia="zh-CN"/>
              </w:rPr>
              <w:t>30</w:t>
            </w:r>
            <w:r>
              <w:rPr>
                <w:rFonts w:hint="eastAsia"/>
                <w:b w:val="0"/>
                <w:bCs w:val="0"/>
                <w:color w:val="auto"/>
              </w:rPr>
              <w:t>m，所以项目以</w:t>
            </w:r>
            <w:r>
              <w:rPr>
                <w:rFonts w:hint="eastAsia"/>
                <w:b w:val="0"/>
                <w:bCs w:val="0"/>
                <w:color w:val="auto"/>
                <w:lang w:val="en-US" w:eastAsia="zh-CN"/>
              </w:rPr>
              <w:t>1</w:t>
            </w:r>
            <w:r>
              <w:rPr>
                <w:rFonts w:hint="eastAsia"/>
                <w:b w:val="0"/>
                <w:bCs w:val="0"/>
                <w:color w:val="auto"/>
              </w:rPr>
              <w:t>个等效排气筒代表</w:t>
            </w:r>
            <w:r>
              <w:rPr>
                <w:rFonts w:hint="eastAsia"/>
                <w:b w:val="0"/>
                <w:bCs w:val="0"/>
                <w:color w:val="auto"/>
                <w:lang w:val="en-US" w:eastAsia="zh-CN"/>
              </w:rPr>
              <w:t>2</w:t>
            </w:r>
            <w:r>
              <w:rPr>
                <w:rFonts w:hint="eastAsia"/>
                <w:b w:val="0"/>
                <w:bCs w:val="0"/>
                <w:color w:val="auto"/>
              </w:rPr>
              <w:t>个排气筒，等效排气筒高度计算公式如下：</w:t>
            </w:r>
          </w:p>
          <w:p>
            <w:pPr>
              <w:numPr>
                <w:ilvl w:val="255"/>
                <w:numId w:val="0"/>
              </w:numPr>
              <w:jc w:val="center"/>
              <w:rPr>
                <w:rFonts w:hint="eastAsia"/>
                <w:b w:val="0"/>
                <w:bCs w:val="0"/>
                <w:color w:val="auto"/>
              </w:rPr>
            </w:pPr>
            <w:r>
              <w:rPr>
                <w:rFonts w:hint="eastAsia"/>
                <w:b w:val="0"/>
                <w:bCs w:val="0"/>
                <w:color w:val="auto"/>
              </w:rPr>
              <w:object>
                <v:shape id="_x0000_i1029" o:spt="75" type="#_x0000_t75" style="height:27pt;width:95pt;" o:ole="t" filled="f" o:preferrelative="t" stroked="f" coordsize="21600,21600">
                  <v:path/>
                  <v:fill on="f" focussize="0,0"/>
                  <v:stroke on="f"/>
                  <v:imagedata r:id="rId22" o:title=""/>
                  <o:lock v:ext="edit" aspectratio="t"/>
                  <w10:wrap type="none"/>
                  <w10:anchorlock/>
                </v:shape>
                <o:OLEObject Type="Embed" ProgID="Equation.KSEE3" ShapeID="_x0000_i1029" DrawAspect="Content" ObjectID="_1468075729" r:id="rId21">
                  <o:LockedField>false</o:LockedField>
                </o:OLEObject>
              </w:object>
            </w:r>
          </w:p>
          <w:p>
            <w:pPr>
              <w:numPr>
                <w:ilvl w:val="255"/>
                <w:numId w:val="0"/>
              </w:numPr>
              <w:ind w:firstLine="480" w:firstLineChars="200"/>
              <w:rPr>
                <w:rFonts w:hint="eastAsia"/>
                <w:b w:val="0"/>
                <w:bCs w:val="0"/>
                <w:color w:val="auto"/>
              </w:rPr>
            </w:pPr>
            <w:r>
              <w:rPr>
                <w:rFonts w:hint="eastAsia"/>
                <w:b w:val="0"/>
                <w:bCs w:val="0"/>
                <w:color w:val="auto"/>
              </w:rPr>
              <w:t>h—等效排气筒高度，m；</w:t>
            </w:r>
          </w:p>
          <w:p>
            <w:pPr>
              <w:numPr>
                <w:ilvl w:val="255"/>
                <w:numId w:val="0"/>
              </w:numPr>
              <w:ind w:firstLine="480" w:firstLineChars="200"/>
              <w:rPr>
                <w:rFonts w:hint="eastAsia"/>
                <w:b w:val="0"/>
                <w:bCs w:val="0"/>
                <w:color w:val="auto"/>
              </w:rPr>
            </w:pPr>
            <w:r>
              <w:rPr>
                <w:rFonts w:hint="eastAsia"/>
                <w:b w:val="0"/>
                <w:bCs w:val="0"/>
                <w:color w:val="auto"/>
              </w:rPr>
              <w:t>h</w:t>
            </w:r>
            <w:r>
              <w:rPr>
                <w:rFonts w:hint="eastAsia"/>
                <w:b w:val="0"/>
                <w:bCs w:val="0"/>
                <w:color w:val="auto"/>
                <w:vertAlign w:val="subscript"/>
              </w:rPr>
              <w:t>1</w:t>
            </w:r>
            <w:r>
              <w:rPr>
                <w:rFonts w:hint="eastAsia"/>
                <w:b w:val="0"/>
                <w:bCs w:val="0"/>
                <w:color w:val="auto"/>
              </w:rPr>
              <w:t>—等效排气筒高度，m；</w:t>
            </w:r>
          </w:p>
          <w:p>
            <w:pPr>
              <w:numPr>
                <w:ilvl w:val="255"/>
                <w:numId w:val="0"/>
              </w:numPr>
              <w:ind w:firstLine="480" w:firstLineChars="200"/>
              <w:rPr>
                <w:rFonts w:hint="eastAsia"/>
                <w:b w:val="0"/>
                <w:bCs w:val="0"/>
                <w:color w:val="auto"/>
              </w:rPr>
            </w:pPr>
            <w:r>
              <w:rPr>
                <w:rFonts w:hint="eastAsia"/>
                <w:b w:val="0"/>
                <w:bCs w:val="0"/>
                <w:color w:val="auto"/>
              </w:rPr>
              <w:t>h</w:t>
            </w:r>
            <w:r>
              <w:rPr>
                <w:rFonts w:hint="eastAsia"/>
                <w:b w:val="0"/>
                <w:bCs w:val="0"/>
                <w:color w:val="auto"/>
                <w:vertAlign w:val="subscript"/>
              </w:rPr>
              <w:t>2</w:t>
            </w:r>
            <w:r>
              <w:rPr>
                <w:rFonts w:hint="eastAsia"/>
                <w:b w:val="0"/>
                <w:bCs w:val="0"/>
                <w:color w:val="auto"/>
              </w:rPr>
              <w:t>—等效排气筒高度，m；</w:t>
            </w:r>
          </w:p>
          <w:p>
            <w:pPr>
              <w:numPr>
                <w:ilvl w:val="255"/>
                <w:numId w:val="0"/>
              </w:numPr>
              <w:ind w:firstLine="480" w:firstLineChars="200"/>
              <w:rPr>
                <w:rFonts w:hint="eastAsia"/>
                <w:b w:val="0"/>
                <w:bCs w:val="0"/>
                <w:color w:val="auto"/>
              </w:rPr>
            </w:pPr>
            <w:r>
              <w:rPr>
                <w:rFonts w:hint="eastAsia"/>
                <w:b w:val="0"/>
                <w:bCs w:val="0"/>
                <w:color w:val="auto"/>
              </w:rPr>
              <w:t>根据上述公式计算，本项目等效排气筒高度为</w:t>
            </w:r>
            <w:r>
              <w:rPr>
                <w:rFonts w:hint="eastAsia"/>
                <w:b w:val="0"/>
                <w:bCs w:val="0"/>
                <w:color w:val="auto"/>
                <w:lang w:val="en-US" w:eastAsia="zh-CN"/>
              </w:rPr>
              <w:t>15</w:t>
            </w:r>
            <w:r>
              <w:rPr>
                <w:rFonts w:hint="eastAsia"/>
                <w:b w:val="0"/>
                <w:bCs w:val="0"/>
                <w:color w:val="auto"/>
              </w:rPr>
              <w:t>m。</w:t>
            </w:r>
          </w:p>
          <w:p>
            <w:pPr>
              <w:numPr>
                <w:ilvl w:val="255"/>
                <w:numId w:val="0"/>
              </w:numPr>
              <w:ind w:firstLine="480" w:firstLineChars="200"/>
              <w:rPr>
                <w:rFonts w:hint="eastAsia"/>
                <w:b w:val="0"/>
                <w:bCs w:val="0"/>
                <w:color w:val="auto"/>
                <w:lang w:val="en-US" w:eastAsia="zh-CN"/>
              </w:rPr>
            </w:pPr>
            <w:r>
              <w:rPr>
                <w:rFonts w:hint="eastAsia"/>
                <w:b w:val="0"/>
                <w:bCs w:val="0"/>
                <w:color w:val="auto"/>
                <w:lang w:val="en-US" w:eastAsia="zh-CN"/>
              </w:rPr>
              <w:t>等效排气筒污染物排放速率计算公式如下：</w:t>
            </w:r>
          </w:p>
          <w:p>
            <w:pPr>
              <w:numPr>
                <w:ilvl w:val="255"/>
                <w:numId w:val="0"/>
              </w:numPr>
              <w:ind w:firstLine="480" w:firstLineChars="200"/>
              <w:jc w:val="center"/>
              <w:rPr>
                <w:rFonts w:hint="eastAsia"/>
                <w:b w:val="0"/>
                <w:bCs w:val="0"/>
                <w:color w:val="auto"/>
                <w:lang w:val="en-US" w:eastAsia="zh-CN"/>
              </w:rPr>
            </w:pPr>
            <w:r>
              <w:rPr>
                <w:rFonts w:hint="eastAsia"/>
                <w:b w:val="0"/>
                <w:bCs w:val="0"/>
                <w:color w:val="auto"/>
                <w:lang w:val="en-US" w:eastAsia="zh-CN"/>
              </w:rPr>
              <w:t>Q=Q</w:t>
            </w:r>
            <w:r>
              <w:rPr>
                <w:rFonts w:hint="eastAsia"/>
                <w:b w:val="0"/>
                <w:bCs w:val="0"/>
                <w:color w:val="auto"/>
                <w:vertAlign w:val="subscript"/>
                <w:lang w:val="en-US" w:eastAsia="zh-CN"/>
              </w:rPr>
              <w:t>1</w:t>
            </w:r>
            <w:r>
              <w:rPr>
                <w:rFonts w:hint="eastAsia"/>
                <w:b w:val="0"/>
                <w:bCs w:val="0"/>
                <w:color w:val="auto"/>
                <w:lang w:val="en-US" w:eastAsia="zh-CN"/>
              </w:rPr>
              <w:t>+Q</w:t>
            </w:r>
            <w:r>
              <w:rPr>
                <w:rFonts w:hint="eastAsia"/>
                <w:b w:val="0"/>
                <w:bCs w:val="0"/>
                <w:color w:val="auto"/>
                <w:vertAlign w:val="subscript"/>
                <w:lang w:val="en-US" w:eastAsia="zh-CN"/>
              </w:rPr>
              <w:t>2</w:t>
            </w:r>
          </w:p>
          <w:p>
            <w:pPr>
              <w:numPr>
                <w:ilvl w:val="255"/>
                <w:numId w:val="0"/>
              </w:numPr>
              <w:ind w:firstLine="480" w:firstLineChars="200"/>
              <w:rPr>
                <w:rFonts w:hint="eastAsia"/>
                <w:b w:val="0"/>
                <w:bCs w:val="0"/>
                <w:color w:val="auto"/>
                <w:lang w:val="en-US" w:eastAsia="zh-CN"/>
              </w:rPr>
            </w:pPr>
            <w:r>
              <w:rPr>
                <w:rFonts w:hint="eastAsia"/>
                <w:b w:val="0"/>
                <w:bCs w:val="0"/>
                <w:color w:val="auto"/>
                <w:lang w:val="en-US" w:eastAsia="zh-CN"/>
              </w:rPr>
              <w:t>Q</w:t>
            </w:r>
            <w:r>
              <w:rPr>
                <w:rFonts w:hint="eastAsia"/>
                <w:b w:val="0"/>
                <w:bCs w:val="0"/>
                <w:color w:val="auto"/>
              </w:rPr>
              <w:t>—</w:t>
            </w:r>
            <w:r>
              <w:rPr>
                <w:rFonts w:hint="eastAsia"/>
                <w:b w:val="0"/>
                <w:bCs w:val="0"/>
                <w:color w:val="auto"/>
                <w:lang w:val="en-US" w:eastAsia="zh-CN"/>
              </w:rPr>
              <w:t>等效排气筒某污染物排放速率；</w:t>
            </w:r>
          </w:p>
          <w:p>
            <w:pPr>
              <w:numPr>
                <w:ilvl w:val="255"/>
                <w:numId w:val="0"/>
              </w:numPr>
              <w:ind w:firstLine="480" w:firstLineChars="200"/>
              <w:rPr>
                <w:rFonts w:hint="default"/>
                <w:b w:val="0"/>
                <w:bCs w:val="0"/>
                <w:color w:val="auto"/>
                <w:lang w:val="en-US" w:eastAsia="zh-CN"/>
              </w:rPr>
            </w:pPr>
            <w:r>
              <w:rPr>
                <w:rFonts w:hint="eastAsia"/>
                <w:b w:val="0"/>
                <w:bCs w:val="0"/>
                <w:color w:val="auto"/>
                <w:lang w:val="en-US" w:eastAsia="zh-CN"/>
              </w:rPr>
              <w:t>Q</w:t>
            </w:r>
            <w:r>
              <w:rPr>
                <w:rFonts w:hint="eastAsia"/>
                <w:b w:val="0"/>
                <w:bCs w:val="0"/>
                <w:color w:val="auto"/>
                <w:vertAlign w:val="subscript"/>
                <w:lang w:val="en-US" w:eastAsia="zh-CN"/>
              </w:rPr>
              <w:t>1</w:t>
            </w:r>
            <w:r>
              <w:rPr>
                <w:rFonts w:hint="eastAsia"/>
                <w:b w:val="0"/>
                <w:bCs w:val="0"/>
                <w:color w:val="auto"/>
                <w:lang w:val="en-US" w:eastAsia="zh-CN"/>
              </w:rPr>
              <w:t>，Q</w:t>
            </w:r>
            <w:r>
              <w:rPr>
                <w:rFonts w:hint="eastAsia"/>
                <w:b w:val="0"/>
                <w:bCs w:val="0"/>
                <w:color w:val="auto"/>
                <w:vertAlign w:val="subscript"/>
                <w:lang w:val="en-US" w:eastAsia="zh-CN"/>
              </w:rPr>
              <w:t>2</w:t>
            </w:r>
            <w:r>
              <w:rPr>
                <w:rFonts w:hint="eastAsia"/>
                <w:b w:val="0"/>
                <w:bCs w:val="0"/>
                <w:color w:val="auto"/>
              </w:rPr>
              <w:t>—</w:t>
            </w:r>
            <w:r>
              <w:rPr>
                <w:rFonts w:hint="eastAsia"/>
                <w:b w:val="0"/>
                <w:bCs w:val="0"/>
                <w:color w:val="auto"/>
                <w:lang w:val="en-US" w:eastAsia="zh-CN"/>
              </w:rPr>
              <w:t>排气筒1和排气筒2的某污染物排放速率。</w:t>
            </w:r>
          </w:p>
          <w:p>
            <w:pPr>
              <w:numPr>
                <w:ilvl w:val="255"/>
                <w:numId w:val="0"/>
              </w:numPr>
              <w:ind w:firstLine="480" w:firstLineChars="200"/>
              <w:rPr>
                <w:rFonts w:hint="default"/>
                <w:b w:val="0"/>
                <w:bCs w:val="0"/>
                <w:color w:val="auto"/>
                <w:lang w:val="en-US" w:eastAsia="zh-CN"/>
              </w:rPr>
            </w:pPr>
            <w:r>
              <w:rPr>
                <w:rFonts w:hint="eastAsia"/>
                <w:b w:val="0"/>
                <w:bCs w:val="0"/>
                <w:color w:val="auto"/>
                <w:lang w:val="en-US" w:eastAsia="zh-CN"/>
              </w:rPr>
              <w:t>根据上述公式计算，本项目等效排气筒排放速率为0.0325kg/h。</w:t>
            </w:r>
          </w:p>
          <w:p>
            <w:pPr>
              <w:numPr>
                <w:ilvl w:val="255"/>
                <w:numId w:val="0"/>
              </w:numPr>
              <w:ind w:firstLine="482" w:firstLineChars="200"/>
              <w:rPr>
                <w:b/>
                <w:bCs/>
                <w:color w:val="auto"/>
              </w:rPr>
            </w:pPr>
            <w:r>
              <w:rPr>
                <w:rFonts w:hint="eastAsia"/>
                <w:b/>
                <w:bCs/>
                <w:color w:val="auto"/>
              </w:rPr>
              <w:t>2、废水</w:t>
            </w:r>
          </w:p>
          <w:p>
            <w:pPr>
              <w:ind w:firstLine="480"/>
              <w:rPr>
                <w:rFonts w:hint="eastAsia"/>
                <w:color w:val="auto"/>
                <w:lang w:val="en-US" w:eastAsia="zh-CN"/>
              </w:rPr>
            </w:pPr>
            <w:r>
              <w:rPr>
                <w:rFonts w:hint="eastAsia"/>
                <w:color w:val="auto"/>
              </w:rPr>
              <w:t>项目生产</w:t>
            </w:r>
            <w:r>
              <w:rPr>
                <w:rFonts w:hint="eastAsia"/>
                <w:color w:val="auto"/>
                <w:lang w:val="en-US" w:eastAsia="zh-CN"/>
              </w:rPr>
              <w:t>过程</w:t>
            </w:r>
            <w:r>
              <w:rPr>
                <w:rFonts w:hint="eastAsia"/>
                <w:color w:val="auto"/>
              </w:rPr>
              <w:t>不使用水，</w:t>
            </w:r>
            <w:r>
              <w:rPr>
                <w:rFonts w:hint="eastAsia"/>
                <w:color w:val="auto"/>
                <w:lang w:val="en-US" w:eastAsia="zh-CN"/>
              </w:rPr>
              <w:t>无生产废水产生，</w:t>
            </w:r>
            <w:r>
              <w:rPr>
                <w:color w:val="auto"/>
              </w:rPr>
              <w:t>项目不设置食堂和住宿，</w:t>
            </w:r>
            <w:r>
              <w:rPr>
                <w:rFonts w:hint="eastAsia"/>
                <w:color w:val="auto"/>
                <w:lang w:val="en-US" w:eastAsia="zh-CN"/>
              </w:rPr>
              <w:t>车间采用干清扫的方式，仅有少量的生活污水产生，为员工洗手、卫生间冲厕废水。</w:t>
            </w:r>
          </w:p>
          <w:p>
            <w:pPr>
              <w:ind w:firstLine="480"/>
              <w:rPr>
                <w:color w:val="auto"/>
              </w:rPr>
            </w:pPr>
            <w:r>
              <w:rPr>
                <w:rFonts w:hint="eastAsia"/>
                <w:color w:val="auto"/>
              </w:rPr>
              <w:t>卫生间使用昆明力线电缆制造有限公司已建成公共卫生间</w:t>
            </w:r>
            <w:r>
              <w:rPr>
                <w:color w:val="auto"/>
              </w:rPr>
              <w:t>，</w:t>
            </w:r>
            <w:r>
              <w:rPr>
                <w:rFonts w:hint="eastAsia"/>
                <w:color w:val="auto"/>
              </w:rPr>
              <w:t>每人每天冲厕水量约为0.01</w:t>
            </w:r>
            <w:r>
              <w:rPr>
                <w:color w:val="auto"/>
              </w:rPr>
              <w:t>m</w:t>
            </w:r>
            <w:r>
              <w:rPr>
                <w:color w:val="auto"/>
                <w:vertAlign w:val="superscript"/>
              </w:rPr>
              <w:t>3</w:t>
            </w:r>
            <w:r>
              <w:rPr>
                <w:color w:val="auto"/>
              </w:rPr>
              <w:t>/d</w:t>
            </w:r>
            <w:r>
              <w:rPr>
                <w:rFonts w:hint="eastAsia"/>
                <w:color w:val="auto"/>
              </w:rPr>
              <w:t>，项目员工人数为20人，则冲厕废水</w:t>
            </w:r>
            <w:r>
              <w:rPr>
                <w:color w:val="auto"/>
              </w:rPr>
              <w:t>产生量约为0.</w:t>
            </w:r>
            <w:r>
              <w:rPr>
                <w:rFonts w:hint="eastAsia"/>
                <w:color w:val="auto"/>
              </w:rPr>
              <w:t>2</w:t>
            </w:r>
            <w:r>
              <w:rPr>
                <w:color w:val="auto"/>
              </w:rPr>
              <w:t>m</w:t>
            </w:r>
            <w:r>
              <w:rPr>
                <w:color w:val="auto"/>
                <w:vertAlign w:val="superscript"/>
              </w:rPr>
              <w:t>3</w:t>
            </w:r>
            <w:r>
              <w:rPr>
                <w:color w:val="auto"/>
              </w:rPr>
              <w:t>/d（</w:t>
            </w:r>
            <w:r>
              <w:rPr>
                <w:rFonts w:hint="eastAsia"/>
                <w:color w:val="auto"/>
              </w:rPr>
              <w:t>60</w:t>
            </w:r>
            <w:r>
              <w:rPr>
                <w:color w:val="auto"/>
              </w:rPr>
              <w:t>m</w:t>
            </w:r>
            <w:r>
              <w:rPr>
                <w:color w:val="auto"/>
                <w:vertAlign w:val="superscript"/>
              </w:rPr>
              <w:t>3</w:t>
            </w:r>
            <w:r>
              <w:rPr>
                <w:color w:val="auto"/>
              </w:rPr>
              <w:t>/a），</w:t>
            </w:r>
            <w:r>
              <w:rPr>
                <w:rFonts w:hint="eastAsia"/>
                <w:color w:val="auto"/>
              </w:rPr>
              <w:t>冲厕废水</w:t>
            </w:r>
            <w:r>
              <w:rPr>
                <w:color w:val="auto"/>
              </w:rPr>
              <w:t>排入</w:t>
            </w:r>
            <w:r>
              <w:rPr>
                <w:rFonts w:hint="eastAsia"/>
                <w:color w:val="auto"/>
              </w:rPr>
              <w:t>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w:t>
            </w:r>
            <w:r>
              <w:rPr>
                <w:rFonts w:hint="eastAsia"/>
                <w:color w:val="auto"/>
              </w:rPr>
              <w:t>达到《城市污水再生利用城市杂用水水质》（GB/T18920-20</w:t>
            </w:r>
            <w:r>
              <w:rPr>
                <w:rFonts w:hint="eastAsia"/>
                <w:color w:val="auto"/>
                <w:lang w:val="en-US" w:eastAsia="zh-CN"/>
              </w:rPr>
              <w:t>20</w:t>
            </w:r>
            <w:r>
              <w:rPr>
                <w:rFonts w:hint="eastAsia"/>
                <w:color w:val="auto"/>
              </w:rPr>
              <w:t>）标准后回用于绿化及道路清扫，不外排</w:t>
            </w:r>
            <w:r>
              <w:rPr>
                <w:rFonts w:hint="eastAsia" w:ascii="宋体" w:hAnsi="宋体" w:cs="宋体"/>
                <w:color w:val="auto"/>
              </w:rPr>
              <w:t>。</w:t>
            </w:r>
          </w:p>
          <w:p>
            <w:pPr>
              <w:numPr>
                <w:ilvl w:val="255"/>
                <w:numId w:val="0"/>
              </w:numPr>
              <w:ind w:left="480" w:leftChars="200"/>
              <w:rPr>
                <w:b/>
                <w:bCs/>
                <w:color w:val="auto"/>
              </w:rPr>
            </w:pPr>
            <w:r>
              <w:rPr>
                <w:b/>
                <w:bCs/>
                <w:color w:val="auto"/>
              </w:rPr>
              <w:t>3、噪声</w:t>
            </w:r>
          </w:p>
          <w:p>
            <w:pPr>
              <w:ind w:firstLine="504"/>
              <w:rPr>
                <w:color w:val="auto"/>
              </w:rPr>
            </w:pPr>
            <w:r>
              <w:rPr>
                <w:color w:val="auto"/>
                <w:spacing w:val="6"/>
              </w:rPr>
              <w:t>本项目</w:t>
            </w:r>
            <w:r>
              <w:rPr>
                <w:color w:val="auto"/>
              </w:rPr>
              <w:t>噪声的主要来源是：运输车辆进出时产生的交通噪声、设备运行产生的噪声。由于</w:t>
            </w:r>
            <w:r>
              <w:rPr>
                <w:bCs/>
                <w:color w:val="auto"/>
              </w:rPr>
              <w:t>项目使用设备较多，本环评仅列举出使用过程中主要高噪声设备，</w:t>
            </w:r>
            <w:r>
              <w:rPr>
                <w:color w:val="auto"/>
              </w:rPr>
              <w:t>设备噪声源主要为：</w:t>
            </w:r>
            <w:r>
              <w:rPr>
                <w:rFonts w:hint="eastAsia"/>
                <w:color w:val="auto"/>
              </w:rPr>
              <w:t>剪板机、气体保护焊机、激光切割机、冲床、喷塑设备、空压机、喷枪</w:t>
            </w:r>
            <w:r>
              <w:rPr>
                <w:color w:val="auto"/>
              </w:rPr>
              <w:t>等，噪声源强约为</w:t>
            </w:r>
            <w:r>
              <w:rPr>
                <w:rFonts w:hint="eastAsia"/>
                <w:color w:val="auto"/>
              </w:rPr>
              <w:t>7</w:t>
            </w:r>
            <w:r>
              <w:rPr>
                <w:rFonts w:hint="eastAsia"/>
                <w:color w:val="auto"/>
                <w:lang w:val="en-US" w:eastAsia="zh-CN"/>
              </w:rPr>
              <w:t>0</w:t>
            </w:r>
            <w:r>
              <w:rPr>
                <w:color w:val="auto"/>
              </w:rPr>
              <w:t>～9</w:t>
            </w:r>
            <w:r>
              <w:rPr>
                <w:rFonts w:hint="eastAsia"/>
                <w:color w:val="auto"/>
              </w:rPr>
              <w:t>0</w:t>
            </w:r>
            <w:r>
              <w:rPr>
                <w:color w:val="auto"/>
              </w:rPr>
              <w:t>dB(A)</w:t>
            </w:r>
            <w:r>
              <w:rPr>
                <w:color w:val="auto"/>
                <w:spacing w:val="-1"/>
              </w:rPr>
              <w:t>，项目生产设备均放置在厂区，通过墙体隔档、厂房墙壁阻隔及距离衰减下可以</w:t>
            </w:r>
            <w:r>
              <w:rPr>
                <w:color w:val="auto"/>
              </w:rPr>
              <w:t>降低10～15dB（</w:t>
            </w:r>
            <w:r>
              <w:rPr>
                <w:color w:val="auto"/>
                <w:spacing w:val="-1"/>
              </w:rPr>
              <w:t>A</w:t>
            </w:r>
            <w:r>
              <w:rPr>
                <w:color w:val="auto"/>
                <w:spacing w:val="-120"/>
              </w:rPr>
              <w:t>）</w:t>
            </w:r>
            <w:r>
              <w:rPr>
                <w:bCs/>
                <w:color w:val="auto"/>
              </w:rPr>
              <w:t>），项目运营期噪声源及源强见表5-</w:t>
            </w:r>
            <w:r>
              <w:rPr>
                <w:rFonts w:hint="eastAsia"/>
                <w:bCs/>
                <w:color w:val="auto"/>
              </w:rPr>
              <w:t>3</w:t>
            </w:r>
            <w:r>
              <w:rPr>
                <w:bCs/>
                <w:color w:val="auto"/>
              </w:rPr>
              <w:t>。</w:t>
            </w:r>
          </w:p>
          <w:p>
            <w:pPr>
              <w:pStyle w:val="48"/>
              <w:ind w:firstLine="422"/>
              <w:rPr>
                <w:color w:val="auto"/>
              </w:rPr>
            </w:pPr>
            <w:r>
              <w:rPr>
                <w:color w:val="auto"/>
              </w:rPr>
              <w:t>表5-</w:t>
            </w:r>
            <w:r>
              <w:rPr>
                <w:rFonts w:hint="eastAsia"/>
                <w:color w:val="auto"/>
              </w:rPr>
              <w:t>3</w:t>
            </w:r>
            <w:r>
              <w:rPr>
                <w:color w:val="auto"/>
              </w:rPr>
              <w:t>设备噪声一览表</w:t>
            </w:r>
          </w:p>
          <w:tbl>
            <w:tblPr>
              <w:tblStyle w:val="36"/>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348"/>
              <w:gridCol w:w="1405"/>
              <w:gridCol w:w="1814"/>
              <w:gridCol w:w="2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序号</w:t>
                  </w:r>
                </w:p>
              </w:tc>
              <w:tc>
                <w:tcPr>
                  <w:tcW w:w="2348" w:type="dxa"/>
                  <w:vAlign w:val="center"/>
                </w:tcPr>
                <w:p>
                  <w:pPr>
                    <w:pStyle w:val="50"/>
                    <w:rPr>
                      <w:color w:val="auto"/>
                    </w:rPr>
                  </w:pPr>
                  <w:r>
                    <w:rPr>
                      <w:color w:val="auto"/>
                    </w:rPr>
                    <w:t>设备名称</w:t>
                  </w:r>
                </w:p>
              </w:tc>
              <w:tc>
                <w:tcPr>
                  <w:tcW w:w="1405" w:type="dxa"/>
                  <w:vAlign w:val="center"/>
                </w:tcPr>
                <w:p>
                  <w:pPr>
                    <w:pStyle w:val="50"/>
                    <w:rPr>
                      <w:color w:val="auto"/>
                    </w:rPr>
                  </w:pPr>
                  <w:r>
                    <w:rPr>
                      <w:color w:val="auto"/>
                    </w:rPr>
                    <w:t>数量（台/套）</w:t>
                  </w:r>
                </w:p>
              </w:tc>
              <w:tc>
                <w:tcPr>
                  <w:tcW w:w="1814" w:type="dxa"/>
                  <w:vAlign w:val="center"/>
                </w:tcPr>
                <w:p>
                  <w:pPr>
                    <w:pStyle w:val="50"/>
                    <w:rPr>
                      <w:color w:val="auto"/>
                    </w:rPr>
                  </w:pPr>
                  <w:r>
                    <w:rPr>
                      <w:color w:val="auto"/>
                    </w:rPr>
                    <w:t xml:space="preserve">源强dB(A) </w:t>
                  </w:r>
                </w:p>
              </w:tc>
              <w:tc>
                <w:tcPr>
                  <w:tcW w:w="2584" w:type="dxa"/>
                  <w:vAlign w:val="center"/>
                </w:tcPr>
                <w:p>
                  <w:pPr>
                    <w:pStyle w:val="50"/>
                    <w:rPr>
                      <w:color w:val="auto"/>
                    </w:rPr>
                  </w:pPr>
                  <w:r>
                    <w:rPr>
                      <w:color w:val="auto"/>
                    </w:rPr>
                    <w:t>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1</w:t>
                  </w:r>
                </w:p>
              </w:tc>
              <w:tc>
                <w:tcPr>
                  <w:tcW w:w="2348" w:type="dxa"/>
                  <w:vAlign w:val="center"/>
                </w:tcPr>
                <w:p>
                  <w:pPr>
                    <w:pStyle w:val="50"/>
                    <w:rPr>
                      <w:color w:val="auto"/>
                    </w:rPr>
                  </w:pPr>
                  <w:r>
                    <w:rPr>
                      <w:rFonts w:hint="eastAsia"/>
                      <w:color w:val="auto"/>
                    </w:rPr>
                    <w:t>激光切割机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70~80</w:t>
                  </w:r>
                </w:p>
              </w:tc>
              <w:tc>
                <w:tcPr>
                  <w:tcW w:w="2584" w:type="dxa"/>
                  <w:vMerge w:val="restart"/>
                  <w:vAlign w:val="center"/>
                </w:tcPr>
                <w:p>
                  <w:pPr>
                    <w:pStyle w:val="50"/>
                    <w:rPr>
                      <w:color w:val="auto"/>
                    </w:rPr>
                  </w:pPr>
                  <w:r>
                    <w:rPr>
                      <w:color w:val="auto"/>
                    </w:rPr>
                    <w:t>选用低噪声设备，减震垫车间隔音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2</w:t>
                  </w:r>
                </w:p>
              </w:tc>
              <w:tc>
                <w:tcPr>
                  <w:tcW w:w="2348" w:type="dxa"/>
                  <w:vAlign w:val="center"/>
                </w:tcPr>
                <w:p>
                  <w:pPr>
                    <w:pStyle w:val="50"/>
                    <w:rPr>
                      <w:color w:val="auto"/>
                    </w:rPr>
                  </w:pPr>
                  <w:r>
                    <w:rPr>
                      <w:rFonts w:hint="eastAsia"/>
                      <w:color w:val="auto"/>
                    </w:rPr>
                    <w:t>大旋风涂装流水线</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85~90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3</w:t>
                  </w:r>
                </w:p>
              </w:tc>
              <w:tc>
                <w:tcPr>
                  <w:tcW w:w="2348" w:type="dxa"/>
                  <w:vAlign w:val="center"/>
                </w:tcPr>
                <w:p>
                  <w:pPr>
                    <w:pStyle w:val="50"/>
                    <w:rPr>
                      <w:color w:val="auto"/>
                    </w:rPr>
                  </w:pPr>
                  <w:r>
                    <w:rPr>
                      <w:rFonts w:hint="eastAsia"/>
                      <w:color w:val="auto"/>
                    </w:rPr>
                    <w:t>激光水冷机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70~80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4</w:t>
                  </w:r>
                </w:p>
              </w:tc>
              <w:tc>
                <w:tcPr>
                  <w:tcW w:w="2348" w:type="dxa"/>
                  <w:vAlign w:val="center"/>
                </w:tcPr>
                <w:p>
                  <w:pPr>
                    <w:pStyle w:val="50"/>
                    <w:rPr>
                      <w:color w:val="auto"/>
                    </w:rPr>
                  </w:pPr>
                  <w:r>
                    <w:rPr>
                      <w:rFonts w:hint="eastAsia"/>
                      <w:color w:val="auto"/>
                    </w:rPr>
                    <w:t>激光空压机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85~90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5</w:t>
                  </w:r>
                </w:p>
              </w:tc>
              <w:tc>
                <w:tcPr>
                  <w:tcW w:w="2348" w:type="dxa"/>
                  <w:vAlign w:val="center"/>
                </w:tcPr>
                <w:p>
                  <w:pPr>
                    <w:pStyle w:val="50"/>
                    <w:rPr>
                      <w:color w:val="auto"/>
                    </w:rPr>
                  </w:pPr>
                  <w:r>
                    <w:rPr>
                      <w:rFonts w:hint="eastAsia"/>
                      <w:color w:val="auto"/>
                    </w:rPr>
                    <w:t>激光空气过滤机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6</w:t>
                  </w:r>
                </w:p>
              </w:tc>
              <w:tc>
                <w:tcPr>
                  <w:tcW w:w="2348" w:type="dxa"/>
                  <w:vAlign w:val="center"/>
                </w:tcPr>
                <w:p>
                  <w:pPr>
                    <w:pStyle w:val="50"/>
                    <w:rPr>
                      <w:color w:val="auto"/>
                    </w:rPr>
                  </w:pPr>
                  <w:r>
                    <w:rPr>
                      <w:rFonts w:hint="eastAsia"/>
                      <w:color w:val="auto"/>
                    </w:rPr>
                    <w:t>数控折弯机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7</w:t>
                  </w:r>
                </w:p>
              </w:tc>
              <w:tc>
                <w:tcPr>
                  <w:tcW w:w="2348" w:type="dxa"/>
                  <w:vAlign w:val="center"/>
                </w:tcPr>
                <w:p>
                  <w:pPr>
                    <w:pStyle w:val="50"/>
                    <w:rPr>
                      <w:rFonts w:ascii="宋体"/>
                      <w:color w:val="auto"/>
                      <w:spacing w:val="11"/>
                      <w:kern w:val="2"/>
                    </w:rPr>
                  </w:pPr>
                  <w:r>
                    <w:rPr>
                      <w:rFonts w:hint="eastAsia"/>
                      <w:color w:val="auto"/>
                    </w:rPr>
                    <w:t>剪板机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70~80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color w:val="auto"/>
                    </w:rPr>
                    <w:t>8</w:t>
                  </w:r>
                </w:p>
              </w:tc>
              <w:tc>
                <w:tcPr>
                  <w:tcW w:w="2348" w:type="dxa"/>
                  <w:vAlign w:val="center"/>
                </w:tcPr>
                <w:p>
                  <w:pPr>
                    <w:pStyle w:val="50"/>
                    <w:rPr>
                      <w:rFonts w:ascii="宋体"/>
                      <w:color w:val="auto"/>
                      <w:spacing w:val="11"/>
                      <w:kern w:val="2"/>
                    </w:rPr>
                  </w:pPr>
                  <w:r>
                    <w:rPr>
                      <w:rFonts w:hint="eastAsia"/>
                      <w:color w:val="auto"/>
                    </w:rPr>
                    <w:t>冲床（80吨）</w:t>
                  </w:r>
                </w:p>
              </w:tc>
              <w:tc>
                <w:tcPr>
                  <w:tcW w:w="1405" w:type="dxa"/>
                  <w:vAlign w:val="center"/>
                </w:tcPr>
                <w:p>
                  <w:pPr>
                    <w:pStyle w:val="50"/>
                    <w:rPr>
                      <w:color w:val="auto"/>
                    </w:rPr>
                  </w:pPr>
                  <w:r>
                    <w:rPr>
                      <w:rFonts w:hint="eastAsia"/>
                      <w:color w:val="auto"/>
                    </w:rPr>
                    <w:t>2</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9</w:t>
                  </w:r>
                </w:p>
              </w:tc>
              <w:tc>
                <w:tcPr>
                  <w:tcW w:w="2348" w:type="dxa"/>
                  <w:vAlign w:val="center"/>
                </w:tcPr>
                <w:p>
                  <w:pPr>
                    <w:pStyle w:val="50"/>
                    <w:rPr>
                      <w:rFonts w:ascii="宋体"/>
                      <w:color w:val="auto"/>
                      <w:spacing w:val="11"/>
                      <w:kern w:val="2"/>
                    </w:rPr>
                  </w:pPr>
                  <w:r>
                    <w:rPr>
                      <w:rFonts w:hint="eastAsia"/>
                      <w:color w:val="auto"/>
                    </w:rPr>
                    <w:t>步冲机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10</w:t>
                  </w:r>
                </w:p>
              </w:tc>
              <w:tc>
                <w:tcPr>
                  <w:tcW w:w="2348" w:type="dxa"/>
                  <w:vAlign w:val="center"/>
                </w:tcPr>
                <w:p>
                  <w:pPr>
                    <w:pStyle w:val="50"/>
                    <w:rPr>
                      <w:color w:val="auto"/>
                    </w:rPr>
                  </w:pPr>
                  <w:r>
                    <w:rPr>
                      <w:rFonts w:hint="eastAsia"/>
                      <w:color w:val="auto"/>
                    </w:rPr>
                    <w:t>冲床（40吨）</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11</w:t>
                  </w:r>
                </w:p>
              </w:tc>
              <w:tc>
                <w:tcPr>
                  <w:tcW w:w="2348" w:type="dxa"/>
                  <w:vAlign w:val="center"/>
                </w:tcPr>
                <w:p>
                  <w:pPr>
                    <w:pStyle w:val="50"/>
                    <w:rPr>
                      <w:color w:val="auto"/>
                    </w:rPr>
                  </w:pPr>
                  <w:r>
                    <w:rPr>
                      <w:rFonts w:hint="eastAsia"/>
                      <w:color w:val="auto"/>
                    </w:rPr>
                    <w:t>冲床（16吨)</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12</w:t>
                  </w:r>
                </w:p>
              </w:tc>
              <w:tc>
                <w:tcPr>
                  <w:tcW w:w="2348" w:type="dxa"/>
                  <w:vAlign w:val="center"/>
                </w:tcPr>
                <w:p>
                  <w:pPr>
                    <w:pStyle w:val="50"/>
                    <w:rPr>
                      <w:color w:val="auto"/>
                    </w:rPr>
                  </w:pPr>
                  <w:r>
                    <w:rPr>
                      <w:rFonts w:hint="eastAsia"/>
                      <w:color w:val="auto"/>
                    </w:rPr>
                    <w:t>冲床（25吨）</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13</w:t>
                  </w:r>
                </w:p>
              </w:tc>
              <w:tc>
                <w:tcPr>
                  <w:tcW w:w="2348" w:type="dxa"/>
                  <w:vAlign w:val="center"/>
                </w:tcPr>
                <w:p>
                  <w:pPr>
                    <w:pStyle w:val="50"/>
                    <w:rPr>
                      <w:color w:val="auto"/>
                    </w:rPr>
                  </w:pPr>
                  <w:r>
                    <w:rPr>
                      <w:rFonts w:hint="eastAsia"/>
                      <w:color w:val="auto"/>
                    </w:rPr>
                    <w:t>气保电焊机</w:t>
                  </w:r>
                </w:p>
              </w:tc>
              <w:tc>
                <w:tcPr>
                  <w:tcW w:w="1405" w:type="dxa"/>
                  <w:vAlign w:val="center"/>
                </w:tcPr>
                <w:p>
                  <w:pPr>
                    <w:pStyle w:val="50"/>
                    <w:rPr>
                      <w:color w:val="auto"/>
                    </w:rPr>
                  </w:pPr>
                  <w:r>
                    <w:rPr>
                      <w:rFonts w:hint="eastAsia"/>
                      <w:color w:val="auto"/>
                    </w:rPr>
                    <w:t>6</w:t>
                  </w:r>
                </w:p>
              </w:tc>
              <w:tc>
                <w:tcPr>
                  <w:tcW w:w="1814" w:type="dxa"/>
                  <w:vAlign w:val="center"/>
                </w:tcPr>
                <w:p>
                  <w:pPr>
                    <w:pStyle w:val="50"/>
                    <w:rPr>
                      <w:color w:val="auto"/>
                    </w:rPr>
                  </w:pPr>
                  <w:r>
                    <w:rPr>
                      <w:rFonts w:hint="eastAsia"/>
                      <w:color w:val="auto"/>
                    </w:rPr>
                    <w:t>70~80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14</w:t>
                  </w:r>
                </w:p>
              </w:tc>
              <w:tc>
                <w:tcPr>
                  <w:tcW w:w="2348" w:type="dxa"/>
                  <w:vAlign w:val="center"/>
                </w:tcPr>
                <w:p>
                  <w:pPr>
                    <w:pStyle w:val="50"/>
                    <w:rPr>
                      <w:color w:val="auto"/>
                    </w:rPr>
                  </w:pPr>
                  <w:r>
                    <w:rPr>
                      <w:rFonts w:hint="eastAsia"/>
                      <w:color w:val="auto"/>
                    </w:rPr>
                    <w:t>折弯机（100吨）</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85~90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15</w:t>
                  </w:r>
                </w:p>
              </w:tc>
              <w:tc>
                <w:tcPr>
                  <w:tcW w:w="2348" w:type="dxa"/>
                  <w:vAlign w:val="center"/>
                </w:tcPr>
                <w:p>
                  <w:pPr>
                    <w:pStyle w:val="50"/>
                    <w:rPr>
                      <w:color w:val="auto"/>
                    </w:rPr>
                  </w:pPr>
                  <w:r>
                    <w:rPr>
                      <w:rFonts w:hint="eastAsia"/>
                      <w:color w:val="auto"/>
                    </w:rPr>
                    <w:t>液压切角机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70~80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16</w:t>
                  </w:r>
                </w:p>
              </w:tc>
              <w:tc>
                <w:tcPr>
                  <w:tcW w:w="2348" w:type="dxa"/>
                  <w:vAlign w:val="center"/>
                </w:tcPr>
                <w:p>
                  <w:pPr>
                    <w:pStyle w:val="50"/>
                    <w:rPr>
                      <w:color w:val="auto"/>
                    </w:rPr>
                  </w:pPr>
                  <w:r>
                    <w:rPr>
                      <w:rFonts w:hint="eastAsia"/>
                      <w:color w:val="auto"/>
                    </w:rPr>
                    <w:t>点焊机</w:t>
                  </w:r>
                </w:p>
              </w:tc>
              <w:tc>
                <w:tcPr>
                  <w:tcW w:w="1405" w:type="dxa"/>
                  <w:vAlign w:val="center"/>
                </w:tcPr>
                <w:p>
                  <w:pPr>
                    <w:pStyle w:val="50"/>
                    <w:rPr>
                      <w:color w:val="auto"/>
                    </w:rPr>
                  </w:pPr>
                  <w:r>
                    <w:rPr>
                      <w:rFonts w:hint="eastAsia"/>
                      <w:color w:val="auto"/>
                    </w:rPr>
                    <w:t>2</w:t>
                  </w:r>
                </w:p>
              </w:tc>
              <w:tc>
                <w:tcPr>
                  <w:tcW w:w="1814" w:type="dxa"/>
                  <w:vAlign w:val="center"/>
                </w:tcPr>
                <w:p>
                  <w:pPr>
                    <w:pStyle w:val="50"/>
                    <w:rPr>
                      <w:color w:val="auto"/>
                    </w:rPr>
                  </w:pPr>
                  <w:r>
                    <w:rPr>
                      <w:rFonts w:hint="eastAsia"/>
                      <w:color w:val="auto"/>
                    </w:rPr>
                    <w:t>70~80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17</w:t>
                  </w:r>
                </w:p>
              </w:tc>
              <w:tc>
                <w:tcPr>
                  <w:tcW w:w="2348" w:type="dxa"/>
                  <w:vAlign w:val="center"/>
                </w:tcPr>
                <w:p>
                  <w:pPr>
                    <w:pStyle w:val="50"/>
                    <w:rPr>
                      <w:color w:val="auto"/>
                    </w:rPr>
                  </w:pPr>
                  <w:r>
                    <w:rPr>
                      <w:rFonts w:hint="eastAsia"/>
                      <w:color w:val="auto"/>
                    </w:rPr>
                    <w:t>摇臂钻床</w:t>
                  </w:r>
                </w:p>
              </w:tc>
              <w:tc>
                <w:tcPr>
                  <w:tcW w:w="1405" w:type="dxa"/>
                  <w:vAlign w:val="center"/>
                </w:tcPr>
                <w:p>
                  <w:pPr>
                    <w:pStyle w:val="50"/>
                    <w:rPr>
                      <w:color w:val="auto"/>
                    </w:rPr>
                  </w:pPr>
                  <w:r>
                    <w:rPr>
                      <w:rFonts w:hint="eastAsia"/>
                      <w:color w:val="auto"/>
                    </w:rPr>
                    <w:t>2</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18</w:t>
                  </w:r>
                </w:p>
              </w:tc>
              <w:tc>
                <w:tcPr>
                  <w:tcW w:w="2348" w:type="dxa"/>
                  <w:vAlign w:val="center"/>
                </w:tcPr>
                <w:p>
                  <w:pPr>
                    <w:pStyle w:val="50"/>
                    <w:rPr>
                      <w:color w:val="auto"/>
                    </w:rPr>
                  </w:pPr>
                  <w:r>
                    <w:rPr>
                      <w:rFonts w:hint="eastAsia"/>
                      <w:color w:val="auto"/>
                    </w:rPr>
                    <w:t>铜牌折弯机</w:t>
                  </w:r>
                </w:p>
              </w:tc>
              <w:tc>
                <w:tcPr>
                  <w:tcW w:w="1405" w:type="dxa"/>
                  <w:vAlign w:val="center"/>
                </w:tcPr>
                <w:p>
                  <w:pPr>
                    <w:pStyle w:val="50"/>
                    <w:rPr>
                      <w:color w:val="auto"/>
                    </w:rPr>
                  </w:pPr>
                  <w:r>
                    <w:rPr>
                      <w:rFonts w:hint="eastAsia"/>
                      <w:color w:val="auto"/>
                    </w:rPr>
                    <w:t>3</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19</w:t>
                  </w:r>
                </w:p>
              </w:tc>
              <w:tc>
                <w:tcPr>
                  <w:tcW w:w="2348" w:type="dxa"/>
                  <w:vAlign w:val="center"/>
                </w:tcPr>
                <w:p>
                  <w:pPr>
                    <w:pStyle w:val="50"/>
                    <w:rPr>
                      <w:color w:val="auto"/>
                    </w:rPr>
                  </w:pPr>
                  <w:r>
                    <w:rPr>
                      <w:rFonts w:hint="eastAsia"/>
                      <w:color w:val="auto"/>
                    </w:rPr>
                    <w:t>空压机</w:t>
                  </w:r>
                </w:p>
              </w:tc>
              <w:tc>
                <w:tcPr>
                  <w:tcW w:w="1405" w:type="dxa"/>
                  <w:vAlign w:val="center"/>
                </w:tcPr>
                <w:p>
                  <w:pPr>
                    <w:pStyle w:val="50"/>
                    <w:rPr>
                      <w:color w:val="auto"/>
                    </w:rPr>
                  </w:pPr>
                  <w:r>
                    <w:rPr>
                      <w:rFonts w:hint="eastAsia"/>
                      <w:color w:val="auto"/>
                    </w:rPr>
                    <w:t>1</w:t>
                  </w:r>
                </w:p>
              </w:tc>
              <w:tc>
                <w:tcPr>
                  <w:tcW w:w="1814" w:type="dxa"/>
                  <w:vAlign w:val="center"/>
                </w:tcPr>
                <w:p>
                  <w:pPr>
                    <w:pStyle w:val="50"/>
                    <w:rPr>
                      <w:color w:val="auto"/>
                    </w:rPr>
                  </w:pPr>
                  <w:r>
                    <w:rPr>
                      <w:rFonts w:hint="eastAsia"/>
                      <w:color w:val="auto"/>
                    </w:rPr>
                    <w:t>85~90</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806" w:type="dxa"/>
                  <w:vAlign w:val="center"/>
                </w:tcPr>
                <w:p>
                  <w:pPr>
                    <w:pStyle w:val="50"/>
                    <w:rPr>
                      <w:color w:val="auto"/>
                    </w:rPr>
                  </w:pPr>
                  <w:r>
                    <w:rPr>
                      <w:rFonts w:hint="eastAsia"/>
                      <w:color w:val="auto"/>
                    </w:rPr>
                    <w:t>20</w:t>
                  </w:r>
                </w:p>
              </w:tc>
              <w:tc>
                <w:tcPr>
                  <w:tcW w:w="2348" w:type="dxa"/>
                  <w:vAlign w:val="center"/>
                </w:tcPr>
                <w:p>
                  <w:pPr>
                    <w:pStyle w:val="50"/>
                    <w:rPr>
                      <w:color w:val="auto"/>
                    </w:rPr>
                  </w:pPr>
                  <w:r>
                    <w:rPr>
                      <w:rFonts w:hint="eastAsia"/>
                      <w:color w:val="auto"/>
                    </w:rPr>
                    <w:t>冷冻干燥机</w:t>
                  </w:r>
                </w:p>
              </w:tc>
              <w:tc>
                <w:tcPr>
                  <w:tcW w:w="1405" w:type="dxa"/>
                  <w:vAlign w:val="center"/>
                </w:tcPr>
                <w:p>
                  <w:pPr>
                    <w:pStyle w:val="50"/>
                    <w:rPr>
                      <w:color w:val="auto"/>
                    </w:rPr>
                  </w:pPr>
                  <w:r>
                    <w:rPr>
                      <w:rFonts w:hint="eastAsia"/>
                      <w:color w:val="auto"/>
                    </w:rPr>
                    <w:t>2</w:t>
                  </w:r>
                </w:p>
              </w:tc>
              <w:tc>
                <w:tcPr>
                  <w:tcW w:w="1814" w:type="dxa"/>
                  <w:vAlign w:val="center"/>
                </w:tcPr>
                <w:p>
                  <w:pPr>
                    <w:pStyle w:val="50"/>
                    <w:rPr>
                      <w:color w:val="auto"/>
                    </w:rPr>
                  </w:pPr>
                  <w:r>
                    <w:rPr>
                      <w:rFonts w:hint="eastAsia"/>
                      <w:color w:val="auto"/>
                    </w:rPr>
                    <w:t>75~8</w:t>
                  </w:r>
                  <w:r>
                    <w:rPr>
                      <w:color w:val="auto"/>
                    </w:rPr>
                    <w:t>5</w:t>
                  </w:r>
                </w:p>
              </w:tc>
              <w:tc>
                <w:tcPr>
                  <w:tcW w:w="2584" w:type="dxa"/>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806" w:type="dxa"/>
                  <w:vAlign w:val="center"/>
                </w:tcPr>
                <w:p>
                  <w:pPr>
                    <w:pStyle w:val="50"/>
                    <w:rPr>
                      <w:color w:val="auto"/>
                    </w:rPr>
                  </w:pPr>
                  <w:r>
                    <w:rPr>
                      <w:rFonts w:hint="eastAsia"/>
                      <w:color w:val="auto"/>
                    </w:rPr>
                    <w:t>21</w:t>
                  </w:r>
                </w:p>
              </w:tc>
              <w:tc>
                <w:tcPr>
                  <w:tcW w:w="2348" w:type="dxa"/>
                  <w:vAlign w:val="center"/>
                </w:tcPr>
                <w:p>
                  <w:pPr>
                    <w:pStyle w:val="50"/>
                    <w:rPr>
                      <w:color w:val="auto"/>
                    </w:rPr>
                  </w:pPr>
                  <w:r>
                    <w:rPr>
                      <w:rFonts w:hint="eastAsia"/>
                      <w:color w:val="auto"/>
                    </w:rPr>
                    <w:t>风机</w:t>
                  </w:r>
                </w:p>
              </w:tc>
              <w:tc>
                <w:tcPr>
                  <w:tcW w:w="1405" w:type="dxa"/>
                  <w:vAlign w:val="center"/>
                </w:tcPr>
                <w:p>
                  <w:pPr>
                    <w:pStyle w:val="50"/>
                    <w:rPr>
                      <w:color w:val="auto"/>
                    </w:rPr>
                  </w:pPr>
                  <w:r>
                    <w:rPr>
                      <w:rFonts w:hint="eastAsia"/>
                      <w:color w:val="auto"/>
                    </w:rPr>
                    <w:t>2</w:t>
                  </w:r>
                </w:p>
              </w:tc>
              <w:tc>
                <w:tcPr>
                  <w:tcW w:w="1814" w:type="dxa"/>
                  <w:vAlign w:val="center"/>
                </w:tcPr>
                <w:p>
                  <w:pPr>
                    <w:pStyle w:val="50"/>
                    <w:rPr>
                      <w:color w:val="auto"/>
                    </w:rPr>
                  </w:pPr>
                  <w:r>
                    <w:rPr>
                      <w:rFonts w:hint="eastAsia"/>
                      <w:color w:val="auto"/>
                    </w:rPr>
                    <w:t>85~90</w:t>
                  </w:r>
                </w:p>
              </w:tc>
              <w:tc>
                <w:tcPr>
                  <w:tcW w:w="2584" w:type="dxa"/>
                  <w:vMerge w:val="continue"/>
                  <w:vAlign w:val="center"/>
                </w:tcPr>
                <w:p>
                  <w:pPr>
                    <w:pStyle w:val="50"/>
                    <w:rPr>
                      <w:color w:val="auto"/>
                    </w:rPr>
                  </w:pPr>
                </w:p>
              </w:tc>
            </w:tr>
          </w:tbl>
          <w:p>
            <w:pPr>
              <w:ind w:firstLine="482"/>
              <w:rPr>
                <w:b/>
                <w:bCs/>
                <w:color w:val="auto"/>
              </w:rPr>
            </w:pPr>
            <w:r>
              <w:rPr>
                <w:b/>
                <w:bCs/>
                <w:color w:val="auto"/>
              </w:rPr>
              <w:t>4、固体废物</w:t>
            </w:r>
          </w:p>
          <w:p>
            <w:pPr>
              <w:ind w:firstLine="480"/>
              <w:rPr>
                <w:color w:val="auto"/>
              </w:rPr>
            </w:pPr>
            <w:r>
              <w:rPr>
                <w:rFonts w:hint="eastAsia"/>
                <w:color w:val="auto"/>
              </w:rPr>
              <w:t>本项目产生的固体废物主要为一般固废和危险固废。</w:t>
            </w:r>
          </w:p>
          <w:p>
            <w:pPr>
              <w:ind w:firstLine="480"/>
              <w:rPr>
                <w:color w:val="auto"/>
              </w:rPr>
            </w:pPr>
            <w:r>
              <w:rPr>
                <w:rFonts w:hint="eastAsia"/>
                <w:color w:val="auto"/>
              </w:rPr>
              <w:t>一般固废：机加工生产过程中产生的废金属边角料；焊接工序产生的废焊料和焊渣；喷塑过程中的收尘系统回收塑粉；焊丝、塑粉包装产生的废包装材料及生活垃圾；</w:t>
            </w:r>
          </w:p>
          <w:p>
            <w:pPr>
              <w:ind w:firstLine="480"/>
              <w:rPr>
                <w:color w:val="auto"/>
              </w:rPr>
            </w:pPr>
            <w:r>
              <w:rPr>
                <w:rFonts w:hint="eastAsia"/>
                <w:color w:val="auto"/>
              </w:rPr>
              <w:t>危险废物：设备保养及维护、机修环节产生的废润滑油、废油桶等；废气处理产生的废活性炭。</w:t>
            </w:r>
          </w:p>
          <w:p>
            <w:pPr>
              <w:ind w:firstLine="482"/>
              <w:rPr>
                <w:b/>
                <w:bCs/>
                <w:color w:val="auto"/>
              </w:rPr>
            </w:pPr>
            <w:r>
              <w:rPr>
                <w:b/>
                <w:bCs/>
                <w:color w:val="auto"/>
              </w:rPr>
              <w:t>（1）一般固废</w:t>
            </w:r>
          </w:p>
          <w:p>
            <w:pPr>
              <w:adjustRightInd/>
              <w:snapToGrid/>
              <w:ind w:firstLine="480" w:firstLineChars="0"/>
              <w:contextualSpacing/>
              <w:jc w:val="left"/>
              <w:rPr>
                <w:color w:val="auto"/>
              </w:rPr>
            </w:pPr>
            <w:r>
              <w:rPr>
                <w:rFonts w:hint="eastAsia"/>
                <w:color w:val="auto"/>
              </w:rPr>
              <w:t>①废金属边角料</w:t>
            </w:r>
          </w:p>
          <w:p>
            <w:pPr>
              <w:adjustRightInd/>
              <w:snapToGrid/>
              <w:ind w:firstLine="480" w:firstLineChars="0"/>
              <w:contextualSpacing/>
              <w:jc w:val="left"/>
              <w:rPr>
                <w:color w:val="auto"/>
              </w:rPr>
            </w:pPr>
            <w:r>
              <w:rPr>
                <w:rFonts w:hint="eastAsia"/>
                <w:color w:val="auto"/>
              </w:rPr>
              <w:t>主要为工件切割、打孔过程产生的金属屑及边角料，根据建设单位提供的资料，金属废料产生量约为金属原材料用量的0.2%，项目金属原材料用量495t/a，则营运期废金属屑、边角料产生量约0.99t/a，统一收集后外售。</w:t>
            </w:r>
          </w:p>
          <w:p>
            <w:pPr>
              <w:adjustRightInd/>
              <w:snapToGrid/>
              <w:ind w:firstLine="480" w:firstLineChars="0"/>
              <w:contextualSpacing/>
              <w:jc w:val="left"/>
              <w:rPr>
                <w:color w:val="auto"/>
              </w:rPr>
            </w:pPr>
            <w:r>
              <w:rPr>
                <w:rFonts w:hint="eastAsia"/>
                <w:color w:val="auto"/>
              </w:rPr>
              <w:t>②焊渣</w:t>
            </w:r>
          </w:p>
          <w:p>
            <w:pPr>
              <w:adjustRightInd/>
              <w:snapToGrid/>
              <w:ind w:firstLine="480" w:firstLineChars="0"/>
              <w:contextualSpacing/>
              <w:jc w:val="left"/>
              <w:rPr>
                <w:color w:val="auto"/>
              </w:rPr>
            </w:pPr>
            <w:r>
              <w:rPr>
                <w:rFonts w:hint="eastAsia"/>
                <w:color w:val="auto"/>
              </w:rPr>
              <w:t>根据建设单位提供的资料，项目焊接工序产生的废焊料和焊渣为焊丝用量的2%。项目焊丝用量2t/a，产生的废焊渣约0.04t/a，属于一般工业固废，集中收集后外售。</w:t>
            </w:r>
          </w:p>
          <w:p>
            <w:pPr>
              <w:adjustRightInd/>
              <w:snapToGrid/>
              <w:ind w:firstLine="480" w:firstLineChars="0"/>
              <w:contextualSpacing/>
              <w:jc w:val="left"/>
              <w:rPr>
                <w:color w:val="auto"/>
              </w:rPr>
            </w:pPr>
            <w:r>
              <w:rPr>
                <w:rFonts w:hint="eastAsia"/>
                <w:color w:val="auto"/>
              </w:rPr>
              <w:fldChar w:fldCharType="begin"/>
            </w:r>
            <w:r>
              <w:rPr>
                <w:rFonts w:hint="eastAsia"/>
                <w:color w:val="auto"/>
              </w:rPr>
              <w:instrText xml:space="preserve"> = 3 \* GB3 \* MERGEFORMAT </w:instrText>
            </w:r>
            <w:r>
              <w:rPr>
                <w:rFonts w:hint="eastAsia"/>
                <w:color w:val="auto"/>
              </w:rPr>
              <w:fldChar w:fldCharType="separate"/>
            </w:r>
            <w:r>
              <w:rPr>
                <w:rFonts w:hint="eastAsia"/>
                <w:color w:val="auto"/>
              </w:rPr>
              <w:t>③</w:t>
            </w:r>
            <w:r>
              <w:rPr>
                <w:rFonts w:hint="eastAsia"/>
                <w:color w:val="auto"/>
              </w:rPr>
              <w:fldChar w:fldCharType="end"/>
            </w:r>
            <w:r>
              <w:rPr>
                <w:rFonts w:hint="eastAsia"/>
                <w:color w:val="auto"/>
              </w:rPr>
              <w:t>收尘系统回收塑粉</w:t>
            </w:r>
          </w:p>
          <w:p>
            <w:pPr>
              <w:adjustRightInd/>
              <w:snapToGrid/>
              <w:ind w:firstLine="480" w:firstLineChars="0"/>
              <w:contextualSpacing/>
              <w:jc w:val="left"/>
              <w:rPr>
                <w:color w:val="auto"/>
              </w:rPr>
            </w:pPr>
            <w:r>
              <w:rPr>
                <w:rFonts w:hint="eastAsia"/>
                <w:color w:val="auto"/>
              </w:rPr>
              <w:t>本项目喷塑过程收尘系统收集未附着的塑粉，粉尘有组织产生量约为2.52t/a，有组织</w:t>
            </w:r>
            <w:r>
              <w:rPr>
                <w:color w:val="auto"/>
              </w:rPr>
              <w:t>排放量为</w:t>
            </w:r>
            <w:r>
              <w:rPr>
                <w:rFonts w:hint="eastAsia"/>
                <w:color w:val="auto"/>
              </w:rPr>
              <w:t>0.0504</w:t>
            </w:r>
            <w:r>
              <w:rPr>
                <w:color w:val="auto"/>
              </w:rPr>
              <w:t>t/a</w:t>
            </w:r>
            <w:r>
              <w:rPr>
                <w:rFonts w:hint="eastAsia"/>
                <w:color w:val="auto"/>
              </w:rPr>
              <w:t>，收集量约</w:t>
            </w:r>
            <w:r>
              <w:rPr>
                <w:color w:val="auto"/>
              </w:rPr>
              <w:t>为</w:t>
            </w:r>
            <w:r>
              <w:rPr>
                <w:rFonts w:hint="eastAsia"/>
                <w:color w:val="auto"/>
              </w:rPr>
              <w:t>2.47</w:t>
            </w:r>
            <w:r>
              <w:rPr>
                <w:color w:val="auto"/>
              </w:rPr>
              <w:t>t/a</w:t>
            </w:r>
            <w:r>
              <w:rPr>
                <w:rFonts w:hint="eastAsia"/>
                <w:color w:val="auto"/>
              </w:rPr>
              <w:t>，全部回用于喷塑工艺。</w:t>
            </w:r>
          </w:p>
          <w:p>
            <w:pPr>
              <w:adjustRightInd/>
              <w:snapToGrid/>
              <w:ind w:firstLine="480" w:firstLineChars="0"/>
              <w:contextualSpacing/>
              <w:jc w:val="left"/>
              <w:rPr>
                <w:color w:val="auto"/>
              </w:rPr>
            </w:pPr>
            <w:r>
              <w:rPr>
                <w:rFonts w:hint="eastAsia"/>
                <w:color w:val="auto"/>
              </w:rPr>
              <w:fldChar w:fldCharType="begin"/>
            </w:r>
            <w:r>
              <w:rPr>
                <w:rFonts w:hint="eastAsia"/>
                <w:color w:val="auto"/>
              </w:rPr>
              <w:instrText xml:space="preserve"> = 4 \* GB3 \* MERGEFORMAT </w:instrText>
            </w:r>
            <w:r>
              <w:rPr>
                <w:rFonts w:hint="eastAsia"/>
                <w:color w:val="auto"/>
              </w:rPr>
              <w:fldChar w:fldCharType="separate"/>
            </w:r>
            <w:r>
              <w:rPr>
                <w:rFonts w:hint="eastAsia"/>
                <w:color w:val="auto"/>
              </w:rPr>
              <w:t>④</w:t>
            </w:r>
            <w:r>
              <w:rPr>
                <w:rFonts w:hint="eastAsia"/>
                <w:color w:val="auto"/>
              </w:rPr>
              <w:fldChar w:fldCharType="end"/>
            </w:r>
            <w:r>
              <w:rPr>
                <w:rFonts w:hint="eastAsia"/>
                <w:color w:val="auto"/>
              </w:rPr>
              <w:t>废包装材料</w:t>
            </w:r>
          </w:p>
          <w:p>
            <w:pPr>
              <w:adjustRightInd/>
              <w:snapToGrid/>
              <w:ind w:firstLine="480" w:firstLineChars="0"/>
              <w:contextualSpacing/>
              <w:jc w:val="left"/>
              <w:rPr>
                <w:color w:val="auto"/>
              </w:rPr>
            </w:pPr>
            <w:r>
              <w:rPr>
                <w:rFonts w:hint="eastAsia"/>
                <w:color w:val="auto"/>
              </w:rPr>
              <w:t>物料包装产生的废包装材料。根据建设单位提供的资料，焊丝使用量2t/a，25kg/箱，产生废包装材料约0.06t；塑粉使用量14t/a，25kg/箱，产生废包装材料约0.28t；共产生废包装材料约0.34t，集中收集后，外售。</w:t>
            </w:r>
          </w:p>
          <w:p>
            <w:pPr>
              <w:adjustRightInd/>
              <w:snapToGrid/>
              <w:ind w:firstLine="480" w:firstLineChars="0"/>
              <w:contextualSpacing/>
              <w:jc w:val="left"/>
              <w:rPr>
                <w:color w:val="auto"/>
              </w:rPr>
            </w:pPr>
            <w:r>
              <w:rPr>
                <w:rFonts w:hint="eastAsia"/>
                <w:color w:val="auto"/>
              </w:rPr>
              <w:fldChar w:fldCharType="begin"/>
            </w:r>
            <w:r>
              <w:rPr>
                <w:rFonts w:hint="eastAsia"/>
                <w:color w:val="auto"/>
              </w:rPr>
              <w:instrText xml:space="preserve"> = 5 \* GB3 \* MERGEFORMAT </w:instrText>
            </w:r>
            <w:r>
              <w:rPr>
                <w:rFonts w:hint="eastAsia"/>
                <w:color w:val="auto"/>
              </w:rPr>
              <w:fldChar w:fldCharType="separate"/>
            </w:r>
            <w:r>
              <w:rPr>
                <w:color w:val="auto"/>
              </w:rPr>
              <w:t>⑤</w:t>
            </w:r>
            <w:r>
              <w:rPr>
                <w:rFonts w:hint="eastAsia"/>
                <w:color w:val="auto"/>
              </w:rPr>
              <w:fldChar w:fldCharType="end"/>
            </w:r>
            <w:r>
              <w:rPr>
                <w:rFonts w:hint="eastAsia"/>
                <w:color w:val="auto"/>
              </w:rPr>
              <w:t>生活垃圾</w:t>
            </w:r>
          </w:p>
          <w:p>
            <w:pPr>
              <w:adjustRightInd/>
              <w:snapToGrid/>
              <w:ind w:firstLine="480" w:firstLineChars="0"/>
              <w:contextualSpacing/>
              <w:jc w:val="left"/>
              <w:rPr>
                <w:color w:val="auto"/>
              </w:rPr>
            </w:pPr>
            <w:r>
              <w:rPr>
                <w:rFonts w:hint="eastAsia"/>
                <w:color w:val="auto"/>
              </w:rPr>
              <w:t>本项目不设置食宿，产生的生活垃圾主要为员工日常生活垃圾，根据相关经验数据，产生量按0.05kg/（人·d）计算，项目员工共20人，则生活垃圾产生量为1kg/ d、0.3t/a，暂存于项目垃圾桶，然后送至昆明力线电缆公司厂区指定位置，统一由环卫部门清运。</w:t>
            </w:r>
          </w:p>
          <w:p>
            <w:pPr>
              <w:ind w:firstLine="482"/>
              <w:contextualSpacing/>
              <w:rPr>
                <w:b/>
                <w:color w:val="auto"/>
              </w:rPr>
            </w:pPr>
            <w:r>
              <w:rPr>
                <w:b/>
                <w:color w:val="auto"/>
              </w:rPr>
              <w:t>（2）危险废物</w:t>
            </w:r>
          </w:p>
          <w:p>
            <w:pPr>
              <w:ind w:firstLine="480"/>
              <w:contextualSpacing/>
              <w:rPr>
                <w:bCs/>
                <w:color w:val="auto"/>
              </w:rPr>
            </w:pPr>
            <w:r>
              <w:rPr>
                <w:color w:val="auto"/>
              </w:rPr>
              <w:fldChar w:fldCharType="begin"/>
            </w:r>
            <w:r>
              <w:rPr>
                <w:color w:val="auto"/>
              </w:rPr>
              <w:instrText xml:space="preserve"> = 1 \* GB3 \* MERGEFORMAT </w:instrText>
            </w:r>
            <w:r>
              <w:rPr>
                <w:color w:val="auto"/>
              </w:rPr>
              <w:fldChar w:fldCharType="separate"/>
            </w:r>
            <w:r>
              <w:rPr>
                <w:color w:val="auto"/>
              </w:rPr>
              <w:t>①</w:t>
            </w:r>
            <w:r>
              <w:rPr>
                <w:color w:val="auto"/>
              </w:rPr>
              <w:fldChar w:fldCharType="end"/>
            </w:r>
            <w:r>
              <w:rPr>
                <w:rFonts w:hint="eastAsia"/>
                <w:bCs/>
                <w:color w:val="auto"/>
              </w:rPr>
              <w:t>废润滑油</w:t>
            </w:r>
            <w:r>
              <w:rPr>
                <w:bCs/>
                <w:color w:val="auto"/>
              </w:rPr>
              <w:t>、</w:t>
            </w:r>
            <w:r>
              <w:rPr>
                <w:color w:val="auto"/>
              </w:rPr>
              <w:t>废油桶</w:t>
            </w:r>
          </w:p>
          <w:p>
            <w:pPr>
              <w:ind w:firstLine="480"/>
              <w:contextualSpacing/>
              <w:rPr>
                <w:bCs/>
                <w:color w:val="auto"/>
              </w:rPr>
            </w:pPr>
            <w:r>
              <w:rPr>
                <w:color w:val="auto"/>
              </w:rPr>
              <w:t>根据《国家危险废物名录》（20</w:t>
            </w:r>
            <w:r>
              <w:rPr>
                <w:rFonts w:hint="eastAsia"/>
                <w:color w:val="auto"/>
                <w:lang w:val="en-US" w:eastAsia="zh-CN"/>
              </w:rPr>
              <w:t>21</w:t>
            </w:r>
            <w:r>
              <w:rPr>
                <w:color w:val="auto"/>
              </w:rPr>
              <w:t>版），</w:t>
            </w:r>
            <w:r>
              <w:rPr>
                <w:rFonts w:hint="eastAsia"/>
                <w:bCs/>
                <w:color w:val="auto"/>
              </w:rPr>
              <w:t>废润滑油</w:t>
            </w:r>
            <w:r>
              <w:rPr>
                <w:bCs/>
                <w:color w:val="auto"/>
              </w:rPr>
              <w:t>属于HW08</w:t>
            </w:r>
            <w:r>
              <w:rPr>
                <w:rFonts w:hint="eastAsia"/>
                <w:bCs/>
                <w:color w:val="auto"/>
              </w:rPr>
              <w:t>车辆、轮船及其它机械维修过程中产生的废发动机油、制动器油、自动变速器油、齿轮油等废润滑油</w:t>
            </w:r>
            <w:r>
              <w:rPr>
                <w:bCs/>
                <w:color w:val="auto"/>
              </w:rPr>
              <w:t>，物代码为900-214-08</w:t>
            </w:r>
            <w:r>
              <w:rPr>
                <w:rFonts w:hint="eastAsia"/>
                <w:bCs/>
                <w:color w:val="auto"/>
              </w:rPr>
              <w:t>。</w:t>
            </w:r>
            <w:r>
              <w:rPr>
                <w:rFonts w:hint="eastAsia"/>
                <w:color w:val="auto"/>
              </w:rPr>
              <w:t>根据建设方提供的资料，每年剪板机、激光切割机、折弯机、冲床</w:t>
            </w:r>
            <w:r>
              <w:rPr>
                <w:color w:val="auto"/>
              </w:rPr>
              <w:t>等</w:t>
            </w:r>
            <w:r>
              <w:rPr>
                <w:rFonts w:hint="eastAsia"/>
                <w:color w:val="auto"/>
              </w:rPr>
              <w:t>设备</w:t>
            </w:r>
            <w:r>
              <w:rPr>
                <w:bCs/>
                <w:color w:val="auto"/>
              </w:rPr>
              <w:t>保养及维护</w:t>
            </w:r>
            <w:r>
              <w:rPr>
                <w:rFonts w:hint="eastAsia"/>
                <w:bCs/>
                <w:color w:val="auto"/>
              </w:rPr>
              <w:t>1次/年，危险废物</w:t>
            </w:r>
            <w:r>
              <w:rPr>
                <w:bCs/>
                <w:color w:val="auto"/>
              </w:rPr>
              <w:t>产生量</w:t>
            </w:r>
            <w:r>
              <w:rPr>
                <w:rFonts w:hint="eastAsia"/>
                <w:bCs/>
                <w:color w:val="auto"/>
              </w:rPr>
              <w:t>废润滑油</w:t>
            </w:r>
            <w:r>
              <w:rPr>
                <w:bCs/>
                <w:color w:val="auto"/>
              </w:rPr>
              <w:t>约为0.</w:t>
            </w:r>
            <w:r>
              <w:rPr>
                <w:rFonts w:hint="eastAsia"/>
                <w:bCs/>
                <w:color w:val="auto"/>
              </w:rPr>
              <w:t>2</w:t>
            </w:r>
            <w:r>
              <w:rPr>
                <w:color w:val="auto"/>
              </w:rPr>
              <w:t>t/a</w:t>
            </w:r>
            <w:r>
              <w:rPr>
                <w:rFonts w:hint="eastAsia"/>
                <w:color w:val="auto"/>
              </w:rPr>
              <w:t>，</w:t>
            </w:r>
            <w:r>
              <w:rPr>
                <w:color w:val="auto"/>
              </w:rPr>
              <w:t>统一收集后在危废暂存间内暂存，委托有资质的单位处</w:t>
            </w:r>
            <w:r>
              <w:rPr>
                <w:bCs/>
                <w:color w:val="auto"/>
              </w:rPr>
              <w:t>理。</w:t>
            </w:r>
          </w:p>
          <w:p>
            <w:pPr>
              <w:numPr>
                <w:ilvl w:val="255"/>
                <w:numId w:val="0"/>
              </w:numPr>
              <w:ind w:firstLine="480" w:firstLineChars="200"/>
              <w:contextualSpacing/>
              <w:rPr>
                <w:color w:val="auto"/>
              </w:rPr>
            </w:pPr>
            <w:r>
              <w:rPr>
                <w:color w:val="auto"/>
              </w:rPr>
              <w:t>使用</w:t>
            </w:r>
            <w:r>
              <w:rPr>
                <w:rFonts w:hint="eastAsia"/>
                <w:color w:val="auto"/>
              </w:rPr>
              <w:t>废润滑油</w:t>
            </w:r>
            <w:r>
              <w:rPr>
                <w:color w:val="auto"/>
              </w:rPr>
              <w:t>产生的废油桶，属于HW49含有或沾染毒性、感染物危险废物的废弃包装物、容器、过滤吸附介质，物代码为900-041-49。根据企业提供的资料，</w:t>
            </w:r>
            <w:r>
              <w:rPr>
                <w:rFonts w:hint="eastAsia"/>
                <w:bCs/>
                <w:color w:val="auto"/>
              </w:rPr>
              <w:t>润滑油</w:t>
            </w:r>
            <w:r>
              <w:rPr>
                <w:rFonts w:hint="eastAsia"/>
                <w:color w:val="auto"/>
              </w:rPr>
              <w:t>使用量0.2t/a，20kg/桶，年产生</w:t>
            </w:r>
            <w:r>
              <w:rPr>
                <w:color w:val="auto"/>
              </w:rPr>
              <w:t>废油桶</w:t>
            </w:r>
            <w:r>
              <w:rPr>
                <w:rFonts w:hint="eastAsia"/>
                <w:color w:val="auto"/>
              </w:rPr>
              <w:t>10个，</w:t>
            </w:r>
            <w:r>
              <w:rPr>
                <w:color w:val="auto"/>
              </w:rPr>
              <w:t>产生量约为0.0</w:t>
            </w:r>
            <w:r>
              <w:rPr>
                <w:rFonts w:hint="eastAsia"/>
                <w:color w:val="auto"/>
              </w:rPr>
              <w:t>2</w:t>
            </w:r>
            <w:r>
              <w:rPr>
                <w:color w:val="auto"/>
              </w:rPr>
              <w:t>t/a</w:t>
            </w:r>
            <w:r>
              <w:rPr>
                <w:rFonts w:hint="eastAsia"/>
                <w:color w:val="auto"/>
              </w:rPr>
              <w:t>。</w:t>
            </w:r>
            <w:r>
              <w:rPr>
                <w:color w:val="auto"/>
              </w:rPr>
              <w:t>统一收集后暂存在危废暂存间内，</w:t>
            </w:r>
            <w:r>
              <w:rPr>
                <w:rFonts w:hAnsi="宋体"/>
                <w:color w:val="auto"/>
              </w:rPr>
              <w:t>定期</w:t>
            </w:r>
            <w:r>
              <w:rPr>
                <w:color w:val="auto"/>
              </w:rPr>
              <w:t>委托有资质的单位处</w:t>
            </w:r>
            <w:r>
              <w:rPr>
                <w:bCs/>
                <w:color w:val="auto"/>
              </w:rPr>
              <w:t>理。</w:t>
            </w:r>
          </w:p>
          <w:p>
            <w:pPr>
              <w:numPr>
                <w:ilvl w:val="255"/>
                <w:numId w:val="0"/>
              </w:numPr>
              <w:adjustRightInd/>
              <w:snapToGrid/>
              <w:ind w:firstLine="480"/>
              <w:contextualSpacing/>
              <w:jc w:val="left"/>
              <w:rPr>
                <w:color w:val="auto"/>
              </w:rPr>
            </w:pPr>
            <w:r>
              <w:rPr>
                <w:color w:val="auto"/>
              </w:rPr>
              <w:fldChar w:fldCharType="begin"/>
            </w:r>
            <w:r>
              <w:rPr>
                <w:color w:val="auto"/>
              </w:rPr>
              <w:instrText xml:space="preserve"> = 2 \* GB3 \* MERGEFORMAT </w:instrText>
            </w:r>
            <w:r>
              <w:rPr>
                <w:color w:val="auto"/>
              </w:rPr>
              <w:fldChar w:fldCharType="separate"/>
            </w:r>
            <w:r>
              <w:rPr>
                <w:color w:val="auto"/>
              </w:rPr>
              <w:t>②</w:t>
            </w:r>
            <w:r>
              <w:rPr>
                <w:color w:val="auto"/>
              </w:rPr>
              <w:fldChar w:fldCharType="end"/>
            </w:r>
            <w:r>
              <w:rPr>
                <w:color w:val="auto"/>
              </w:rPr>
              <w:t>废活性炭</w:t>
            </w:r>
          </w:p>
          <w:p>
            <w:pPr>
              <w:adjustRightInd/>
              <w:snapToGrid/>
              <w:ind w:firstLine="480" w:firstLineChars="0"/>
              <w:contextualSpacing/>
              <w:jc w:val="left"/>
              <w:rPr>
                <w:color w:val="auto"/>
              </w:rPr>
            </w:pPr>
            <w:r>
              <w:rPr>
                <w:color w:val="auto"/>
              </w:rPr>
              <w:t>本项目</w:t>
            </w:r>
            <w:r>
              <w:rPr>
                <w:rFonts w:hint="eastAsia"/>
                <w:color w:val="auto"/>
              </w:rPr>
              <w:t>工件</w:t>
            </w:r>
            <w:r>
              <w:rPr>
                <w:color w:val="auto"/>
              </w:rPr>
              <w:t>在</w:t>
            </w:r>
            <w:r>
              <w:rPr>
                <w:rFonts w:hint="eastAsia"/>
                <w:color w:val="auto"/>
              </w:rPr>
              <w:t>喷塑后固化</w:t>
            </w:r>
            <w:r>
              <w:rPr>
                <w:color w:val="auto"/>
              </w:rPr>
              <w:t>过程</w:t>
            </w:r>
            <w:r>
              <w:rPr>
                <w:rFonts w:hint="eastAsia"/>
                <w:color w:val="auto"/>
              </w:rPr>
              <w:t>中</w:t>
            </w:r>
            <w:r>
              <w:rPr>
                <w:color w:val="auto"/>
              </w:rPr>
              <w:t>会</w:t>
            </w:r>
            <w:r>
              <w:rPr>
                <w:rFonts w:hint="eastAsia"/>
                <w:color w:val="auto"/>
              </w:rPr>
              <w:t>有</w:t>
            </w:r>
            <w:r>
              <w:rPr>
                <w:color w:val="auto"/>
              </w:rPr>
              <w:t>挥发性有机废气产生，参考陆良杰、王京刚在《化工环保》2007年05期发表的《挥发性有机物的物化性质与活性炭饱和吸附量的相关性研究》，活性炭对有机废气的饱和吸附量为280mg/g，由于项目有组织有机废气产生量为0.08</w:t>
            </w:r>
            <w:r>
              <w:rPr>
                <w:rFonts w:hint="eastAsia"/>
                <w:color w:val="auto"/>
              </w:rPr>
              <w:t>4</w:t>
            </w:r>
            <w:r>
              <w:rPr>
                <w:color w:val="auto"/>
              </w:rPr>
              <w:t>t/a，</w:t>
            </w:r>
            <w:r>
              <w:rPr>
                <w:rFonts w:hint="eastAsia"/>
                <w:color w:val="auto"/>
              </w:rPr>
              <w:t>活性炭净化效率为</w:t>
            </w:r>
            <w:r>
              <w:rPr>
                <w:rFonts w:hint="eastAsia"/>
                <w:color w:val="auto"/>
                <w:lang w:val="en-US" w:eastAsia="zh-CN"/>
              </w:rPr>
              <w:t>6</w:t>
            </w:r>
            <w:r>
              <w:rPr>
                <w:rFonts w:hint="eastAsia"/>
                <w:color w:val="auto"/>
              </w:rPr>
              <w:t>0%，</w:t>
            </w:r>
            <w:r>
              <w:rPr>
                <w:color w:val="auto"/>
              </w:rPr>
              <w:t>则本项目活性炭使用量为0.</w:t>
            </w:r>
            <w:r>
              <w:rPr>
                <w:rFonts w:hint="eastAsia"/>
                <w:color w:val="auto"/>
              </w:rPr>
              <w:t>21</w:t>
            </w:r>
            <w:r>
              <w:rPr>
                <w:color w:val="auto"/>
              </w:rPr>
              <w:t>t/a，活性炭吸附</w:t>
            </w:r>
            <w:r>
              <w:rPr>
                <w:rFonts w:hint="eastAsia"/>
                <w:color w:val="auto"/>
              </w:rPr>
              <w:t>有机</w:t>
            </w:r>
            <w:r>
              <w:rPr>
                <w:color w:val="auto"/>
              </w:rPr>
              <w:t>废气为</w:t>
            </w:r>
            <w:r>
              <w:rPr>
                <w:rFonts w:hint="eastAsia"/>
                <w:color w:val="auto"/>
              </w:rPr>
              <w:t>0.0588</w:t>
            </w:r>
            <w:r>
              <w:rPr>
                <w:color w:val="auto"/>
              </w:rPr>
              <w:t>t/a，</w:t>
            </w:r>
            <w:r>
              <w:rPr>
                <w:rFonts w:hint="eastAsia"/>
                <w:color w:val="auto"/>
              </w:rPr>
              <w:t>则</w:t>
            </w:r>
            <w:r>
              <w:rPr>
                <w:color w:val="auto"/>
              </w:rPr>
              <w:t>产生废活性炭量约为</w:t>
            </w:r>
            <w:r>
              <w:rPr>
                <w:rFonts w:hint="eastAsia"/>
                <w:color w:val="auto"/>
              </w:rPr>
              <w:t>0.27</w:t>
            </w:r>
            <w:r>
              <w:rPr>
                <w:color w:val="auto"/>
              </w:rPr>
              <w:t>t/a。对照《国家危险废物名录》（</w:t>
            </w:r>
            <w:r>
              <w:rPr>
                <w:rFonts w:hint="eastAsia"/>
                <w:color w:val="auto"/>
                <w:lang w:val="en-US" w:eastAsia="zh-CN"/>
              </w:rPr>
              <w:t>2021</w:t>
            </w:r>
            <w:r>
              <w:rPr>
                <w:color w:val="auto"/>
              </w:rPr>
              <w:t>版），废活性炭属于危险废物（HW49</w:t>
            </w:r>
            <w:r>
              <w:rPr>
                <w:color w:val="auto"/>
                <w:szCs w:val="21"/>
              </w:rPr>
              <w:t>其他废物</w:t>
            </w:r>
            <w:r>
              <w:rPr>
                <w:color w:val="auto"/>
              </w:rPr>
              <w:t>）</w:t>
            </w:r>
            <w:r>
              <w:rPr>
                <w:rFonts w:hint="eastAsia"/>
                <w:color w:val="auto"/>
              </w:rPr>
              <w:t>烟气、VOCs 治理过程（不包括餐饮行业油烟治理过程）产生的废活性炭，</w:t>
            </w:r>
            <w:r>
              <w:rPr>
                <w:color w:val="auto"/>
              </w:rPr>
              <w:t>（废物类别代码900-0</w:t>
            </w:r>
            <w:r>
              <w:rPr>
                <w:rFonts w:hint="eastAsia"/>
                <w:color w:val="auto"/>
                <w:lang w:val="en-US" w:eastAsia="zh-CN"/>
              </w:rPr>
              <w:t>39</w:t>
            </w:r>
            <w:r>
              <w:rPr>
                <w:color w:val="auto"/>
              </w:rPr>
              <w:t>-49）</w:t>
            </w:r>
            <w:r>
              <w:rPr>
                <w:rFonts w:hint="eastAsia"/>
                <w:color w:val="auto"/>
              </w:rPr>
              <w:t>，</w:t>
            </w:r>
            <w:r>
              <w:rPr>
                <w:color w:val="auto"/>
              </w:rPr>
              <w:t>暂存于危废暂存间，</w:t>
            </w:r>
            <w:r>
              <w:rPr>
                <w:rFonts w:hAnsi="宋体"/>
                <w:color w:val="auto"/>
              </w:rPr>
              <w:t>定期交由有资质的单位处理处置。</w:t>
            </w:r>
            <w:r>
              <w:rPr>
                <w:color w:val="auto"/>
              </w:rPr>
              <w:t>危废暂存间建筑面积</w:t>
            </w:r>
            <w:r>
              <w:rPr>
                <w:rFonts w:hint="eastAsia"/>
                <w:color w:val="auto"/>
              </w:rPr>
              <w:t>5</w:t>
            </w:r>
            <w:r>
              <w:rPr>
                <w:color w:val="auto"/>
              </w:rPr>
              <w:t>m</w:t>
            </w:r>
            <w:r>
              <w:rPr>
                <w:color w:val="auto"/>
                <w:vertAlign w:val="superscript"/>
              </w:rPr>
              <w:t>2</w:t>
            </w:r>
            <w:r>
              <w:rPr>
                <w:color w:val="auto"/>
              </w:rPr>
              <w:t>。</w:t>
            </w:r>
          </w:p>
          <w:p>
            <w:pPr>
              <w:adjustRightInd/>
              <w:snapToGrid/>
              <w:ind w:firstLine="480" w:firstLineChars="0"/>
              <w:contextualSpacing/>
              <w:jc w:val="left"/>
              <w:rPr>
                <w:color w:val="auto"/>
              </w:rPr>
            </w:pPr>
            <w:r>
              <w:rPr>
                <w:color w:val="auto"/>
              </w:rPr>
              <w:t>运营期项目固体废物产生量见表5-</w:t>
            </w:r>
            <w:r>
              <w:rPr>
                <w:rFonts w:hint="eastAsia"/>
                <w:color w:val="auto"/>
              </w:rPr>
              <w:t>4</w:t>
            </w:r>
            <w:r>
              <w:rPr>
                <w:color w:val="auto"/>
              </w:rPr>
              <w:t>。</w:t>
            </w:r>
          </w:p>
          <w:p>
            <w:pPr>
              <w:pStyle w:val="48"/>
              <w:ind w:firstLine="422"/>
              <w:rPr>
                <w:color w:val="auto"/>
              </w:rPr>
            </w:pPr>
            <w:r>
              <w:rPr>
                <w:color w:val="auto"/>
              </w:rPr>
              <w:t>表5-</w:t>
            </w:r>
            <w:r>
              <w:rPr>
                <w:rFonts w:hint="eastAsia"/>
                <w:color w:val="auto"/>
              </w:rPr>
              <w:t>4</w:t>
            </w:r>
            <w:r>
              <w:rPr>
                <w:color w:val="auto"/>
              </w:rPr>
              <w:t>项目固体废物产生量一览表</w:t>
            </w:r>
          </w:p>
          <w:tbl>
            <w:tblPr>
              <w:tblStyle w:val="36"/>
              <w:tblW w:w="8895" w:type="dxa"/>
              <w:tblInd w:w="-7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0" w:type="dxa"/>
                <w:bottom w:w="0" w:type="dxa"/>
                <w:right w:w="0" w:type="dxa"/>
              </w:tblCellMar>
            </w:tblPr>
            <w:tblGrid>
              <w:gridCol w:w="1425"/>
              <w:gridCol w:w="1300"/>
              <w:gridCol w:w="1297"/>
              <w:gridCol w:w="1369"/>
              <w:gridCol w:w="974"/>
              <w:gridCol w:w="2530"/>
            </w:tblGrid>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340" w:hRule="atLeast"/>
              </w:trPr>
              <w:tc>
                <w:tcPr>
                  <w:tcW w:w="801" w:type="pct"/>
                  <w:tcBorders>
                    <w:tl2br w:val="nil"/>
                    <w:tr2bl w:val="nil"/>
                  </w:tcBorders>
                  <w:vAlign w:val="center"/>
                </w:tcPr>
                <w:p>
                  <w:pPr>
                    <w:pStyle w:val="50"/>
                    <w:rPr>
                      <w:color w:val="auto"/>
                    </w:rPr>
                  </w:pPr>
                  <w:r>
                    <w:rPr>
                      <w:rFonts w:hint="eastAsia"/>
                      <w:color w:val="auto"/>
                    </w:rPr>
                    <w:t>污染物</w:t>
                  </w:r>
                </w:p>
              </w:tc>
              <w:tc>
                <w:tcPr>
                  <w:tcW w:w="730" w:type="pct"/>
                  <w:tcBorders>
                    <w:tl2br w:val="nil"/>
                    <w:tr2bl w:val="nil"/>
                  </w:tcBorders>
                  <w:vAlign w:val="center"/>
                </w:tcPr>
                <w:p>
                  <w:pPr>
                    <w:pStyle w:val="50"/>
                    <w:rPr>
                      <w:color w:val="auto"/>
                    </w:rPr>
                  </w:pPr>
                  <w:r>
                    <w:rPr>
                      <w:rFonts w:hint="eastAsia"/>
                      <w:color w:val="auto"/>
                    </w:rPr>
                    <w:t>产生工序</w:t>
                  </w:r>
                </w:p>
              </w:tc>
              <w:tc>
                <w:tcPr>
                  <w:tcW w:w="729" w:type="pct"/>
                  <w:tcBorders>
                    <w:tl2br w:val="nil"/>
                    <w:tr2bl w:val="nil"/>
                  </w:tcBorders>
                  <w:vAlign w:val="center"/>
                </w:tcPr>
                <w:p>
                  <w:pPr>
                    <w:pStyle w:val="50"/>
                    <w:rPr>
                      <w:color w:val="auto"/>
                    </w:rPr>
                  </w:pPr>
                  <w:r>
                    <w:rPr>
                      <w:rFonts w:hint="eastAsia"/>
                      <w:color w:val="auto"/>
                    </w:rPr>
                    <w:t>主要成分</w:t>
                  </w:r>
                </w:p>
              </w:tc>
              <w:tc>
                <w:tcPr>
                  <w:tcW w:w="769" w:type="pct"/>
                  <w:tcBorders>
                    <w:tl2br w:val="nil"/>
                    <w:tr2bl w:val="nil"/>
                  </w:tcBorders>
                  <w:vAlign w:val="center"/>
                </w:tcPr>
                <w:p>
                  <w:pPr>
                    <w:pStyle w:val="50"/>
                    <w:rPr>
                      <w:color w:val="auto"/>
                    </w:rPr>
                  </w:pPr>
                  <w:r>
                    <w:rPr>
                      <w:rFonts w:hint="eastAsia"/>
                      <w:color w:val="auto"/>
                    </w:rPr>
                    <w:t>性质</w:t>
                  </w:r>
                </w:p>
              </w:tc>
              <w:tc>
                <w:tcPr>
                  <w:tcW w:w="547" w:type="pct"/>
                  <w:tcBorders>
                    <w:tl2br w:val="nil"/>
                    <w:tr2bl w:val="nil"/>
                  </w:tcBorders>
                  <w:vAlign w:val="center"/>
                </w:tcPr>
                <w:p>
                  <w:pPr>
                    <w:pStyle w:val="50"/>
                    <w:rPr>
                      <w:color w:val="auto"/>
                    </w:rPr>
                  </w:pPr>
                  <w:r>
                    <w:rPr>
                      <w:rFonts w:hint="eastAsia"/>
                      <w:color w:val="auto"/>
                    </w:rPr>
                    <w:t>产生量</w:t>
                  </w:r>
                </w:p>
                <w:p>
                  <w:pPr>
                    <w:pStyle w:val="50"/>
                    <w:rPr>
                      <w:color w:val="auto"/>
                    </w:rPr>
                  </w:pPr>
                  <w:r>
                    <w:rPr>
                      <w:rFonts w:hint="eastAsia"/>
                      <w:color w:val="auto"/>
                    </w:rPr>
                    <w:t>(t/a)</w:t>
                  </w:r>
                </w:p>
              </w:tc>
              <w:tc>
                <w:tcPr>
                  <w:tcW w:w="1422" w:type="pct"/>
                  <w:tcBorders>
                    <w:tl2br w:val="nil"/>
                    <w:tr2bl w:val="nil"/>
                  </w:tcBorders>
                  <w:vAlign w:val="center"/>
                </w:tcPr>
                <w:p>
                  <w:pPr>
                    <w:pStyle w:val="50"/>
                    <w:rPr>
                      <w:color w:val="auto"/>
                    </w:rPr>
                  </w:pPr>
                  <w:r>
                    <w:rPr>
                      <w:rFonts w:hint="eastAsia"/>
                      <w:color w:val="auto"/>
                    </w:rPr>
                    <w:t>处理处悝方式</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45" w:hRule="atLeast"/>
              </w:trPr>
              <w:tc>
                <w:tcPr>
                  <w:tcW w:w="801" w:type="pct"/>
                  <w:tcBorders>
                    <w:tl2br w:val="nil"/>
                    <w:tr2bl w:val="nil"/>
                  </w:tcBorders>
                  <w:vAlign w:val="center"/>
                </w:tcPr>
                <w:p>
                  <w:pPr>
                    <w:pStyle w:val="50"/>
                    <w:rPr>
                      <w:color w:val="auto"/>
                    </w:rPr>
                  </w:pPr>
                  <w:r>
                    <w:rPr>
                      <w:rFonts w:hint="eastAsia"/>
                      <w:color w:val="auto"/>
                    </w:rPr>
                    <w:t>生活垃圾</w:t>
                  </w:r>
                </w:p>
              </w:tc>
              <w:tc>
                <w:tcPr>
                  <w:tcW w:w="730" w:type="pct"/>
                  <w:tcBorders>
                    <w:tl2br w:val="nil"/>
                    <w:tr2bl w:val="nil"/>
                  </w:tcBorders>
                  <w:vAlign w:val="center"/>
                </w:tcPr>
                <w:p>
                  <w:pPr>
                    <w:pStyle w:val="50"/>
                    <w:rPr>
                      <w:color w:val="auto"/>
                    </w:rPr>
                  </w:pPr>
                  <w:r>
                    <w:rPr>
                      <w:rFonts w:hint="eastAsia"/>
                      <w:color w:val="auto"/>
                    </w:rPr>
                    <w:t>员工生活</w:t>
                  </w:r>
                </w:p>
              </w:tc>
              <w:tc>
                <w:tcPr>
                  <w:tcW w:w="729" w:type="pct"/>
                  <w:tcBorders>
                    <w:tl2br w:val="nil"/>
                    <w:tr2bl w:val="nil"/>
                  </w:tcBorders>
                  <w:vAlign w:val="center"/>
                </w:tcPr>
                <w:p>
                  <w:pPr>
                    <w:pStyle w:val="50"/>
                    <w:rPr>
                      <w:color w:val="auto"/>
                    </w:rPr>
                  </w:pPr>
                  <w:r>
                    <w:rPr>
                      <w:rFonts w:hint="eastAsia"/>
                      <w:color w:val="auto"/>
                    </w:rPr>
                    <w:t>/</w:t>
                  </w:r>
                </w:p>
              </w:tc>
              <w:tc>
                <w:tcPr>
                  <w:tcW w:w="769" w:type="pct"/>
                  <w:vMerge w:val="restart"/>
                  <w:tcBorders>
                    <w:tl2br w:val="nil"/>
                    <w:tr2bl w:val="nil"/>
                  </w:tcBorders>
                  <w:vAlign w:val="center"/>
                </w:tcPr>
                <w:p>
                  <w:pPr>
                    <w:pStyle w:val="50"/>
                    <w:rPr>
                      <w:color w:val="auto"/>
                    </w:rPr>
                  </w:pPr>
                  <w:r>
                    <w:rPr>
                      <w:rFonts w:hint="eastAsia"/>
                      <w:color w:val="auto"/>
                    </w:rPr>
                    <w:t>一般工业固废</w:t>
                  </w:r>
                </w:p>
              </w:tc>
              <w:tc>
                <w:tcPr>
                  <w:tcW w:w="547" w:type="pct"/>
                  <w:tcBorders>
                    <w:tl2br w:val="nil"/>
                    <w:tr2bl w:val="nil"/>
                  </w:tcBorders>
                  <w:vAlign w:val="center"/>
                </w:tcPr>
                <w:p>
                  <w:pPr>
                    <w:pStyle w:val="50"/>
                    <w:rPr>
                      <w:color w:val="auto"/>
                    </w:rPr>
                  </w:pPr>
                  <w:r>
                    <w:rPr>
                      <w:rFonts w:hint="eastAsia"/>
                      <w:color w:val="auto"/>
                    </w:rPr>
                    <w:t>0.3</w:t>
                  </w:r>
                </w:p>
              </w:tc>
              <w:tc>
                <w:tcPr>
                  <w:tcW w:w="1422" w:type="pct"/>
                  <w:tcBorders>
                    <w:tl2br w:val="nil"/>
                    <w:tr2bl w:val="nil"/>
                  </w:tcBorders>
                  <w:vAlign w:val="center"/>
                </w:tcPr>
                <w:p>
                  <w:pPr>
                    <w:pStyle w:val="50"/>
                    <w:rPr>
                      <w:color w:val="auto"/>
                    </w:rPr>
                  </w:pPr>
                  <w:r>
                    <w:rPr>
                      <w:rFonts w:hint="eastAsia"/>
                      <w:color w:val="auto"/>
                    </w:rPr>
                    <w:t>委托环卫部门清运</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45" w:hRule="atLeast"/>
              </w:trPr>
              <w:tc>
                <w:tcPr>
                  <w:tcW w:w="801" w:type="pct"/>
                  <w:tcBorders>
                    <w:tl2br w:val="nil"/>
                    <w:tr2bl w:val="nil"/>
                  </w:tcBorders>
                  <w:vAlign w:val="center"/>
                </w:tcPr>
                <w:p>
                  <w:pPr>
                    <w:pStyle w:val="50"/>
                    <w:rPr>
                      <w:color w:val="auto"/>
                    </w:rPr>
                  </w:pPr>
                  <w:r>
                    <w:rPr>
                      <w:rFonts w:hint="eastAsia"/>
                      <w:color w:val="auto"/>
                    </w:rPr>
                    <w:t>废金属边角料</w:t>
                  </w:r>
                </w:p>
              </w:tc>
              <w:tc>
                <w:tcPr>
                  <w:tcW w:w="730" w:type="pct"/>
                  <w:tcBorders>
                    <w:tl2br w:val="nil"/>
                    <w:tr2bl w:val="nil"/>
                  </w:tcBorders>
                  <w:vAlign w:val="center"/>
                </w:tcPr>
                <w:p>
                  <w:pPr>
                    <w:pStyle w:val="50"/>
                    <w:rPr>
                      <w:color w:val="auto"/>
                    </w:rPr>
                  </w:pPr>
                  <w:r>
                    <w:rPr>
                      <w:rFonts w:hint="eastAsia"/>
                      <w:color w:val="auto"/>
                    </w:rPr>
                    <w:t>切割、打孔</w:t>
                  </w:r>
                </w:p>
              </w:tc>
              <w:tc>
                <w:tcPr>
                  <w:tcW w:w="729" w:type="pct"/>
                  <w:tcBorders>
                    <w:tl2br w:val="nil"/>
                    <w:tr2bl w:val="nil"/>
                  </w:tcBorders>
                  <w:vAlign w:val="center"/>
                </w:tcPr>
                <w:p>
                  <w:pPr>
                    <w:pStyle w:val="50"/>
                    <w:rPr>
                      <w:color w:val="auto"/>
                    </w:rPr>
                  </w:pPr>
                  <w:r>
                    <w:rPr>
                      <w:rFonts w:hint="eastAsia"/>
                      <w:color w:val="auto"/>
                    </w:rPr>
                    <w:t>铁、不锈钢</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0.99</w:t>
                  </w:r>
                </w:p>
              </w:tc>
              <w:tc>
                <w:tcPr>
                  <w:tcW w:w="1422"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c>
                <w:tcPr>
                  <w:tcW w:w="801" w:type="pct"/>
                  <w:tcBorders>
                    <w:tl2br w:val="nil"/>
                    <w:tr2bl w:val="nil"/>
                  </w:tcBorders>
                  <w:vAlign w:val="center"/>
                </w:tcPr>
                <w:p>
                  <w:pPr>
                    <w:pStyle w:val="50"/>
                    <w:rPr>
                      <w:color w:val="auto"/>
                    </w:rPr>
                  </w:pPr>
                  <w:r>
                    <w:rPr>
                      <w:rFonts w:hint="eastAsia"/>
                      <w:color w:val="auto"/>
                    </w:rPr>
                    <w:t>焊渣</w:t>
                  </w:r>
                </w:p>
              </w:tc>
              <w:tc>
                <w:tcPr>
                  <w:tcW w:w="730" w:type="pct"/>
                  <w:tcBorders>
                    <w:tl2br w:val="nil"/>
                    <w:tr2bl w:val="nil"/>
                  </w:tcBorders>
                  <w:vAlign w:val="center"/>
                </w:tcPr>
                <w:p>
                  <w:pPr>
                    <w:pStyle w:val="50"/>
                    <w:rPr>
                      <w:color w:val="auto"/>
                    </w:rPr>
                  </w:pPr>
                  <w:r>
                    <w:rPr>
                      <w:rFonts w:hint="eastAsia"/>
                      <w:color w:val="auto"/>
                    </w:rPr>
                    <w:t>焊接</w:t>
                  </w:r>
                </w:p>
              </w:tc>
              <w:tc>
                <w:tcPr>
                  <w:tcW w:w="729" w:type="pct"/>
                  <w:tcBorders>
                    <w:tl2br w:val="nil"/>
                    <w:tr2bl w:val="nil"/>
                  </w:tcBorders>
                  <w:vAlign w:val="center"/>
                </w:tcPr>
                <w:p>
                  <w:pPr>
                    <w:pStyle w:val="50"/>
                    <w:rPr>
                      <w:color w:val="auto"/>
                    </w:rPr>
                  </w:pPr>
                  <w:r>
                    <w:rPr>
                      <w:rFonts w:hint="eastAsia"/>
                      <w:color w:val="auto"/>
                    </w:rPr>
                    <w:t>铁、不锈钢</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0.04</w:t>
                  </w:r>
                </w:p>
              </w:tc>
              <w:tc>
                <w:tcPr>
                  <w:tcW w:w="1422"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449" w:hRule="atLeast"/>
              </w:trPr>
              <w:tc>
                <w:tcPr>
                  <w:tcW w:w="801" w:type="pct"/>
                  <w:tcBorders>
                    <w:tl2br w:val="nil"/>
                    <w:tr2bl w:val="nil"/>
                  </w:tcBorders>
                  <w:vAlign w:val="center"/>
                </w:tcPr>
                <w:p>
                  <w:pPr>
                    <w:pStyle w:val="50"/>
                    <w:rPr>
                      <w:color w:val="auto"/>
                    </w:rPr>
                  </w:pPr>
                  <w:r>
                    <w:rPr>
                      <w:rFonts w:hint="eastAsia"/>
                      <w:color w:val="auto"/>
                    </w:rPr>
                    <w:t>收尘系统回收塑粉</w:t>
                  </w:r>
                </w:p>
              </w:tc>
              <w:tc>
                <w:tcPr>
                  <w:tcW w:w="730" w:type="pct"/>
                  <w:tcBorders>
                    <w:tl2br w:val="nil"/>
                    <w:tr2bl w:val="nil"/>
                  </w:tcBorders>
                  <w:vAlign w:val="center"/>
                </w:tcPr>
                <w:p>
                  <w:pPr>
                    <w:pStyle w:val="50"/>
                    <w:rPr>
                      <w:color w:val="auto"/>
                    </w:rPr>
                  </w:pPr>
                  <w:r>
                    <w:rPr>
                      <w:rFonts w:hint="eastAsia"/>
                      <w:color w:val="auto"/>
                    </w:rPr>
                    <w:t>喷塑</w:t>
                  </w:r>
                </w:p>
              </w:tc>
              <w:tc>
                <w:tcPr>
                  <w:tcW w:w="729" w:type="pct"/>
                  <w:tcBorders>
                    <w:tl2br w:val="nil"/>
                    <w:tr2bl w:val="nil"/>
                  </w:tcBorders>
                  <w:vAlign w:val="center"/>
                </w:tcPr>
                <w:p>
                  <w:pPr>
                    <w:pStyle w:val="50"/>
                    <w:rPr>
                      <w:color w:val="auto"/>
                    </w:rPr>
                  </w:pPr>
                  <w:r>
                    <w:rPr>
                      <w:rFonts w:hint="eastAsia"/>
                      <w:color w:val="auto"/>
                    </w:rPr>
                    <w:t>环氧树脂、聚酯树脂</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2.47</w:t>
                  </w:r>
                </w:p>
              </w:tc>
              <w:tc>
                <w:tcPr>
                  <w:tcW w:w="1422" w:type="pct"/>
                  <w:tcBorders>
                    <w:tl2br w:val="nil"/>
                    <w:tr2bl w:val="nil"/>
                  </w:tcBorders>
                  <w:vAlign w:val="center"/>
                </w:tcPr>
                <w:p>
                  <w:pPr>
                    <w:pStyle w:val="50"/>
                    <w:rPr>
                      <w:color w:val="auto"/>
                    </w:rPr>
                  </w:pPr>
                  <w:r>
                    <w:rPr>
                      <w:rFonts w:hint="eastAsia"/>
                      <w:color w:val="auto"/>
                    </w:rPr>
                    <w:t>回用于喷塑工艺</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c>
                <w:tcPr>
                  <w:tcW w:w="801" w:type="pct"/>
                  <w:tcBorders>
                    <w:tl2br w:val="nil"/>
                    <w:tr2bl w:val="nil"/>
                  </w:tcBorders>
                  <w:vAlign w:val="center"/>
                </w:tcPr>
                <w:p>
                  <w:pPr>
                    <w:pStyle w:val="50"/>
                    <w:rPr>
                      <w:color w:val="auto"/>
                    </w:rPr>
                  </w:pPr>
                  <w:r>
                    <w:rPr>
                      <w:rFonts w:hint="eastAsia"/>
                      <w:color w:val="auto"/>
                    </w:rPr>
                    <w:t>废包装材料</w:t>
                  </w:r>
                </w:p>
              </w:tc>
              <w:tc>
                <w:tcPr>
                  <w:tcW w:w="730" w:type="pct"/>
                  <w:tcBorders>
                    <w:tl2br w:val="nil"/>
                    <w:tr2bl w:val="nil"/>
                  </w:tcBorders>
                  <w:vAlign w:val="center"/>
                </w:tcPr>
                <w:p>
                  <w:pPr>
                    <w:pStyle w:val="50"/>
                    <w:rPr>
                      <w:color w:val="auto"/>
                    </w:rPr>
                  </w:pPr>
                  <w:r>
                    <w:rPr>
                      <w:rFonts w:hint="eastAsia"/>
                      <w:color w:val="auto"/>
                    </w:rPr>
                    <w:t>物料包装</w:t>
                  </w:r>
                </w:p>
              </w:tc>
              <w:tc>
                <w:tcPr>
                  <w:tcW w:w="729" w:type="pct"/>
                  <w:tcBorders>
                    <w:tl2br w:val="nil"/>
                    <w:tr2bl w:val="nil"/>
                  </w:tcBorders>
                  <w:vAlign w:val="center"/>
                </w:tcPr>
                <w:p>
                  <w:pPr>
                    <w:pStyle w:val="50"/>
                    <w:rPr>
                      <w:color w:val="auto"/>
                    </w:rPr>
                  </w:pPr>
                  <w:r>
                    <w:rPr>
                      <w:rFonts w:hint="eastAsia"/>
                      <w:color w:val="auto"/>
                    </w:rPr>
                    <w:t>纸、塑料</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0.34</w:t>
                  </w:r>
                </w:p>
              </w:tc>
              <w:tc>
                <w:tcPr>
                  <w:tcW w:w="1422"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70" w:hRule="atLeast"/>
              </w:trPr>
              <w:tc>
                <w:tcPr>
                  <w:tcW w:w="801" w:type="pct"/>
                  <w:tcBorders>
                    <w:tl2br w:val="nil"/>
                    <w:tr2bl w:val="nil"/>
                  </w:tcBorders>
                  <w:vAlign w:val="center"/>
                </w:tcPr>
                <w:p>
                  <w:pPr>
                    <w:pStyle w:val="50"/>
                    <w:rPr>
                      <w:color w:val="auto"/>
                    </w:rPr>
                  </w:pPr>
                  <w:r>
                    <w:rPr>
                      <w:rFonts w:hint="eastAsia"/>
                      <w:color w:val="auto"/>
                    </w:rPr>
                    <w:t>废润滑油</w:t>
                  </w:r>
                </w:p>
              </w:tc>
              <w:tc>
                <w:tcPr>
                  <w:tcW w:w="730" w:type="pct"/>
                  <w:tcBorders>
                    <w:tl2br w:val="nil"/>
                    <w:tr2bl w:val="nil"/>
                  </w:tcBorders>
                  <w:vAlign w:val="center"/>
                </w:tcPr>
                <w:p>
                  <w:pPr>
                    <w:pStyle w:val="50"/>
                    <w:rPr>
                      <w:color w:val="auto"/>
                    </w:rPr>
                  </w:pPr>
                  <w:r>
                    <w:rPr>
                      <w:rFonts w:hint="eastAsia"/>
                      <w:color w:val="auto"/>
                    </w:rPr>
                    <w:t>机加工</w:t>
                  </w:r>
                </w:p>
              </w:tc>
              <w:tc>
                <w:tcPr>
                  <w:tcW w:w="729" w:type="pct"/>
                  <w:tcBorders>
                    <w:tl2br w:val="nil"/>
                    <w:tr2bl w:val="nil"/>
                  </w:tcBorders>
                  <w:vAlign w:val="center"/>
                </w:tcPr>
                <w:p>
                  <w:pPr>
                    <w:pStyle w:val="50"/>
                    <w:rPr>
                      <w:color w:val="auto"/>
                    </w:rPr>
                  </w:pPr>
                  <w:r>
                    <w:rPr>
                      <w:rFonts w:hint="eastAsia"/>
                      <w:color w:val="auto"/>
                    </w:rPr>
                    <w:t>油类</w:t>
                  </w:r>
                </w:p>
              </w:tc>
              <w:tc>
                <w:tcPr>
                  <w:tcW w:w="769" w:type="pct"/>
                  <w:vMerge w:val="restart"/>
                  <w:tcBorders>
                    <w:tl2br w:val="nil"/>
                    <w:tr2bl w:val="nil"/>
                  </w:tcBorders>
                  <w:vAlign w:val="center"/>
                </w:tcPr>
                <w:p>
                  <w:pPr>
                    <w:pStyle w:val="50"/>
                    <w:rPr>
                      <w:color w:val="auto"/>
                    </w:rPr>
                  </w:pPr>
                  <w:r>
                    <w:rPr>
                      <w:rFonts w:hint="eastAsia"/>
                      <w:color w:val="auto"/>
                    </w:rPr>
                    <w:t>危险废物</w:t>
                  </w:r>
                </w:p>
              </w:tc>
              <w:tc>
                <w:tcPr>
                  <w:tcW w:w="547" w:type="pct"/>
                  <w:tcBorders>
                    <w:tl2br w:val="nil"/>
                    <w:tr2bl w:val="nil"/>
                  </w:tcBorders>
                  <w:vAlign w:val="center"/>
                </w:tcPr>
                <w:p>
                  <w:pPr>
                    <w:pStyle w:val="50"/>
                    <w:rPr>
                      <w:color w:val="auto"/>
                    </w:rPr>
                  </w:pPr>
                  <w:r>
                    <w:rPr>
                      <w:rFonts w:hint="eastAsia"/>
                      <w:color w:val="auto"/>
                    </w:rPr>
                    <w:t>0.2</w:t>
                  </w:r>
                </w:p>
              </w:tc>
              <w:tc>
                <w:tcPr>
                  <w:tcW w:w="1422" w:type="pct"/>
                  <w:tcBorders>
                    <w:tl2br w:val="nil"/>
                    <w:tr2bl w:val="nil"/>
                  </w:tcBorders>
                  <w:vAlign w:val="center"/>
                </w:tcPr>
                <w:p>
                  <w:pPr>
                    <w:pStyle w:val="50"/>
                    <w:rPr>
                      <w:color w:val="auto"/>
                    </w:rPr>
                  </w:pPr>
                  <w:r>
                    <w:rPr>
                      <w:rFonts w:hint="eastAsia"/>
                      <w:color w:val="auto"/>
                    </w:rPr>
                    <w:t>委托有资质单位安全处置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62" w:hRule="atLeast"/>
              </w:trPr>
              <w:tc>
                <w:tcPr>
                  <w:tcW w:w="801" w:type="pct"/>
                  <w:tcBorders>
                    <w:tl2br w:val="nil"/>
                    <w:tr2bl w:val="nil"/>
                  </w:tcBorders>
                  <w:vAlign w:val="center"/>
                </w:tcPr>
                <w:p>
                  <w:pPr>
                    <w:pStyle w:val="50"/>
                    <w:rPr>
                      <w:color w:val="auto"/>
                    </w:rPr>
                  </w:pPr>
                  <w:r>
                    <w:rPr>
                      <w:rFonts w:hint="eastAsia"/>
                      <w:color w:val="auto"/>
                    </w:rPr>
                    <w:t>废油桶</w:t>
                  </w:r>
                </w:p>
              </w:tc>
              <w:tc>
                <w:tcPr>
                  <w:tcW w:w="730" w:type="pct"/>
                  <w:tcBorders>
                    <w:tl2br w:val="nil"/>
                    <w:tr2bl w:val="nil"/>
                  </w:tcBorders>
                  <w:vAlign w:val="center"/>
                </w:tcPr>
                <w:p>
                  <w:pPr>
                    <w:pStyle w:val="50"/>
                    <w:rPr>
                      <w:color w:val="auto"/>
                    </w:rPr>
                  </w:pPr>
                  <w:r>
                    <w:rPr>
                      <w:rFonts w:hint="eastAsia"/>
                      <w:color w:val="auto"/>
                    </w:rPr>
                    <w:t>机加工</w:t>
                  </w:r>
                </w:p>
              </w:tc>
              <w:tc>
                <w:tcPr>
                  <w:tcW w:w="729" w:type="pct"/>
                  <w:tcBorders>
                    <w:tl2br w:val="nil"/>
                    <w:tr2bl w:val="nil"/>
                  </w:tcBorders>
                  <w:vAlign w:val="center"/>
                </w:tcPr>
                <w:p>
                  <w:pPr>
                    <w:pStyle w:val="50"/>
                    <w:rPr>
                      <w:color w:val="auto"/>
                    </w:rPr>
                  </w:pPr>
                  <w:r>
                    <w:rPr>
                      <w:rFonts w:hint="eastAsia"/>
                      <w:color w:val="auto"/>
                    </w:rPr>
                    <w:t>包装桶</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0.02</w:t>
                  </w:r>
                </w:p>
              </w:tc>
              <w:tc>
                <w:tcPr>
                  <w:tcW w:w="1422" w:type="pct"/>
                  <w:tcBorders>
                    <w:tl2br w:val="nil"/>
                    <w:tr2bl w:val="nil"/>
                  </w:tcBorders>
                  <w:vAlign w:val="center"/>
                </w:tcPr>
                <w:p>
                  <w:pPr>
                    <w:pStyle w:val="50"/>
                    <w:rPr>
                      <w:color w:val="auto"/>
                    </w:rPr>
                  </w:pPr>
                  <w:r>
                    <w:rPr>
                      <w:rFonts w:hint="eastAsia"/>
                      <w:color w:val="auto"/>
                    </w:rPr>
                    <w:t>委托有资质单位安全处置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315" w:hRule="atLeast"/>
              </w:trPr>
              <w:tc>
                <w:tcPr>
                  <w:tcW w:w="801" w:type="pct"/>
                  <w:tcBorders>
                    <w:tl2br w:val="nil"/>
                    <w:tr2bl w:val="nil"/>
                  </w:tcBorders>
                  <w:vAlign w:val="center"/>
                </w:tcPr>
                <w:p>
                  <w:pPr>
                    <w:pStyle w:val="50"/>
                    <w:rPr>
                      <w:color w:val="auto"/>
                    </w:rPr>
                  </w:pPr>
                  <w:r>
                    <w:rPr>
                      <w:rFonts w:hint="eastAsia"/>
                      <w:color w:val="auto"/>
                    </w:rPr>
                    <w:t>废活性炭</w:t>
                  </w:r>
                </w:p>
              </w:tc>
              <w:tc>
                <w:tcPr>
                  <w:tcW w:w="730" w:type="pct"/>
                  <w:tcBorders>
                    <w:tl2br w:val="nil"/>
                    <w:tr2bl w:val="nil"/>
                  </w:tcBorders>
                  <w:vAlign w:val="center"/>
                </w:tcPr>
                <w:p>
                  <w:pPr>
                    <w:pStyle w:val="50"/>
                    <w:rPr>
                      <w:color w:val="auto"/>
                    </w:rPr>
                  </w:pPr>
                  <w:r>
                    <w:rPr>
                      <w:rFonts w:hint="eastAsia"/>
                      <w:color w:val="auto"/>
                    </w:rPr>
                    <w:t>废气处理</w:t>
                  </w:r>
                </w:p>
              </w:tc>
              <w:tc>
                <w:tcPr>
                  <w:tcW w:w="729" w:type="pct"/>
                  <w:tcBorders>
                    <w:tl2br w:val="nil"/>
                    <w:tr2bl w:val="nil"/>
                  </w:tcBorders>
                  <w:vAlign w:val="center"/>
                </w:tcPr>
                <w:p>
                  <w:pPr>
                    <w:pStyle w:val="50"/>
                    <w:rPr>
                      <w:color w:val="auto"/>
                    </w:rPr>
                  </w:pPr>
                  <w:r>
                    <w:rPr>
                      <w:rFonts w:hint="eastAsia"/>
                      <w:color w:val="auto"/>
                    </w:rPr>
                    <w:t>活性炭</w:t>
                  </w:r>
                </w:p>
              </w:tc>
              <w:tc>
                <w:tcPr>
                  <w:tcW w:w="769" w:type="pct"/>
                  <w:vMerge w:val="continue"/>
                  <w:tcBorders>
                    <w:tl2br w:val="nil"/>
                    <w:tr2bl w:val="nil"/>
                  </w:tcBorders>
                  <w:vAlign w:val="center"/>
                </w:tcPr>
                <w:p>
                  <w:pPr>
                    <w:pStyle w:val="50"/>
                    <w:rPr>
                      <w:color w:val="auto"/>
                    </w:rPr>
                  </w:pPr>
                </w:p>
              </w:tc>
              <w:tc>
                <w:tcPr>
                  <w:tcW w:w="547" w:type="pct"/>
                  <w:tcBorders>
                    <w:tl2br w:val="nil"/>
                    <w:tr2bl w:val="nil"/>
                  </w:tcBorders>
                  <w:vAlign w:val="center"/>
                </w:tcPr>
                <w:p>
                  <w:pPr>
                    <w:pStyle w:val="50"/>
                    <w:rPr>
                      <w:color w:val="auto"/>
                    </w:rPr>
                  </w:pPr>
                  <w:r>
                    <w:rPr>
                      <w:rFonts w:hint="eastAsia"/>
                      <w:color w:val="auto"/>
                    </w:rPr>
                    <w:t>0.27</w:t>
                  </w:r>
                </w:p>
              </w:tc>
              <w:tc>
                <w:tcPr>
                  <w:tcW w:w="1422" w:type="pct"/>
                  <w:tcBorders>
                    <w:tl2br w:val="nil"/>
                    <w:tr2bl w:val="nil"/>
                  </w:tcBorders>
                  <w:vAlign w:val="center"/>
                </w:tcPr>
                <w:p>
                  <w:pPr>
                    <w:pStyle w:val="50"/>
                    <w:rPr>
                      <w:color w:val="auto"/>
                    </w:rPr>
                  </w:pPr>
                  <w:r>
                    <w:rPr>
                      <w:rFonts w:hint="eastAsia"/>
                      <w:color w:val="auto"/>
                    </w:rPr>
                    <w:t>委托有资质单位安全处置</w:t>
                  </w:r>
                </w:p>
              </w:tc>
            </w:tr>
          </w:tbl>
          <w:p>
            <w:pPr>
              <w:ind w:firstLine="0" w:firstLineChars="0"/>
              <w:contextualSpacing/>
              <w:rPr>
                <w:color w:val="auto"/>
              </w:rPr>
            </w:pPr>
          </w:p>
        </w:tc>
      </w:tr>
    </w:tbl>
    <w:p>
      <w:pPr>
        <w:pStyle w:val="4"/>
        <w:ind w:firstLine="0" w:firstLineChars="0"/>
        <w:contextualSpacing/>
        <w:jc w:val="both"/>
        <w:rPr>
          <w:rFonts w:hint="default" w:ascii="Times New Roman" w:hAnsi="Times New Roman" w:eastAsia="宋体" w:cs="Times New Roman"/>
          <w:b/>
          <w:color w:val="auto"/>
          <w:sz w:val="28"/>
          <w:szCs w:val="28"/>
        </w:rPr>
      </w:pPr>
      <w:bookmarkStart w:id="14" w:name="_Toc29068"/>
      <w:bookmarkStart w:id="15" w:name="_Toc20596"/>
      <w:r>
        <w:rPr>
          <w:rFonts w:hint="default" w:ascii="Times New Roman" w:hAnsi="Times New Roman" w:eastAsia="宋体" w:cs="Times New Roman"/>
          <w:b/>
          <w:color w:val="auto"/>
          <w:sz w:val="28"/>
          <w:szCs w:val="28"/>
        </w:rPr>
        <w:t>六、项目主要污染物产生及预计排放情况</w:t>
      </w:r>
      <w:bookmarkEnd w:id="14"/>
      <w:bookmarkEnd w:id="15"/>
    </w:p>
    <w:p>
      <w:pPr>
        <w:spacing w:line="240" w:lineRule="auto"/>
        <w:ind w:firstLine="420"/>
        <w:contextualSpacing/>
        <w:rPr>
          <w:color w:val="auto"/>
          <w:sz w:val="21"/>
          <w:szCs w:val="21"/>
        </w:rPr>
      </w:pPr>
      <w:r>
        <w:rPr>
          <w:color w:val="auto"/>
          <w:sz w:val="21"/>
          <w:szCs w:val="21"/>
        </w:rPr>
        <w:t>单位：废气   mg/m</w:t>
      </w:r>
      <w:r>
        <w:rPr>
          <w:color w:val="auto"/>
          <w:sz w:val="21"/>
          <w:szCs w:val="21"/>
          <w:vertAlign w:val="superscript"/>
        </w:rPr>
        <w:t>3</w:t>
      </w:r>
      <w:r>
        <w:rPr>
          <w:color w:val="auto"/>
          <w:sz w:val="21"/>
          <w:szCs w:val="21"/>
        </w:rPr>
        <w:t>， 废水  mg/L，噪声  dB(A)   ，固体废物 t/a</w:t>
      </w:r>
    </w:p>
    <w:tbl>
      <w:tblPr>
        <w:tblStyle w:val="36"/>
        <w:tblW w:w="891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213"/>
        <w:gridCol w:w="1023"/>
        <w:gridCol w:w="1932"/>
        <w:gridCol w:w="1023"/>
        <w:gridCol w:w="1022"/>
        <w:gridCol w:w="877"/>
        <w:gridCol w:w="106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767" w:type="dxa"/>
            <w:vMerge w:val="restart"/>
            <w:tcBorders>
              <w:top w:val="single" w:color="auto" w:sz="8" w:space="0"/>
              <w:left w:val="single" w:color="auto" w:sz="8" w:space="0"/>
              <w:bottom w:val="single" w:color="auto" w:sz="6" w:space="0"/>
              <w:right w:val="single" w:color="auto" w:sz="6" w:space="0"/>
            </w:tcBorders>
            <w:shd w:val="clear" w:color="auto" w:fill="auto"/>
            <w:vAlign w:val="center"/>
          </w:tcPr>
          <w:p>
            <w:pPr>
              <w:pStyle w:val="50"/>
              <w:jc w:val="right"/>
              <w:rPr>
                <w:snapToGrid/>
                <w:color w:val="auto"/>
                <w:spacing w:val="11"/>
                <w:kern w:val="21"/>
              </w:rPr>
            </w:pPr>
            <w:r>
              <w:rPr>
                <w:color w:val="auto"/>
                <w:kern w:val="21"/>
              </w:rPr>
              <w:pict>
                <v:line id="_x0000_s1028" o:spid="_x0000_s1028" o:spt="20" style="position:absolute;left:0pt;margin-left:-0.7pt;margin-top:2.9pt;height:48.75pt;width:31.75pt;z-index:251660288;mso-width-relative:page;mso-height-relative:page;" stroked="t" coordsize="21600,21600" o:gfxdata="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eM4fVAAAABwEAAA8AAAAAAAAAAQAgAAAAIgAAAGRycy9kb3ducmV2&#10;LnhtbFBLAQIUABQAAAAIAIdO4kDWi8Lb/wEAAOMDAAAOAAAAAAAAAAEAIAAAACQBAABkcnMvZTJv&#10;RG9jLnhtbFBLBQYAAAAABgAGAFkBAACVBQAAAAA=&#10;">
                  <v:path arrowok="t"/>
                  <v:fill focussize="0,0"/>
                  <v:stroke color="#000000"/>
                  <v:imagedata o:title=""/>
                  <o:lock v:ext="edit"/>
                </v:line>
              </w:pict>
            </w:r>
            <w:r>
              <w:rPr>
                <w:rFonts w:hint="eastAsia"/>
                <w:snapToGrid/>
                <w:color w:val="auto"/>
                <w:spacing w:val="11"/>
                <w:kern w:val="21"/>
              </w:rPr>
              <w:t xml:space="preserve"> 内容</w:t>
            </w:r>
          </w:p>
          <w:p>
            <w:pPr>
              <w:pStyle w:val="50"/>
              <w:spacing w:line="240" w:lineRule="auto"/>
              <w:jc w:val="both"/>
              <w:rPr>
                <w:snapToGrid/>
                <w:color w:val="auto"/>
                <w:spacing w:val="11"/>
                <w:kern w:val="21"/>
              </w:rPr>
            </w:pPr>
          </w:p>
          <w:p>
            <w:pPr>
              <w:pStyle w:val="50"/>
              <w:jc w:val="both"/>
              <w:rPr>
                <w:snapToGrid/>
                <w:color w:val="auto"/>
                <w:spacing w:val="11"/>
                <w:kern w:val="2"/>
              </w:rPr>
            </w:pPr>
            <w:r>
              <w:rPr>
                <w:rFonts w:hint="eastAsia"/>
                <w:snapToGrid/>
                <w:color w:val="auto"/>
                <w:spacing w:val="11"/>
                <w:kern w:val="21"/>
              </w:rPr>
              <w:t>类型</w:t>
            </w:r>
          </w:p>
        </w:tc>
        <w:tc>
          <w:tcPr>
            <w:tcW w:w="2236" w:type="dxa"/>
            <w:gridSpan w:val="2"/>
            <w:vMerge w:val="restart"/>
            <w:tcBorders>
              <w:top w:val="single" w:color="auto" w:sz="8"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排放源</w:t>
            </w:r>
          </w:p>
          <w:p>
            <w:pPr>
              <w:pStyle w:val="50"/>
              <w:rPr>
                <w:snapToGrid/>
                <w:color w:val="auto"/>
                <w:spacing w:val="11"/>
                <w:kern w:val="2"/>
              </w:rPr>
            </w:pPr>
            <w:r>
              <w:rPr>
                <w:rFonts w:hint="eastAsia"/>
                <w:snapToGrid/>
                <w:color w:val="auto"/>
                <w:spacing w:val="11"/>
                <w:kern w:val="2"/>
              </w:rPr>
              <w:t>(编号)</w:t>
            </w:r>
          </w:p>
        </w:tc>
        <w:tc>
          <w:tcPr>
            <w:tcW w:w="1932" w:type="dxa"/>
            <w:vMerge w:val="restart"/>
            <w:tcBorders>
              <w:top w:val="single" w:color="auto" w:sz="8"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污染物</w:t>
            </w:r>
          </w:p>
          <w:p>
            <w:pPr>
              <w:pStyle w:val="50"/>
              <w:rPr>
                <w:snapToGrid/>
                <w:color w:val="auto"/>
                <w:spacing w:val="11"/>
                <w:kern w:val="2"/>
              </w:rPr>
            </w:pPr>
            <w:r>
              <w:rPr>
                <w:rFonts w:hint="eastAsia"/>
                <w:snapToGrid/>
                <w:color w:val="auto"/>
                <w:spacing w:val="11"/>
                <w:kern w:val="2"/>
              </w:rPr>
              <w:t>名称</w:t>
            </w:r>
          </w:p>
        </w:tc>
        <w:tc>
          <w:tcPr>
            <w:tcW w:w="2045" w:type="dxa"/>
            <w:gridSpan w:val="2"/>
            <w:tcBorders>
              <w:top w:val="single" w:color="auto" w:sz="8"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处理前</w:t>
            </w:r>
          </w:p>
        </w:tc>
        <w:tc>
          <w:tcPr>
            <w:tcW w:w="1937" w:type="dxa"/>
            <w:gridSpan w:val="2"/>
            <w:tcBorders>
              <w:top w:val="single" w:color="auto" w:sz="8"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处理后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767" w:type="dxa"/>
            <w:vMerge w:val="continue"/>
            <w:tcBorders>
              <w:top w:val="single" w:color="auto" w:sz="8" w:space="0"/>
              <w:left w:val="single" w:color="auto" w:sz="8" w:space="0"/>
              <w:bottom w:val="single" w:color="auto" w:sz="6" w:space="0"/>
              <w:right w:val="single" w:color="auto" w:sz="6" w:space="0"/>
            </w:tcBorders>
            <w:shd w:val="clear" w:color="auto" w:fill="auto"/>
          </w:tcPr>
          <w:p>
            <w:pPr>
              <w:pStyle w:val="50"/>
              <w:rPr>
                <w:snapToGrid/>
                <w:color w:val="auto"/>
                <w:spacing w:val="11"/>
                <w:kern w:val="2"/>
              </w:rPr>
            </w:pPr>
          </w:p>
        </w:tc>
        <w:tc>
          <w:tcPr>
            <w:tcW w:w="2236" w:type="dxa"/>
            <w:gridSpan w:val="2"/>
            <w:vMerge w:val="continue"/>
            <w:tcBorders>
              <w:top w:val="single" w:color="auto" w:sz="8"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vMerge w:val="continue"/>
            <w:tcBorders>
              <w:top w:val="single" w:color="auto" w:sz="8"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产生浓度</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产生量（t/a）</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排放</w:t>
            </w:r>
          </w:p>
          <w:p>
            <w:pPr>
              <w:pStyle w:val="50"/>
              <w:rPr>
                <w:snapToGrid/>
                <w:color w:val="auto"/>
                <w:spacing w:val="11"/>
                <w:kern w:val="2"/>
              </w:rPr>
            </w:pPr>
            <w:r>
              <w:rPr>
                <w:rFonts w:hint="eastAsia"/>
                <w:snapToGrid/>
                <w:color w:val="auto"/>
                <w:spacing w:val="11"/>
                <w:kern w:val="2"/>
              </w:rPr>
              <w:t>浓度</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排放量</w:t>
            </w:r>
          </w:p>
          <w:p>
            <w:pPr>
              <w:pStyle w:val="50"/>
              <w:rPr>
                <w:snapToGrid/>
                <w:color w:val="auto"/>
                <w:spacing w:val="11"/>
                <w:kern w:val="2"/>
              </w:rPr>
            </w:pPr>
            <w:r>
              <w:rPr>
                <w:rFonts w:hint="eastAsia"/>
                <w:snapToGrid/>
                <w:color w:val="auto"/>
                <w:spacing w:val="11"/>
                <w:kern w:val="2"/>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767" w:type="dxa"/>
            <w:vMerge w:val="restart"/>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p>
            <w:pPr>
              <w:pStyle w:val="50"/>
              <w:rPr>
                <w:snapToGrid/>
                <w:color w:val="auto"/>
                <w:spacing w:val="11"/>
                <w:kern w:val="2"/>
              </w:rPr>
            </w:pPr>
            <w:r>
              <w:rPr>
                <w:rFonts w:hint="eastAsia"/>
                <w:snapToGrid/>
                <w:color w:val="auto"/>
                <w:spacing w:val="11"/>
                <w:kern w:val="2"/>
              </w:rPr>
              <w:t>大</w:t>
            </w:r>
          </w:p>
          <w:p>
            <w:pPr>
              <w:pStyle w:val="50"/>
              <w:rPr>
                <w:snapToGrid/>
                <w:color w:val="auto"/>
                <w:spacing w:val="11"/>
                <w:kern w:val="2"/>
              </w:rPr>
            </w:pPr>
            <w:r>
              <w:rPr>
                <w:rFonts w:hint="eastAsia"/>
                <w:snapToGrid/>
                <w:color w:val="auto"/>
                <w:spacing w:val="11"/>
                <w:kern w:val="2"/>
              </w:rPr>
              <w:t>气</w:t>
            </w:r>
          </w:p>
          <w:p>
            <w:pPr>
              <w:pStyle w:val="50"/>
              <w:rPr>
                <w:snapToGrid/>
                <w:color w:val="auto"/>
                <w:spacing w:val="11"/>
                <w:kern w:val="2"/>
              </w:rPr>
            </w:pPr>
            <w:r>
              <w:rPr>
                <w:rFonts w:hint="eastAsia"/>
                <w:snapToGrid/>
                <w:color w:val="auto"/>
                <w:spacing w:val="11"/>
                <w:kern w:val="2"/>
              </w:rPr>
              <w:t>污</w:t>
            </w:r>
          </w:p>
          <w:p>
            <w:pPr>
              <w:pStyle w:val="50"/>
              <w:rPr>
                <w:snapToGrid/>
                <w:color w:val="auto"/>
                <w:spacing w:val="11"/>
                <w:kern w:val="2"/>
              </w:rPr>
            </w:pPr>
            <w:r>
              <w:rPr>
                <w:rFonts w:hint="eastAsia"/>
                <w:snapToGrid/>
                <w:color w:val="auto"/>
                <w:spacing w:val="11"/>
                <w:kern w:val="2"/>
              </w:rPr>
              <w:t>染</w:t>
            </w:r>
          </w:p>
          <w:p>
            <w:pPr>
              <w:pStyle w:val="50"/>
              <w:rPr>
                <w:snapToGrid/>
                <w:color w:val="auto"/>
                <w:spacing w:val="11"/>
                <w:kern w:val="2"/>
              </w:rPr>
            </w:pPr>
            <w:r>
              <w:rPr>
                <w:rFonts w:hint="eastAsia"/>
                <w:snapToGrid/>
                <w:color w:val="auto"/>
                <w:spacing w:val="11"/>
                <w:kern w:val="2"/>
              </w:rPr>
              <w:t>物</w:t>
            </w:r>
          </w:p>
        </w:tc>
        <w:tc>
          <w:tcPr>
            <w:tcW w:w="1213" w:type="dxa"/>
            <w:vMerge w:val="restart"/>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喷塑工段</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有组织</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粉尘</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210</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2.52</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4.2</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0.0504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91"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213" w:type="dxa"/>
            <w:vMerge w:val="continue"/>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无组织</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粉尘</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0.28</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0.28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21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固化工段</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有组织</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lang w:val="en-US" w:eastAsia="zh-CN"/>
              </w:rPr>
              <w:t>VOCs（以非甲烷总烃计）</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7</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0.084</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rFonts w:hint="default" w:eastAsia="宋体"/>
                <w:snapToGrid/>
                <w:color w:val="auto"/>
                <w:spacing w:val="11"/>
                <w:kern w:val="2"/>
                <w:lang w:val="en-US" w:eastAsia="zh-CN"/>
              </w:rPr>
            </w:pPr>
            <w:r>
              <w:rPr>
                <w:rFonts w:hint="eastAsia"/>
                <w:snapToGrid/>
                <w:color w:val="auto"/>
                <w:spacing w:val="11"/>
                <w:kern w:val="2"/>
                <w:lang w:val="en-US" w:eastAsia="zh-CN"/>
              </w:rPr>
              <w:t>1.4</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rFonts w:hint="default" w:eastAsia="宋体"/>
                <w:snapToGrid/>
                <w:color w:val="auto"/>
                <w:spacing w:val="11"/>
                <w:kern w:val="2"/>
                <w:lang w:val="en-US" w:eastAsia="zh-CN"/>
              </w:rPr>
            </w:pPr>
            <w:r>
              <w:rPr>
                <w:rFonts w:hint="eastAsia"/>
                <w:snapToGrid/>
                <w:color w:val="auto"/>
                <w:spacing w:val="11"/>
                <w:kern w:val="2"/>
                <w:lang w:val="en-US" w:eastAsia="zh-CN"/>
              </w:rPr>
              <w:t>0.0168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restart"/>
            <w:tcBorders>
              <w:top w:val="single" w:color="auto" w:sz="6" w:space="0"/>
              <w:left w:val="single" w:color="auto" w:sz="6" w:space="0"/>
              <w:right w:val="single" w:color="auto" w:sz="6" w:space="0"/>
            </w:tcBorders>
            <w:shd w:val="clear" w:color="auto" w:fill="auto"/>
            <w:vAlign w:val="center"/>
          </w:tcPr>
          <w:p>
            <w:pPr>
              <w:pStyle w:val="50"/>
              <w:rPr>
                <w:snapToGrid/>
                <w:color w:val="auto"/>
                <w:spacing w:val="11"/>
                <w:kern w:val="2"/>
              </w:rPr>
            </w:pPr>
          </w:p>
          <w:p>
            <w:pPr>
              <w:pStyle w:val="50"/>
              <w:rPr>
                <w:snapToGrid/>
                <w:color w:val="auto"/>
                <w:spacing w:val="11"/>
                <w:kern w:val="2"/>
              </w:rPr>
            </w:pPr>
            <w:r>
              <w:rPr>
                <w:rFonts w:hint="eastAsia"/>
                <w:snapToGrid/>
                <w:color w:val="auto"/>
                <w:spacing w:val="11"/>
                <w:kern w:val="2"/>
              </w:rPr>
              <w:t>燃烧工段</w:t>
            </w:r>
          </w:p>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颗粒物</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2.3</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0.00275</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2.3</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0.00275</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SO</w:t>
            </w:r>
            <w:r>
              <w:rPr>
                <w:rFonts w:hint="eastAsia"/>
                <w:snapToGrid/>
                <w:color w:val="auto"/>
                <w:spacing w:val="11"/>
                <w:kern w:val="2"/>
                <w:vertAlign w:val="subscript"/>
              </w:rPr>
              <w:t>2</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0.32</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0.00384</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0.32</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0.00384</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3"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氮氧化物</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15</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0.18</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15</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0.18</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767" w:type="dxa"/>
            <w:vMerge w:val="continue"/>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2236" w:type="dxa"/>
            <w:gridSpan w:val="2"/>
            <w:tcBorders>
              <w:left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焊接工段</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焊接烟尘</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0.016</w:t>
            </w:r>
          </w:p>
        </w:tc>
        <w:tc>
          <w:tcPr>
            <w:tcW w:w="877"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60" w:type="dxa"/>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0.00576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767" w:type="dxa"/>
            <w:tcBorders>
              <w:top w:val="single" w:color="auto" w:sz="6" w:space="0"/>
              <w:left w:val="single" w:color="auto" w:sz="8" w:space="0"/>
              <w:bottom w:val="single" w:color="auto" w:sz="6" w:space="0"/>
              <w:right w:val="single" w:color="auto" w:sz="6" w:space="0"/>
            </w:tcBorders>
            <w:shd w:val="clear" w:color="auto" w:fill="auto"/>
            <w:vAlign w:val="center"/>
          </w:tcPr>
          <w:p>
            <w:pPr>
              <w:pStyle w:val="50"/>
              <w:rPr>
                <w:rFonts w:hint="eastAsia" w:eastAsia="宋体"/>
                <w:snapToGrid/>
                <w:color w:val="auto"/>
                <w:spacing w:val="11"/>
                <w:kern w:val="2"/>
                <w:lang w:val="en-US" w:eastAsia="zh-CN"/>
              </w:rPr>
            </w:pPr>
            <w:r>
              <w:rPr>
                <w:rFonts w:hint="eastAsia"/>
                <w:snapToGrid/>
                <w:color w:val="auto"/>
                <w:spacing w:val="11"/>
                <w:kern w:val="2"/>
                <w:lang w:val="en-US" w:eastAsia="zh-CN"/>
              </w:rPr>
              <w:t>水污染物</w:t>
            </w:r>
          </w:p>
        </w:tc>
        <w:tc>
          <w:tcPr>
            <w:tcW w:w="2236" w:type="dxa"/>
            <w:gridSpan w:val="2"/>
            <w:tcBorders>
              <w:left w:val="single" w:color="auto" w:sz="6" w:space="0"/>
              <w:right w:val="single" w:color="auto" w:sz="6" w:space="0"/>
            </w:tcBorders>
            <w:shd w:val="clear" w:color="auto" w:fill="auto"/>
            <w:vAlign w:val="center"/>
          </w:tcPr>
          <w:p>
            <w:pPr>
              <w:pStyle w:val="50"/>
              <w:rPr>
                <w:rFonts w:hint="default" w:eastAsia="宋体"/>
                <w:snapToGrid/>
                <w:color w:val="auto"/>
                <w:spacing w:val="11"/>
                <w:kern w:val="2"/>
                <w:lang w:val="en-US" w:eastAsia="zh-CN"/>
              </w:rPr>
            </w:pPr>
            <w:r>
              <w:rPr>
                <w:rFonts w:hint="eastAsia"/>
                <w:snapToGrid/>
                <w:color w:val="auto"/>
                <w:spacing w:val="11"/>
                <w:kern w:val="2"/>
                <w:lang w:val="en-US" w:eastAsia="zh-CN"/>
              </w:rPr>
              <w:t>员工洗手、冲厕</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rFonts w:hint="eastAsia" w:eastAsia="宋体"/>
                <w:snapToGrid/>
                <w:color w:val="auto"/>
                <w:spacing w:val="11"/>
                <w:kern w:val="2"/>
                <w:lang w:eastAsia="zh-CN"/>
              </w:rPr>
            </w:pPr>
            <w:r>
              <w:rPr>
                <w:rFonts w:ascii="Times New Roman"/>
                <w:color w:val="auto"/>
                <w:sz w:val="21"/>
                <w:szCs w:val="21"/>
              </w:rPr>
              <w:t>CODcr</w:t>
            </w:r>
            <w:r>
              <w:rPr>
                <w:rFonts w:hint="eastAsia"/>
                <w:color w:val="auto"/>
                <w:sz w:val="21"/>
                <w:szCs w:val="21"/>
                <w:lang w:eastAsia="zh-CN"/>
              </w:rPr>
              <w:t>、</w:t>
            </w:r>
            <w:r>
              <w:rPr>
                <w:rFonts w:ascii="Times New Roman"/>
                <w:bCs/>
                <w:color w:val="auto"/>
                <w:sz w:val="21"/>
                <w:szCs w:val="21"/>
              </w:rPr>
              <w:t>BOD</w:t>
            </w:r>
            <w:r>
              <w:rPr>
                <w:rFonts w:ascii="Times New Roman"/>
                <w:bCs/>
                <w:color w:val="auto"/>
                <w:sz w:val="21"/>
                <w:szCs w:val="21"/>
                <w:vertAlign w:val="subscript"/>
              </w:rPr>
              <w:t>5</w:t>
            </w:r>
            <w:r>
              <w:rPr>
                <w:rFonts w:hint="eastAsia"/>
                <w:color w:val="auto"/>
                <w:sz w:val="21"/>
                <w:szCs w:val="21"/>
                <w:lang w:eastAsia="zh-CN"/>
              </w:rPr>
              <w:t>、</w:t>
            </w:r>
            <w:r>
              <w:rPr>
                <w:rFonts w:ascii="Times New Roman"/>
                <w:color w:val="auto"/>
                <w:sz w:val="21"/>
                <w:szCs w:val="21"/>
              </w:rPr>
              <w:t>SS</w:t>
            </w:r>
            <w:r>
              <w:rPr>
                <w:rFonts w:hint="eastAsia"/>
                <w:color w:val="auto"/>
                <w:sz w:val="21"/>
                <w:szCs w:val="21"/>
                <w:lang w:eastAsia="zh-CN"/>
              </w:rPr>
              <w:t>、</w:t>
            </w:r>
            <w:r>
              <w:rPr>
                <w:rFonts w:ascii="Times New Roman"/>
                <w:color w:val="auto"/>
                <w:sz w:val="21"/>
                <w:szCs w:val="21"/>
              </w:rPr>
              <w:t>氨氮</w:t>
            </w:r>
          </w:p>
        </w:tc>
        <w:tc>
          <w:tcPr>
            <w:tcW w:w="3982" w:type="dxa"/>
            <w:gridSpan w:val="4"/>
            <w:tcBorders>
              <w:top w:val="single" w:color="auto" w:sz="6" w:space="0"/>
              <w:left w:val="single" w:color="auto" w:sz="6" w:space="0"/>
              <w:bottom w:val="single" w:color="auto" w:sz="6" w:space="0"/>
              <w:right w:val="single" w:color="auto" w:sz="8" w:space="0"/>
            </w:tcBorders>
            <w:shd w:val="clear" w:color="auto" w:fill="auto"/>
            <w:vAlign w:val="center"/>
          </w:tcPr>
          <w:p>
            <w:pPr>
              <w:pStyle w:val="50"/>
              <w:rPr>
                <w:rFonts w:hint="eastAsia"/>
                <w:snapToGrid/>
                <w:color w:val="auto"/>
                <w:spacing w:val="11"/>
                <w:kern w:val="2"/>
              </w:rPr>
            </w:pPr>
            <w:r>
              <w:rPr>
                <w:rFonts w:hint="eastAsia"/>
                <w:color w:val="auto"/>
                <w:sz w:val="21"/>
                <w:szCs w:val="21"/>
                <w:lang w:val="en-US" w:eastAsia="zh-CN"/>
              </w:rPr>
              <w:t>依托</w:t>
            </w:r>
            <w:r>
              <w:rPr>
                <w:rFonts w:hint="eastAsia"/>
                <w:color w:val="auto"/>
              </w:rPr>
              <w:t>昆明力线电缆制造有限公司</w:t>
            </w:r>
            <w:r>
              <w:rPr>
                <w:rFonts w:hint="eastAsia"/>
                <w:color w:val="auto"/>
                <w:lang w:val="en-US" w:eastAsia="zh-CN"/>
              </w:rPr>
              <w:t>已建设</w:t>
            </w:r>
            <w:r>
              <w:rPr>
                <w:rFonts w:hint="eastAsia" w:ascii="Times New Roman"/>
                <w:color w:val="auto"/>
                <w:sz w:val="21"/>
                <w:szCs w:val="21"/>
              </w:rPr>
              <w:t>的污水处理设施处理</w:t>
            </w:r>
            <w:r>
              <w:rPr>
                <w:rFonts w:hint="eastAsia"/>
                <w:color w:val="auto"/>
                <w:sz w:val="21"/>
                <w:szCs w:val="21"/>
                <w:lang w:eastAsia="zh-CN"/>
              </w:rPr>
              <w:t>，</w:t>
            </w:r>
            <w:r>
              <w:rPr>
                <w:rFonts w:hint="eastAsia" w:ascii="Times New Roman"/>
                <w:color w:val="auto"/>
                <w:sz w:val="21"/>
                <w:szCs w:val="21"/>
              </w:rPr>
              <w:t>达标回用于绿化及道路</w:t>
            </w:r>
            <w:r>
              <w:rPr>
                <w:rFonts w:hint="eastAsia" w:ascii="Times New Roman"/>
                <w:color w:val="auto"/>
                <w:sz w:val="21"/>
                <w:szCs w:val="21"/>
                <w:lang w:val="en-US" w:eastAsia="zh-CN"/>
              </w:rPr>
              <w:t>清扫</w:t>
            </w:r>
            <w:r>
              <w:rPr>
                <w:rFonts w:hint="eastAsia" w:ascii="Times New Roman"/>
                <w:color w:val="auto"/>
                <w:sz w:val="21"/>
                <w:szCs w:val="21"/>
              </w:rPr>
              <w:t>，不外排</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767" w:type="dxa"/>
            <w:vMerge w:val="restart"/>
            <w:tcBorders>
              <w:top w:val="single" w:color="auto" w:sz="6" w:space="0"/>
              <w:left w:val="single" w:color="auto" w:sz="8"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固</w:t>
            </w:r>
          </w:p>
          <w:p>
            <w:pPr>
              <w:pStyle w:val="50"/>
              <w:rPr>
                <w:snapToGrid/>
                <w:color w:val="auto"/>
                <w:spacing w:val="11"/>
                <w:kern w:val="2"/>
              </w:rPr>
            </w:pPr>
            <w:r>
              <w:rPr>
                <w:rFonts w:hint="eastAsia"/>
                <w:snapToGrid/>
                <w:color w:val="auto"/>
                <w:spacing w:val="11"/>
                <w:kern w:val="2"/>
              </w:rPr>
              <w:t>体</w:t>
            </w:r>
          </w:p>
          <w:p>
            <w:pPr>
              <w:pStyle w:val="50"/>
              <w:rPr>
                <w:snapToGrid/>
                <w:color w:val="auto"/>
                <w:spacing w:val="11"/>
                <w:kern w:val="2"/>
              </w:rPr>
            </w:pPr>
            <w:r>
              <w:rPr>
                <w:rFonts w:hint="eastAsia"/>
                <w:snapToGrid/>
                <w:color w:val="auto"/>
                <w:spacing w:val="11"/>
                <w:kern w:val="2"/>
              </w:rPr>
              <w:t>废</w:t>
            </w:r>
          </w:p>
          <w:p>
            <w:pPr>
              <w:pStyle w:val="50"/>
              <w:rPr>
                <w:snapToGrid/>
                <w:color w:val="auto"/>
                <w:spacing w:val="11"/>
                <w:kern w:val="2"/>
              </w:rPr>
            </w:pPr>
            <w:r>
              <w:rPr>
                <w:rFonts w:hint="eastAsia"/>
                <w:snapToGrid/>
                <w:color w:val="auto"/>
                <w:spacing w:val="11"/>
                <w:kern w:val="2"/>
              </w:rPr>
              <w:t>物</w:t>
            </w:r>
          </w:p>
        </w:tc>
        <w:tc>
          <w:tcPr>
            <w:tcW w:w="2236" w:type="dxa"/>
            <w:gridSpan w:val="2"/>
            <w:vMerge w:val="restart"/>
            <w:tcBorders>
              <w:top w:val="single" w:color="auto" w:sz="6" w:space="0"/>
              <w:left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生产固废</w:t>
            </w:r>
          </w:p>
          <w:p>
            <w:pPr>
              <w:pStyle w:val="50"/>
              <w:rPr>
                <w:snapToGrid/>
                <w:color w:val="auto"/>
                <w:spacing w:val="11"/>
                <w:kern w:val="2"/>
              </w:rPr>
            </w:pPr>
            <w:r>
              <w:rPr>
                <w:rFonts w:hint="eastAsia"/>
                <w:snapToGrid/>
                <w:color w:val="auto"/>
                <w:spacing w:val="11"/>
                <w:kern w:val="2"/>
              </w:rPr>
              <w:t>（一般固废）</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color w:val="auto"/>
              </w:rPr>
            </w:pPr>
            <w:r>
              <w:rPr>
                <w:rFonts w:hint="eastAsia"/>
                <w:color w:val="auto"/>
              </w:rPr>
              <w:t>生活垃圾</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color w:val="auto"/>
              </w:rPr>
            </w:pPr>
            <w:r>
              <w:rPr>
                <w:rFonts w:hint="eastAsia"/>
                <w:color w:val="auto"/>
              </w:rPr>
              <w:t>0.3</w:t>
            </w:r>
          </w:p>
        </w:tc>
        <w:tc>
          <w:tcPr>
            <w:tcW w:w="1937" w:type="dxa"/>
            <w:gridSpan w:val="2"/>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color w:val="auto"/>
              </w:rPr>
              <w:t>委托环卫部门清运</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2"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废金属边角料</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0.99</w:t>
            </w:r>
          </w:p>
        </w:tc>
        <w:tc>
          <w:tcPr>
            <w:tcW w:w="1937" w:type="dxa"/>
            <w:gridSpan w:val="2"/>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color w:val="auto"/>
              </w:rPr>
              <w:t>统一收集后外售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焊渣</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0.04</w:t>
            </w:r>
          </w:p>
        </w:tc>
        <w:tc>
          <w:tcPr>
            <w:tcW w:w="1937" w:type="dxa"/>
            <w:gridSpan w:val="2"/>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color w:val="auto"/>
              </w:rPr>
              <w:t>统一收集后外售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收尘系统回收塑粉</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2.47</w:t>
            </w:r>
          </w:p>
        </w:tc>
        <w:tc>
          <w:tcPr>
            <w:tcW w:w="1937" w:type="dxa"/>
            <w:gridSpan w:val="2"/>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color w:val="auto"/>
              </w:rPr>
              <w:t>回用于喷塑工艺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57"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废包装材料</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0.34</w:t>
            </w:r>
          </w:p>
        </w:tc>
        <w:tc>
          <w:tcPr>
            <w:tcW w:w="1937" w:type="dxa"/>
            <w:gridSpan w:val="2"/>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color w:val="auto"/>
              </w:rPr>
              <w:t>统一收集后外售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restart"/>
            <w:tcBorders>
              <w:top w:val="single" w:color="auto" w:sz="6" w:space="0"/>
              <w:left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生产过程和设备维修（危险废物）</w:t>
            </w: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废润滑油</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0.2</w:t>
            </w:r>
          </w:p>
        </w:tc>
        <w:tc>
          <w:tcPr>
            <w:tcW w:w="1937" w:type="dxa"/>
            <w:gridSpan w:val="2"/>
            <w:vMerge w:val="restart"/>
            <w:tcBorders>
              <w:top w:val="single" w:color="auto" w:sz="6" w:space="0"/>
              <w:left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收集后分类暂存于危废暂存间内，委托有资质单位处置</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5"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废油桶</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0.02</w:t>
            </w:r>
          </w:p>
        </w:tc>
        <w:tc>
          <w:tcPr>
            <w:tcW w:w="1937" w:type="dxa"/>
            <w:gridSpan w:val="2"/>
            <w:vMerge w:val="continue"/>
            <w:tcBorders>
              <w:left w:val="single" w:color="auto" w:sz="6" w:space="0"/>
              <w:right w:val="single" w:color="auto" w:sz="8" w:space="0"/>
            </w:tcBorders>
            <w:shd w:val="clear" w:color="auto" w:fill="auto"/>
            <w:vAlign w:val="center"/>
          </w:tcPr>
          <w:p>
            <w:pPr>
              <w:pStyle w:val="50"/>
              <w:rPr>
                <w:snapToGrid/>
                <w:color w:val="auto"/>
                <w:spacing w:val="11"/>
                <w:kern w:val="2"/>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2" w:hRule="atLeast"/>
          <w:jc w:val="center"/>
        </w:trPr>
        <w:tc>
          <w:tcPr>
            <w:tcW w:w="767" w:type="dxa"/>
            <w:vMerge w:val="continue"/>
            <w:tcBorders>
              <w:left w:val="single" w:color="auto" w:sz="8" w:space="0"/>
              <w:right w:val="single" w:color="auto" w:sz="6" w:space="0"/>
            </w:tcBorders>
            <w:shd w:val="clear" w:color="auto" w:fill="auto"/>
            <w:vAlign w:val="center"/>
          </w:tcPr>
          <w:p>
            <w:pPr>
              <w:pStyle w:val="50"/>
              <w:rPr>
                <w:snapToGrid/>
                <w:color w:val="auto"/>
                <w:spacing w:val="11"/>
                <w:kern w:val="2"/>
              </w:rPr>
            </w:pPr>
          </w:p>
        </w:tc>
        <w:tc>
          <w:tcPr>
            <w:tcW w:w="2236" w:type="dxa"/>
            <w:gridSpan w:val="2"/>
            <w:vMerge w:val="continue"/>
            <w:tcBorders>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p>
        </w:tc>
        <w:tc>
          <w:tcPr>
            <w:tcW w:w="193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废活性炭</w:t>
            </w:r>
          </w:p>
        </w:tc>
        <w:tc>
          <w:tcPr>
            <w:tcW w:w="102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w:t>
            </w:r>
          </w:p>
        </w:tc>
        <w:tc>
          <w:tcPr>
            <w:tcW w:w="1022"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color w:val="auto"/>
              </w:rPr>
              <w:t>0.27</w:t>
            </w:r>
          </w:p>
        </w:tc>
        <w:tc>
          <w:tcPr>
            <w:tcW w:w="1937" w:type="dxa"/>
            <w:gridSpan w:val="2"/>
            <w:vMerge w:val="continue"/>
            <w:tcBorders>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8" w:hRule="atLeast"/>
          <w:jc w:val="center"/>
        </w:trPr>
        <w:tc>
          <w:tcPr>
            <w:tcW w:w="767" w:type="dxa"/>
            <w:tcBorders>
              <w:top w:val="single" w:color="auto" w:sz="6" w:space="0"/>
              <w:left w:val="single" w:color="auto" w:sz="8"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噪声</w:t>
            </w:r>
          </w:p>
        </w:tc>
        <w:tc>
          <w:tcPr>
            <w:tcW w:w="1213" w:type="dxa"/>
            <w:tcBorders>
              <w:top w:val="single" w:color="auto" w:sz="6" w:space="0"/>
              <w:left w:val="single" w:color="auto" w:sz="6" w:space="0"/>
              <w:bottom w:val="single" w:color="auto" w:sz="6"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营运期</w:t>
            </w:r>
          </w:p>
        </w:tc>
        <w:tc>
          <w:tcPr>
            <w:tcW w:w="6937" w:type="dxa"/>
            <w:gridSpan w:val="6"/>
            <w:tcBorders>
              <w:top w:val="single" w:color="auto" w:sz="6" w:space="0"/>
              <w:left w:val="single" w:color="auto" w:sz="6" w:space="0"/>
              <w:bottom w:val="single" w:color="auto" w:sz="6" w:space="0"/>
              <w:right w:val="single" w:color="auto" w:sz="8" w:space="0"/>
            </w:tcBorders>
            <w:shd w:val="clear" w:color="auto" w:fill="auto"/>
            <w:vAlign w:val="center"/>
          </w:tcPr>
          <w:p>
            <w:pPr>
              <w:pStyle w:val="50"/>
              <w:rPr>
                <w:snapToGrid/>
                <w:color w:val="auto"/>
                <w:spacing w:val="11"/>
                <w:kern w:val="2"/>
              </w:rPr>
            </w:pPr>
            <w:r>
              <w:rPr>
                <w:rFonts w:hint="eastAsia"/>
                <w:snapToGrid/>
                <w:color w:val="auto"/>
                <w:spacing w:val="11"/>
                <w:kern w:val="2"/>
              </w:rPr>
              <w:t>机加工车间的机械设备，其噪声源强在75—90dB（A）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405" w:hRule="atLeast"/>
          <w:jc w:val="center"/>
        </w:trPr>
        <w:tc>
          <w:tcPr>
            <w:tcW w:w="767" w:type="dxa"/>
            <w:tcBorders>
              <w:top w:val="single" w:color="auto" w:sz="6" w:space="0"/>
              <w:left w:val="single" w:color="auto" w:sz="8" w:space="0"/>
              <w:bottom w:val="single" w:color="auto" w:sz="8" w:space="0"/>
              <w:right w:val="single" w:color="auto" w:sz="6" w:space="0"/>
            </w:tcBorders>
            <w:shd w:val="clear" w:color="auto" w:fill="auto"/>
            <w:vAlign w:val="center"/>
          </w:tcPr>
          <w:p>
            <w:pPr>
              <w:pStyle w:val="50"/>
              <w:rPr>
                <w:snapToGrid/>
                <w:color w:val="auto"/>
                <w:spacing w:val="11"/>
                <w:kern w:val="2"/>
              </w:rPr>
            </w:pPr>
            <w:r>
              <w:rPr>
                <w:rFonts w:hint="eastAsia"/>
                <w:snapToGrid/>
                <w:color w:val="auto"/>
                <w:spacing w:val="11"/>
                <w:kern w:val="2"/>
              </w:rPr>
              <w:t>生态</w:t>
            </w:r>
          </w:p>
          <w:p>
            <w:pPr>
              <w:pStyle w:val="50"/>
              <w:rPr>
                <w:snapToGrid/>
                <w:color w:val="auto"/>
                <w:spacing w:val="11"/>
                <w:kern w:val="2"/>
              </w:rPr>
            </w:pPr>
            <w:r>
              <w:rPr>
                <w:rFonts w:hint="eastAsia"/>
                <w:snapToGrid/>
                <w:color w:val="auto"/>
                <w:spacing w:val="11"/>
                <w:kern w:val="2"/>
              </w:rPr>
              <w:t>影响</w:t>
            </w:r>
          </w:p>
        </w:tc>
        <w:tc>
          <w:tcPr>
            <w:tcW w:w="8150" w:type="dxa"/>
            <w:gridSpan w:val="7"/>
            <w:tcBorders>
              <w:top w:val="single" w:color="auto" w:sz="6" w:space="0"/>
              <w:left w:val="single" w:color="auto" w:sz="6" w:space="0"/>
              <w:bottom w:val="single" w:color="auto" w:sz="8" w:space="0"/>
              <w:right w:val="single" w:color="auto" w:sz="8" w:space="0"/>
            </w:tcBorders>
            <w:shd w:val="clear" w:color="auto" w:fill="auto"/>
          </w:tcPr>
          <w:p>
            <w:pPr>
              <w:ind w:firstLine="0" w:firstLineChars="0"/>
              <w:contextualSpacing/>
              <w:jc w:val="left"/>
              <w:rPr>
                <w:b/>
                <w:bCs/>
                <w:color w:val="auto"/>
              </w:rPr>
            </w:pPr>
            <w:r>
              <w:rPr>
                <w:rFonts w:hint="eastAsia"/>
                <w:b/>
                <w:bCs/>
                <w:color w:val="auto"/>
              </w:rPr>
              <w:t>主要生态影响：</w:t>
            </w:r>
          </w:p>
          <w:p>
            <w:pPr>
              <w:ind w:firstLine="480"/>
              <w:rPr>
                <w:rFonts w:hint="default" w:ascii="Times New Roman" w:hAnsi="Times New Roman" w:cs="Times New Roman"/>
                <w:color w:val="auto"/>
              </w:rPr>
            </w:pPr>
            <w:r>
              <w:rPr>
                <w:rFonts w:hint="default" w:ascii="Times New Roman" w:hAnsi="Times New Roman" w:cs="Times New Roman"/>
                <w:color w:val="auto"/>
              </w:rPr>
              <w:t>本项目</w:t>
            </w:r>
            <w:r>
              <w:rPr>
                <w:rFonts w:hint="eastAsia"/>
                <w:color w:val="auto"/>
              </w:rPr>
              <w:t>租用昆明力线电缆制造有限公司的部分生产厂房</w:t>
            </w:r>
            <w:r>
              <w:rPr>
                <w:rFonts w:hint="default" w:ascii="Times New Roman" w:hAnsi="Times New Roman" w:cs="Times New Roman"/>
                <w:color w:val="auto"/>
              </w:rPr>
              <w:t>进行建设，用地为工业用地</w:t>
            </w:r>
            <w:r>
              <w:rPr>
                <w:rFonts w:hint="eastAsia"/>
                <w:color w:val="auto"/>
              </w:rPr>
              <w:t>，生产厂房</w:t>
            </w:r>
            <w:r>
              <w:rPr>
                <w:rFonts w:hint="eastAsia"/>
                <w:color w:val="auto"/>
                <w:lang w:eastAsia="zh-CN"/>
              </w:rPr>
              <w:t>及办公</w:t>
            </w:r>
            <w:r>
              <w:rPr>
                <w:color w:val="auto"/>
              </w:rPr>
              <w:t>辅助设施</w:t>
            </w:r>
            <w:r>
              <w:rPr>
                <w:rFonts w:hint="eastAsia"/>
                <w:color w:val="auto"/>
              </w:rPr>
              <w:t>依托昆明力线电缆</w:t>
            </w:r>
            <w:r>
              <w:rPr>
                <w:color w:val="auto"/>
              </w:rPr>
              <w:t>公司</w:t>
            </w:r>
            <w:r>
              <w:rPr>
                <w:rFonts w:hint="eastAsia"/>
                <w:color w:val="auto"/>
                <w:lang w:eastAsia="zh-CN"/>
              </w:rPr>
              <w:t>已建成的厂房及综合办公楼</w:t>
            </w:r>
            <w:r>
              <w:rPr>
                <w:rFonts w:hint="eastAsia"/>
                <w:color w:val="auto"/>
              </w:rPr>
              <w:t>，</w:t>
            </w:r>
            <w:r>
              <w:rPr>
                <w:rFonts w:hint="eastAsia"/>
                <w:color w:val="auto"/>
                <w:lang w:eastAsia="zh-CN"/>
              </w:rPr>
              <w:t>项目不进行新建厂房等建筑物，建设工程主要为设备的搬运及安装。</w:t>
            </w:r>
            <w:r>
              <w:rPr>
                <w:rFonts w:hint="default" w:ascii="Times New Roman" w:hAnsi="Times New Roman" w:cs="Times New Roman"/>
                <w:color w:val="auto"/>
              </w:rPr>
              <w:t>区域内无生态环境敏感目标，无珍稀动植物分布，项目建设对区域生物群落的物种多样性及生物减少等方面影响较小。</w:t>
            </w:r>
          </w:p>
          <w:p>
            <w:pPr>
              <w:ind w:firstLine="480"/>
              <w:contextualSpacing/>
              <w:rPr>
                <w:color w:val="auto"/>
              </w:rPr>
            </w:pPr>
            <w:r>
              <w:rPr>
                <w:rFonts w:hint="eastAsia"/>
                <w:color w:val="auto"/>
              </w:rPr>
              <w:t>运营期有“三废”产生，其排放量都不大，且针对每种污染物都有相应的治理方案，使其能做到达标外排，对环境的负面影响是微弱的。</w:t>
            </w:r>
          </w:p>
          <w:p>
            <w:pPr>
              <w:ind w:firstLine="480"/>
              <w:contextualSpacing/>
              <w:rPr>
                <w:snapToGrid/>
                <w:color w:val="auto"/>
                <w:spacing w:val="11"/>
                <w:kern w:val="2"/>
                <w:sz w:val="21"/>
                <w:szCs w:val="21"/>
              </w:rPr>
            </w:pPr>
            <w:r>
              <w:rPr>
                <w:rFonts w:hint="eastAsia"/>
                <w:color w:val="auto"/>
              </w:rPr>
              <w:t>综上所述，项目在施工期对生态环境有一定负面影响，但随施工期的结束而结束；运行期不会对周围生态环境造成大的不良影响。</w:t>
            </w:r>
          </w:p>
        </w:tc>
      </w:tr>
    </w:tbl>
    <w:p>
      <w:pPr>
        <w:pStyle w:val="60"/>
        <w:ind w:firstLine="0" w:firstLineChars="0"/>
        <w:rPr>
          <w:color w:val="auto"/>
        </w:rPr>
      </w:pPr>
    </w:p>
    <w:p>
      <w:pPr>
        <w:pStyle w:val="4"/>
        <w:ind w:firstLine="0" w:firstLineChars="0"/>
        <w:contextualSpacing/>
        <w:jc w:val="both"/>
        <w:rPr>
          <w:rFonts w:hint="default" w:ascii="Times New Roman" w:hAnsi="Times New Roman" w:eastAsia="宋体" w:cs="Times New Roman"/>
          <w:b/>
          <w:color w:val="auto"/>
          <w:sz w:val="28"/>
          <w:szCs w:val="28"/>
        </w:rPr>
      </w:pPr>
      <w:bookmarkStart w:id="16" w:name="_Toc18500"/>
      <w:bookmarkStart w:id="17" w:name="_Toc9027"/>
      <w:r>
        <w:rPr>
          <w:rFonts w:hint="default" w:ascii="Times New Roman" w:hAnsi="Times New Roman" w:eastAsia="宋体" w:cs="Times New Roman"/>
          <w:b/>
          <w:color w:val="auto"/>
          <w:sz w:val="28"/>
          <w:szCs w:val="28"/>
        </w:rPr>
        <w:t>七、环境影响分析</w:t>
      </w:r>
      <w:bookmarkEnd w:id="16"/>
      <w:bookmarkEnd w:id="17"/>
    </w:p>
    <w:tbl>
      <w:tblPr>
        <w:tblStyle w:val="36"/>
        <w:tblW w:w="50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77" w:hRule="atLeast"/>
          <w:jc w:val="center"/>
        </w:trPr>
        <w:tc>
          <w:tcPr>
            <w:tcW w:w="5000" w:type="pct"/>
          </w:tcPr>
          <w:p>
            <w:pPr>
              <w:ind w:firstLine="0" w:firstLineChars="0"/>
              <w:contextualSpacing/>
              <w:rPr>
                <w:b/>
                <w:bCs/>
                <w:color w:val="auto"/>
                <w:szCs w:val="30"/>
              </w:rPr>
            </w:pPr>
            <w:r>
              <w:rPr>
                <w:b/>
                <w:bCs/>
                <w:color w:val="auto"/>
                <w:szCs w:val="30"/>
              </w:rPr>
              <w:t>一、产业政策符合性分析</w:t>
            </w:r>
          </w:p>
          <w:p>
            <w:pPr>
              <w:ind w:firstLine="464"/>
              <w:rPr>
                <w:color w:val="auto"/>
              </w:rPr>
            </w:pPr>
            <w:r>
              <w:rPr>
                <w:color w:val="auto"/>
                <w:spacing w:val="-4"/>
              </w:rPr>
              <w:t>本项目以</w:t>
            </w:r>
            <w:r>
              <w:rPr>
                <w:rFonts w:hint="eastAsia"/>
                <w:color w:val="auto"/>
              </w:rPr>
              <w:t>通讯设备机箱机体</w:t>
            </w:r>
            <w:r>
              <w:rPr>
                <w:color w:val="auto"/>
                <w:spacing w:val="-4"/>
              </w:rPr>
              <w:t>生产</w:t>
            </w:r>
            <w:r>
              <w:rPr>
                <w:rFonts w:hint="eastAsia"/>
                <w:color w:val="auto"/>
                <w:spacing w:val="-4"/>
              </w:rPr>
              <w:t>线</w:t>
            </w:r>
            <w:r>
              <w:rPr>
                <w:color w:val="auto"/>
                <w:spacing w:val="-4"/>
              </w:rPr>
              <w:t>建设为主，属于</w:t>
            </w:r>
            <w:r>
              <w:rPr>
                <w:rFonts w:hint="eastAsia"/>
                <w:color w:val="auto"/>
              </w:rPr>
              <w:t>金属制品业</w:t>
            </w:r>
            <w:r>
              <w:rPr>
                <w:color w:val="auto"/>
                <w:spacing w:val="-4"/>
              </w:rPr>
              <w:t>，根据（GBT 4754—2017）《国民经济行业分类》，本项目为</w:t>
            </w:r>
            <w:r>
              <w:rPr>
                <w:rFonts w:hint="eastAsia"/>
                <w:color w:val="auto"/>
              </w:rPr>
              <w:t>金属结构制造（C3311）</w:t>
            </w:r>
            <w:r>
              <w:rPr>
                <w:color w:val="auto"/>
              </w:rPr>
              <w:t>。</w:t>
            </w:r>
          </w:p>
          <w:p>
            <w:pPr>
              <w:ind w:firstLine="464"/>
              <w:rPr>
                <w:color w:val="auto"/>
              </w:rPr>
            </w:pPr>
            <w:r>
              <w:rPr>
                <w:color w:val="auto"/>
                <w:spacing w:val="-4"/>
              </w:rPr>
              <w:t>根据《产业结构调整指导目录(201</w:t>
            </w:r>
            <w:r>
              <w:rPr>
                <w:rFonts w:hint="eastAsia"/>
                <w:color w:val="auto"/>
                <w:spacing w:val="-4"/>
              </w:rPr>
              <w:t>9本</w:t>
            </w:r>
            <w:r>
              <w:rPr>
                <w:color w:val="auto"/>
                <w:spacing w:val="-4"/>
              </w:rPr>
              <w:t>)》，</w:t>
            </w:r>
            <w:r>
              <w:rPr>
                <w:color w:val="auto"/>
              </w:rPr>
              <w:t>项目不属于限制性</w:t>
            </w:r>
            <w:r>
              <w:rPr>
                <w:rFonts w:hint="eastAsia"/>
                <w:color w:val="auto"/>
              </w:rPr>
              <w:t>和淘汰类</w:t>
            </w:r>
            <w:r>
              <w:rPr>
                <w:color w:val="auto"/>
              </w:rPr>
              <w:t>目录之列，</w:t>
            </w:r>
            <w:r>
              <w:rPr>
                <w:rFonts w:hint="eastAsia"/>
                <w:color w:val="auto"/>
              </w:rPr>
              <w:t>据国务院《促进产业结构调整暂行规定》（国发[2005]40号）第十三条“不属于鼓励类、限制类和淘汰类，且符合国家有关法律、法规和政策规定的，为允许类”，项目属于一般允许类，符合国家产业政策要求。</w:t>
            </w:r>
          </w:p>
          <w:p>
            <w:pPr>
              <w:ind w:firstLine="0" w:firstLineChars="0"/>
              <w:rPr>
                <w:b/>
                <w:bCs/>
                <w:color w:val="auto"/>
              </w:rPr>
            </w:pPr>
            <w:r>
              <w:rPr>
                <w:b/>
                <w:bCs/>
                <w:color w:val="auto"/>
              </w:rPr>
              <w:t>二、项目选址、规划合理性分析</w:t>
            </w:r>
          </w:p>
          <w:p>
            <w:pPr>
              <w:ind w:firstLine="466"/>
              <w:contextualSpacing/>
              <w:rPr>
                <w:b/>
                <w:color w:val="auto"/>
                <w:spacing w:val="-4"/>
              </w:rPr>
            </w:pPr>
            <w:r>
              <w:rPr>
                <w:rFonts w:hint="eastAsia"/>
                <w:b/>
                <w:color w:val="auto"/>
                <w:spacing w:val="-4"/>
              </w:rPr>
              <w:t>1、项目与园区规划相符性分析</w:t>
            </w:r>
          </w:p>
          <w:p>
            <w:pPr>
              <w:ind w:firstLine="480"/>
              <w:rPr>
                <w:color w:val="auto"/>
              </w:rPr>
            </w:pPr>
            <w:r>
              <w:rPr>
                <w:color w:val="auto"/>
              </w:rPr>
              <w:t>本项目位于富民工业园区大营五金建材园，属于富民工业园区“大营—茨</w:t>
            </w:r>
            <w:r>
              <w:rPr>
                <w:rFonts w:hint="eastAsia"/>
                <w:color w:val="auto"/>
              </w:rPr>
              <w:t>塘片区”，根据《富民工业园区总体规划修编</w:t>
            </w:r>
            <w:r>
              <w:rPr>
                <w:color w:val="auto"/>
              </w:rPr>
              <w:t>（</w:t>
            </w:r>
            <w:r>
              <w:rPr>
                <w:rFonts w:hint="eastAsia"/>
                <w:color w:val="auto"/>
              </w:rPr>
              <w:t>2015~2030</w:t>
            </w:r>
            <w:r>
              <w:rPr>
                <w:color w:val="auto"/>
              </w:rPr>
              <w:t>）</w:t>
            </w:r>
            <w:r>
              <w:rPr>
                <w:rFonts w:hint="eastAsia"/>
                <w:color w:val="auto"/>
              </w:rPr>
              <w:t>》，“大营—茨塘</w:t>
            </w:r>
            <w:r>
              <w:rPr>
                <w:color w:val="auto"/>
              </w:rPr>
              <w:t>片区”是以半导体为主导的新材料产业、食品加工、五金建材产业片区，项目为</w:t>
            </w:r>
            <w:r>
              <w:rPr>
                <w:rFonts w:hint="eastAsia"/>
                <w:color w:val="auto"/>
              </w:rPr>
              <w:t>金属制品</w:t>
            </w:r>
            <w:r>
              <w:rPr>
                <w:color w:val="auto"/>
              </w:rPr>
              <w:t>制造，与园区规划产业定位不冲突。</w:t>
            </w:r>
          </w:p>
          <w:p>
            <w:pPr>
              <w:ind w:firstLine="480"/>
              <w:rPr>
                <w:color w:val="auto"/>
              </w:rPr>
            </w:pPr>
            <w:r>
              <w:rPr>
                <w:color w:val="auto"/>
              </w:rPr>
              <w:t>根据《富民工业园区用地规划》，项目占地属于二类工业用地，项目属于</w:t>
            </w:r>
            <w:r>
              <w:rPr>
                <w:rFonts w:hint="eastAsia"/>
                <w:color w:val="auto"/>
              </w:rPr>
              <w:t>金属制品</w:t>
            </w:r>
            <w:r>
              <w:rPr>
                <w:color w:val="auto"/>
              </w:rPr>
              <w:t>业，入驻符合富民工业园区用地规划，项目已取得富民县</w:t>
            </w:r>
            <w:r>
              <w:rPr>
                <w:rFonts w:hint="eastAsia"/>
                <w:color w:val="auto"/>
              </w:rPr>
              <w:t>发展和改革局核发的“投资项目备案证”</w:t>
            </w:r>
            <w:r>
              <w:rPr>
                <w:color w:val="auto"/>
              </w:rPr>
              <w:t>（</w:t>
            </w:r>
            <w:r>
              <w:rPr>
                <w:rFonts w:hint="eastAsia"/>
                <w:color w:val="auto"/>
              </w:rPr>
              <w:t>备案号：2101-530124-04-01-516299</w:t>
            </w:r>
            <w:r>
              <w:rPr>
                <w:color w:val="auto"/>
              </w:rPr>
              <w:t>）（详见附件</w:t>
            </w:r>
            <w:r>
              <w:rPr>
                <w:rFonts w:hint="eastAsia"/>
                <w:color w:val="auto"/>
              </w:rPr>
              <w:t>4</w:t>
            </w:r>
            <w:r>
              <w:rPr>
                <w:color w:val="auto"/>
              </w:rPr>
              <w:t>），且项目已获得入园证明（见附件</w:t>
            </w:r>
            <w:r>
              <w:rPr>
                <w:rFonts w:hint="eastAsia"/>
                <w:color w:val="auto"/>
              </w:rPr>
              <w:t>3</w:t>
            </w:r>
            <w:r>
              <w:rPr>
                <w:color w:val="auto"/>
              </w:rPr>
              <w:t>）。项目符合国家及云南省相关产业政策，产业方向符合工业园区</w:t>
            </w:r>
            <w:r>
              <w:rPr>
                <w:rFonts w:hint="eastAsia"/>
                <w:color w:val="auto"/>
              </w:rPr>
              <w:t>总体</w:t>
            </w:r>
            <w:r>
              <w:rPr>
                <w:color w:val="auto"/>
              </w:rPr>
              <w:t>规划。</w:t>
            </w:r>
          </w:p>
          <w:p>
            <w:pPr>
              <w:ind w:firstLine="466"/>
              <w:contextualSpacing/>
              <w:rPr>
                <w:b/>
                <w:color w:val="auto"/>
                <w:spacing w:val="-4"/>
              </w:rPr>
            </w:pPr>
            <w:r>
              <w:rPr>
                <w:rFonts w:hint="eastAsia"/>
                <w:b/>
                <w:color w:val="auto"/>
                <w:spacing w:val="-4"/>
              </w:rPr>
              <w:t>2</w:t>
            </w:r>
            <w:r>
              <w:rPr>
                <w:b/>
                <w:color w:val="auto"/>
                <w:spacing w:val="-4"/>
              </w:rPr>
              <w:t>、</w:t>
            </w:r>
            <w:r>
              <w:rPr>
                <w:rFonts w:hint="eastAsia"/>
                <w:b/>
                <w:color w:val="auto"/>
                <w:spacing w:val="-4"/>
              </w:rPr>
              <w:t>项目与富民工业园区规划的符合性分</w:t>
            </w:r>
            <w:r>
              <w:rPr>
                <w:b/>
                <w:color w:val="auto"/>
                <w:spacing w:val="-4"/>
              </w:rPr>
              <w:t>析</w:t>
            </w:r>
          </w:p>
          <w:p>
            <w:pPr>
              <w:keepNext/>
              <w:keepLines/>
              <w:ind w:firstLine="480"/>
              <w:rPr>
                <w:color w:val="auto"/>
              </w:rPr>
            </w:pPr>
            <w:r>
              <w:rPr>
                <w:rFonts w:hint="eastAsia"/>
                <w:color w:val="auto"/>
              </w:rPr>
              <w:t>根据与《富民工业园区总体规划修编（2015～2030）》总体规划图，本项目位于位于大营—茨塘片区的茨塘组团，项目与《富民工业园区总体规划修编（2015～2030）环境影响报告书》及审查意见的相符性分析见</w:t>
            </w:r>
            <w:r>
              <w:rPr>
                <w:color w:val="auto"/>
              </w:rPr>
              <w:t>表7-1。</w:t>
            </w:r>
          </w:p>
          <w:p>
            <w:pPr>
              <w:pStyle w:val="48"/>
              <w:keepNext/>
              <w:keepLines/>
              <w:ind w:firstLine="422"/>
              <w:rPr>
                <w:color w:val="auto"/>
              </w:rPr>
            </w:pPr>
            <w:r>
              <w:rPr>
                <w:color w:val="auto"/>
              </w:rPr>
              <w:t>表7-1项目与</w:t>
            </w:r>
            <w:r>
              <w:rPr>
                <w:rFonts w:hint="eastAsia"/>
                <w:color w:val="auto"/>
              </w:rPr>
              <w:t>园区规划环评及审查意见相符性分析</w:t>
            </w:r>
          </w:p>
          <w:tbl>
            <w:tblPr>
              <w:tblStyle w:val="36"/>
              <w:tblW w:w="8359" w:type="dxa"/>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1"/>
              <w:gridCol w:w="3968"/>
              <w:gridCol w:w="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2225" w:type="pct"/>
                  <w:vAlign w:val="center"/>
                </w:tcPr>
                <w:p>
                  <w:pPr>
                    <w:pStyle w:val="50"/>
                    <w:keepNext/>
                    <w:keepLines/>
                    <w:rPr>
                      <w:color w:val="auto"/>
                    </w:rPr>
                  </w:pPr>
                  <w:r>
                    <w:rPr>
                      <w:color w:val="auto"/>
                    </w:rPr>
                    <w:t>富民工业园区相关入园要求</w:t>
                  </w:r>
                </w:p>
              </w:tc>
              <w:tc>
                <w:tcPr>
                  <w:tcW w:w="2373" w:type="pct"/>
                  <w:vAlign w:val="center"/>
                </w:tcPr>
                <w:p>
                  <w:pPr>
                    <w:pStyle w:val="50"/>
                    <w:keepNext/>
                    <w:keepLines/>
                    <w:rPr>
                      <w:color w:val="auto"/>
                    </w:rPr>
                  </w:pPr>
                  <w:r>
                    <w:rPr>
                      <w:color w:val="auto"/>
                    </w:rPr>
                    <w:t>本项目情况</w:t>
                  </w:r>
                </w:p>
              </w:tc>
              <w:tc>
                <w:tcPr>
                  <w:tcW w:w="400" w:type="pct"/>
                  <w:vAlign w:val="center"/>
                </w:tcPr>
                <w:p>
                  <w:pPr>
                    <w:pStyle w:val="50"/>
                    <w:keepNext/>
                    <w:keepLines/>
                    <w:rPr>
                      <w:color w:val="auto"/>
                    </w:rPr>
                  </w:pPr>
                  <w:r>
                    <w:rPr>
                      <w:rFonts w:hint="eastAsia"/>
                      <w:color w:val="auto"/>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2225" w:type="pct"/>
                  <w:vAlign w:val="center"/>
                </w:tcPr>
                <w:p>
                  <w:pPr>
                    <w:pStyle w:val="50"/>
                    <w:keepNext/>
                    <w:keepLines/>
                    <w:jc w:val="both"/>
                    <w:rPr>
                      <w:color w:val="auto"/>
                    </w:rPr>
                  </w:pPr>
                </w:p>
                <w:p>
                  <w:pPr>
                    <w:pStyle w:val="50"/>
                    <w:keepNext/>
                    <w:keepLines/>
                    <w:jc w:val="both"/>
                    <w:rPr>
                      <w:color w:val="auto"/>
                    </w:rPr>
                  </w:pPr>
                  <w:r>
                    <w:rPr>
                      <w:color w:val="auto"/>
                    </w:rPr>
                    <w:t>1、禁止国家及云南省产业政策中明令淘汰或限制的产业入园。</w:t>
                  </w:r>
                </w:p>
              </w:tc>
              <w:tc>
                <w:tcPr>
                  <w:tcW w:w="2373" w:type="pct"/>
                  <w:vAlign w:val="center"/>
                </w:tcPr>
                <w:p>
                  <w:pPr>
                    <w:pStyle w:val="50"/>
                    <w:keepNext/>
                    <w:keepLines/>
                    <w:jc w:val="both"/>
                    <w:rPr>
                      <w:color w:val="auto"/>
                    </w:rPr>
                  </w:pPr>
                  <w:r>
                    <w:rPr>
                      <w:color w:val="auto"/>
                    </w:rPr>
                    <w:t>根据《产业结构调整指导目录（2019年本）》， 本项目不属于淘汰类或限制类，为允许类，项目已取得富民县发展和改革局核发的“投资项目备案证”及入园证，项目建设符合国家及地方的产业政策。</w:t>
                  </w:r>
                </w:p>
              </w:tc>
              <w:tc>
                <w:tcPr>
                  <w:tcW w:w="400" w:type="pct"/>
                  <w:vAlign w:val="center"/>
                </w:tcPr>
                <w:p>
                  <w:pPr>
                    <w:pStyle w:val="50"/>
                    <w:keepNext/>
                    <w:keepLines/>
                    <w:rPr>
                      <w:color w:val="auto"/>
                    </w:rPr>
                  </w:pPr>
                </w:p>
                <w:p>
                  <w:pPr>
                    <w:pStyle w:val="50"/>
                    <w:keepNext/>
                    <w:keepLines/>
                    <w:rPr>
                      <w:color w:val="auto"/>
                    </w:rPr>
                  </w:pPr>
                </w:p>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225" w:type="pct"/>
                  <w:vAlign w:val="center"/>
                </w:tcPr>
                <w:p>
                  <w:pPr>
                    <w:pStyle w:val="50"/>
                    <w:keepNext/>
                    <w:keepLines/>
                    <w:jc w:val="both"/>
                    <w:rPr>
                      <w:color w:val="auto"/>
                    </w:rPr>
                  </w:pPr>
                  <w:r>
                    <w:rPr>
                      <w:color w:val="auto"/>
                    </w:rPr>
                    <w:t>2、禁止不符合《富民工业园区总体规划修编（2015-2030 年）》中规划产业的项目入园。</w:t>
                  </w:r>
                </w:p>
              </w:tc>
              <w:tc>
                <w:tcPr>
                  <w:tcW w:w="2373" w:type="pct"/>
                  <w:vAlign w:val="center"/>
                </w:tcPr>
                <w:p>
                  <w:pPr>
                    <w:pStyle w:val="50"/>
                    <w:keepNext/>
                    <w:keepLines/>
                    <w:jc w:val="both"/>
                    <w:rPr>
                      <w:color w:val="auto"/>
                    </w:rPr>
                  </w:pPr>
                  <w:r>
                    <w:rPr>
                      <w:color w:val="auto"/>
                    </w:rPr>
                    <w:t>大营-茨塘坡片区规划以半导体为主的新材料产业、食品加工及五金建材产业；本项目为</w:t>
                  </w:r>
                  <w:r>
                    <w:rPr>
                      <w:rFonts w:hint="eastAsia"/>
                      <w:color w:val="auto"/>
                    </w:rPr>
                    <w:t>金属制品制造</w:t>
                  </w:r>
                  <w:r>
                    <w:rPr>
                      <w:color w:val="auto"/>
                    </w:rPr>
                    <w:t>，与园区规划产业不冲突。</w:t>
                  </w:r>
                </w:p>
              </w:tc>
              <w:tc>
                <w:tcPr>
                  <w:tcW w:w="400" w:type="pct"/>
                  <w:vAlign w:val="center"/>
                </w:tcPr>
                <w:p>
                  <w:pPr>
                    <w:pStyle w:val="50"/>
                    <w:keepNext/>
                    <w:keepLines/>
                    <w:rPr>
                      <w:color w:val="auto"/>
                    </w:rPr>
                  </w:pPr>
                  <w:r>
                    <w:rPr>
                      <w:color w:val="auto"/>
                    </w:rPr>
                    <w:t>不冲突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2225" w:type="pct"/>
                  <w:vAlign w:val="center"/>
                </w:tcPr>
                <w:p>
                  <w:pPr>
                    <w:pStyle w:val="50"/>
                    <w:keepNext/>
                    <w:keepLines/>
                    <w:jc w:val="both"/>
                    <w:rPr>
                      <w:color w:val="auto"/>
                    </w:rPr>
                  </w:pPr>
                  <w:r>
                    <w:rPr>
                      <w:color w:val="auto"/>
                    </w:rPr>
                    <w:t>3、禁止未满足区域总量控制要求的项目入园；</w:t>
                  </w:r>
                </w:p>
              </w:tc>
              <w:tc>
                <w:tcPr>
                  <w:tcW w:w="2373" w:type="pct"/>
                  <w:vAlign w:val="center"/>
                </w:tcPr>
                <w:p>
                  <w:pPr>
                    <w:pStyle w:val="50"/>
                    <w:keepNext/>
                    <w:keepLines/>
                    <w:jc w:val="both"/>
                    <w:rPr>
                      <w:color w:val="auto"/>
                    </w:rPr>
                  </w:pPr>
                  <w:r>
                    <w:rPr>
                      <w:color w:val="auto"/>
                    </w:rPr>
                    <w:t>本项目不涉及</w:t>
                  </w:r>
                  <w:r>
                    <w:rPr>
                      <w:rFonts w:hint="eastAsia"/>
                      <w:color w:val="auto"/>
                    </w:rPr>
                    <w:t>生产</w:t>
                  </w:r>
                  <w:r>
                    <w:rPr>
                      <w:color w:val="auto"/>
                    </w:rPr>
                    <w:t>废水</w:t>
                  </w:r>
                  <w:r>
                    <w:rPr>
                      <w:rFonts w:hint="eastAsia"/>
                      <w:color w:val="auto"/>
                      <w:lang w:eastAsia="zh-CN"/>
                    </w:rPr>
                    <w:t>，</w:t>
                  </w:r>
                  <w:r>
                    <w:rPr>
                      <w:rFonts w:hint="eastAsia"/>
                      <w:color w:val="auto"/>
                    </w:rPr>
                    <w:t>冲厕废水依托昆明力线电缆制造有限公司已建设的化粪池及一体化污水处理设备处理达标后回用于绿化及道路清扫，不外排</w:t>
                  </w:r>
                  <w:r>
                    <w:rPr>
                      <w:color w:val="auto"/>
                    </w:rPr>
                    <w:t>。项目产生废气主要为粉尘，均呈无组织排放，对周围环境影响小；项目固废处置率为 100%。</w:t>
                  </w:r>
                </w:p>
              </w:tc>
              <w:tc>
                <w:tcPr>
                  <w:tcW w:w="400" w:type="pct"/>
                  <w:vAlign w:val="center"/>
                </w:tcPr>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225" w:type="pct"/>
                  <w:vAlign w:val="center"/>
                </w:tcPr>
                <w:p>
                  <w:pPr>
                    <w:pStyle w:val="50"/>
                    <w:keepNext/>
                    <w:keepLines/>
                    <w:jc w:val="both"/>
                    <w:rPr>
                      <w:color w:val="auto"/>
                    </w:rPr>
                  </w:pPr>
                  <w:r>
                    <w:rPr>
                      <w:color w:val="auto"/>
                    </w:rPr>
                    <w:t>4、禁止高能耗、高污染的企业入园；</w:t>
                  </w:r>
                </w:p>
              </w:tc>
              <w:tc>
                <w:tcPr>
                  <w:tcW w:w="2373" w:type="pct"/>
                  <w:vAlign w:val="center"/>
                </w:tcPr>
                <w:p>
                  <w:pPr>
                    <w:pStyle w:val="50"/>
                    <w:keepNext/>
                    <w:keepLines/>
                    <w:jc w:val="both"/>
                    <w:rPr>
                      <w:color w:val="auto"/>
                    </w:rPr>
                  </w:pPr>
                  <w:r>
                    <w:rPr>
                      <w:color w:val="auto"/>
                    </w:rPr>
                    <w:t>项目工艺简单，设备较少，产生污染物主要为</w:t>
                  </w:r>
                  <w:r>
                    <w:rPr>
                      <w:rFonts w:hint="eastAsia"/>
                      <w:color w:val="auto"/>
                    </w:rPr>
                    <w:t>粉尘及</w:t>
                  </w:r>
                  <w:r>
                    <w:rPr>
                      <w:rFonts w:hint="eastAsia"/>
                      <w:color w:val="auto"/>
                      <w:lang w:val="en-US" w:eastAsia="zh-CN"/>
                    </w:rPr>
                    <w:t>VOCs（以非甲烷总烃计）</w:t>
                  </w:r>
                  <w:r>
                    <w:rPr>
                      <w:color w:val="auto"/>
                    </w:rPr>
                    <w:t>，在采取相应的环保措施后，排放量小，对周围环境影响小。</w:t>
                  </w:r>
                </w:p>
              </w:tc>
              <w:tc>
                <w:tcPr>
                  <w:tcW w:w="400" w:type="pct"/>
                  <w:vAlign w:val="center"/>
                </w:tcPr>
                <w:p>
                  <w:pPr>
                    <w:pStyle w:val="50"/>
                    <w:keepNext/>
                    <w:keepLines/>
                    <w:rPr>
                      <w:color w:val="auto"/>
                    </w:rPr>
                  </w:pPr>
                </w:p>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2225" w:type="pct"/>
                  <w:vAlign w:val="center"/>
                </w:tcPr>
                <w:p>
                  <w:pPr>
                    <w:pStyle w:val="50"/>
                    <w:keepNext/>
                    <w:keepLines/>
                    <w:jc w:val="both"/>
                    <w:rPr>
                      <w:color w:val="auto"/>
                    </w:rPr>
                  </w:pPr>
                  <w:r>
                    <w:rPr>
                      <w:color w:val="auto"/>
                    </w:rPr>
                    <w:t>5、在水环境质量未达标前应当推行“污染物超量削减替代”制度，排放COD、氨氮等主要污染物的新建项目，实行区域内现役源1.5~2倍的削减量替代。</w:t>
                  </w:r>
                </w:p>
              </w:tc>
              <w:tc>
                <w:tcPr>
                  <w:tcW w:w="2373" w:type="pct"/>
                  <w:vAlign w:val="center"/>
                </w:tcPr>
                <w:p>
                  <w:pPr>
                    <w:pStyle w:val="50"/>
                    <w:keepNext/>
                    <w:keepLines/>
                    <w:jc w:val="both"/>
                    <w:rPr>
                      <w:color w:val="auto"/>
                    </w:rPr>
                  </w:pPr>
                  <w:r>
                    <w:rPr>
                      <w:rFonts w:hint="eastAsia"/>
                      <w:color w:val="auto"/>
                    </w:rPr>
                    <w:t>项目不设置食堂和住宿，</w:t>
                  </w:r>
                  <w:r>
                    <w:rPr>
                      <w:color w:val="auto"/>
                    </w:rPr>
                    <w:t>项目不涉及污水</w:t>
                  </w:r>
                  <w:r>
                    <w:rPr>
                      <w:rFonts w:hint="eastAsia"/>
                      <w:color w:val="auto"/>
                    </w:rPr>
                    <w:t>外排。</w:t>
                  </w:r>
                </w:p>
              </w:tc>
              <w:tc>
                <w:tcPr>
                  <w:tcW w:w="400" w:type="pct"/>
                  <w:vAlign w:val="center"/>
                </w:tcPr>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2225" w:type="pct"/>
                  <w:vAlign w:val="center"/>
                </w:tcPr>
                <w:p>
                  <w:pPr>
                    <w:pStyle w:val="50"/>
                    <w:keepNext/>
                    <w:keepLines/>
                    <w:jc w:val="both"/>
                    <w:rPr>
                      <w:color w:val="auto"/>
                    </w:rPr>
                  </w:pPr>
                  <w:r>
                    <w:rPr>
                      <w:rFonts w:hint="eastAsia"/>
                      <w:color w:val="auto"/>
                    </w:rPr>
                    <w:t>6</w:t>
                  </w:r>
                  <w:r>
                    <w:rPr>
                      <w:color w:val="auto"/>
                    </w:rPr>
                    <w:t>、入园企业必须建设生产废水处理和回用设施，生产废水循环利用必须达到各行业的标准要求，工业园区生产废水循环利用率应不</w:t>
                  </w:r>
                  <w:r>
                    <w:rPr>
                      <w:rFonts w:hint="eastAsia"/>
                      <w:color w:val="auto"/>
                    </w:rPr>
                    <w:t>低</w:t>
                  </w:r>
                  <w:r>
                    <w:rPr>
                      <w:color w:val="auto"/>
                    </w:rPr>
                    <w:t>于80%。</w:t>
                  </w:r>
                </w:p>
              </w:tc>
              <w:tc>
                <w:tcPr>
                  <w:tcW w:w="2373" w:type="pct"/>
                  <w:vAlign w:val="center"/>
                </w:tcPr>
                <w:p>
                  <w:pPr>
                    <w:pStyle w:val="50"/>
                    <w:keepNext/>
                    <w:keepLines/>
                    <w:jc w:val="both"/>
                    <w:rPr>
                      <w:color w:val="auto"/>
                    </w:rPr>
                  </w:pPr>
                  <w:r>
                    <w:rPr>
                      <w:rFonts w:hint="eastAsia"/>
                      <w:color w:val="auto"/>
                    </w:rPr>
                    <w:t>项目不设置食堂和住宿，</w:t>
                  </w:r>
                  <w:r>
                    <w:rPr>
                      <w:color w:val="auto"/>
                    </w:rPr>
                    <w:t>项目不涉及污水</w:t>
                  </w:r>
                  <w:r>
                    <w:rPr>
                      <w:rFonts w:hint="eastAsia"/>
                      <w:color w:val="auto"/>
                    </w:rPr>
                    <w:t>外排。</w:t>
                  </w:r>
                </w:p>
              </w:tc>
              <w:tc>
                <w:tcPr>
                  <w:tcW w:w="400" w:type="pct"/>
                  <w:vAlign w:val="center"/>
                </w:tcPr>
                <w:p>
                  <w:pPr>
                    <w:pStyle w:val="50"/>
                    <w:keepNext/>
                    <w:keepLines/>
                    <w:rPr>
                      <w:color w:val="auto"/>
                    </w:rPr>
                  </w:pPr>
                </w:p>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2225" w:type="pct"/>
                  <w:vAlign w:val="center"/>
                </w:tcPr>
                <w:p>
                  <w:pPr>
                    <w:pStyle w:val="50"/>
                    <w:keepNext/>
                    <w:keepLines/>
                    <w:jc w:val="both"/>
                    <w:rPr>
                      <w:color w:val="auto"/>
                    </w:rPr>
                  </w:pPr>
                  <w:r>
                    <w:rPr>
                      <w:rFonts w:hint="eastAsia"/>
                      <w:color w:val="auto"/>
                    </w:rPr>
                    <w:t>7</w:t>
                  </w:r>
                  <w:r>
                    <w:rPr>
                      <w:color w:val="auto"/>
                    </w:rPr>
                    <w:t>、靠近县城、集镇的区域(白石岩-大白坡片区南部、大营-茨塘片区西部)，不宜引进高污染的工业企业，特别是大气污染物型企业。</w:t>
                  </w:r>
                </w:p>
              </w:tc>
              <w:tc>
                <w:tcPr>
                  <w:tcW w:w="2373" w:type="pct"/>
                  <w:vAlign w:val="center"/>
                </w:tcPr>
                <w:p>
                  <w:pPr>
                    <w:pStyle w:val="50"/>
                    <w:keepNext/>
                    <w:keepLines/>
                    <w:jc w:val="both"/>
                    <w:rPr>
                      <w:color w:val="auto"/>
                    </w:rPr>
                  </w:pPr>
                  <w:r>
                    <w:rPr>
                      <w:color w:val="auto"/>
                    </w:rPr>
                    <w:t>项目产生大气污染物主要为</w:t>
                  </w:r>
                  <w:r>
                    <w:rPr>
                      <w:rFonts w:hint="eastAsia"/>
                      <w:color w:val="auto"/>
                    </w:rPr>
                    <w:t>喷塑</w:t>
                  </w:r>
                  <w:r>
                    <w:rPr>
                      <w:color w:val="auto"/>
                    </w:rPr>
                    <w:t>粉尘</w:t>
                  </w:r>
                  <w:r>
                    <w:rPr>
                      <w:rFonts w:hint="eastAsia"/>
                      <w:color w:val="auto"/>
                    </w:rPr>
                    <w:t>及固化废气</w:t>
                  </w:r>
                  <w:r>
                    <w:rPr>
                      <w:color w:val="auto"/>
                    </w:rPr>
                    <w:t>等，</w:t>
                  </w:r>
                  <w:r>
                    <w:rPr>
                      <w:rFonts w:hint="eastAsia"/>
                      <w:color w:val="auto"/>
                    </w:rPr>
                    <w:t>粉尘</w:t>
                  </w:r>
                  <w:r>
                    <w:rPr>
                      <w:color w:val="auto"/>
                    </w:rPr>
                    <w:t>经</w:t>
                  </w:r>
                  <w:r>
                    <w:rPr>
                      <w:rFonts w:hint="eastAsia"/>
                      <w:color w:val="auto"/>
                    </w:rPr>
                    <w:t>二级滤芯脉冲</w:t>
                  </w:r>
                  <w:r>
                    <w:rPr>
                      <w:color w:val="auto"/>
                    </w:rPr>
                    <w:t>除尘设备</w:t>
                  </w:r>
                  <w:r>
                    <w:rPr>
                      <w:rFonts w:hint="eastAsia"/>
                      <w:color w:val="auto"/>
                    </w:rPr>
                    <w:t>，固化废气经</w:t>
                  </w:r>
                  <w:r>
                    <w:rPr>
                      <w:rFonts w:hint="eastAsia"/>
                      <w:color w:val="auto"/>
                      <w:lang w:val="en-US" w:eastAsia="zh-CN"/>
                    </w:rPr>
                    <w:t>UV光氧+</w:t>
                  </w:r>
                  <w:r>
                    <w:rPr>
                      <w:rFonts w:hint="eastAsia"/>
                      <w:color w:val="auto"/>
                    </w:rPr>
                    <w:t>活性炭吸附设备</w:t>
                  </w:r>
                  <w:r>
                    <w:rPr>
                      <w:color w:val="auto"/>
                    </w:rPr>
                    <w:t>处理后</w:t>
                  </w:r>
                  <w:r>
                    <w:rPr>
                      <w:rFonts w:hint="eastAsia"/>
                      <w:color w:val="auto"/>
                    </w:rPr>
                    <w:t>经15m高排气筒排放</w:t>
                  </w:r>
                  <w:r>
                    <w:rPr>
                      <w:color w:val="auto"/>
                    </w:rPr>
                    <w:t>。项目产生的大气污染物均能得到有效处置。</w:t>
                  </w:r>
                </w:p>
              </w:tc>
              <w:tc>
                <w:tcPr>
                  <w:tcW w:w="400" w:type="pct"/>
                  <w:vAlign w:val="center"/>
                </w:tcPr>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2225" w:type="pct"/>
                  <w:vAlign w:val="center"/>
                </w:tcPr>
                <w:p>
                  <w:pPr>
                    <w:pStyle w:val="50"/>
                    <w:keepNext/>
                    <w:keepLines/>
                    <w:jc w:val="both"/>
                    <w:rPr>
                      <w:color w:val="auto"/>
                    </w:rPr>
                  </w:pPr>
                  <w:r>
                    <w:rPr>
                      <w:rFonts w:hint="eastAsia"/>
                      <w:color w:val="auto"/>
                    </w:rPr>
                    <w:t>8</w:t>
                  </w:r>
                  <w:r>
                    <w:rPr>
                      <w:color w:val="auto"/>
                    </w:rPr>
                    <w:t>、新入驻企业应符合《昆明市河道管理条例》的相关规</w:t>
                  </w:r>
                </w:p>
              </w:tc>
              <w:tc>
                <w:tcPr>
                  <w:tcW w:w="2373" w:type="pct"/>
                  <w:vAlign w:val="center"/>
                </w:tcPr>
                <w:p>
                  <w:pPr>
                    <w:pStyle w:val="50"/>
                    <w:keepNext/>
                    <w:keepLines/>
                    <w:jc w:val="both"/>
                    <w:rPr>
                      <w:color w:val="auto"/>
                    </w:rPr>
                  </w:pPr>
                  <w:r>
                    <w:rPr>
                      <w:color w:val="auto"/>
                    </w:rPr>
                    <w:t>本项目不属于河道保护范围。</w:t>
                  </w:r>
                </w:p>
              </w:tc>
              <w:tc>
                <w:tcPr>
                  <w:tcW w:w="400" w:type="pct"/>
                  <w:vAlign w:val="center"/>
                </w:tcPr>
                <w:p>
                  <w:pPr>
                    <w:pStyle w:val="50"/>
                    <w:keepNext/>
                    <w:keepLines/>
                    <w:rPr>
                      <w:color w:val="auto"/>
                    </w:rPr>
                  </w:pPr>
                  <w:r>
                    <w:rPr>
                      <w:color w:val="auto"/>
                    </w:rPr>
                    <w:t>相符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225" w:type="pct"/>
                  <w:vAlign w:val="center"/>
                </w:tcPr>
                <w:p>
                  <w:pPr>
                    <w:pStyle w:val="50"/>
                    <w:keepNext/>
                    <w:keepLines/>
                    <w:jc w:val="both"/>
                    <w:rPr>
                      <w:color w:val="auto"/>
                    </w:rPr>
                  </w:pPr>
                  <w:r>
                    <w:rPr>
                      <w:rFonts w:hint="eastAsia" w:ascii="宋体"/>
                      <w:color w:val="auto"/>
                    </w:rPr>
                    <w:t>9入驻企业废水污染物含重金属、有毒、有害和难于生物降解的，需采取严格的污水处理措施。</w:t>
                  </w:r>
                </w:p>
              </w:tc>
              <w:tc>
                <w:tcPr>
                  <w:tcW w:w="2373" w:type="pct"/>
                  <w:vAlign w:val="center"/>
                </w:tcPr>
                <w:p>
                  <w:pPr>
                    <w:pStyle w:val="50"/>
                    <w:keepNext/>
                    <w:keepLines/>
                    <w:jc w:val="both"/>
                    <w:rPr>
                      <w:color w:val="auto"/>
                    </w:rPr>
                  </w:pPr>
                  <w:r>
                    <w:rPr>
                      <w:rFonts w:hint="eastAsia" w:ascii="宋体"/>
                      <w:color w:val="auto"/>
                    </w:rPr>
                    <w:t>本项目不涉及重金属使用及排放，不涉及有毒、有害物质生产、使用。</w:t>
                  </w:r>
                </w:p>
              </w:tc>
              <w:tc>
                <w:tcPr>
                  <w:tcW w:w="400" w:type="pct"/>
                  <w:vAlign w:val="center"/>
                </w:tcPr>
                <w:p>
                  <w:pPr>
                    <w:pStyle w:val="50"/>
                    <w:keepNext/>
                    <w:keepLines/>
                    <w:rPr>
                      <w:color w:val="auto"/>
                    </w:rPr>
                  </w:pPr>
                  <w:r>
                    <w:rPr>
                      <w:rFonts w:hint="eastAsia"/>
                      <w:color w:val="auto"/>
                    </w:rPr>
                    <w:t>相符</w:t>
                  </w:r>
                </w:p>
              </w:tc>
            </w:tr>
          </w:tbl>
          <w:p>
            <w:pPr>
              <w:ind w:firstLine="480"/>
              <w:contextualSpacing/>
              <w:rPr>
                <w:color w:val="auto"/>
              </w:rPr>
            </w:pPr>
            <w:r>
              <w:rPr>
                <w:color w:val="auto"/>
              </w:rPr>
              <w:t>项目生产的产品属于</w:t>
            </w:r>
            <w:r>
              <w:rPr>
                <w:rFonts w:hint="eastAsia"/>
                <w:color w:val="auto"/>
              </w:rPr>
              <w:t>金属制品制造</w:t>
            </w:r>
            <w:r>
              <w:rPr>
                <w:color w:val="auto"/>
              </w:rPr>
              <w:t>。项目主要污染物产排量较小，属于污染较小的项目。项目建成后各项目污染物可以达标排放，项目的建设不会改变区域环境功能区划，因此，项目符合工业园区规划环评的环保要求。</w:t>
            </w:r>
          </w:p>
          <w:p>
            <w:pPr>
              <w:ind w:firstLine="466"/>
              <w:contextualSpacing/>
              <w:rPr>
                <w:b/>
                <w:color w:val="auto"/>
                <w:spacing w:val="-4"/>
              </w:rPr>
            </w:pPr>
            <w:r>
              <w:rPr>
                <w:rFonts w:hint="eastAsia"/>
                <w:b/>
                <w:color w:val="auto"/>
                <w:spacing w:val="-4"/>
              </w:rPr>
              <w:t>3、</w:t>
            </w:r>
            <w:r>
              <w:rPr>
                <w:b/>
                <w:color w:val="auto"/>
                <w:spacing w:val="-4"/>
              </w:rPr>
              <w:t>与《“十三五”挥发性有机物污染防治工作方案》的符合性分析</w:t>
            </w:r>
          </w:p>
          <w:p>
            <w:pPr>
              <w:ind w:firstLine="480"/>
              <w:rPr>
                <w:color w:val="auto"/>
              </w:rPr>
            </w:pPr>
            <w:r>
              <w:rPr>
                <w:color w:val="auto"/>
              </w:rPr>
              <w:t>根据《“十三五”挥发性有机物污染防治工作方案》（环大气[2017]121 号）的要求：</w:t>
            </w:r>
          </w:p>
          <w:p>
            <w:pPr>
              <w:ind w:firstLine="480"/>
              <w:rPr>
                <w:color w:val="auto"/>
              </w:rPr>
            </w:pPr>
            <w:r>
              <w:rPr>
                <w:color w:val="auto"/>
              </w:rPr>
              <w:t>“严格建设项目环境准入”、“新建涉及VOCs排放的工业企业要入园区”、“新、改、扩建涉VOCs排放项目，应从源头加强控制，使用低（无）VOCs 含量的原辅材料，加强废气收集、安装高效治理设施”。严格涉VOCs建设项目环境影响评价，实行区域内VOCs排放等量或倍量削减替代，并将替代方案落实到企业排污许可证中，纳入环境执法管理。2018年11月19日，生态环境部关于“无工业园区就不能新建涉VOCs工业企业的回复”中提到：“《‘十三五’挥发性有机物污染防治工作方案》中提到‘新建涉VOCs排放的工业企业要入园区’，是指全国新建涉高VOCs 排放的建设项目，即石化、化工、包装印刷、工业涂装等重点行业及其他工业行业VOCs排放量大、排放强度高的新建项目，原则上要进入园区。各地应结合当地大气污染防治工作需求，综合确定新建涉高VOCs 排放项目准入规模及要求”。</w:t>
            </w:r>
          </w:p>
          <w:p>
            <w:pPr>
              <w:ind w:firstLine="480"/>
              <w:rPr>
                <w:color w:val="auto"/>
              </w:rPr>
            </w:pPr>
            <w:r>
              <w:rPr>
                <w:rFonts w:hint="eastAsia"/>
                <w:color w:val="auto"/>
              </w:rPr>
              <w:t>本项目选址位于云南省昆明市富民工业园区，不属于重点防治区域，项目属于网络机箱机柜、5G机房、监控操作台加工项目，不属于重点行业</w:t>
            </w:r>
            <w:r>
              <w:rPr>
                <w:color w:val="auto"/>
              </w:rPr>
              <w:t>VOCs</w:t>
            </w:r>
            <w:r>
              <w:rPr>
                <w:rFonts w:hint="eastAsia"/>
                <w:color w:val="auto"/>
              </w:rPr>
              <w:t>控制项目，项目已根据要求办理了入园手续，同时本项目</w:t>
            </w:r>
            <w:r>
              <w:rPr>
                <w:color w:val="auto"/>
              </w:rPr>
              <w:t>VOCs产生量较小</w:t>
            </w:r>
            <w:r>
              <w:rPr>
                <w:rFonts w:hint="eastAsia"/>
                <w:color w:val="auto"/>
              </w:rPr>
              <w:t>，项目加强了</w:t>
            </w:r>
            <w:r>
              <w:rPr>
                <w:color w:val="auto"/>
              </w:rPr>
              <w:t>VOCs</w:t>
            </w:r>
            <w:r>
              <w:rPr>
                <w:rFonts w:hint="eastAsia"/>
                <w:color w:val="auto"/>
              </w:rPr>
              <w:t>的收集和处理，能够实现达标排放，</w:t>
            </w:r>
            <w:r>
              <w:rPr>
                <w:color w:val="auto"/>
              </w:rPr>
              <w:t>综上，本项目符合《“十三五”挥发性有机物污染防治工作方案》要求。</w:t>
            </w:r>
          </w:p>
          <w:p>
            <w:pPr>
              <w:ind w:firstLine="466"/>
              <w:contextualSpacing/>
              <w:rPr>
                <w:b/>
                <w:color w:val="auto"/>
                <w:spacing w:val="-4"/>
              </w:rPr>
            </w:pPr>
            <w:r>
              <w:rPr>
                <w:rFonts w:hint="eastAsia"/>
                <w:b/>
                <w:color w:val="auto"/>
                <w:spacing w:val="-4"/>
              </w:rPr>
              <w:t>4</w:t>
            </w:r>
            <w:r>
              <w:rPr>
                <w:b/>
                <w:color w:val="auto"/>
                <w:spacing w:val="-4"/>
              </w:rPr>
              <w:t>、与</w:t>
            </w:r>
            <w:r>
              <w:rPr>
                <w:rFonts w:hint="eastAsia"/>
                <w:b/>
                <w:color w:val="auto"/>
                <w:spacing w:val="-4"/>
              </w:rPr>
              <w:t>富民工业园区</w:t>
            </w:r>
            <w:r>
              <w:rPr>
                <w:b/>
                <w:color w:val="auto"/>
                <w:spacing w:val="-4"/>
              </w:rPr>
              <w:t>规划</w:t>
            </w:r>
            <w:r>
              <w:rPr>
                <w:rFonts w:hint="eastAsia"/>
                <w:b/>
                <w:color w:val="auto"/>
                <w:spacing w:val="-4"/>
              </w:rPr>
              <w:t>用地</w:t>
            </w:r>
            <w:r>
              <w:rPr>
                <w:b/>
                <w:color w:val="auto"/>
                <w:spacing w:val="-4"/>
              </w:rPr>
              <w:t>相符性分析</w:t>
            </w:r>
          </w:p>
          <w:p>
            <w:pPr>
              <w:ind w:firstLine="480"/>
              <w:rPr>
                <w:color w:val="auto"/>
              </w:rPr>
            </w:pPr>
            <w:r>
              <w:rPr>
                <w:color w:val="auto"/>
              </w:rPr>
              <w:t>根据</w:t>
            </w:r>
            <w:r>
              <w:rPr>
                <w:rFonts w:hint="eastAsia"/>
                <w:color w:val="auto"/>
              </w:rPr>
              <w:t>《富民工业园区总体规划修编（2015～2030）》</w:t>
            </w:r>
            <w:r>
              <w:rPr>
                <w:color w:val="auto"/>
              </w:rPr>
              <w:t>，</w:t>
            </w:r>
            <w:r>
              <w:rPr>
                <w:rFonts w:hint="eastAsia"/>
                <w:color w:val="auto"/>
              </w:rPr>
              <w:t>富民县工业园区产业布局规划为“两轴三园六组团”的产业空间布局结构。沿昆武高速公路的产业发展轴，串联县城、装备制造产业园和钛产业园，着重发展钛产业、装备制造产业，辅以发展食品加工、机械加工、商贸物流等产业，是一条综合性的产业发展轴，也是富民县产业发展主要轴线。沿轿子山旅游专线沿线发展轴，主要串联散旦片区和款庄-东村片区，已发展新材料产业为主，辅以发展新能源、农副产品加工等产业，是富民县战略性新兴产业发展轴。结合工业园区用地,构建钛产业园、装备制造产业园及新材料产业园三大园区。</w:t>
            </w:r>
            <w:r>
              <w:rPr>
                <w:color w:val="auto"/>
              </w:rPr>
              <w:t>本次评价收集到</w:t>
            </w:r>
            <w:r>
              <w:rPr>
                <w:rFonts w:hint="eastAsia"/>
                <w:color w:val="auto"/>
              </w:rPr>
              <w:t>《富民工业园区总体规划修编（2015～2030）》</w:t>
            </w:r>
            <w:r>
              <w:rPr>
                <w:color w:val="auto"/>
              </w:rPr>
              <w:t>图件，通过与</w:t>
            </w:r>
            <w:r>
              <w:rPr>
                <w:rFonts w:hint="eastAsia"/>
                <w:color w:val="auto"/>
              </w:rPr>
              <w:t>《富民工业园区总体规划修编（2015～2030）》</w:t>
            </w:r>
            <w:r>
              <w:rPr>
                <w:color w:val="auto"/>
              </w:rPr>
              <w:t>中</w:t>
            </w:r>
            <w:r>
              <w:rPr>
                <w:rFonts w:hint="eastAsia"/>
                <w:color w:val="auto"/>
              </w:rPr>
              <w:t>大营—茨塘片区</w:t>
            </w:r>
            <w:r>
              <w:rPr>
                <w:color w:val="auto"/>
              </w:rPr>
              <w:t>用地规划图叠图，本项目用地类型为二类工业用地，用地符合</w:t>
            </w:r>
            <w:r>
              <w:rPr>
                <w:rFonts w:hint="eastAsia"/>
                <w:color w:val="auto"/>
              </w:rPr>
              <w:t>大营—茨塘片区大营五金建材园</w:t>
            </w:r>
            <w:r>
              <w:rPr>
                <w:color w:val="auto"/>
              </w:rPr>
              <w:t>用地的规划。同时</w:t>
            </w:r>
            <w:r>
              <w:rPr>
                <w:rFonts w:hint="eastAsia"/>
                <w:color w:val="auto"/>
              </w:rPr>
              <w:t>根据富民工业园区招商服务局</w:t>
            </w:r>
            <w:r>
              <w:rPr>
                <w:color w:val="auto"/>
              </w:rPr>
              <w:t>于20</w:t>
            </w:r>
            <w:r>
              <w:rPr>
                <w:rFonts w:hint="eastAsia"/>
                <w:color w:val="auto"/>
              </w:rPr>
              <w:t>20</w:t>
            </w:r>
            <w:r>
              <w:rPr>
                <w:color w:val="auto"/>
              </w:rPr>
              <w:t>年</w:t>
            </w:r>
            <w:r>
              <w:rPr>
                <w:rFonts w:hint="eastAsia"/>
                <w:color w:val="auto"/>
              </w:rPr>
              <w:t>1</w:t>
            </w:r>
            <w:r>
              <w:rPr>
                <w:color w:val="auto"/>
              </w:rPr>
              <w:t>月</w:t>
            </w:r>
            <w:r>
              <w:rPr>
                <w:rFonts w:hint="eastAsia"/>
                <w:color w:val="auto"/>
              </w:rPr>
              <w:t>13</w:t>
            </w:r>
            <w:r>
              <w:rPr>
                <w:color w:val="auto"/>
              </w:rPr>
              <w:t>日取得了</w:t>
            </w:r>
            <w:r>
              <w:rPr>
                <w:rFonts w:hint="eastAsia"/>
                <w:color w:val="auto"/>
              </w:rPr>
              <w:t>富民工业园区招商服务局</w:t>
            </w:r>
            <w:r>
              <w:rPr>
                <w:color w:val="auto"/>
              </w:rPr>
              <w:t>关于同意本项目</w:t>
            </w:r>
            <w:r>
              <w:rPr>
                <w:rFonts w:hint="eastAsia"/>
                <w:color w:val="auto"/>
              </w:rPr>
              <w:t>的</w:t>
            </w:r>
            <w:r>
              <w:rPr>
                <w:color w:val="auto"/>
              </w:rPr>
              <w:t>入园</w:t>
            </w:r>
            <w:r>
              <w:rPr>
                <w:rFonts w:hint="eastAsia"/>
                <w:color w:val="auto"/>
              </w:rPr>
              <w:t>的园区会议纪要及入园证明（见附件2及附件3），</w:t>
            </w:r>
            <w:r>
              <w:rPr>
                <w:color w:val="auto"/>
              </w:rPr>
              <w:t>同意</w:t>
            </w:r>
            <w:r>
              <w:rPr>
                <w:rFonts w:hint="eastAsia"/>
                <w:color w:val="auto"/>
              </w:rPr>
              <w:t>本</w:t>
            </w:r>
            <w:r>
              <w:rPr>
                <w:color w:val="auto"/>
              </w:rPr>
              <w:t>项目入园</w:t>
            </w:r>
            <w:r>
              <w:rPr>
                <w:rFonts w:hint="eastAsia"/>
                <w:color w:val="auto"/>
              </w:rPr>
              <w:t>及后续手续办理</w:t>
            </w:r>
            <w:r>
              <w:rPr>
                <w:color w:val="auto"/>
              </w:rPr>
              <w:t>。因此，项目的用地符合工业园区规划。</w:t>
            </w:r>
          </w:p>
          <w:p>
            <w:pPr>
              <w:ind w:firstLine="466"/>
              <w:contextualSpacing/>
              <w:rPr>
                <w:b/>
                <w:color w:val="auto"/>
                <w:spacing w:val="-4"/>
              </w:rPr>
            </w:pPr>
            <w:r>
              <w:rPr>
                <w:rFonts w:hint="eastAsia"/>
                <w:b/>
                <w:color w:val="auto"/>
                <w:spacing w:val="-4"/>
              </w:rPr>
              <w:t>5</w:t>
            </w:r>
            <w:r>
              <w:rPr>
                <w:b/>
                <w:color w:val="auto"/>
                <w:spacing w:val="-4"/>
              </w:rPr>
              <w:t>、“三线一单”符合性判定</w:t>
            </w:r>
          </w:p>
          <w:p>
            <w:pPr>
              <w:ind w:firstLine="480"/>
              <w:rPr>
                <w:color w:val="auto"/>
              </w:rPr>
            </w:pPr>
            <w:r>
              <w:rPr>
                <w:rFonts w:hint="eastAsia"/>
                <w:color w:val="auto"/>
              </w:rPr>
              <w:t>（1）生态保护红线符合性分析</w:t>
            </w:r>
          </w:p>
          <w:p>
            <w:pPr>
              <w:ind w:firstLine="480"/>
              <w:rPr>
                <w:color w:val="auto"/>
              </w:rPr>
            </w:pPr>
            <w:r>
              <w:rPr>
                <w:rFonts w:hint="eastAsia"/>
                <w:color w:val="auto"/>
              </w:rPr>
              <w:t>项目选址于富民县工业园区大营组团内，位于规划工业园区内，用地为工业用地，项目选址不在生态红线范围内，符合生态保护红线要求。</w:t>
            </w:r>
          </w:p>
          <w:p>
            <w:pPr>
              <w:ind w:firstLine="480"/>
              <w:rPr>
                <w:color w:val="auto"/>
              </w:rPr>
            </w:pPr>
            <w:r>
              <w:rPr>
                <w:rFonts w:hint="eastAsia"/>
                <w:color w:val="auto"/>
              </w:rPr>
              <w:t>（2）环境质量底线符合性分析</w:t>
            </w:r>
          </w:p>
          <w:p>
            <w:pPr>
              <w:ind w:firstLine="480"/>
              <w:rPr>
                <w:color w:val="auto"/>
              </w:rPr>
            </w:pPr>
            <w:r>
              <w:rPr>
                <w:rFonts w:hint="eastAsia"/>
                <w:color w:val="auto"/>
              </w:rPr>
              <w:t>环境质量底线要求大气环境质量、水环境质量、土壤环境质量等均符合国家标准，确保人民群众的安全健康。污染物排放总量控制红线要求全面完成减排任务，有效控制和消减污染物排放总量。</w:t>
            </w:r>
          </w:p>
          <w:p>
            <w:pPr>
              <w:ind w:firstLine="480"/>
              <w:rPr>
                <w:color w:val="auto"/>
              </w:rPr>
            </w:pPr>
            <w:r>
              <w:rPr>
                <w:rFonts w:hint="eastAsia"/>
                <w:color w:val="auto"/>
              </w:rPr>
              <w:t>大气环境质量：根据收集例行监测资料及</w:t>
            </w:r>
            <w:r>
              <w:rPr>
                <w:rFonts w:hint="eastAsia"/>
                <w:color w:val="auto"/>
                <w:lang w:val="en-US" w:eastAsia="zh-CN"/>
              </w:rPr>
              <w:t>引用</w:t>
            </w:r>
            <w:r>
              <w:rPr>
                <w:rFonts w:hint="eastAsia"/>
                <w:color w:val="auto"/>
              </w:rPr>
              <w:t>监测结果分析，评价区范围内基本污染物及</w:t>
            </w:r>
            <w:r>
              <w:rPr>
                <w:rFonts w:hint="eastAsia"/>
                <w:color w:val="auto"/>
                <w:lang w:val="en-US" w:eastAsia="zh-CN"/>
              </w:rPr>
              <w:t>TVOC</w:t>
            </w:r>
            <w:r>
              <w:rPr>
                <w:rFonts w:hint="eastAsia"/>
                <w:color w:val="auto"/>
              </w:rPr>
              <w:t>等其他污染物浓度均能满足《环境空气质量标准》GB3095-2012）二级标准、《环境影响评价技术导则 大气环境》HJ2.2-2018 中附录D其他污染物空气质量浓度参考限值要求。根据本次评价预测结果分析，项目运营期排放的大气污染物 SO</w:t>
            </w:r>
            <w:r>
              <w:rPr>
                <w:rFonts w:hint="eastAsia"/>
                <w:color w:val="auto"/>
                <w:vertAlign w:val="subscript"/>
              </w:rPr>
              <w:t>2</w:t>
            </w:r>
            <w:r>
              <w:rPr>
                <w:rFonts w:hint="eastAsia"/>
                <w:color w:val="auto"/>
              </w:rPr>
              <w:t>、NO</w:t>
            </w:r>
            <w:r>
              <w:rPr>
                <w:rFonts w:hint="eastAsia"/>
                <w:color w:val="auto"/>
                <w:vertAlign w:val="subscript"/>
              </w:rPr>
              <w:t>X</w:t>
            </w:r>
            <w:r>
              <w:rPr>
                <w:rFonts w:hint="eastAsia"/>
                <w:color w:val="auto"/>
              </w:rPr>
              <w:t>、粉尘、</w:t>
            </w:r>
            <w:r>
              <w:rPr>
                <w:rFonts w:hint="eastAsia"/>
                <w:color w:val="auto"/>
                <w:lang w:val="en-US" w:eastAsia="zh-CN"/>
              </w:rPr>
              <w:t>TVOC</w:t>
            </w:r>
            <w:r>
              <w:rPr>
                <w:rFonts w:hint="eastAsia"/>
                <w:color w:val="auto"/>
              </w:rPr>
              <w:t>等最大小时浓度、日均浓度、年均浓度均能满足《环境空气质量标准》（GB3095-2012）二级标准限值，项目建设不会造成区域大气污染物浓度超标，满足大气环境质量底线要求。</w:t>
            </w:r>
          </w:p>
          <w:p>
            <w:pPr>
              <w:ind w:firstLine="480"/>
              <w:rPr>
                <w:color w:val="auto"/>
              </w:rPr>
            </w:pPr>
            <w:r>
              <w:rPr>
                <w:rFonts w:hint="eastAsia"/>
                <w:color w:val="auto"/>
              </w:rPr>
              <w:t>地表水环境质量：根据环境质量公报及本次收集例行监测资料，项目区地表水体螳螂川富民大桥断面、普渡河桥断面水质能达到《地表水环境质量标准》（GB3838-2002）IV 类水质标准要求。针对中间段赤鹫大桥断面超标问题，富民县环境保护局编制了《富民县螳螂川（普渡河）水体达标方案》（2017-2020）、《螳螂川富民大桥断面水环境达标综合整治实施方案》及《富民县环境保护局关于责令钛白粉生产企业生产废水限期治理的通知》（富环保通[2018]38 号），通过各项整改措施，2020年以来螳螂川各断面水质均能达到相应水环境功能区划水质要求。根据工程分析结果，本项目无生产废水</w:t>
            </w:r>
            <w:r>
              <w:rPr>
                <w:rFonts w:hint="eastAsia"/>
                <w:color w:val="auto"/>
                <w:lang w:eastAsia="zh-CN"/>
              </w:rPr>
              <w:t>，</w:t>
            </w:r>
            <w:r>
              <w:rPr>
                <w:rFonts w:hint="eastAsia"/>
                <w:color w:val="auto"/>
              </w:rPr>
              <w:t>冲厕废水</w:t>
            </w:r>
            <w:r>
              <w:rPr>
                <w:color w:val="auto"/>
              </w:rPr>
              <w:t>依托</w:t>
            </w:r>
            <w:r>
              <w:rPr>
                <w:rFonts w:hint="eastAsia"/>
                <w:color w:val="auto"/>
              </w:rPr>
              <w:t>昆明力线电缆制造有限公司已建设的化粪池及一体化污水处理设备处理达标后回用于绿化及道路清扫，不外排</w:t>
            </w:r>
            <w:r>
              <w:rPr>
                <w:rFonts w:hint="eastAsia" w:ascii="宋体" w:hAnsi="宋体" w:cs="宋体"/>
                <w:color w:val="auto"/>
                <w:lang w:eastAsia="zh-CN"/>
              </w:rPr>
              <w:t>；</w:t>
            </w:r>
            <w:r>
              <w:rPr>
                <w:rFonts w:hint="eastAsia"/>
                <w:color w:val="auto"/>
                <w:lang w:eastAsia="zh-CN"/>
              </w:rPr>
              <w:t>项目</w:t>
            </w:r>
            <w:r>
              <w:rPr>
                <w:rFonts w:hint="eastAsia"/>
                <w:color w:val="auto"/>
              </w:rPr>
              <w:t>对螳螂川水污染物无贡献值，不会影响螳螂川水质环境影响。</w:t>
            </w:r>
          </w:p>
          <w:p>
            <w:pPr>
              <w:ind w:firstLine="480"/>
              <w:rPr>
                <w:color w:val="auto"/>
              </w:rPr>
            </w:pPr>
            <w:r>
              <w:rPr>
                <w:rFonts w:hint="eastAsia"/>
                <w:color w:val="auto"/>
              </w:rPr>
              <w:t>声环境质量：根据监测结果，项目四周厂界昼、夜声环境能满足《声环境质量标准》（GB3096-2008）中的3类标准，200m范围内无村庄、学校等敏感点。项目建成后，各声功能区满足相应标准要求，项目建设不会降低区域声环境功能，故满足声环境质量底线要求。</w:t>
            </w:r>
          </w:p>
          <w:p>
            <w:pPr>
              <w:ind w:firstLine="480"/>
              <w:rPr>
                <w:color w:val="auto"/>
              </w:rPr>
            </w:pPr>
            <w:r>
              <w:rPr>
                <w:rFonts w:hint="eastAsia"/>
                <w:color w:val="auto"/>
              </w:rPr>
              <w:t>综上分析，项目在落实本环评提出的各项污染防治措施的情况下，对周围环境的影响不大，环境空气质量、环境噪声质量仍能符合环境功能区划要求，固废能得到有效处置，生态环境满足要求。项目无外排废水，不占用区域水污染物总量。</w:t>
            </w:r>
          </w:p>
          <w:p>
            <w:pPr>
              <w:ind w:firstLine="480"/>
              <w:rPr>
                <w:color w:val="auto"/>
              </w:rPr>
            </w:pPr>
            <w:r>
              <w:rPr>
                <w:rFonts w:hint="eastAsia"/>
                <w:color w:val="auto"/>
              </w:rPr>
              <w:t>因此，本项目建设不会对周围环境造成较大影响，不会降低周围的环境质量，能够满足环境功能区要求，符合环境质量底线要求。</w:t>
            </w:r>
          </w:p>
          <w:p>
            <w:pPr>
              <w:ind w:firstLine="480"/>
              <w:rPr>
                <w:color w:val="auto"/>
              </w:rPr>
            </w:pPr>
            <w:r>
              <w:rPr>
                <w:rFonts w:hint="eastAsia"/>
                <w:color w:val="auto"/>
              </w:rPr>
              <w:t>（3）资源利用上线</w:t>
            </w:r>
          </w:p>
          <w:p>
            <w:pPr>
              <w:ind w:firstLine="480"/>
              <w:rPr>
                <w:color w:val="auto"/>
              </w:rPr>
            </w:pPr>
            <w:r>
              <w:rPr>
                <w:rFonts w:hint="eastAsia"/>
                <w:color w:val="auto"/>
              </w:rPr>
              <w:t>项目租用闲置厂房建设，不新增占用土地资源，有利于实现富民工业园区产业结构升级，优化提高区域资源利用，符合资源利用上线要求。</w:t>
            </w:r>
          </w:p>
          <w:p>
            <w:pPr>
              <w:ind w:firstLine="480"/>
              <w:rPr>
                <w:color w:val="auto"/>
              </w:rPr>
            </w:pPr>
            <w:r>
              <w:rPr>
                <w:rFonts w:hint="eastAsia"/>
                <w:color w:val="auto"/>
              </w:rPr>
              <w:t>（4）环境准入负面清单</w:t>
            </w:r>
          </w:p>
          <w:p>
            <w:pPr>
              <w:ind w:firstLine="480"/>
              <w:rPr>
                <w:color w:val="auto"/>
              </w:rPr>
            </w:pPr>
            <w:r>
              <w:rPr>
                <w:rFonts w:hint="eastAsia"/>
                <w:color w:val="auto"/>
              </w:rPr>
              <w:t>根据《富民工业园区总体规划修编（2015~2030）环境影响报告书》，《园区规划环评》未列明“鼓励入园项目”及“负面清单”，项目满足《富民工业园区总体规划修编（2015~2030）环境影响报告书》项目入园原则要求及入园环保要求；项目符合《富民工业园区总体规划修编（2015~2030）环境影响报告书》及审查意见要求，项目与园区产业定位不冲突。</w:t>
            </w:r>
          </w:p>
          <w:p>
            <w:pPr>
              <w:ind w:firstLine="480"/>
              <w:rPr>
                <w:color w:val="auto"/>
              </w:rPr>
            </w:pPr>
            <w:r>
              <w:rPr>
                <w:rFonts w:hint="eastAsia"/>
                <w:color w:val="auto"/>
              </w:rPr>
              <w:t>综上所述，项目选址区不在云南省生态保护红线范围内，满足生态保护红线要求；项目产生的污染物经预测满足环境质量标准，不会对环境质量底线产生冲击，符合环境质量底线的要求；项目建设有利于实现富民工业园区产业结构升级，优化提高区域资源利用，符合资源利用上线要求；项目满足项目入园原则要求、入园环保要求及规划环评审查意见相关要求，项目建设满足“三线一单”管理要求。</w:t>
            </w:r>
          </w:p>
          <w:p>
            <w:pPr>
              <w:ind w:firstLine="466"/>
              <w:contextualSpacing/>
              <w:rPr>
                <w:rFonts w:hint="eastAsia"/>
                <w:b/>
                <w:color w:val="auto"/>
                <w:spacing w:val="-4"/>
              </w:rPr>
            </w:pPr>
            <w:r>
              <w:rPr>
                <w:rFonts w:hint="eastAsia"/>
                <w:b/>
                <w:color w:val="auto"/>
                <w:spacing w:val="-4"/>
                <w:lang w:eastAsia="zh-CN"/>
              </w:rPr>
              <w:t>6、</w:t>
            </w:r>
            <w:r>
              <w:rPr>
                <w:rFonts w:hint="eastAsia"/>
                <w:b/>
                <w:color w:val="auto"/>
                <w:spacing w:val="-4"/>
              </w:rPr>
              <w:t>项目与《长江经济带发展负面清单指南（试行）》的符合性分析</w:t>
            </w:r>
          </w:p>
          <w:p>
            <w:pPr>
              <w:ind w:firstLine="480"/>
              <w:contextualSpacing/>
              <w:jc w:val="left"/>
              <w:rPr>
                <w:rFonts w:hint="eastAsia"/>
                <w:color w:val="auto"/>
              </w:rPr>
            </w:pPr>
            <w:r>
              <w:rPr>
                <w:rFonts w:hint="eastAsia" w:ascii="Times New Roman" w:hAnsi="Times New Roman" w:eastAsia="宋体" w:cs="Times New Roman"/>
                <w:color w:val="auto"/>
                <w:lang w:val="en-US" w:eastAsia="zh-CN"/>
              </w:rPr>
              <w:t>2019年1月12日，</w:t>
            </w:r>
            <w:r>
              <w:rPr>
                <w:rFonts w:hint="eastAsia"/>
                <w:color w:val="auto"/>
              </w:rPr>
              <w:t>推动长江经济带发展领导小组办公室发布了《关于发布长江经济带发展负面清单指南（试行）的通知》，长江经济带发展负面清单指南指出，禁止在长江干支流</w:t>
            </w:r>
            <w:r>
              <w:rPr>
                <w:rFonts w:hint="eastAsia" w:ascii="Times New Roman" w:hAnsi="Times New Roman" w:eastAsia="宋体" w:cs="Times New Roman"/>
                <w:color w:val="auto"/>
                <w:lang w:eastAsia="zh-CN"/>
              </w:rPr>
              <w:t>1</w:t>
            </w:r>
            <w:r>
              <w:rPr>
                <w:rFonts w:hint="eastAsia"/>
                <w:color w:val="auto"/>
              </w:rPr>
              <w:t>公里范围内新建、扩建化工园区和化工项目，禁止在合规园区外新建、扩建钢铁</w:t>
            </w:r>
            <w:r>
              <w:rPr>
                <w:rFonts w:hint="eastAsia" w:ascii="Times New Roman" w:hAnsi="Times New Roman" w:eastAsia="宋体" w:cs="Times New Roman"/>
                <w:color w:val="auto"/>
                <w:lang w:eastAsia="zh-CN"/>
              </w:rPr>
              <w:t>、</w:t>
            </w:r>
            <w:r>
              <w:rPr>
                <w:rFonts w:hint="eastAsia"/>
                <w:color w:val="auto"/>
              </w:rPr>
              <w:t>石化、化工、焦化、建材、有色等高污染项目。</w:t>
            </w:r>
          </w:p>
          <w:p>
            <w:pPr>
              <w:ind w:firstLine="480"/>
              <w:contextualSpacing/>
              <w:jc w:val="left"/>
              <w:rPr>
                <w:rFonts w:hint="eastAsia"/>
                <w:color w:val="auto"/>
              </w:rPr>
            </w:pPr>
            <w:r>
              <w:rPr>
                <w:rFonts w:hint="eastAsia"/>
                <w:color w:val="auto"/>
              </w:rPr>
              <w:t>根据《云南省推动长江经济带发展负面清单指南实施细则（试行）的通知》</w:t>
            </w:r>
          </w:p>
          <w:p>
            <w:pPr>
              <w:ind w:firstLine="0" w:firstLineChars="0"/>
              <w:contextualSpacing/>
              <w:jc w:val="left"/>
              <w:rPr>
                <w:rFonts w:hint="eastAsia"/>
                <w:b w:val="0"/>
                <w:color w:val="auto"/>
                <w:spacing w:val="0"/>
              </w:rPr>
            </w:pPr>
            <w:r>
              <w:rPr>
                <w:rFonts w:hint="eastAsia"/>
                <w:color w:val="auto"/>
              </w:rPr>
              <w:t>（云发改基础[2019]92</w:t>
            </w:r>
            <w:r>
              <w:rPr>
                <w:rFonts w:hint="eastAsia" w:ascii="Times New Roman" w:hAnsi="Times New Roman" w:eastAsia="宋体" w:cs="Times New Roman"/>
                <w:color w:val="auto"/>
                <w:lang w:val="en-US" w:eastAsia="zh-CN"/>
              </w:rPr>
              <w:t>4</w:t>
            </w:r>
            <w:r>
              <w:rPr>
                <w:rFonts w:hint="eastAsia"/>
                <w:color w:val="auto"/>
              </w:rPr>
              <w:t>号），螳螂川不属于长江干流及一级支流，项目位于规划的工业园区内，不在生态红线、自然保护区、风景名胜区及国家湿地等环境敏感区，符合《长江经济带发展负面清单指南（试行）》。</w:t>
            </w:r>
          </w:p>
          <w:p>
            <w:pPr>
              <w:ind w:firstLine="466"/>
              <w:contextualSpacing/>
              <w:rPr>
                <w:b/>
                <w:color w:val="auto"/>
                <w:spacing w:val="-4"/>
              </w:rPr>
            </w:pPr>
            <w:r>
              <w:rPr>
                <w:rFonts w:hint="eastAsia"/>
                <w:b/>
                <w:color w:val="auto"/>
                <w:spacing w:val="-4"/>
                <w:lang w:val="en-US" w:eastAsia="zh-CN"/>
              </w:rPr>
              <w:t>7</w:t>
            </w:r>
            <w:r>
              <w:rPr>
                <w:b/>
                <w:color w:val="auto"/>
                <w:spacing w:val="-4"/>
              </w:rPr>
              <w:t>、本项目对外环境的影响</w:t>
            </w:r>
          </w:p>
          <w:p>
            <w:pPr>
              <w:ind w:firstLine="480"/>
              <w:contextualSpacing/>
              <w:jc w:val="left"/>
              <w:rPr>
                <w:color w:val="auto"/>
              </w:rPr>
            </w:pPr>
            <w:r>
              <w:rPr>
                <w:color w:val="auto"/>
              </w:rPr>
              <w:t>在项目选址上，项目租用</w:t>
            </w:r>
            <w:r>
              <w:rPr>
                <w:rFonts w:hint="eastAsia"/>
                <w:color w:val="auto"/>
              </w:rPr>
              <w:t>昆明力线电缆制造有限公司</w:t>
            </w:r>
            <w:r>
              <w:rPr>
                <w:color w:val="auto"/>
              </w:rPr>
              <w:t>的厂房，均为工业用地。项目厂界噪声能达到排放要求；</w:t>
            </w:r>
            <w:r>
              <w:rPr>
                <w:rFonts w:hint="eastAsia"/>
                <w:color w:val="auto"/>
              </w:rPr>
              <w:t>项目无生产废水</w:t>
            </w:r>
            <w:r>
              <w:rPr>
                <w:rFonts w:hint="eastAsia"/>
                <w:color w:val="auto"/>
                <w:lang w:eastAsia="zh-CN"/>
              </w:rPr>
              <w:t>，</w:t>
            </w:r>
            <w:r>
              <w:rPr>
                <w:rFonts w:hint="eastAsia"/>
                <w:color w:val="auto"/>
              </w:rPr>
              <w:t>冲厕废水依托昆明力线电缆制造有限公司已建设的化粪池及一体化污水处理设备处理达标后回用于绿化及道路清扫，不外排</w:t>
            </w:r>
            <w:r>
              <w:rPr>
                <w:rFonts w:hint="eastAsia" w:ascii="宋体" w:hAnsi="宋体"/>
                <w:color w:val="auto"/>
                <w:lang w:eastAsia="zh-CN"/>
              </w:rPr>
              <w:t>；</w:t>
            </w:r>
            <w:r>
              <w:rPr>
                <w:color w:val="auto"/>
              </w:rPr>
              <w:t>项</w:t>
            </w:r>
            <w:r>
              <w:rPr>
                <w:rFonts w:hint="eastAsia"/>
                <w:color w:val="auto"/>
              </w:rPr>
              <w:t>目焊接烟尘经过多虑筒焊烟净化设备处理后车间无组织排放，喷塑粉尘</w:t>
            </w:r>
            <w:r>
              <w:rPr>
                <w:color w:val="auto"/>
              </w:rPr>
              <w:t>采用</w:t>
            </w:r>
            <w:r>
              <w:rPr>
                <w:rFonts w:hint="eastAsia"/>
                <w:color w:val="auto"/>
              </w:rPr>
              <w:t>二级滤芯脉冲除尘处理</w:t>
            </w:r>
            <w:r>
              <w:rPr>
                <w:color w:val="auto"/>
              </w:rPr>
              <w:t>后由</w:t>
            </w:r>
            <w:r>
              <w:rPr>
                <w:rFonts w:hint="eastAsia"/>
                <w:color w:val="auto"/>
              </w:rPr>
              <w:t>15m高（1#）排气筒</w:t>
            </w:r>
            <w:r>
              <w:rPr>
                <w:color w:val="auto"/>
              </w:rPr>
              <w:t>外排</w:t>
            </w:r>
            <w:r>
              <w:rPr>
                <w:rFonts w:hint="eastAsia"/>
                <w:color w:val="auto"/>
              </w:rPr>
              <w:t>，固化</w:t>
            </w:r>
            <w:r>
              <w:rPr>
                <w:color w:val="auto"/>
              </w:rPr>
              <w:t>炉燃料为</w:t>
            </w:r>
            <w:r>
              <w:rPr>
                <w:rFonts w:hint="eastAsia"/>
                <w:color w:val="auto"/>
              </w:rPr>
              <w:t>外购天然气</w:t>
            </w:r>
            <w:r>
              <w:rPr>
                <w:color w:val="auto"/>
              </w:rPr>
              <w:t>，</w:t>
            </w:r>
            <w:r>
              <w:rPr>
                <w:rFonts w:hint="eastAsia"/>
                <w:color w:val="auto"/>
              </w:rPr>
              <w:t>属环保清洁能源，燃烧产生的废气通过15m高（2#）排气筒排放，固化废气经</w:t>
            </w:r>
            <w:r>
              <w:rPr>
                <w:rFonts w:hint="eastAsia"/>
                <w:color w:val="auto"/>
                <w:lang w:val="en-US" w:eastAsia="zh-CN"/>
              </w:rPr>
              <w:t>UV光氧+</w:t>
            </w:r>
            <w:r>
              <w:rPr>
                <w:rFonts w:hint="eastAsia"/>
                <w:color w:val="auto"/>
              </w:rPr>
              <w:t>活性炭吸附装置处理后至15m高（2#）排气筒排放。</w:t>
            </w:r>
            <w:r>
              <w:rPr>
                <w:color w:val="auto"/>
              </w:rPr>
              <w:t>厂房内加强通风，加速无组织废气排放；项目产生的固体废物可得到妥善处理。</w:t>
            </w:r>
          </w:p>
          <w:p>
            <w:pPr>
              <w:ind w:firstLine="466"/>
              <w:contextualSpacing/>
              <w:rPr>
                <w:b/>
                <w:color w:val="auto"/>
                <w:spacing w:val="-4"/>
              </w:rPr>
            </w:pPr>
            <w:r>
              <w:rPr>
                <w:rFonts w:hint="eastAsia"/>
                <w:b/>
                <w:color w:val="auto"/>
                <w:spacing w:val="-4"/>
                <w:lang w:val="en-US" w:eastAsia="zh-CN"/>
              </w:rPr>
              <w:t>8</w:t>
            </w:r>
            <w:r>
              <w:rPr>
                <w:b/>
                <w:color w:val="auto"/>
                <w:spacing w:val="-4"/>
              </w:rPr>
              <w:t>、环境相容性分析</w:t>
            </w:r>
          </w:p>
          <w:p>
            <w:pPr>
              <w:ind w:firstLine="480"/>
              <w:rPr>
                <w:b/>
                <w:color w:val="auto"/>
              </w:rPr>
            </w:pPr>
            <w:r>
              <w:rPr>
                <w:color w:val="auto"/>
              </w:rPr>
              <w:t>本项目租</w:t>
            </w:r>
            <w:r>
              <w:rPr>
                <w:rFonts w:hint="eastAsia"/>
                <w:color w:val="auto"/>
                <w:szCs w:val="22"/>
              </w:rPr>
              <w:t>用已建成厂房进行生产，</w:t>
            </w:r>
            <w:r>
              <w:rPr>
                <w:color w:val="auto"/>
                <w:lang w:val="zh-CN"/>
              </w:rPr>
              <w:t>距离项目最近的</w:t>
            </w:r>
            <w:r>
              <w:rPr>
                <w:color w:val="auto"/>
              </w:rPr>
              <w:t>敏感目标</w:t>
            </w:r>
            <w:r>
              <w:rPr>
                <w:color w:val="auto"/>
                <w:lang w:val="zh-CN"/>
              </w:rPr>
              <w:t>为</w:t>
            </w:r>
            <w:r>
              <w:rPr>
                <w:rFonts w:hint="default" w:ascii="Times New Roman" w:hAnsi="Times New Roman" w:cs="Times New Roman"/>
                <w:color w:val="auto"/>
              </w:rPr>
              <w:t>西南侧</w:t>
            </w:r>
            <w:r>
              <w:rPr>
                <w:rFonts w:hint="eastAsia"/>
                <w:color w:val="auto"/>
                <w:lang w:val="en-US" w:eastAsia="zh-CN"/>
              </w:rPr>
              <w:t>536</w:t>
            </w:r>
            <w:r>
              <w:rPr>
                <w:color w:val="auto"/>
              </w:rPr>
              <w:t>m处的</w:t>
            </w:r>
            <w:r>
              <w:rPr>
                <w:rFonts w:hint="default"/>
                <w:color w:val="auto"/>
              </w:rPr>
              <w:t>大营村</w:t>
            </w:r>
            <w:r>
              <w:rPr>
                <w:rFonts w:hint="eastAsia"/>
                <w:bCs/>
                <w:color w:val="auto"/>
              </w:rPr>
              <w:t>；另外</w:t>
            </w:r>
            <w:r>
              <w:rPr>
                <w:rFonts w:hint="eastAsia"/>
                <w:color w:val="auto"/>
              </w:rPr>
              <w:t>本项目周边企业主要</w:t>
            </w:r>
            <w:r>
              <w:rPr>
                <w:rFonts w:hint="eastAsia"/>
                <w:color w:val="auto"/>
                <w:lang w:val="en-US" w:eastAsia="zh-CN"/>
              </w:rPr>
              <w:t>分布有</w:t>
            </w:r>
            <w:r>
              <w:rPr>
                <w:rFonts w:hint="eastAsia"/>
                <w:color w:val="auto"/>
              </w:rPr>
              <w:t>昆明力线电缆制造有限公司</w:t>
            </w:r>
            <w:r>
              <w:rPr>
                <w:rFonts w:hint="eastAsia"/>
                <w:color w:val="auto"/>
                <w:lang w:eastAsia="zh-CN"/>
              </w:rPr>
              <w:t>（</w:t>
            </w:r>
            <w:r>
              <w:rPr>
                <w:rFonts w:hint="eastAsia"/>
                <w:color w:val="auto"/>
                <w:lang w:val="en-US" w:eastAsia="zh-CN"/>
              </w:rPr>
              <w:t>紧邻</w:t>
            </w:r>
            <w:r>
              <w:rPr>
                <w:rFonts w:hint="eastAsia"/>
                <w:color w:val="auto"/>
                <w:lang w:eastAsia="zh-CN"/>
              </w:rPr>
              <w:t>）</w:t>
            </w:r>
            <w:r>
              <w:rPr>
                <w:rFonts w:hint="eastAsia"/>
                <w:color w:val="auto"/>
              </w:rPr>
              <w:t>、昆明克林轻工机械有限责任公司</w:t>
            </w:r>
            <w:r>
              <w:rPr>
                <w:rFonts w:hint="eastAsia"/>
                <w:color w:val="auto"/>
                <w:lang w:eastAsia="zh-CN"/>
              </w:rPr>
              <w:t>（</w:t>
            </w:r>
            <w:r>
              <w:rPr>
                <w:color w:val="auto"/>
              </w:rPr>
              <w:t>北面，</w:t>
            </w:r>
            <w:r>
              <w:rPr>
                <w:rFonts w:hint="eastAsia"/>
                <w:color w:val="auto"/>
                <w:lang w:val="en-US" w:eastAsia="zh-CN"/>
              </w:rPr>
              <w:t>66</w:t>
            </w:r>
            <w:r>
              <w:rPr>
                <w:color w:val="auto"/>
              </w:rPr>
              <w:t>m</w:t>
            </w:r>
            <w:r>
              <w:rPr>
                <w:rFonts w:hint="eastAsia"/>
                <w:color w:val="auto"/>
                <w:lang w:eastAsia="zh-CN"/>
              </w:rPr>
              <w:t>）</w:t>
            </w:r>
            <w:r>
              <w:rPr>
                <w:rFonts w:hint="eastAsia"/>
                <w:color w:val="auto"/>
              </w:rPr>
              <w:t>、昆明欣鑫翔实业有限公司</w:t>
            </w:r>
            <w:r>
              <w:rPr>
                <w:rFonts w:hint="eastAsia"/>
                <w:color w:val="auto"/>
                <w:lang w:eastAsia="zh-CN"/>
              </w:rPr>
              <w:t>（</w:t>
            </w:r>
            <w:r>
              <w:rPr>
                <w:rFonts w:hint="eastAsia"/>
                <w:color w:val="auto"/>
                <w:lang w:val="en-US" w:eastAsia="zh-CN"/>
              </w:rPr>
              <w:t>东北</w:t>
            </w:r>
            <w:r>
              <w:rPr>
                <w:color w:val="auto"/>
              </w:rPr>
              <w:t>，</w:t>
            </w:r>
            <w:r>
              <w:rPr>
                <w:rFonts w:hint="eastAsia"/>
                <w:color w:val="auto"/>
                <w:lang w:val="en-US" w:eastAsia="zh-CN"/>
              </w:rPr>
              <w:t>230</w:t>
            </w:r>
            <w:r>
              <w:rPr>
                <w:color w:val="auto"/>
              </w:rPr>
              <w:t>m</w:t>
            </w:r>
            <w:r>
              <w:rPr>
                <w:rFonts w:hint="eastAsia"/>
                <w:color w:val="auto"/>
                <w:lang w:eastAsia="zh-CN"/>
              </w:rPr>
              <w:t>）</w:t>
            </w:r>
            <w:r>
              <w:rPr>
                <w:rFonts w:hint="eastAsia"/>
                <w:color w:val="auto"/>
              </w:rPr>
              <w:t>、云南富邦制冷设备有限公司</w:t>
            </w:r>
            <w:r>
              <w:rPr>
                <w:rFonts w:hint="eastAsia"/>
                <w:color w:val="auto"/>
                <w:lang w:eastAsia="zh-CN"/>
              </w:rPr>
              <w:t>（</w:t>
            </w:r>
            <w:r>
              <w:rPr>
                <w:rFonts w:hint="eastAsia"/>
                <w:color w:val="auto"/>
                <w:lang w:val="en-US" w:eastAsia="zh-CN"/>
              </w:rPr>
              <w:t>东面</w:t>
            </w:r>
            <w:r>
              <w:rPr>
                <w:color w:val="auto"/>
              </w:rPr>
              <w:t>，</w:t>
            </w:r>
            <w:r>
              <w:rPr>
                <w:rFonts w:hint="eastAsia"/>
                <w:color w:val="auto"/>
                <w:lang w:val="en-US" w:eastAsia="zh-CN"/>
              </w:rPr>
              <w:t>304m</w:t>
            </w:r>
            <w:r>
              <w:rPr>
                <w:rFonts w:hint="eastAsia"/>
                <w:color w:val="auto"/>
                <w:lang w:eastAsia="zh-CN"/>
              </w:rPr>
              <w:t>）、</w:t>
            </w:r>
            <w:r>
              <w:rPr>
                <w:rFonts w:hint="eastAsia"/>
                <w:color w:val="auto"/>
              </w:rPr>
              <w:t>昆明中宸新型建材有限公司</w:t>
            </w:r>
            <w:r>
              <w:rPr>
                <w:rFonts w:hint="eastAsia"/>
                <w:color w:val="auto"/>
                <w:lang w:eastAsia="zh-CN"/>
              </w:rPr>
              <w:t>（</w:t>
            </w:r>
            <w:r>
              <w:rPr>
                <w:color w:val="auto"/>
              </w:rPr>
              <w:t>东面，</w:t>
            </w:r>
            <w:r>
              <w:rPr>
                <w:rFonts w:hint="eastAsia"/>
                <w:color w:val="auto"/>
                <w:lang w:val="en-US" w:eastAsia="zh-CN"/>
              </w:rPr>
              <w:t>30m</w:t>
            </w:r>
            <w:r>
              <w:rPr>
                <w:rFonts w:hint="eastAsia"/>
                <w:color w:val="auto"/>
                <w:lang w:eastAsia="zh-CN"/>
              </w:rPr>
              <w:t>）、</w:t>
            </w:r>
            <w:r>
              <w:rPr>
                <w:rFonts w:hint="eastAsia"/>
                <w:color w:val="auto"/>
              </w:rPr>
              <w:t>富民云宸建材有限公司</w:t>
            </w:r>
            <w:r>
              <w:rPr>
                <w:rFonts w:hint="eastAsia"/>
                <w:color w:val="auto"/>
                <w:lang w:eastAsia="zh-CN"/>
              </w:rPr>
              <w:t>（</w:t>
            </w:r>
            <w:r>
              <w:rPr>
                <w:rFonts w:hint="eastAsia"/>
                <w:color w:val="auto"/>
                <w:lang w:val="en-US" w:eastAsia="zh-CN"/>
              </w:rPr>
              <w:t>南面，55m</w:t>
            </w:r>
            <w:r>
              <w:rPr>
                <w:rFonts w:hint="eastAsia"/>
                <w:color w:val="auto"/>
                <w:lang w:eastAsia="zh-CN"/>
              </w:rPr>
              <w:t>）、</w:t>
            </w:r>
            <w:r>
              <w:rPr>
                <w:rFonts w:hint="eastAsia"/>
                <w:color w:val="auto"/>
              </w:rPr>
              <w:t>富民稷丰经贸有限责任公司</w:t>
            </w:r>
            <w:r>
              <w:rPr>
                <w:rFonts w:hint="eastAsia"/>
                <w:color w:val="auto"/>
                <w:lang w:eastAsia="zh-CN"/>
              </w:rPr>
              <w:t>（</w:t>
            </w:r>
            <w:r>
              <w:rPr>
                <w:rFonts w:hint="eastAsia"/>
                <w:color w:val="auto"/>
                <w:lang w:val="en-US" w:eastAsia="zh-CN"/>
              </w:rPr>
              <w:t>西南，240m</w:t>
            </w:r>
            <w:r>
              <w:rPr>
                <w:rFonts w:hint="eastAsia"/>
                <w:color w:val="auto"/>
                <w:lang w:eastAsia="zh-CN"/>
              </w:rPr>
              <w:t>）</w:t>
            </w:r>
            <w:r>
              <w:rPr>
                <w:rFonts w:hint="eastAsia"/>
                <w:color w:val="auto"/>
              </w:rPr>
              <w:t>等企业，主要为</w:t>
            </w:r>
            <w:r>
              <w:rPr>
                <w:rFonts w:hint="eastAsia"/>
                <w:color w:val="auto"/>
                <w:lang w:val="en-US" w:eastAsia="zh-CN"/>
              </w:rPr>
              <w:t>电线电缆、建筑材料、机械设备制造</w:t>
            </w:r>
            <w:r>
              <w:rPr>
                <w:rFonts w:hint="eastAsia"/>
                <w:color w:val="auto"/>
              </w:rPr>
              <w:t>等</w:t>
            </w:r>
            <w:r>
              <w:rPr>
                <w:rFonts w:hint="eastAsia"/>
                <w:color w:val="auto"/>
                <w:lang w:val="en-US" w:eastAsia="zh-CN"/>
              </w:rPr>
              <w:t>类型</w:t>
            </w:r>
            <w:r>
              <w:rPr>
                <w:rFonts w:hint="eastAsia"/>
                <w:color w:val="auto"/>
              </w:rPr>
              <w:t>企业，周围没有食品</w:t>
            </w:r>
            <w:r>
              <w:rPr>
                <w:rFonts w:hint="eastAsia"/>
                <w:color w:val="auto"/>
                <w:lang w:eastAsia="zh-CN"/>
              </w:rPr>
              <w:t>、</w:t>
            </w:r>
            <w:r>
              <w:rPr>
                <w:rFonts w:hint="eastAsia"/>
                <w:color w:val="auto"/>
                <w:lang w:val="en-US" w:eastAsia="zh-CN"/>
              </w:rPr>
              <w:t>药品、生物制品</w:t>
            </w:r>
            <w:r>
              <w:rPr>
                <w:rFonts w:hint="eastAsia"/>
                <w:color w:val="auto"/>
              </w:rPr>
              <w:t>等加工企业，对周边企业基本无影响</w:t>
            </w:r>
            <w:r>
              <w:rPr>
                <w:rFonts w:hint="eastAsia"/>
                <w:color w:val="auto"/>
                <w:lang w:eastAsia="zh-CN"/>
              </w:rPr>
              <w:t>，</w:t>
            </w:r>
            <w:r>
              <w:rPr>
                <w:rFonts w:hint="eastAsia"/>
                <w:color w:val="auto"/>
                <w:lang w:val="en-US" w:eastAsia="zh-CN"/>
              </w:rPr>
              <w:t>本项目从事金属制品加工，周边企业不会对本项目产生影响</w:t>
            </w:r>
            <w:r>
              <w:rPr>
                <w:rFonts w:hint="eastAsia"/>
                <w:color w:val="auto"/>
              </w:rPr>
              <w:t>。</w:t>
            </w:r>
            <w:r>
              <w:rPr>
                <w:bCs/>
                <w:color w:val="auto"/>
              </w:rPr>
              <w:t>本项目产生的废气和噪声经采取措施后可做到达标排放，对周边</w:t>
            </w:r>
            <w:r>
              <w:rPr>
                <w:rFonts w:hint="eastAsia"/>
                <w:bCs/>
                <w:color w:val="auto"/>
              </w:rPr>
              <w:t>企业和</w:t>
            </w:r>
            <w:r>
              <w:rPr>
                <w:bCs/>
                <w:color w:val="auto"/>
              </w:rPr>
              <w:t>敏感目标影响较小，项目区周边无自然保护区、重要保护文物、风景名胜区和生态敏感点，外环境关系相对简单。</w:t>
            </w:r>
          </w:p>
          <w:p>
            <w:pPr>
              <w:ind w:firstLine="480"/>
              <w:outlineLvl w:val="0"/>
              <w:rPr>
                <w:rFonts w:hint="eastAsia" w:eastAsia="宋体"/>
                <w:bCs/>
                <w:color w:val="auto"/>
                <w:lang w:eastAsia="zh-CN"/>
              </w:rPr>
            </w:pPr>
            <w:bookmarkStart w:id="18" w:name="_Toc30724"/>
            <w:r>
              <w:rPr>
                <w:bCs/>
                <w:color w:val="auto"/>
              </w:rPr>
              <w:t>本项目为</w:t>
            </w:r>
            <w:r>
              <w:rPr>
                <w:rFonts w:hint="eastAsia"/>
                <w:bCs/>
                <w:color w:val="auto"/>
                <w:lang w:val="en-US" w:eastAsia="zh-CN"/>
              </w:rPr>
              <w:t>金属制品制造</w:t>
            </w:r>
            <w:r>
              <w:rPr>
                <w:bCs/>
                <w:color w:val="auto"/>
              </w:rPr>
              <w:t>，生产过程中主要污染物为废气，通过采取措施，可实现达标</w:t>
            </w:r>
            <w:r>
              <w:rPr>
                <w:rFonts w:hint="eastAsia"/>
                <w:bCs/>
                <w:color w:val="auto"/>
                <w:lang w:val="en-US" w:eastAsia="zh-CN"/>
              </w:rPr>
              <w:t>排放</w:t>
            </w:r>
            <w:r>
              <w:rPr>
                <w:bCs/>
                <w:color w:val="auto"/>
              </w:rPr>
              <w:t>，对周边空气环境影响较小。项目采取优化设备布置、减震、厂房封闭围墙阻隔等措施，200m范围内无敏感目标，噪声影响小。项目无生产废水产生，生活污水</w:t>
            </w:r>
            <w:r>
              <w:rPr>
                <w:rFonts w:hint="eastAsia"/>
                <w:bCs/>
                <w:color w:val="auto"/>
                <w:lang w:val="en-US" w:eastAsia="zh-CN"/>
              </w:rPr>
              <w:t>依托</w:t>
            </w:r>
            <w:r>
              <w:rPr>
                <w:rFonts w:hint="eastAsia"/>
                <w:color w:val="auto"/>
              </w:rPr>
              <w:t>昆明力线电缆制造有限公司</w:t>
            </w:r>
            <w:r>
              <w:rPr>
                <w:rFonts w:hint="eastAsia"/>
                <w:color w:val="auto"/>
                <w:lang w:val="en-US" w:eastAsia="zh-CN"/>
              </w:rPr>
              <w:t>已有污水处理设施处理</w:t>
            </w:r>
            <w:r>
              <w:rPr>
                <w:bCs/>
                <w:color w:val="auto"/>
              </w:rPr>
              <w:t>，</w:t>
            </w:r>
            <w:r>
              <w:rPr>
                <w:rFonts w:hint="eastAsia"/>
                <w:bCs/>
                <w:color w:val="auto"/>
                <w:lang w:val="en-US" w:eastAsia="zh-CN"/>
              </w:rPr>
              <w:t>能实现达标排放，</w:t>
            </w:r>
            <w:r>
              <w:rPr>
                <w:bCs/>
                <w:color w:val="auto"/>
              </w:rPr>
              <w:t>对周边水环境影响较小</w:t>
            </w:r>
            <w:r>
              <w:rPr>
                <w:rFonts w:hint="eastAsia"/>
                <w:bCs/>
                <w:color w:val="auto"/>
                <w:lang w:eastAsia="zh-CN"/>
              </w:rPr>
              <w:t>，</w:t>
            </w:r>
            <w:r>
              <w:rPr>
                <w:bCs/>
                <w:color w:val="auto"/>
              </w:rPr>
              <w:t>项目所产生固废全部可妥善处置。</w:t>
            </w:r>
            <w:bookmarkEnd w:id="18"/>
            <w:r>
              <w:rPr>
                <w:bCs/>
                <w:color w:val="auto"/>
              </w:rPr>
              <w:t>在采取相应措施后，本项目现阶段与周围企业及环境基本相容</w:t>
            </w:r>
            <w:r>
              <w:rPr>
                <w:rFonts w:hint="eastAsia"/>
                <w:bCs/>
                <w:color w:val="auto"/>
                <w:lang w:eastAsia="zh-CN"/>
              </w:rPr>
              <w:t>。</w:t>
            </w:r>
          </w:p>
          <w:p>
            <w:pPr>
              <w:pStyle w:val="159"/>
              <w:tabs>
                <w:tab w:val="left" w:pos="387"/>
                <w:tab w:val="left" w:pos="567"/>
              </w:tabs>
              <w:ind w:firstLine="480"/>
              <w:rPr>
                <w:color w:val="auto"/>
              </w:rPr>
            </w:pPr>
            <w:r>
              <w:rPr>
                <w:rFonts w:hint="eastAsia"/>
                <w:color w:val="auto"/>
                <w:szCs w:val="22"/>
              </w:rPr>
              <w:t>综上所述，项目选址区域环境质量现状环境能满足环境功能区划的要求，项目所在地具有一定的环境容量；项目评价范围内无自然保护区、风景名胜区、生态功能保护区等需特殊保护的环境敏感区，项目不涉及天然林、重要湿地等生态敏感区与脆弱区，项目选址无明显的环境制约因素；项目运营期间主要污染物为废气、固废和噪声，通过采取一系列的环境保护和污染防治措施，项目废气、噪声可实现达标排放，固体废弃物100%妥善处理处置，项目环境风险可控可接受，不会改变周围环境功能，项目所在片区大营—茨塘片区大营五金建材园为</w:t>
            </w:r>
            <w:r>
              <w:rPr>
                <w:color w:val="auto"/>
              </w:rPr>
              <w:t>半导体为主导的新材料产业、食品加工、五金建材产业片区</w:t>
            </w:r>
            <w:r>
              <w:rPr>
                <w:rFonts w:hint="eastAsia"/>
                <w:color w:val="auto"/>
                <w:szCs w:val="22"/>
              </w:rPr>
              <w:t>，项目建设与园区产业规划不冲突，周围企业和本项目不存在互相制约的情况。</w:t>
            </w:r>
          </w:p>
          <w:p>
            <w:pPr>
              <w:ind w:firstLine="0" w:firstLineChars="0"/>
              <w:contextualSpacing/>
              <w:textAlignment w:val="baseline"/>
              <w:rPr>
                <w:b/>
                <w:color w:val="auto"/>
              </w:rPr>
            </w:pPr>
            <w:r>
              <w:rPr>
                <w:b/>
                <w:color w:val="auto"/>
              </w:rPr>
              <w:t>三、布局合理性分析</w:t>
            </w:r>
          </w:p>
          <w:p>
            <w:pPr>
              <w:ind w:firstLine="482"/>
              <w:contextualSpacing/>
              <w:jc w:val="left"/>
              <w:textAlignment w:val="baseline"/>
              <w:rPr>
                <w:b/>
                <w:bCs/>
                <w:color w:val="auto"/>
              </w:rPr>
            </w:pPr>
            <w:r>
              <w:rPr>
                <w:rFonts w:hint="eastAsia"/>
                <w:b/>
                <w:bCs/>
                <w:color w:val="auto"/>
              </w:rPr>
              <w:t>1、</w:t>
            </w:r>
            <w:r>
              <w:rPr>
                <w:b/>
                <w:bCs/>
                <w:color w:val="auto"/>
              </w:rPr>
              <w:t>项目总体布局合理性分析</w:t>
            </w:r>
          </w:p>
          <w:p>
            <w:pPr>
              <w:pStyle w:val="159"/>
              <w:tabs>
                <w:tab w:val="left" w:pos="387"/>
                <w:tab w:val="left" w:pos="567"/>
              </w:tabs>
              <w:ind w:firstLine="480"/>
              <w:rPr>
                <w:color w:val="auto"/>
                <w:szCs w:val="22"/>
              </w:rPr>
            </w:pPr>
            <w:r>
              <w:rPr>
                <w:rFonts w:hint="eastAsia"/>
                <w:color w:val="auto"/>
                <w:szCs w:val="22"/>
              </w:rPr>
              <w:t>①交通组织</w:t>
            </w:r>
          </w:p>
          <w:p>
            <w:pPr>
              <w:pStyle w:val="159"/>
              <w:tabs>
                <w:tab w:val="left" w:pos="387"/>
                <w:tab w:val="left" w:pos="567"/>
              </w:tabs>
              <w:ind w:firstLine="480"/>
              <w:rPr>
                <w:color w:val="auto"/>
                <w:szCs w:val="22"/>
              </w:rPr>
            </w:pPr>
            <w:r>
              <w:rPr>
                <w:rFonts w:hint="eastAsia"/>
                <w:color w:val="auto"/>
                <w:szCs w:val="22"/>
              </w:rPr>
              <w:t>项目区南侧470米为国道G108，南侧780米为京昆高速，方便物料、产品运输；生产区四周设置人员通道、物料通道，方便厂区物料、人员通行，不易出现交通阻塞。</w:t>
            </w:r>
          </w:p>
          <w:p>
            <w:pPr>
              <w:pStyle w:val="159"/>
              <w:tabs>
                <w:tab w:val="left" w:pos="387"/>
                <w:tab w:val="left" w:pos="567"/>
              </w:tabs>
              <w:ind w:firstLine="480"/>
              <w:rPr>
                <w:color w:val="auto"/>
                <w:szCs w:val="22"/>
              </w:rPr>
            </w:pPr>
            <w:r>
              <w:rPr>
                <w:rFonts w:hint="eastAsia"/>
                <w:color w:val="auto"/>
                <w:szCs w:val="22"/>
              </w:rPr>
              <w:t>②建筑平面布置</w:t>
            </w:r>
          </w:p>
          <w:p>
            <w:pPr>
              <w:pStyle w:val="159"/>
              <w:tabs>
                <w:tab w:val="left" w:pos="387"/>
                <w:tab w:val="left" w:pos="567"/>
              </w:tabs>
              <w:ind w:firstLine="480"/>
              <w:rPr>
                <w:color w:val="auto"/>
                <w:szCs w:val="22"/>
              </w:rPr>
            </w:pPr>
            <w:r>
              <w:rPr>
                <w:rFonts w:hint="eastAsia"/>
                <w:color w:val="auto"/>
              </w:rPr>
              <w:t>项目平面布局分为板材加工区、焊接区、机加工区、大旋风粉房自动线、配件仓库、固废暂存间、危废暂存间等。1层由东向西设置板材加工区、焊接区、机加工区、大旋风粉房自动线、配件仓库、固废暂存间、危废暂存间等，设置1条网络机箱机柜、5G机房、监控操作台部件生产线；2层装配区，设置1条组装线。根据平面布置图分析，整个厂房布置根据生产工艺流程的要求贯穿成一条畅通的金属构件生产以及组合装配流水线。厂房东西分别有两个门，且离项目出入口近，方便原材料以及成品的运输。</w:t>
            </w:r>
            <w:r>
              <w:rPr>
                <w:rFonts w:hint="eastAsia"/>
                <w:color w:val="auto"/>
                <w:szCs w:val="22"/>
              </w:rPr>
              <w:t>综上所述，项目总体布局和功能分区充分考虑了位置、朝向等各个因素，总体来说，项目总平面布置基本符合环保要求，功能分区明确，人流物流通畅，基本满足企业生产组织的需求。</w:t>
            </w:r>
          </w:p>
          <w:p>
            <w:pPr>
              <w:ind w:firstLine="482"/>
              <w:contextualSpacing/>
              <w:jc w:val="left"/>
              <w:textAlignment w:val="baseline"/>
              <w:rPr>
                <w:b/>
                <w:bCs/>
                <w:color w:val="auto"/>
              </w:rPr>
            </w:pPr>
            <w:r>
              <w:rPr>
                <w:rFonts w:hint="eastAsia"/>
                <w:b/>
                <w:bCs/>
                <w:color w:val="auto"/>
              </w:rPr>
              <w:t>2、</w:t>
            </w:r>
            <w:r>
              <w:rPr>
                <w:b/>
                <w:bCs/>
                <w:color w:val="auto"/>
              </w:rPr>
              <w:t>环保工程布置合理性分析</w:t>
            </w:r>
          </w:p>
          <w:p>
            <w:pPr>
              <w:ind w:firstLine="480"/>
              <w:contextualSpacing/>
              <w:rPr>
                <w:color w:val="auto"/>
              </w:rPr>
            </w:pPr>
            <w:r>
              <w:rPr>
                <w:rFonts w:hint="eastAsia"/>
                <w:color w:val="auto"/>
              </w:rPr>
              <w:t>（1）</w:t>
            </w:r>
            <w:r>
              <w:rPr>
                <w:color w:val="auto"/>
              </w:rPr>
              <w:t>废水环保工程布置合理性分析</w:t>
            </w:r>
          </w:p>
          <w:p>
            <w:pPr>
              <w:ind w:firstLine="480"/>
              <w:rPr>
                <w:color w:val="auto"/>
              </w:rPr>
            </w:pPr>
            <w:r>
              <w:rPr>
                <w:color w:val="auto"/>
              </w:rPr>
              <w:t>项目区内严格实施雨污分流，产生的雨水通过厂区</w:t>
            </w:r>
            <w:r>
              <w:rPr>
                <w:rFonts w:hint="eastAsia"/>
                <w:color w:val="auto"/>
              </w:rPr>
              <w:t>内</w:t>
            </w:r>
            <w:r>
              <w:rPr>
                <w:color w:val="auto"/>
              </w:rPr>
              <w:t>雨水管道排入</w:t>
            </w:r>
            <w:r>
              <w:rPr>
                <w:rFonts w:hint="eastAsia"/>
                <w:color w:val="auto"/>
              </w:rPr>
              <w:t>厂区外雨水沟</w:t>
            </w:r>
            <w:r>
              <w:rPr>
                <w:color w:val="auto"/>
              </w:rPr>
              <w:t>。</w:t>
            </w:r>
            <w:r>
              <w:rPr>
                <w:rFonts w:hint="eastAsia"/>
                <w:color w:val="auto"/>
              </w:rPr>
              <w:t>项目无生产废水</w:t>
            </w:r>
            <w:r>
              <w:rPr>
                <w:rFonts w:hint="eastAsia"/>
                <w:color w:val="auto"/>
                <w:lang w:eastAsia="zh-CN"/>
              </w:rPr>
              <w:t>，</w:t>
            </w:r>
            <w:r>
              <w:rPr>
                <w:rFonts w:hint="eastAsia"/>
                <w:color w:val="auto"/>
              </w:rPr>
              <w:t>员工住宿在附近村庄，自由就餐；卫生间使用昆明力线电缆制造有限公司已建成公共卫生间，据调查公共卫生间旁设置了一个总容积为10m</w:t>
            </w:r>
            <w:r>
              <w:rPr>
                <w:rFonts w:hint="eastAsia"/>
                <w:color w:val="auto"/>
                <w:vertAlign w:val="superscript"/>
              </w:rPr>
              <w:t>3</w:t>
            </w:r>
            <w:r>
              <w:rPr>
                <w:rFonts w:hint="eastAsia"/>
                <w:color w:val="auto"/>
              </w:rPr>
              <w:t>的化粪池，卫生间冲厕废水依托昆明力线电缆制造有限公司已建设的化粪池及一体化污水处理设备处理（处理规模为10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w:t>
            </w:r>
            <w:r>
              <w:rPr>
                <w:rFonts w:hint="eastAsia"/>
                <w:color w:val="auto"/>
              </w:rPr>
              <w:t>标准后回用于绿化及道路清扫，不外排</w:t>
            </w:r>
            <w:r>
              <w:rPr>
                <w:rFonts w:hint="eastAsia" w:ascii="宋体" w:hAnsi="宋体" w:cs="宋体"/>
                <w:color w:val="auto"/>
              </w:rPr>
              <w:t>。根据</w:t>
            </w:r>
            <w:r>
              <w:rPr>
                <w:rFonts w:hint="eastAsia"/>
                <w:color w:val="auto"/>
              </w:rPr>
              <w:t>昆明力线电缆制造有限公司电线电缆制造项目的环评、验收文件及批复</w:t>
            </w:r>
            <w:r>
              <w:rPr>
                <w:color w:val="auto"/>
              </w:rPr>
              <w:t>（</w:t>
            </w:r>
            <w:r>
              <w:rPr>
                <w:rFonts w:hint="eastAsia"/>
                <w:color w:val="auto"/>
              </w:rPr>
              <w:t>富环保复</w:t>
            </w:r>
            <w:r>
              <w:rPr>
                <w:color w:val="auto"/>
              </w:rPr>
              <w:t>[201</w:t>
            </w:r>
            <w:r>
              <w:rPr>
                <w:rFonts w:hint="eastAsia"/>
                <w:color w:val="auto"/>
              </w:rPr>
              <w:t>5</w:t>
            </w:r>
            <w:r>
              <w:rPr>
                <w:color w:val="auto"/>
              </w:rPr>
              <w:t>]</w:t>
            </w:r>
            <w:r>
              <w:rPr>
                <w:rFonts w:hint="eastAsia"/>
                <w:color w:val="auto"/>
              </w:rPr>
              <w:t>15</w:t>
            </w:r>
            <w:r>
              <w:rPr>
                <w:color w:val="auto"/>
              </w:rPr>
              <w:t>号）</w:t>
            </w:r>
            <w:r>
              <w:rPr>
                <w:rFonts w:hint="eastAsia"/>
                <w:color w:val="auto"/>
              </w:rPr>
              <w:t>，原项目设计</w:t>
            </w:r>
            <w:r>
              <w:rPr>
                <w:rFonts w:hint="eastAsia" w:ascii="宋体" w:hAnsi="宋体" w:cs="宋体"/>
                <w:color w:val="auto"/>
              </w:rPr>
              <w:t>化粪池</w:t>
            </w:r>
            <w:r>
              <w:rPr>
                <w:rFonts w:hint="eastAsia"/>
                <w:color w:val="auto"/>
                <w:szCs w:val="21"/>
              </w:rPr>
              <w:t>及</w:t>
            </w:r>
            <w:r>
              <w:rPr>
                <w:rFonts w:hint="eastAsia"/>
                <w:color w:val="auto"/>
              </w:rPr>
              <w:t>一体化污水处理设备规模为5</w:t>
            </w:r>
            <w:r>
              <w:rPr>
                <w:color w:val="auto"/>
              </w:rPr>
              <w:t>m</w:t>
            </w:r>
            <w:r>
              <w:rPr>
                <w:color w:val="auto"/>
                <w:vertAlign w:val="superscript"/>
              </w:rPr>
              <w:t>3</w:t>
            </w:r>
            <w:r>
              <w:rPr>
                <w:color w:val="auto"/>
              </w:rPr>
              <w:t>/d</w:t>
            </w:r>
            <w:r>
              <w:rPr>
                <w:rFonts w:hint="eastAsia"/>
                <w:color w:val="auto"/>
              </w:rPr>
              <w:t>，实际建设时考虑企业发展及规模扩大，用工人数上升等因素，</w:t>
            </w:r>
            <w:r>
              <w:rPr>
                <w:rFonts w:hint="eastAsia" w:ascii="宋体" w:hAnsi="宋体" w:cs="宋体"/>
                <w:color w:val="auto"/>
              </w:rPr>
              <w:t>化粪池</w:t>
            </w:r>
            <w:r>
              <w:rPr>
                <w:rFonts w:hint="eastAsia"/>
                <w:color w:val="auto"/>
                <w:szCs w:val="21"/>
              </w:rPr>
              <w:t>及</w:t>
            </w:r>
            <w:r>
              <w:rPr>
                <w:rFonts w:hint="eastAsia"/>
                <w:color w:val="auto"/>
              </w:rPr>
              <w:t>一体化污水处理设备规模为10</w:t>
            </w:r>
            <w:r>
              <w:rPr>
                <w:color w:val="auto"/>
              </w:rPr>
              <w:t>m</w:t>
            </w:r>
            <w:r>
              <w:rPr>
                <w:color w:val="auto"/>
                <w:vertAlign w:val="superscript"/>
              </w:rPr>
              <w:t>3</w:t>
            </w:r>
            <w:r>
              <w:rPr>
                <w:color w:val="auto"/>
              </w:rPr>
              <w:t>/d</w:t>
            </w:r>
            <w:r>
              <w:rPr>
                <w:rFonts w:hint="eastAsia"/>
                <w:color w:val="auto"/>
              </w:rPr>
              <w:t>，生产经营后未扩大规模，用工人数未增加，实际生活用水生活用水</w:t>
            </w:r>
            <w:r>
              <w:rPr>
                <w:rFonts w:hint="eastAsia"/>
                <w:color w:val="auto"/>
                <w:szCs w:val="21"/>
              </w:rPr>
              <w:t>4.15</w:t>
            </w:r>
            <w:r>
              <w:rPr>
                <w:color w:val="auto"/>
              </w:rPr>
              <w:t>m</w:t>
            </w:r>
            <w:r>
              <w:rPr>
                <w:color w:val="auto"/>
                <w:vertAlign w:val="superscript"/>
              </w:rPr>
              <w:t>3</w:t>
            </w:r>
            <w:r>
              <w:rPr>
                <w:color w:val="auto"/>
              </w:rPr>
              <w:t>/d</w:t>
            </w:r>
            <w:r>
              <w:rPr>
                <w:rFonts w:hint="eastAsia"/>
                <w:color w:val="auto"/>
              </w:rPr>
              <w:t>，产生生活废水</w:t>
            </w:r>
            <w:r>
              <w:rPr>
                <w:rFonts w:hint="eastAsia"/>
                <w:color w:val="auto"/>
                <w:szCs w:val="21"/>
              </w:rPr>
              <w:t>3.32</w:t>
            </w:r>
            <w:r>
              <w:rPr>
                <w:color w:val="auto"/>
              </w:rPr>
              <w:t>m</w:t>
            </w:r>
            <w:r>
              <w:rPr>
                <w:color w:val="auto"/>
                <w:vertAlign w:val="superscript"/>
              </w:rPr>
              <w:t>3</w:t>
            </w:r>
            <w:r>
              <w:rPr>
                <w:color w:val="auto"/>
              </w:rPr>
              <w:t>/d</w:t>
            </w:r>
            <w:r>
              <w:rPr>
                <w:rFonts w:hint="eastAsia"/>
                <w:color w:val="auto"/>
              </w:rPr>
              <w:t>，本项目冲厕废水0.2</w:t>
            </w:r>
            <w:r>
              <w:rPr>
                <w:color w:val="auto"/>
              </w:rPr>
              <w:t>m</w:t>
            </w:r>
            <w:r>
              <w:rPr>
                <w:color w:val="auto"/>
                <w:vertAlign w:val="superscript"/>
              </w:rPr>
              <w:t>3</w:t>
            </w:r>
            <w:r>
              <w:rPr>
                <w:color w:val="auto"/>
              </w:rPr>
              <w:t>/d，</w:t>
            </w:r>
            <w:r>
              <w:rPr>
                <w:rFonts w:hint="eastAsia"/>
                <w:color w:val="auto"/>
              </w:rPr>
              <w:t>合计生活用水</w:t>
            </w:r>
            <w:r>
              <w:rPr>
                <w:rFonts w:hint="eastAsia"/>
                <w:color w:val="auto"/>
                <w:szCs w:val="21"/>
              </w:rPr>
              <w:t>4.35</w:t>
            </w:r>
            <w:r>
              <w:rPr>
                <w:color w:val="auto"/>
              </w:rPr>
              <w:t>m</w:t>
            </w:r>
            <w:r>
              <w:rPr>
                <w:color w:val="auto"/>
                <w:vertAlign w:val="superscript"/>
              </w:rPr>
              <w:t>3</w:t>
            </w:r>
            <w:r>
              <w:rPr>
                <w:color w:val="auto"/>
              </w:rPr>
              <w:t>/d</w:t>
            </w:r>
            <w:r>
              <w:rPr>
                <w:rFonts w:hint="eastAsia"/>
                <w:color w:val="auto"/>
              </w:rPr>
              <w:t>，产生生活废水</w:t>
            </w:r>
            <w:r>
              <w:rPr>
                <w:rFonts w:hint="eastAsia"/>
                <w:color w:val="auto"/>
                <w:szCs w:val="21"/>
              </w:rPr>
              <w:t>3.52</w:t>
            </w:r>
            <w:r>
              <w:rPr>
                <w:color w:val="auto"/>
              </w:rPr>
              <w:t>m</w:t>
            </w:r>
            <w:r>
              <w:rPr>
                <w:color w:val="auto"/>
                <w:vertAlign w:val="superscript"/>
              </w:rPr>
              <w:t>3</w:t>
            </w:r>
            <w:r>
              <w:rPr>
                <w:color w:val="auto"/>
              </w:rPr>
              <w:t>/d</w:t>
            </w:r>
            <w:r>
              <w:rPr>
                <w:rFonts w:hint="eastAsia"/>
                <w:color w:val="auto"/>
              </w:rPr>
              <w:t>，</w:t>
            </w:r>
            <w:r>
              <w:rPr>
                <w:rFonts w:hint="eastAsia" w:ascii="宋体" w:hAnsi="宋体" w:cs="宋体"/>
                <w:color w:val="auto"/>
              </w:rPr>
              <w:t>化粪池</w:t>
            </w:r>
            <w:r>
              <w:rPr>
                <w:rFonts w:hint="eastAsia"/>
                <w:color w:val="auto"/>
                <w:szCs w:val="21"/>
              </w:rPr>
              <w:t>容积及</w:t>
            </w:r>
            <w:r>
              <w:rPr>
                <w:rFonts w:hint="eastAsia"/>
                <w:color w:val="auto"/>
              </w:rPr>
              <w:t>一体化污水处理设备规模为10</w:t>
            </w:r>
            <w:r>
              <w:rPr>
                <w:color w:val="auto"/>
              </w:rPr>
              <w:t>m</w:t>
            </w:r>
            <w:r>
              <w:rPr>
                <w:color w:val="auto"/>
                <w:vertAlign w:val="superscript"/>
              </w:rPr>
              <w:t>3</w:t>
            </w:r>
            <w:r>
              <w:rPr>
                <w:color w:val="auto"/>
              </w:rPr>
              <w:t>/d</w:t>
            </w:r>
            <w:r>
              <w:rPr>
                <w:rFonts w:hint="eastAsia"/>
                <w:color w:val="auto"/>
              </w:rPr>
              <w:t>，</w:t>
            </w:r>
            <w:r>
              <w:rPr>
                <w:rFonts w:hint="eastAsia"/>
                <w:color w:val="auto"/>
                <w:lang w:eastAsia="zh-CN"/>
              </w:rPr>
              <w:t>因此</w:t>
            </w:r>
            <w:r>
              <w:rPr>
                <w:rFonts w:hint="eastAsia"/>
                <w:color w:val="auto"/>
              </w:rPr>
              <w:t>项目废水不外排可行，不会影响项目所在地水环境。</w:t>
            </w:r>
          </w:p>
          <w:p>
            <w:pPr>
              <w:ind w:firstLine="480"/>
              <w:contextualSpacing/>
              <w:rPr>
                <w:color w:val="auto"/>
              </w:rPr>
            </w:pPr>
            <w:r>
              <w:rPr>
                <w:rFonts w:hint="eastAsia"/>
                <w:color w:val="auto"/>
              </w:rPr>
              <w:t>（2）</w:t>
            </w:r>
            <w:r>
              <w:rPr>
                <w:color w:val="auto"/>
              </w:rPr>
              <w:t>废气环保工程布置合理性分析</w:t>
            </w:r>
          </w:p>
          <w:p>
            <w:pPr>
              <w:ind w:firstLine="480"/>
              <w:contextualSpacing/>
              <w:rPr>
                <w:color w:val="auto"/>
              </w:rPr>
            </w:pPr>
            <w:r>
              <w:rPr>
                <w:rFonts w:hint="eastAsia"/>
                <w:color w:val="auto"/>
              </w:rPr>
              <w:t>项目焊接烟尘经过多虑筒焊烟净化设备处理后车间无组织排放，喷塑粉尘采用二级滤芯脉冲除尘处理后由15m高（1#）排气筒外排，固化炉燃料为外购天然气，属环保清洁能源，燃烧产生的废气通过15m高（2#）排气筒排放，固化废气经</w:t>
            </w:r>
            <w:r>
              <w:rPr>
                <w:rFonts w:hint="eastAsia"/>
                <w:color w:val="auto"/>
                <w:lang w:val="en-US" w:eastAsia="zh-CN"/>
              </w:rPr>
              <w:t>UV光氧+</w:t>
            </w:r>
            <w:r>
              <w:rPr>
                <w:rFonts w:hint="eastAsia"/>
                <w:color w:val="auto"/>
              </w:rPr>
              <w:t>活性炭吸附装置处理后至15m高（2#）排气筒排放。</w:t>
            </w:r>
            <w:r>
              <w:rPr>
                <w:color w:val="auto"/>
              </w:rPr>
              <w:t>项目共设</w:t>
            </w:r>
            <w:r>
              <w:rPr>
                <w:rFonts w:hint="eastAsia"/>
                <w:color w:val="auto"/>
              </w:rPr>
              <w:t>2</w:t>
            </w:r>
            <w:r>
              <w:rPr>
                <w:color w:val="auto"/>
              </w:rPr>
              <w:t>个排气筒，排气筒设置于项目区</w:t>
            </w:r>
            <w:r>
              <w:rPr>
                <w:rFonts w:hint="eastAsia"/>
                <w:color w:val="auto"/>
              </w:rPr>
              <w:t>西</w:t>
            </w:r>
            <w:r>
              <w:rPr>
                <w:color w:val="auto"/>
              </w:rPr>
              <w:t>侧，高均为15m，</w:t>
            </w:r>
            <w:r>
              <w:rPr>
                <w:rFonts w:hint="eastAsia"/>
                <w:color w:val="auto"/>
              </w:rPr>
              <w:t>本</w:t>
            </w:r>
            <w:r>
              <w:rPr>
                <w:color w:val="auto"/>
              </w:rPr>
              <w:t>项目</w:t>
            </w:r>
            <w:r>
              <w:rPr>
                <w:rFonts w:hint="eastAsia"/>
                <w:color w:val="auto"/>
              </w:rPr>
              <w:t>产生的废气经采取上述治理措施后</w:t>
            </w:r>
            <w:r>
              <w:rPr>
                <w:color w:val="auto"/>
              </w:rPr>
              <w:t>污染物可以达标排放</w:t>
            </w:r>
            <w:r>
              <w:rPr>
                <w:rFonts w:hint="eastAsia"/>
                <w:color w:val="auto"/>
              </w:rPr>
              <w:t>。</w:t>
            </w:r>
            <w:r>
              <w:rPr>
                <w:color w:val="auto"/>
              </w:rPr>
              <w:t>拟设排气筒半径200m周边为项目厂房、空地及其他企业等，高度在</w:t>
            </w:r>
            <w:r>
              <w:rPr>
                <w:rFonts w:hint="eastAsia"/>
                <w:color w:val="auto"/>
                <w:lang w:val="en-US" w:eastAsia="zh-CN"/>
              </w:rPr>
              <w:t>10</w:t>
            </w:r>
            <w:r>
              <w:rPr>
                <w:color w:val="auto"/>
              </w:rPr>
              <w:t>m以内，项目排气筒高度</w:t>
            </w:r>
            <w:r>
              <w:rPr>
                <w:rFonts w:hint="eastAsia"/>
                <w:color w:val="auto"/>
              </w:rPr>
              <w:t>为</w:t>
            </w:r>
            <w:r>
              <w:rPr>
                <w:color w:val="auto"/>
              </w:rPr>
              <w:t>15m，符合GB16297-1996《大气污染物综合排放标准》中相关要求，通过设置15m高排气筒，本项目排放污染物可得到较好扩散，对周边大气环境影响较小。</w:t>
            </w:r>
          </w:p>
          <w:p>
            <w:pPr>
              <w:ind w:firstLine="480"/>
              <w:contextualSpacing/>
              <w:rPr>
                <w:color w:val="auto"/>
              </w:rPr>
            </w:pPr>
            <w:r>
              <w:rPr>
                <w:rFonts w:hint="eastAsia"/>
                <w:color w:val="auto"/>
              </w:rPr>
              <w:t>（3）固废</w:t>
            </w:r>
            <w:r>
              <w:rPr>
                <w:color w:val="auto"/>
              </w:rPr>
              <w:t>环保工程布置合理性分析</w:t>
            </w:r>
          </w:p>
          <w:p>
            <w:pPr>
              <w:ind w:firstLine="480"/>
              <w:contextualSpacing/>
              <w:rPr>
                <w:color w:val="auto"/>
              </w:rPr>
            </w:pPr>
            <w:r>
              <w:rPr>
                <w:rFonts w:hint="eastAsia"/>
                <w:color w:val="auto"/>
              </w:rPr>
              <w:t>项目于厂房东南侧设置面积6m</w:t>
            </w:r>
            <w:r>
              <w:rPr>
                <w:rFonts w:hint="eastAsia"/>
                <w:color w:val="auto"/>
                <w:vertAlign w:val="superscript"/>
              </w:rPr>
              <w:t>2</w:t>
            </w:r>
            <w:r>
              <w:rPr>
                <w:rFonts w:hint="eastAsia"/>
                <w:color w:val="auto"/>
              </w:rPr>
              <w:t>的固废暂存间，用于收集废弃金属边角料等一般工业固废；项目于厂房南侧设置面积5m</w:t>
            </w:r>
            <w:r>
              <w:rPr>
                <w:rFonts w:hint="eastAsia"/>
                <w:color w:val="auto"/>
                <w:vertAlign w:val="superscript"/>
              </w:rPr>
              <w:t>2</w:t>
            </w:r>
            <w:r>
              <w:rPr>
                <w:rFonts w:hint="eastAsia"/>
                <w:color w:val="auto"/>
              </w:rPr>
              <w:t>的危废暂存间，用于存放废活性炭，维修设备时所产生的废润滑油和废油桶等，项目生产产生的危险废弃物定期委托有资质的单位处置，对项目周边影响较小。</w:t>
            </w:r>
          </w:p>
          <w:p>
            <w:pPr>
              <w:ind w:left="588" w:leftChars="245" w:firstLine="0" w:firstLineChars="0"/>
              <w:contextualSpacing/>
              <w:rPr>
                <w:b/>
                <w:bCs/>
                <w:color w:val="auto"/>
              </w:rPr>
            </w:pPr>
            <w:r>
              <w:rPr>
                <w:rFonts w:hint="eastAsia"/>
                <w:color w:val="auto"/>
              </w:rPr>
              <w:t>因此，从环保的角度出发，本项目平面布局合理。</w:t>
            </w:r>
          </w:p>
          <w:p>
            <w:pPr>
              <w:ind w:firstLine="0" w:firstLineChars="0"/>
              <w:contextualSpacing/>
              <w:rPr>
                <w:b/>
                <w:color w:val="auto"/>
              </w:rPr>
            </w:pPr>
            <w:r>
              <w:rPr>
                <w:b/>
                <w:color w:val="auto"/>
              </w:rPr>
              <w:t>四、施工期环境影响分析</w:t>
            </w:r>
          </w:p>
          <w:p>
            <w:pPr>
              <w:widowControl/>
              <w:ind w:firstLine="482"/>
              <w:jc w:val="left"/>
              <w:rPr>
                <w:b/>
                <w:bCs/>
                <w:color w:val="auto"/>
              </w:rPr>
            </w:pPr>
            <w:r>
              <w:rPr>
                <w:b/>
                <w:bCs/>
                <w:color w:val="auto"/>
              </w:rPr>
              <w:t>1</w:t>
            </w:r>
            <w:r>
              <w:rPr>
                <w:rFonts w:hint="eastAsia"/>
                <w:b/>
                <w:bCs/>
                <w:color w:val="auto"/>
              </w:rPr>
              <w:t xml:space="preserve">、废气 </w:t>
            </w:r>
          </w:p>
          <w:p>
            <w:pPr>
              <w:widowControl/>
              <w:ind w:firstLine="480"/>
              <w:jc w:val="left"/>
              <w:rPr>
                <w:color w:val="auto"/>
              </w:rPr>
            </w:pPr>
            <w:r>
              <w:rPr>
                <w:rFonts w:hint="eastAsia"/>
                <w:color w:val="auto"/>
              </w:rPr>
              <w:t>废气主要为厂房重新布置过程中产生的少量粉尘，呈无组织排放，通过厂区内洒水降尘，减少粉尘排放。运输车辆产生少量汽车尾气，无组织排放，自然稀释。</w:t>
            </w:r>
          </w:p>
          <w:p>
            <w:pPr>
              <w:widowControl/>
              <w:ind w:firstLine="480"/>
              <w:jc w:val="left"/>
              <w:rPr>
                <w:color w:val="auto"/>
              </w:rPr>
            </w:pPr>
            <w:r>
              <w:rPr>
                <w:rFonts w:hint="eastAsia"/>
                <w:color w:val="auto"/>
              </w:rPr>
              <w:t>施工单位采取以下措施可以减少施工期废气对空气环境的影响：</w:t>
            </w:r>
          </w:p>
          <w:p>
            <w:pPr>
              <w:widowControl/>
              <w:ind w:firstLine="480"/>
              <w:jc w:val="left"/>
              <w:rPr>
                <w:color w:val="auto"/>
              </w:rPr>
            </w:pPr>
            <w:r>
              <w:rPr>
                <w:rFonts w:hint="eastAsia"/>
                <w:color w:val="auto"/>
              </w:rPr>
              <w:t>（</w:t>
            </w:r>
            <w:r>
              <w:rPr>
                <w:color w:val="auto"/>
              </w:rPr>
              <w:t>1</w:t>
            </w:r>
            <w:r>
              <w:rPr>
                <w:rFonts w:hint="eastAsia"/>
                <w:color w:val="auto"/>
              </w:rPr>
              <w:t xml:space="preserve">）湿法作业，及时洒水降尘。 </w:t>
            </w:r>
          </w:p>
          <w:p>
            <w:pPr>
              <w:widowControl/>
              <w:ind w:firstLine="480"/>
              <w:jc w:val="left"/>
              <w:rPr>
                <w:color w:val="auto"/>
              </w:rPr>
            </w:pPr>
            <w:r>
              <w:rPr>
                <w:rFonts w:hint="eastAsia"/>
                <w:color w:val="auto"/>
              </w:rPr>
              <w:t>（</w:t>
            </w:r>
            <w:r>
              <w:rPr>
                <w:color w:val="auto"/>
              </w:rPr>
              <w:t>2</w:t>
            </w:r>
            <w:r>
              <w:rPr>
                <w:rFonts w:hint="eastAsia"/>
                <w:color w:val="auto"/>
              </w:rPr>
              <w:t xml:space="preserve">）室内施工产生粉尘时，尽量关闭已经安装好的门窗，减小粉尘对外界的污染程度。 </w:t>
            </w:r>
          </w:p>
          <w:p>
            <w:pPr>
              <w:widowControl/>
              <w:ind w:firstLine="482"/>
              <w:jc w:val="left"/>
              <w:rPr>
                <w:b/>
                <w:bCs/>
                <w:color w:val="auto"/>
              </w:rPr>
            </w:pPr>
            <w:r>
              <w:rPr>
                <w:b/>
                <w:bCs/>
                <w:color w:val="auto"/>
              </w:rPr>
              <w:t>2</w:t>
            </w:r>
            <w:r>
              <w:rPr>
                <w:rFonts w:hint="eastAsia"/>
                <w:b/>
                <w:bCs/>
                <w:color w:val="auto"/>
              </w:rPr>
              <w:t xml:space="preserve">、废水 </w:t>
            </w:r>
          </w:p>
          <w:p>
            <w:pPr>
              <w:widowControl/>
              <w:ind w:firstLine="480"/>
              <w:jc w:val="left"/>
              <w:rPr>
                <w:color w:val="auto"/>
              </w:rPr>
            </w:pPr>
            <w:r>
              <w:rPr>
                <w:rFonts w:hint="eastAsia"/>
                <w:color w:val="auto"/>
              </w:rPr>
              <w:t>施工期废水主要施工人员的</w:t>
            </w:r>
            <w:r>
              <w:rPr>
                <w:rFonts w:hint="eastAsia"/>
                <w:color w:val="auto"/>
                <w:lang w:eastAsia="zh-CN"/>
              </w:rPr>
              <w:t>生活废水</w:t>
            </w:r>
            <w:r>
              <w:rPr>
                <w:rFonts w:hint="eastAsia"/>
                <w:color w:val="auto"/>
              </w:rPr>
              <w:t>，施工人员上卫生间依托厂区已建好公共卫生间，冲厕废水依托昆明力线电缆制造有限公司已建设的化粪池及一体化污水处理设备处理达标后回用于绿化及道路清扫，不外排。</w:t>
            </w:r>
          </w:p>
          <w:p>
            <w:pPr>
              <w:widowControl/>
              <w:ind w:firstLine="482"/>
              <w:jc w:val="left"/>
              <w:rPr>
                <w:b/>
                <w:bCs/>
                <w:color w:val="auto"/>
              </w:rPr>
            </w:pPr>
            <w:r>
              <w:rPr>
                <w:b/>
                <w:bCs/>
                <w:color w:val="auto"/>
              </w:rPr>
              <w:t>3</w:t>
            </w:r>
            <w:r>
              <w:rPr>
                <w:rFonts w:hint="eastAsia"/>
                <w:b/>
                <w:bCs/>
                <w:color w:val="auto"/>
              </w:rPr>
              <w:t xml:space="preserve">、噪声 </w:t>
            </w:r>
          </w:p>
          <w:p>
            <w:pPr>
              <w:widowControl/>
              <w:ind w:firstLine="480"/>
              <w:jc w:val="left"/>
              <w:rPr>
                <w:color w:val="auto"/>
              </w:rPr>
            </w:pPr>
            <w:r>
              <w:rPr>
                <w:rFonts w:hint="eastAsia"/>
                <w:color w:val="auto"/>
              </w:rPr>
              <w:t xml:space="preserve">厂房在设备安装、厂房重新布置过程中会产生少量噪声，常用施工机械主要为电钻、电锯、电焊机等，施工机械的声级值在 </w:t>
            </w:r>
            <w:r>
              <w:rPr>
                <w:color w:val="auto"/>
              </w:rPr>
              <w:t>85</w:t>
            </w:r>
            <w:r>
              <w:rPr>
                <w:rFonts w:hint="eastAsia"/>
                <w:color w:val="auto"/>
              </w:rPr>
              <w:t>～</w:t>
            </w:r>
            <w:r>
              <w:rPr>
                <w:color w:val="auto"/>
              </w:rPr>
              <w:t>95dB(A)</w:t>
            </w:r>
            <w:r>
              <w:rPr>
                <w:rFonts w:hint="eastAsia"/>
                <w:color w:val="auto"/>
              </w:rPr>
              <w:t xml:space="preserve">之间，且项目区周围无噪声敏感点，项目施工噪声不会对噪声敏感点造成影响。因此，为满足施工噪声在厂界达标排放，项目在施工期间，采取了以下措施，减缓施工噪声影响，具体措施为： </w:t>
            </w:r>
          </w:p>
          <w:p>
            <w:pPr>
              <w:widowControl/>
              <w:ind w:firstLine="480"/>
              <w:jc w:val="left"/>
              <w:rPr>
                <w:color w:val="auto"/>
              </w:rPr>
            </w:pPr>
            <w:r>
              <w:rPr>
                <w:rFonts w:hint="eastAsia"/>
                <w:color w:val="auto"/>
              </w:rPr>
              <w:t>（</w:t>
            </w:r>
            <w:r>
              <w:rPr>
                <w:color w:val="auto"/>
              </w:rPr>
              <w:t>1</w:t>
            </w:r>
            <w:r>
              <w:rPr>
                <w:rFonts w:hint="eastAsia"/>
                <w:color w:val="auto"/>
              </w:rPr>
              <w:t>）施工期严格贯彻执行昆明市人民政府令第</w:t>
            </w:r>
            <w:r>
              <w:rPr>
                <w:color w:val="auto"/>
              </w:rPr>
              <w:t>72</w:t>
            </w:r>
            <w:r>
              <w:rPr>
                <w:rFonts w:hint="eastAsia"/>
                <w:color w:val="auto"/>
              </w:rPr>
              <w:t xml:space="preserve">号《昆明市环境噪声污染防治管理办法》的有关要求： </w:t>
            </w:r>
          </w:p>
          <w:p>
            <w:pPr>
              <w:widowControl/>
              <w:ind w:firstLine="480"/>
              <w:jc w:val="left"/>
              <w:rPr>
                <w:color w:val="auto"/>
              </w:rPr>
            </w:pPr>
            <w:r>
              <w:rPr>
                <w:rFonts w:hint="eastAsia"/>
                <w:color w:val="auto"/>
              </w:rPr>
              <w:t xml:space="preserve">第十六条 建筑施工单位采取了有效措施，降低施工噪声污染，所排放的建筑施工噪声， 应当符合国家规定的建筑施工场界噪声限值。 </w:t>
            </w:r>
          </w:p>
          <w:p>
            <w:pPr>
              <w:widowControl/>
              <w:ind w:firstLine="480"/>
              <w:jc w:val="left"/>
              <w:rPr>
                <w:color w:val="auto"/>
              </w:rPr>
            </w:pPr>
            <w:r>
              <w:rPr>
                <w:rFonts w:hint="eastAsia"/>
                <w:color w:val="auto"/>
              </w:rPr>
              <w:t>第十八条 主城建成区内，禁止在</w:t>
            </w:r>
            <w:r>
              <w:rPr>
                <w:color w:val="auto"/>
              </w:rPr>
              <w:t>12</w:t>
            </w:r>
            <w:r>
              <w:rPr>
                <w:rFonts w:hint="eastAsia"/>
                <w:color w:val="auto"/>
              </w:rPr>
              <w:t>时至</w:t>
            </w:r>
            <w:r>
              <w:rPr>
                <w:color w:val="auto"/>
              </w:rPr>
              <w:t>14</w:t>
            </w:r>
            <w:r>
              <w:rPr>
                <w:rFonts w:hint="eastAsia"/>
                <w:color w:val="auto"/>
              </w:rPr>
              <w:t>时、</w:t>
            </w:r>
            <w:r>
              <w:rPr>
                <w:color w:val="auto"/>
              </w:rPr>
              <w:t>22</w:t>
            </w:r>
            <w:r>
              <w:rPr>
                <w:rFonts w:hint="eastAsia"/>
                <w:color w:val="auto"/>
              </w:rPr>
              <w:t>时至次日</w:t>
            </w:r>
            <w:r>
              <w:rPr>
                <w:color w:val="auto"/>
              </w:rPr>
              <w:t>6</w:t>
            </w:r>
            <w:r>
              <w:rPr>
                <w:rFonts w:hint="eastAsia"/>
                <w:color w:val="auto"/>
              </w:rPr>
              <w:t xml:space="preserve">时进行建筑施工作业， 但抢修、抢险作业和因混凝土浇灌、桩基冲孔、打孔桩成型等生产工艺需要连续作业的除外。 </w:t>
            </w:r>
          </w:p>
          <w:p>
            <w:pPr>
              <w:widowControl/>
              <w:ind w:firstLine="480"/>
              <w:jc w:val="left"/>
              <w:rPr>
                <w:color w:val="auto"/>
              </w:rPr>
            </w:pPr>
            <w:r>
              <w:rPr>
                <w:rFonts w:hint="eastAsia"/>
                <w:color w:val="auto"/>
              </w:rPr>
              <w:t>（</w:t>
            </w:r>
            <w:r>
              <w:rPr>
                <w:color w:val="auto"/>
              </w:rPr>
              <w:t>2</w:t>
            </w:r>
            <w:r>
              <w:rPr>
                <w:rFonts w:hint="eastAsia"/>
                <w:color w:val="auto"/>
              </w:rPr>
              <w:t xml:space="preserve">）项目装修期间选用优质低噪声设备，降低施工噪声对周围环境的影响。 </w:t>
            </w:r>
          </w:p>
          <w:p>
            <w:pPr>
              <w:widowControl/>
              <w:ind w:firstLine="480"/>
              <w:jc w:val="left"/>
              <w:rPr>
                <w:color w:val="auto"/>
              </w:rPr>
            </w:pPr>
            <w:r>
              <w:rPr>
                <w:rFonts w:hint="eastAsia"/>
                <w:color w:val="auto"/>
              </w:rPr>
              <w:t>（</w:t>
            </w:r>
            <w:r>
              <w:rPr>
                <w:color w:val="auto"/>
              </w:rPr>
              <w:t>3</w:t>
            </w:r>
            <w:r>
              <w:rPr>
                <w:rFonts w:hint="eastAsia"/>
                <w:color w:val="auto"/>
              </w:rPr>
              <w:t xml:space="preserve">）加强对施工人员的管理，做到文明施工，避免人为噪声的产生。另外，项目施工期间要与施工方签订了环境管理责任书，具体落实施工期噪声防治措施，减轻对环境影响。 </w:t>
            </w:r>
          </w:p>
          <w:p>
            <w:pPr>
              <w:widowControl/>
              <w:ind w:firstLine="482" w:firstLineChars="0"/>
              <w:jc w:val="left"/>
              <w:rPr>
                <w:color w:val="auto"/>
              </w:rPr>
            </w:pPr>
            <w:r>
              <w:rPr>
                <w:rFonts w:hint="eastAsia"/>
                <w:color w:val="auto"/>
              </w:rPr>
              <w:t>采取以上治理措施后项目施工期噪声达《建筑施工场界环境噪声排放标准》 （</w:t>
            </w:r>
            <w:r>
              <w:rPr>
                <w:color w:val="auto"/>
              </w:rPr>
              <w:t>GB12523-2011</w:t>
            </w:r>
            <w:r>
              <w:rPr>
                <w:rFonts w:hint="eastAsia"/>
                <w:color w:val="auto"/>
              </w:rPr>
              <w:t xml:space="preserve">）要求。施工噪声的影响是短暂的，施工结束后即可消除。 </w:t>
            </w:r>
          </w:p>
          <w:p>
            <w:pPr>
              <w:widowControl/>
              <w:ind w:firstLine="482"/>
              <w:jc w:val="left"/>
              <w:rPr>
                <w:b/>
                <w:bCs/>
                <w:color w:val="auto"/>
              </w:rPr>
            </w:pPr>
            <w:r>
              <w:rPr>
                <w:b/>
                <w:bCs/>
                <w:color w:val="auto"/>
              </w:rPr>
              <w:t>4</w:t>
            </w:r>
            <w:r>
              <w:rPr>
                <w:rFonts w:hint="eastAsia"/>
                <w:b/>
                <w:bCs/>
                <w:color w:val="auto"/>
              </w:rPr>
              <w:t xml:space="preserve">、固废 </w:t>
            </w:r>
          </w:p>
          <w:p>
            <w:pPr>
              <w:widowControl/>
              <w:ind w:firstLine="480"/>
              <w:jc w:val="left"/>
              <w:rPr>
                <w:color w:val="auto"/>
              </w:rPr>
            </w:pPr>
            <w:r>
              <w:rPr>
                <w:rFonts w:hint="eastAsia"/>
                <w:color w:val="auto"/>
              </w:rPr>
              <w:t>设备废包装材料及厂房重新布置过程中产生的少量废材料，可以回收的则回收利用，不可回收的统一收集后，委托当地环卫部门处置。</w:t>
            </w:r>
          </w:p>
          <w:p>
            <w:pPr>
              <w:widowControl/>
              <w:ind w:firstLine="480"/>
              <w:jc w:val="left"/>
              <w:rPr>
                <w:color w:val="auto"/>
              </w:rPr>
            </w:pPr>
            <w:r>
              <w:rPr>
                <w:rFonts w:hint="eastAsia"/>
                <w:color w:val="auto"/>
              </w:rPr>
              <w:t>综上，施工期产生的污染物严格执行环评提出的对策处理对周围环境影响较小。</w:t>
            </w:r>
          </w:p>
          <w:p>
            <w:pPr>
              <w:ind w:firstLine="0" w:firstLineChars="0"/>
              <w:contextualSpacing/>
              <w:rPr>
                <w:b/>
                <w:bCs/>
                <w:color w:val="auto"/>
              </w:rPr>
            </w:pPr>
            <w:r>
              <w:rPr>
                <w:b/>
                <w:bCs/>
                <w:color w:val="auto"/>
              </w:rPr>
              <w:t>五、运营期环境影响分析</w:t>
            </w:r>
          </w:p>
          <w:p>
            <w:pPr>
              <w:ind w:firstLine="482"/>
              <w:rPr>
                <w:b/>
                <w:bCs/>
                <w:color w:val="auto"/>
              </w:rPr>
            </w:pPr>
            <w:r>
              <w:rPr>
                <w:rFonts w:hint="eastAsia"/>
                <w:b/>
                <w:bCs/>
                <w:color w:val="auto"/>
              </w:rPr>
              <w:t>1、</w:t>
            </w:r>
            <w:r>
              <w:rPr>
                <w:b/>
                <w:bCs/>
                <w:color w:val="auto"/>
              </w:rPr>
              <w:t>大气环境影响分析</w:t>
            </w:r>
          </w:p>
          <w:p>
            <w:pPr>
              <w:ind w:firstLine="480"/>
              <w:rPr>
                <w:color w:val="auto"/>
              </w:rPr>
            </w:pPr>
            <w:r>
              <w:rPr>
                <w:rFonts w:hint="eastAsia"/>
                <w:color w:val="auto"/>
              </w:rPr>
              <w:t>依据《环境影响评价技术导则-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pPr>
              <w:widowControl/>
              <w:ind w:firstLine="482"/>
              <w:rPr>
                <w:b/>
                <w:bCs/>
                <w:color w:val="auto"/>
              </w:rPr>
            </w:pPr>
            <w:r>
              <w:rPr>
                <w:rFonts w:hint="eastAsia"/>
                <w:b/>
                <w:bCs/>
                <w:color w:val="auto"/>
              </w:rPr>
              <w:t>（1）预测因子</w:t>
            </w:r>
          </w:p>
          <w:p>
            <w:pPr>
              <w:ind w:firstLine="480"/>
              <w:rPr>
                <w:color w:val="auto"/>
              </w:rPr>
            </w:pPr>
            <w:r>
              <w:rPr>
                <w:color w:val="auto"/>
              </w:rPr>
              <w:t>根据HJ2.2-2018《环境影响评价技术导则大气环境》要求，</w:t>
            </w:r>
            <w:r>
              <w:rPr>
                <w:rFonts w:hint="eastAsia"/>
                <w:color w:val="auto"/>
              </w:rPr>
              <w:t>根据本项目特点，</w:t>
            </w:r>
            <w:r>
              <w:rPr>
                <w:color w:val="auto"/>
              </w:rPr>
              <w:t>本项目主要排放源为</w:t>
            </w:r>
            <w:r>
              <w:rPr>
                <w:rFonts w:hint="eastAsia"/>
                <w:color w:val="auto"/>
              </w:rPr>
              <w:t>喷塑、固化炉</w:t>
            </w:r>
            <w:r>
              <w:rPr>
                <w:color w:val="auto"/>
              </w:rPr>
              <w:t>，</w:t>
            </w:r>
            <w:r>
              <w:rPr>
                <w:rFonts w:hint="default" w:ascii="Times New Roman" w:hAnsi="Times New Roman" w:cs="Times New Roman"/>
                <w:color w:val="auto"/>
              </w:rPr>
              <w:t>涉及的污染物为</w:t>
            </w:r>
            <w:r>
              <w:rPr>
                <w:rFonts w:hint="eastAsia" w:cs="Times New Roman"/>
                <w:color w:val="auto"/>
                <w:lang w:val="en-US" w:eastAsia="zh-CN"/>
              </w:rPr>
              <w:t>TSP、PM</w:t>
            </w:r>
            <w:r>
              <w:rPr>
                <w:rFonts w:hint="eastAsia" w:cs="Times New Roman"/>
                <w:color w:val="auto"/>
                <w:vertAlign w:val="subscript"/>
                <w:lang w:val="en-US" w:eastAsia="zh-CN"/>
              </w:rPr>
              <w:t>10</w:t>
            </w:r>
            <w:r>
              <w:rPr>
                <w:rFonts w:hint="eastAsia" w:cs="Times New Roman"/>
                <w:color w:val="auto"/>
                <w:lang w:val="en-US" w:eastAsia="zh-CN"/>
              </w:rPr>
              <w:t>、</w:t>
            </w:r>
            <w:r>
              <w:rPr>
                <w:rFonts w:hint="default"/>
                <w:color w:val="auto"/>
              </w:rPr>
              <w:t>TVOC</w:t>
            </w:r>
            <w:r>
              <w:rPr>
                <w:rFonts w:hint="eastAsia" w:cs="Times New Roman"/>
                <w:color w:val="auto"/>
                <w:lang w:eastAsia="zh-CN"/>
              </w:rPr>
              <w:t>、</w:t>
            </w:r>
            <w:r>
              <w:rPr>
                <w:rFonts w:hint="eastAsia" w:cs="Times New Roman"/>
                <w:color w:val="auto"/>
                <w:lang w:val="en-US" w:eastAsia="zh-CN"/>
              </w:rPr>
              <w:t>SO</w:t>
            </w:r>
            <w:r>
              <w:rPr>
                <w:rFonts w:hint="eastAsia" w:cs="Times New Roman"/>
                <w:color w:val="auto"/>
                <w:vertAlign w:val="subscript"/>
                <w:lang w:val="en-US" w:eastAsia="zh-CN"/>
              </w:rPr>
              <w:t>2</w:t>
            </w:r>
            <w:r>
              <w:rPr>
                <w:rFonts w:hint="eastAsia" w:cs="Times New Roman"/>
                <w:color w:val="auto"/>
                <w:lang w:val="en-US" w:eastAsia="zh-CN"/>
              </w:rPr>
              <w:t>、NO</w:t>
            </w:r>
            <w:r>
              <w:rPr>
                <w:rFonts w:hint="eastAsia" w:cs="Times New Roman"/>
                <w:color w:val="auto"/>
                <w:vertAlign w:val="subscript"/>
                <w:lang w:val="en-US" w:eastAsia="zh-CN"/>
              </w:rPr>
              <w:t>X</w:t>
            </w:r>
            <w:r>
              <w:rPr>
                <w:rFonts w:hint="default" w:ascii="Times New Roman" w:hAnsi="Times New Roman" w:cs="Times New Roman"/>
                <w:color w:val="auto"/>
              </w:rPr>
              <w:t>，</w:t>
            </w:r>
            <w:r>
              <w:rPr>
                <w:rFonts w:hint="eastAsia" w:cs="Times New Roman"/>
                <w:color w:val="auto"/>
                <w:lang w:val="en-US" w:eastAsia="zh-CN"/>
              </w:rPr>
              <w:t>TSP、PM</w:t>
            </w:r>
            <w:r>
              <w:rPr>
                <w:rFonts w:hint="eastAsia" w:cs="Times New Roman"/>
                <w:color w:val="auto"/>
                <w:vertAlign w:val="subscript"/>
                <w:lang w:val="en-US" w:eastAsia="zh-CN"/>
              </w:rPr>
              <w:t>10</w:t>
            </w:r>
            <w:r>
              <w:rPr>
                <w:rFonts w:hint="eastAsia" w:cs="Times New Roman"/>
                <w:color w:val="auto"/>
                <w:vertAlign w:val="baseline"/>
                <w:lang w:val="en-US" w:eastAsia="zh-CN"/>
              </w:rPr>
              <w:t>、</w:t>
            </w:r>
            <w:r>
              <w:rPr>
                <w:rFonts w:hint="eastAsia" w:cs="Times New Roman"/>
                <w:color w:val="auto"/>
                <w:lang w:val="en-US" w:eastAsia="zh-CN"/>
              </w:rPr>
              <w:t>SO</w:t>
            </w:r>
            <w:r>
              <w:rPr>
                <w:rFonts w:hint="eastAsia" w:cs="Times New Roman"/>
                <w:color w:val="auto"/>
                <w:vertAlign w:val="subscript"/>
                <w:lang w:val="en-US" w:eastAsia="zh-CN"/>
              </w:rPr>
              <w:t>2</w:t>
            </w:r>
            <w:r>
              <w:rPr>
                <w:rFonts w:hint="eastAsia" w:cs="Times New Roman"/>
                <w:color w:val="auto"/>
                <w:lang w:val="en-US" w:eastAsia="zh-CN"/>
              </w:rPr>
              <w:t>、NO</w:t>
            </w:r>
            <w:r>
              <w:rPr>
                <w:rFonts w:hint="eastAsia" w:cs="Times New Roman"/>
                <w:color w:val="auto"/>
                <w:vertAlign w:val="subscript"/>
                <w:lang w:val="en-US" w:eastAsia="zh-CN"/>
              </w:rPr>
              <w:t>X</w:t>
            </w:r>
            <w:r>
              <w:rPr>
                <w:rFonts w:hint="eastAsia" w:cs="Times New Roman"/>
                <w:color w:val="auto"/>
                <w:lang w:val="en-US" w:eastAsia="zh-CN"/>
              </w:rPr>
              <w:t>采用</w:t>
            </w:r>
            <w:r>
              <w:rPr>
                <w:rFonts w:hint="default" w:ascii="Times New Roman" w:hAnsi="Times New Roman" w:cs="Times New Roman"/>
                <w:color w:val="auto"/>
                <w:kern w:val="0"/>
                <w:shd w:val="clear" w:color="auto" w:fill="FFFFFF"/>
                <w:lang w:bidi="en-US"/>
              </w:rPr>
              <w:t>《环境空气质量标准》（GB3095-2012）</w:t>
            </w:r>
            <w:r>
              <w:rPr>
                <w:rFonts w:hint="default" w:ascii="Times New Roman" w:hAnsi="Times New Roman" w:cs="Times New Roman"/>
                <w:color w:val="auto"/>
                <w:lang w:val="en-US" w:eastAsia="zh-CN"/>
              </w:rPr>
              <w:t>及修改单中二级标准</w:t>
            </w:r>
            <w:r>
              <w:rPr>
                <w:rFonts w:hint="eastAsia" w:ascii="Times New Roman" w:hAnsi="Times New Roman" w:cs="Times New Roman"/>
                <w:color w:val="auto"/>
                <w:kern w:val="0"/>
                <w:shd w:val="clear" w:color="auto" w:fill="FFFFFF"/>
                <w:lang w:val="en-US" w:eastAsia="zh-CN" w:bidi="en-US"/>
              </w:rPr>
              <w:t>进行评价</w:t>
            </w:r>
            <w:r>
              <w:rPr>
                <w:rFonts w:hint="eastAsia" w:cs="Times New Roman"/>
                <w:color w:val="auto"/>
                <w:lang w:val="en-US" w:eastAsia="zh-CN"/>
              </w:rPr>
              <w:t>，</w:t>
            </w:r>
            <w:r>
              <w:rPr>
                <w:rFonts w:hint="default"/>
                <w:color w:val="auto"/>
              </w:rPr>
              <w:t>TVOC</w:t>
            </w:r>
            <w:r>
              <w:rPr>
                <w:rFonts w:hint="default" w:ascii="Times New Roman" w:hAnsi="Times New Roman" w:cs="Times New Roman"/>
                <w:color w:val="auto"/>
              </w:rPr>
              <w:t>采用《环境影响评价技术导则大气环境HJ2.2-2018》附录D中的空气质量浓度限值</w:t>
            </w:r>
            <w:r>
              <w:rPr>
                <w:rFonts w:hint="eastAsia"/>
                <w:color w:val="auto"/>
              </w:rPr>
              <w:t>。</w:t>
            </w:r>
          </w:p>
          <w:p>
            <w:pPr>
              <w:pStyle w:val="48"/>
              <w:ind w:firstLine="422"/>
              <w:rPr>
                <w:color w:val="auto"/>
              </w:rPr>
            </w:pPr>
            <w:r>
              <w:rPr>
                <w:color w:val="auto"/>
              </w:rPr>
              <w:t>表7</w:t>
            </w:r>
            <w:r>
              <w:rPr>
                <w:rFonts w:hint="eastAsia"/>
                <w:color w:val="auto"/>
              </w:rPr>
              <w:t>-2</w:t>
            </w:r>
            <w:r>
              <w:rPr>
                <w:color w:val="auto"/>
              </w:rPr>
              <w:t xml:space="preserve"> 大气污染物预测评价标准  单位：μg/m³</w:t>
            </w:r>
          </w:p>
          <w:tbl>
            <w:tblPr>
              <w:tblStyle w:val="36"/>
              <w:tblW w:w="4991" w:type="pct"/>
              <w:tblInd w:w="-15" w:type="dxa"/>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Layout w:type="fixed"/>
              <w:tblCellMar>
                <w:top w:w="0" w:type="dxa"/>
                <w:left w:w="108" w:type="dxa"/>
                <w:bottom w:w="0" w:type="dxa"/>
                <w:right w:w="108" w:type="dxa"/>
              </w:tblCellMar>
            </w:tblPr>
            <w:tblGrid>
              <w:gridCol w:w="1318"/>
              <w:gridCol w:w="1100"/>
              <w:gridCol w:w="1150"/>
              <w:gridCol w:w="1263"/>
              <w:gridCol w:w="3524"/>
            </w:tblGrid>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rPr>
                <w:trHeight w:val="470" w:hRule="atLeast"/>
              </w:trPr>
              <w:tc>
                <w:tcPr>
                  <w:tcW w:w="788" w:type="pct"/>
                  <w:vAlign w:val="center"/>
                </w:tcPr>
                <w:p>
                  <w:pPr>
                    <w:pStyle w:val="50"/>
                    <w:rPr>
                      <w:color w:val="auto"/>
                    </w:rPr>
                  </w:pPr>
                  <w:r>
                    <w:rPr>
                      <w:color w:val="auto"/>
                    </w:rPr>
                    <w:t>污染物名称</w:t>
                  </w:r>
                </w:p>
              </w:tc>
              <w:tc>
                <w:tcPr>
                  <w:tcW w:w="658" w:type="pct"/>
                  <w:vAlign w:val="center"/>
                </w:tcPr>
                <w:p>
                  <w:pPr>
                    <w:pStyle w:val="50"/>
                    <w:rPr>
                      <w:color w:val="auto"/>
                    </w:rPr>
                  </w:pPr>
                  <w:r>
                    <w:rPr>
                      <w:color w:val="auto"/>
                    </w:rPr>
                    <w:t>功能区</w:t>
                  </w:r>
                </w:p>
              </w:tc>
              <w:tc>
                <w:tcPr>
                  <w:tcW w:w="688" w:type="pct"/>
                  <w:vAlign w:val="center"/>
                </w:tcPr>
                <w:p>
                  <w:pPr>
                    <w:pStyle w:val="50"/>
                    <w:rPr>
                      <w:color w:val="auto"/>
                    </w:rPr>
                  </w:pPr>
                  <w:r>
                    <w:rPr>
                      <w:color w:val="auto"/>
                    </w:rPr>
                    <w:t>平均时段</w:t>
                  </w:r>
                </w:p>
              </w:tc>
              <w:tc>
                <w:tcPr>
                  <w:tcW w:w="755" w:type="pct"/>
                  <w:vAlign w:val="center"/>
                </w:tcPr>
                <w:p>
                  <w:pPr>
                    <w:pStyle w:val="50"/>
                    <w:rPr>
                      <w:color w:val="auto"/>
                    </w:rPr>
                  </w:pPr>
                  <w:r>
                    <w:rPr>
                      <w:color w:val="auto"/>
                    </w:rPr>
                    <w:t>标准值(μg/m³)</w:t>
                  </w:r>
                </w:p>
              </w:tc>
              <w:tc>
                <w:tcPr>
                  <w:tcW w:w="2108" w:type="pct"/>
                  <w:vAlign w:val="center"/>
                </w:tcPr>
                <w:p>
                  <w:pPr>
                    <w:pStyle w:val="50"/>
                    <w:rPr>
                      <w:color w:val="auto"/>
                    </w:rPr>
                  </w:pPr>
                  <w:r>
                    <w:rPr>
                      <w:color w:val="auto"/>
                    </w:rPr>
                    <w:t>标准来源</w:t>
                  </w: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8" w:type="pct"/>
                  <w:vAlign w:val="center"/>
                </w:tcPr>
                <w:p>
                  <w:pPr>
                    <w:pStyle w:val="50"/>
                    <w:rPr>
                      <w:color w:val="auto"/>
                    </w:rPr>
                  </w:pPr>
                  <w:r>
                    <w:rPr>
                      <w:rFonts w:hint="eastAsia"/>
                      <w:color w:val="auto"/>
                    </w:rPr>
                    <w:t>TSP</w:t>
                  </w:r>
                </w:p>
              </w:tc>
              <w:tc>
                <w:tcPr>
                  <w:tcW w:w="658" w:type="pct"/>
                  <w:vAlign w:val="center"/>
                </w:tcPr>
                <w:p>
                  <w:pPr>
                    <w:pStyle w:val="50"/>
                    <w:rPr>
                      <w:color w:val="auto"/>
                    </w:rPr>
                  </w:pPr>
                  <w:r>
                    <w:rPr>
                      <w:color w:val="auto"/>
                    </w:rPr>
                    <w:t>二类限区</w:t>
                  </w:r>
                </w:p>
              </w:tc>
              <w:tc>
                <w:tcPr>
                  <w:tcW w:w="688" w:type="pct"/>
                  <w:vAlign w:val="center"/>
                </w:tcPr>
                <w:p>
                  <w:pPr>
                    <w:pStyle w:val="50"/>
                    <w:rPr>
                      <w:color w:val="auto"/>
                    </w:rPr>
                  </w:pPr>
                  <w:r>
                    <w:rPr>
                      <w:rFonts w:hint="eastAsia"/>
                      <w:color w:val="auto"/>
                    </w:rPr>
                    <w:t>24</w:t>
                  </w:r>
                  <w:r>
                    <w:rPr>
                      <w:color w:val="auto"/>
                    </w:rPr>
                    <w:t>h平均</w:t>
                  </w:r>
                </w:p>
              </w:tc>
              <w:tc>
                <w:tcPr>
                  <w:tcW w:w="755" w:type="pct"/>
                  <w:vAlign w:val="center"/>
                </w:tcPr>
                <w:p>
                  <w:pPr>
                    <w:pStyle w:val="50"/>
                    <w:rPr>
                      <w:color w:val="auto"/>
                    </w:rPr>
                  </w:pPr>
                  <w:r>
                    <w:rPr>
                      <w:rFonts w:hint="eastAsia"/>
                      <w:color w:val="auto"/>
                    </w:rPr>
                    <w:t>3</w:t>
                  </w:r>
                  <w:r>
                    <w:rPr>
                      <w:color w:val="auto"/>
                    </w:rPr>
                    <w:t>00</w:t>
                  </w:r>
                </w:p>
              </w:tc>
              <w:tc>
                <w:tcPr>
                  <w:tcW w:w="2108" w:type="pct"/>
                  <w:vMerge w:val="restart"/>
                  <w:vAlign w:val="center"/>
                </w:tcPr>
                <w:p>
                  <w:pPr>
                    <w:pStyle w:val="50"/>
                    <w:rPr>
                      <w:color w:val="auto"/>
                    </w:rPr>
                  </w:pPr>
                  <w:r>
                    <w:rPr>
                      <w:color w:val="auto"/>
                      <w:shd w:val="clear" w:color="auto" w:fill="FFFFFF"/>
                      <w:lang w:bidi="en-US"/>
                    </w:rPr>
                    <w:t>《环境空气质量标准》（GB3095-2012）</w:t>
                  </w:r>
                  <w:r>
                    <w:rPr>
                      <w:color w:val="auto"/>
                    </w:rPr>
                    <w:t>二级标准</w:t>
                  </w: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8" w:type="pct"/>
                  <w:vAlign w:val="center"/>
                </w:tcPr>
                <w:p>
                  <w:pPr>
                    <w:pStyle w:val="50"/>
                    <w:rPr>
                      <w:rFonts w:hint="eastAsia"/>
                      <w:color w:val="auto"/>
                    </w:rPr>
                  </w:pPr>
                  <w:r>
                    <w:rPr>
                      <w:rFonts w:hint="eastAsia" w:cs="Times New Roman"/>
                      <w:color w:val="auto"/>
                      <w:lang w:val="en-US" w:eastAsia="zh-CN"/>
                    </w:rPr>
                    <w:t>PM</w:t>
                  </w:r>
                  <w:r>
                    <w:rPr>
                      <w:rFonts w:hint="eastAsia" w:cs="Times New Roman"/>
                      <w:color w:val="auto"/>
                      <w:vertAlign w:val="subscript"/>
                      <w:lang w:val="en-US" w:eastAsia="zh-CN"/>
                    </w:rPr>
                    <w:t>10</w:t>
                  </w:r>
                </w:p>
              </w:tc>
              <w:tc>
                <w:tcPr>
                  <w:tcW w:w="1100" w:type="dxa"/>
                  <w:vAlign w:val="center"/>
                </w:tcPr>
                <w:p>
                  <w:pPr>
                    <w:pStyle w:val="50"/>
                    <w:ind w:firstLine="0" w:firstLineChars="0"/>
                    <w:rPr>
                      <w:color w:val="auto"/>
                    </w:rPr>
                  </w:pPr>
                  <w:r>
                    <w:rPr>
                      <w:rFonts w:hint="default" w:ascii="Times New Roman" w:hAnsi="Times New Roman" w:cs="Times New Roman"/>
                      <w:color w:val="auto"/>
                      <w:lang w:val="en-US" w:eastAsia="zh-CN"/>
                    </w:rPr>
                    <w:t>二类限区</w:t>
                  </w:r>
                </w:p>
              </w:tc>
              <w:tc>
                <w:tcPr>
                  <w:tcW w:w="1150" w:type="dxa"/>
                  <w:vAlign w:val="center"/>
                </w:tcPr>
                <w:p>
                  <w:pPr>
                    <w:pStyle w:val="50"/>
                    <w:ind w:firstLine="0" w:firstLineChars="0"/>
                    <w:rPr>
                      <w:rFonts w:hint="eastAsia"/>
                      <w:color w:val="auto"/>
                    </w:rPr>
                  </w:pPr>
                  <w:r>
                    <w:rPr>
                      <w:rFonts w:hint="eastAsia" w:cs="Times New Roman"/>
                      <w:color w:val="auto"/>
                      <w:lang w:val="en-US" w:eastAsia="zh-CN"/>
                    </w:rPr>
                    <w:t>24h平均</w:t>
                  </w:r>
                </w:p>
              </w:tc>
              <w:tc>
                <w:tcPr>
                  <w:tcW w:w="1263" w:type="dxa"/>
                  <w:vAlign w:val="center"/>
                </w:tcPr>
                <w:p>
                  <w:pPr>
                    <w:pStyle w:val="50"/>
                    <w:ind w:firstLine="0" w:firstLineChars="0"/>
                    <w:rPr>
                      <w:rFonts w:hint="eastAsia"/>
                      <w:color w:val="auto"/>
                    </w:rPr>
                  </w:pPr>
                  <w:r>
                    <w:rPr>
                      <w:rFonts w:hint="eastAsia" w:cs="Times New Roman"/>
                      <w:color w:val="auto"/>
                      <w:lang w:val="en-US" w:eastAsia="zh-CN"/>
                    </w:rPr>
                    <w:t>150</w:t>
                  </w:r>
                </w:p>
              </w:tc>
              <w:tc>
                <w:tcPr>
                  <w:tcW w:w="2108" w:type="pct"/>
                  <w:vMerge w:val="continue"/>
                  <w:vAlign w:val="center"/>
                </w:tcPr>
                <w:p>
                  <w:pPr>
                    <w:pStyle w:val="50"/>
                    <w:rPr>
                      <w:color w:val="auto"/>
                      <w:shd w:val="clear" w:color="auto" w:fill="FFFFFF"/>
                      <w:lang w:bidi="en-US"/>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8" w:type="pct"/>
                  <w:vAlign w:val="center"/>
                </w:tcPr>
                <w:p>
                  <w:pPr>
                    <w:pStyle w:val="50"/>
                    <w:rPr>
                      <w:color w:val="auto"/>
                    </w:rPr>
                  </w:pPr>
                  <w:r>
                    <w:rPr>
                      <w:rFonts w:hint="eastAsia"/>
                      <w:color w:val="auto"/>
                    </w:rPr>
                    <w:t>SO</w:t>
                  </w:r>
                  <w:r>
                    <w:rPr>
                      <w:rFonts w:hint="eastAsia"/>
                      <w:color w:val="auto"/>
                      <w:vertAlign w:val="subscript"/>
                    </w:rPr>
                    <w:t>2</w:t>
                  </w:r>
                </w:p>
              </w:tc>
              <w:tc>
                <w:tcPr>
                  <w:tcW w:w="658" w:type="pct"/>
                  <w:vAlign w:val="center"/>
                </w:tcPr>
                <w:p>
                  <w:pPr>
                    <w:pStyle w:val="50"/>
                    <w:rPr>
                      <w:color w:val="auto"/>
                    </w:rPr>
                  </w:pPr>
                  <w:r>
                    <w:rPr>
                      <w:color w:val="auto"/>
                    </w:rPr>
                    <w:t>二类限区</w:t>
                  </w:r>
                </w:p>
              </w:tc>
              <w:tc>
                <w:tcPr>
                  <w:tcW w:w="688" w:type="pct"/>
                  <w:vAlign w:val="center"/>
                </w:tcPr>
                <w:p>
                  <w:pPr>
                    <w:pStyle w:val="50"/>
                    <w:rPr>
                      <w:color w:val="auto"/>
                    </w:rPr>
                  </w:pPr>
                  <w:r>
                    <w:rPr>
                      <w:rFonts w:hint="eastAsia"/>
                      <w:color w:val="auto"/>
                    </w:rPr>
                    <w:t>1</w:t>
                  </w:r>
                  <w:r>
                    <w:rPr>
                      <w:color w:val="auto"/>
                    </w:rPr>
                    <w:t>h平均</w:t>
                  </w:r>
                </w:p>
              </w:tc>
              <w:tc>
                <w:tcPr>
                  <w:tcW w:w="755" w:type="pct"/>
                  <w:vAlign w:val="center"/>
                </w:tcPr>
                <w:p>
                  <w:pPr>
                    <w:pStyle w:val="50"/>
                    <w:rPr>
                      <w:color w:val="auto"/>
                    </w:rPr>
                  </w:pPr>
                  <w:r>
                    <w:rPr>
                      <w:rFonts w:hint="eastAsia"/>
                      <w:color w:val="auto"/>
                    </w:rPr>
                    <w:t>5</w:t>
                  </w:r>
                  <w:r>
                    <w:rPr>
                      <w:color w:val="auto"/>
                    </w:rPr>
                    <w:t>00</w:t>
                  </w:r>
                </w:p>
              </w:tc>
              <w:tc>
                <w:tcPr>
                  <w:tcW w:w="2108"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8" w:type="pct"/>
                  <w:vAlign w:val="center"/>
                </w:tcPr>
                <w:p>
                  <w:pPr>
                    <w:pStyle w:val="50"/>
                    <w:rPr>
                      <w:color w:val="auto"/>
                    </w:rPr>
                  </w:pPr>
                  <w:r>
                    <w:rPr>
                      <w:rFonts w:hint="eastAsia"/>
                      <w:color w:val="auto"/>
                    </w:rPr>
                    <w:t>NO</w:t>
                  </w:r>
                  <w:r>
                    <w:rPr>
                      <w:rFonts w:hint="eastAsia"/>
                      <w:color w:val="auto"/>
                      <w:vertAlign w:val="subscript"/>
                    </w:rPr>
                    <w:t>X</w:t>
                  </w:r>
                </w:p>
              </w:tc>
              <w:tc>
                <w:tcPr>
                  <w:tcW w:w="658" w:type="pct"/>
                  <w:vAlign w:val="center"/>
                </w:tcPr>
                <w:p>
                  <w:pPr>
                    <w:pStyle w:val="50"/>
                    <w:rPr>
                      <w:color w:val="auto"/>
                    </w:rPr>
                  </w:pPr>
                  <w:r>
                    <w:rPr>
                      <w:color w:val="auto"/>
                    </w:rPr>
                    <w:t>二类限区</w:t>
                  </w:r>
                </w:p>
              </w:tc>
              <w:tc>
                <w:tcPr>
                  <w:tcW w:w="688" w:type="pct"/>
                  <w:vAlign w:val="center"/>
                </w:tcPr>
                <w:p>
                  <w:pPr>
                    <w:pStyle w:val="50"/>
                    <w:rPr>
                      <w:color w:val="auto"/>
                    </w:rPr>
                  </w:pPr>
                  <w:r>
                    <w:rPr>
                      <w:rFonts w:hint="eastAsia"/>
                      <w:color w:val="auto"/>
                    </w:rPr>
                    <w:t>1h平均</w:t>
                  </w:r>
                </w:p>
              </w:tc>
              <w:tc>
                <w:tcPr>
                  <w:tcW w:w="755" w:type="pct"/>
                  <w:vAlign w:val="center"/>
                </w:tcPr>
                <w:p>
                  <w:pPr>
                    <w:pStyle w:val="50"/>
                    <w:rPr>
                      <w:color w:val="auto"/>
                    </w:rPr>
                  </w:pPr>
                  <w:r>
                    <w:rPr>
                      <w:rFonts w:hint="eastAsia"/>
                      <w:color w:val="auto"/>
                    </w:rPr>
                    <w:t>250</w:t>
                  </w:r>
                </w:p>
              </w:tc>
              <w:tc>
                <w:tcPr>
                  <w:tcW w:w="2108"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8" w:type="pct"/>
                  <w:vAlign w:val="center"/>
                </w:tcPr>
                <w:p>
                  <w:pPr>
                    <w:pStyle w:val="50"/>
                    <w:rPr>
                      <w:rFonts w:hint="eastAsia"/>
                      <w:color w:val="auto"/>
                    </w:rPr>
                  </w:pPr>
                  <w:r>
                    <w:rPr>
                      <w:rFonts w:hint="default"/>
                      <w:color w:val="auto"/>
                    </w:rPr>
                    <w:t>TVOC</w:t>
                  </w:r>
                </w:p>
              </w:tc>
              <w:tc>
                <w:tcPr>
                  <w:tcW w:w="1100" w:type="dxa"/>
                  <w:vAlign w:val="center"/>
                </w:tcPr>
                <w:p>
                  <w:pPr>
                    <w:pStyle w:val="50"/>
                    <w:ind w:firstLine="0" w:firstLineChars="0"/>
                    <w:rPr>
                      <w:color w:val="auto"/>
                    </w:rPr>
                  </w:pPr>
                  <w:r>
                    <w:rPr>
                      <w:rFonts w:hint="default" w:ascii="Times New Roman" w:hAnsi="Times New Roman" w:cs="Times New Roman"/>
                      <w:color w:val="auto"/>
                      <w:lang w:val="en-US" w:eastAsia="zh-CN"/>
                    </w:rPr>
                    <w:t>二类限区</w:t>
                  </w:r>
                </w:p>
              </w:tc>
              <w:tc>
                <w:tcPr>
                  <w:tcW w:w="1150" w:type="dxa"/>
                  <w:vAlign w:val="center"/>
                </w:tcPr>
                <w:p>
                  <w:pPr>
                    <w:pStyle w:val="50"/>
                    <w:ind w:firstLine="0" w:firstLineChars="0"/>
                    <w:rPr>
                      <w:rFonts w:hint="eastAsia"/>
                      <w:color w:val="auto"/>
                    </w:rPr>
                  </w:pPr>
                  <w:r>
                    <w:rPr>
                      <w:rFonts w:hint="default" w:ascii="Times New Roman" w:hAnsi="Times New Roman" w:cs="Times New Roman"/>
                      <w:color w:val="auto"/>
                      <w:lang w:val="en-US" w:eastAsia="zh-CN"/>
                    </w:rPr>
                    <w:t>8h平均</w:t>
                  </w:r>
                </w:p>
              </w:tc>
              <w:tc>
                <w:tcPr>
                  <w:tcW w:w="1263" w:type="dxa"/>
                  <w:vAlign w:val="center"/>
                </w:tcPr>
                <w:p>
                  <w:pPr>
                    <w:pStyle w:val="50"/>
                    <w:ind w:firstLine="0" w:firstLineChars="0"/>
                    <w:rPr>
                      <w:rFonts w:hint="eastAsia"/>
                      <w:color w:val="auto"/>
                    </w:rPr>
                  </w:pPr>
                  <w:r>
                    <w:rPr>
                      <w:rFonts w:hint="eastAsia" w:cs="Times New Roman"/>
                      <w:color w:val="auto"/>
                      <w:lang w:val="en-US" w:eastAsia="zh-CN"/>
                    </w:rPr>
                    <w:t>600</w:t>
                  </w:r>
                </w:p>
              </w:tc>
              <w:tc>
                <w:tcPr>
                  <w:tcW w:w="3524" w:type="dxa"/>
                  <w:vAlign w:val="center"/>
                </w:tcPr>
                <w:p>
                  <w:pPr>
                    <w:pStyle w:val="50"/>
                    <w:ind w:firstLine="0" w:firstLineChars="0"/>
                    <w:rPr>
                      <w:color w:val="auto"/>
                    </w:rPr>
                  </w:pPr>
                  <w:r>
                    <w:rPr>
                      <w:rFonts w:hint="default" w:ascii="Times New Roman" w:hAnsi="Times New Roman" w:cs="Times New Roman"/>
                      <w:color w:val="auto"/>
                      <w:lang w:val="en-US" w:eastAsia="zh-CN"/>
                    </w:rPr>
                    <w:t>《环境影响评价技术导则大气环境HJ2.2-2018》附录D</w:t>
                  </w:r>
                </w:p>
              </w:tc>
            </w:tr>
          </w:tbl>
          <w:p>
            <w:pPr>
              <w:spacing w:line="240" w:lineRule="auto"/>
              <w:ind w:firstLine="0" w:firstLineChars="0"/>
              <w:rPr>
                <w:b/>
                <w:bCs/>
                <w:color w:val="auto"/>
                <w:sz w:val="22"/>
                <w:szCs w:val="18"/>
              </w:rPr>
            </w:pPr>
            <w:r>
              <w:rPr>
                <w:b/>
                <w:bCs/>
                <w:color w:val="auto"/>
                <w:sz w:val="21"/>
                <w:szCs w:val="21"/>
              </w:rPr>
              <w:t>* 注：1、根据《环境影响评价技术导则—大气环境》（HJ2.2-2018）5.3.2.1，8h平均浓度和24h平均浓度，分别按2倍、3倍折算为1h平均浓度。</w:t>
            </w:r>
          </w:p>
          <w:p>
            <w:pPr>
              <w:widowControl/>
              <w:ind w:firstLine="482"/>
              <w:rPr>
                <w:b/>
                <w:bCs/>
                <w:color w:val="auto"/>
              </w:rPr>
            </w:pPr>
            <w:r>
              <w:rPr>
                <w:rFonts w:hint="eastAsia"/>
                <w:b/>
                <w:bCs/>
                <w:color w:val="auto"/>
              </w:rPr>
              <w:t>（2）评价等级判定</w:t>
            </w:r>
          </w:p>
          <w:p>
            <w:pPr>
              <w:ind w:firstLine="480"/>
              <w:rPr>
                <w:color w:val="auto"/>
              </w:rPr>
            </w:pPr>
            <w:r>
              <w:rPr>
                <w:rFonts w:hint="eastAsia"/>
                <w:color w:val="auto"/>
              </w:rPr>
              <w:t xml:space="preserve"> 依据《环境影响评价技术导则大气环境》</w:t>
            </w:r>
            <w:r>
              <w:rPr>
                <w:color w:val="auto"/>
              </w:rPr>
              <w:t>(HJ2.2-2018)</w:t>
            </w:r>
            <w:r>
              <w:rPr>
                <w:rFonts w:hint="eastAsia"/>
                <w:color w:val="auto"/>
              </w:rPr>
              <w:t>中最大地面浓度占标率</w:t>
            </w:r>
            <w:r>
              <w:rPr>
                <w:color w:val="auto"/>
              </w:rPr>
              <w:t>Pi</w:t>
            </w:r>
            <w:r>
              <w:rPr>
                <w:rFonts w:hint="eastAsia"/>
                <w:color w:val="auto"/>
              </w:rPr>
              <w:t>定义如下：</w:t>
            </w:r>
          </w:p>
          <w:p>
            <w:pPr>
              <w:ind w:firstLine="480"/>
              <w:rPr>
                <w:color w:val="auto"/>
              </w:rPr>
            </w:pPr>
            <w:r>
              <w:rPr>
                <w:color w:val="auto"/>
              </w:rPr>
              <w:drawing>
                <wp:inline distT="0" distB="0" distL="114300" distR="114300">
                  <wp:extent cx="1028700" cy="447675"/>
                  <wp:effectExtent l="0" t="0" r="0" b="8890"/>
                  <wp:docPr id="12"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IMG_256"/>
                          <pic:cNvPicPr>
                            <a:picLocks noChangeAspect="1"/>
                          </pic:cNvPicPr>
                        </pic:nvPicPr>
                        <pic:blipFill>
                          <a:blip r:embed="rId23"/>
                          <a:stretch>
                            <a:fillRect/>
                          </a:stretch>
                        </pic:blipFill>
                        <pic:spPr>
                          <a:xfrm>
                            <a:off x="0" y="0"/>
                            <a:ext cx="1028700" cy="447675"/>
                          </a:xfrm>
                          <a:prstGeom prst="rect">
                            <a:avLst/>
                          </a:prstGeom>
                          <a:noFill/>
                          <a:ln w="9525">
                            <a:noFill/>
                          </a:ln>
                        </pic:spPr>
                      </pic:pic>
                    </a:graphicData>
                  </a:graphic>
                </wp:inline>
              </w:drawing>
            </w:r>
            <w:r>
              <w:rPr>
                <w:rFonts w:hint="eastAsia"/>
                <w:color w:val="auto"/>
              </w:rPr>
              <w:t>式中：</w:t>
            </w:r>
          </w:p>
          <w:p>
            <w:pPr>
              <w:ind w:firstLine="480"/>
              <w:rPr>
                <w:color w:val="auto"/>
              </w:rPr>
            </w:pPr>
            <w:r>
              <w:rPr>
                <w:color w:val="auto"/>
              </w:rPr>
              <w:drawing>
                <wp:inline distT="0" distB="0" distL="114300" distR="114300">
                  <wp:extent cx="152400" cy="228600"/>
                  <wp:effectExtent l="0" t="0" r="0" b="0"/>
                  <wp:docPr id="13" name="图片 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descr="IMG_257"/>
                          <pic:cNvPicPr>
                            <a:picLocks noChangeAspect="1"/>
                          </pic:cNvPicPr>
                        </pic:nvPicPr>
                        <pic:blipFill>
                          <a:blip r:embed="rId24"/>
                          <a:stretch>
                            <a:fillRect/>
                          </a:stretch>
                        </pic:blipFill>
                        <pic:spPr>
                          <a:xfrm>
                            <a:off x="0" y="0"/>
                            <a:ext cx="152400" cy="228600"/>
                          </a:xfrm>
                          <a:prstGeom prst="rect">
                            <a:avLst/>
                          </a:prstGeom>
                          <a:noFill/>
                          <a:ln w="9525">
                            <a:noFill/>
                          </a:ln>
                        </pic:spPr>
                      </pic:pic>
                    </a:graphicData>
                  </a:graphic>
                </wp:inline>
              </w:drawing>
            </w:r>
            <w:r>
              <w:rPr>
                <w:color w:val="auto"/>
              </w:rPr>
              <w:t>—</w:t>
            </w:r>
            <w:r>
              <w:rPr>
                <w:rFonts w:hint="eastAsia"/>
                <w:color w:val="auto"/>
              </w:rPr>
              <w:t>第</w:t>
            </w:r>
            <w:r>
              <w:rPr>
                <w:color w:val="auto"/>
              </w:rPr>
              <w:t>i</w:t>
            </w:r>
            <w:r>
              <w:rPr>
                <w:rFonts w:hint="eastAsia"/>
                <w:color w:val="auto"/>
              </w:rPr>
              <w:t>个污染物的最大地面浓度占标率，</w:t>
            </w:r>
            <w:r>
              <w:rPr>
                <w:color w:val="auto"/>
              </w:rPr>
              <w:t>%</w:t>
            </w:r>
            <w:r>
              <w:rPr>
                <w:rFonts w:hint="eastAsia"/>
                <w:color w:val="auto"/>
              </w:rPr>
              <w:t>；</w:t>
            </w:r>
          </w:p>
          <w:p>
            <w:pPr>
              <w:ind w:firstLine="480"/>
              <w:rPr>
                <w:color w:val="auto"/>
              </w:rPr>
            </w:pPr>
            <w:r>
              <w:rPr>
                <w:color w:val="auto"/>
              </w:rPr>
              <w:drawing>
                <wp:inline distT="0" distB="0" distL="114300" distR="114300">
                  <wp:extent cx="180975" cy="228600"/>
                  <wp:effectExtent l="0" t="0" r="9525" b="0"/>
                  <wp:docPr id="14" name="图片 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IMG_258"/>
                          <pic:cNvPicPr>
                            <a:picLocks noChangeAspect="1"/>
                          </pic:cNvPicPr>
                        </pic:nvPicPr>
                        <pic:blipFill>
                          <a:blip r:embed="rId25"/>
                          <a:stretch>
                            <a:fillRect/>
                          </a:stretch>
                        </pic:blipFill>
                        <pic:spPr>
                          <a:xfrm>
                            <a:off x="0" y="0"/>
                            <a:ext cx="180975" cy="228600"/>
                          </a:xfrm>
                          <a:prstGeom prst="rect">
                            <a:avLst/>
                          </a:prstGeom>
                          <a:noFill/>
                          <a:ln w="9525">
                            <a:noFill/>
                          </a:ln>
                        </pic:spPr>
                      </pic:pic>
                    </a:graphicData>
                  </a:graphic>
                </wp:inline>
              </w:drawing>
            </w:r>
            <w:r>
              <w:rPr>
                <w:color w:val="auto"/>
              </w:rPr>
              <w:t xml:space="preserve">— </w:t>
            </w:r>
            <w:r>
              <w:rPr>
                <w:rFonts w:hint="eastAsia"/>
                <w:color w:val="auto"/>
              </w:rPr>
              <w:t>采用估算模式计算出的第</w:t>
            </w:r>
            <w:r>
              <w:rPr>
                <w:color w:val="auto"/>
              </w:rPr>
              <w:t>i</w:t>
            </w:r>
            <w:r>
              <w:rPr>
                <w:rFonts w:hint="eastAsia"/>
                <w:color w:val="auto"/>
              </w:rPr>
              <w:t>个污染物的最大地面浓度，</w:t>
            </w:r>
            <w:r>
              <w:rPr>
                <w:color w:val="auto"/>
              </w:rPr>
              <w:t>mg/m</w:t>
            </w:r>
            <w:r>
              <w:rPr>
                <w:color w:val="auto"/>
                <w:vertAlign w:val="superscript"/>
              </w:rPr>
              <w:t>3</w:t>
            </w:r>
            <w:r>
              <w:rPr>
                <w:rFonts w:hint="eastAsia"/>
                <w:color w:val="auto"/>
              </w:rPr>
              <w:t>；</w:t>
            </w:r>
          </w:p>
          <w:p>
            <w:pPr>
              <w:ind w:firstLine="480"/>
              <w:rPr>
                <w:color w:val="auto"/>
              </w:rPr>
            </w:pPr>
            <w:r>
              <w:rPr>
                <w:color w:val="auto"/>
              </w:rPr>
              <w:drawing>
                <wp:inline distT="0" distB="0" distL="114300" distR="114300">
                  <wp:extent cx="228600" cy="228600"/>
                  <wp:effectExtent l="0" t="0" r="0" b="0"/>
                  <wp:docPr id="11" name="图片 17"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7" descr="IMG_259"/>
                          <pic:cNvPicPr>
                            <a:picLocks noChangeAspect="1"/>
                          </pic:cNvPicPr>
                        </pic:nvPicPr>
                        <pic:blipFill>
                          <a:blip r:embed="rId26"/>
                          <a:stretch>
                            <a:fillRect/>
                          </a:stretch>
                        </pic:blipFill>
                        <pic:spPr>
                          <a:xfrm>
                            <a:off x="0" y="0"/>
                            <a:ext cx="228600" cy="228600"/>
                          </a:xfrm>
                          <a:prstGeom prst="rect">
                            <a:avLst/>
                          </a:prstGeom>
                          <a:noFill/>
                          <a:ln w="9525">
                            <a:noFill/>
                          </a:ln>
                        </pic:spPr>
                      </pic:pic>
                    </a:graphicData>
                  </a:graphic>
                </wp:inline>
              </w:drawing>
            </w:r>
            <w:r>
              <w:rPr>
                <w:color w:val="auto"/>
              </w:rPr>
              <w:t>—</w:t>
            </w:r>
            <w:r>
              <w:rPr>
                <w:rFonts w:hint="eastAsia"/>
                <w:color w:val="auto"/>
              </w:rPr>
              <w:t>第</w:t>
            </w:r>
            <w:r>
              <w:rPr>
                <w:color w:val="auto"/>
              </w:rPr>
              <w:t>i</w:t>
            </w:r>
            <w:r>
              <w:rPr>
                <w:rFonts w:hint="eastAsia"/>
                <w:color w:val="auto"/>
              </w:rPr>
              <w:t>个污染物环境空气质量标准，</w:t>
            </w:r>
            <w:r>
              <w:rPr>
                <w:color w:val="auto"/>
              </w:rPr>
              <w:t>mg/m</w:t>
            </w:r>
            <w:r>
              <w:rPr>
                <w:color w:val="auto"/>
                <w:vertAlign w:val="superscript"/>
              </w:rPr>
              <w:t>3</w:t>
            </w:r>
            <w:r>
              <w:rPr>
                <w:rFonts w:hint="eastAsia"/>
                <w:color w:val="auto"/>
              </w:rPr>
              <w:t>。</w:t>
            </w:r>
          </w:p>
          <w:p>
            <w:pPr>
              <w:ind w:firstLine="480"/>
              <w:rPr>
                <w:color w:val="auto"/>
              </w:rPr>
            </w:pPr>
            <w:r>
              <w:rPr>
                <w:rFonts w:hint="eastAsia"/>
                <w:color w:val="auto"/>
              </w:rPr>
              <w:t>本次评价选用喷塑废气、固化及喷漆废气、燃烧废气进行计算及确定本项目大气环境影响评价等级，大气环境评价工作分级判据见表7-3。</w:t>
            </w:r>
          </w:p>
          <w:p>
            <w:pPr>
              <w:pStyle w:val="48"/>
              <w:ind w:firstLine="422"/>
              <w:rPr>
                <w:color w:val="auto"/>
              </w:rPr>
            </w:pPr>
            <w:r>
              <w:rPr>
                <w:rFonts w:hint="eastAsia"/>
                <w:color w:val="auto"/>
              </w:rPr>
              <w:t>表7-3 大气环境影响评价分级判据表</w:t>
            </w:r>
          </w:p>
          <w:tbl>
            <w:tblPr>
              <w:tblStyle w:val="36"/>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2"/>
              <w:gridCol w:w="5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评价工作等级</w:t>
                  </w:r>
                </w:p>
              </w:tc>
              <w:tc>
                <w:tcPr>
                  <w:tcW w:w="5327" w:type="dxa"/>
                  <w:tcBorders>
                    <w:top w:val="single" w:color="auto" w:sz="4" w:space="0"/>
                    <w:left w:val="nil"/>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评价工作分级判据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一级</w:t>
                  </w:r>
                </w:p>
              </w:tc>
              <w:tc>
                <w:tcPr>
                  <w:tcW w:w="5327" w:type="dxa"/>
                  <w:tcBorders>
                    <w:top w:val="single" w:color="auto" w:sz="4" w:space="0"/>
                    <w:left w:val="nil"/>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二级</w:t>
                  </w:r>
                </w:p>
              </w:tc>
              <w:tc>
                <w:tcPr>
                  <w:tcW w:w="5327" w:type="dxa"/>
                  <w:tcBorders>
                    <w:top w:val="single" w:color="auto" w:sz="4" w:space="0"/>
                    <w:left w:val="nil"/>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1%≤Pmax＜10%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05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三级</w:t>
                  </w:r>
                </w:p>
              </w:tc>
              <w:tc>
                <w:tcPr>
                  <w:tcW w:w="5327" w:type="dxa"/>
                  <w:tcBorders>
                    <w:top w:val="single" w:color="auto" w:sz="4" w:space="0"/>
                    <w:left w:val="nil"/>
                    <w:bottom w:val="single" w:color="auto" w:sz="4" w:space="0"/>
                    <w:right w:val="single" w:color="auto" w:sz="4" w:space="0"/>
                  </w:tcBorders>
                  <w:shd w:val="clear" w:color="auto" w:fill="auto"/>
                  <w:vAlign w:val="center"/>
                </w:tcPr>
                <w:p>
                  <w:pPr>
                    <w:pStyle w:val="31"/>
                    <w:keepNext/>
                    <w:keepLines/>
                    <w:widowControl w:val="0"/>
                    <w:spacing w:before="0" w:beforeAutospacing="0" w:after="0" w:afterAutospacing="0" w:line="240" w:lineRule="atLeast"/>
                    <w:ind w:firstLine="0" w:firstLineChars="0"/>
                    <w:jc w:val="center"/>
                    <w:rPr>
                      <w:rFonts w:ascii="Times New Roman" w:hAnsi="Times New Roman" w:cs="宋体"/>
                      <w:snapToGrid/>
                      <w:color w:val="auto"/>
                      <w:spacing w:val="11"/>
                      <w:kern w:val="2"/>
                      <w:sz w:val="21"/>
                      <w:szCs w:val="21"/>
                    </w:rPr>
                  </w:pPr>
                  <w:r>
                    <w:rPr>
                      <w:rFonts w:ascii="Times New Roman" w:hAnsi="Times New Roman" w:cs="宋体"/>
                      <w:snapToGrid/>
                      <w:color w:val="auto"/>
                      <w:spacing w:val="11"/>
                      <w:kern w:val="2"/>
                      <w:sz w:val="21"/>
                      <w:szCs w:val="21"/>
                    </w:rPr>
                    <w:t>Pmax</w:t>
                  </w:r>
                  <w:r>
                    <w:rPr>
                      <w:rFonts w:hint="eastAsia" w:ascii="Times New Roman" w:hAnsi="Times New Roman" w:cs="宋体"/>
                      <w:snapToGrid/>
                      <w:color w:val="auto"/>
                      <w:spacing w:val="11"/>
                      <w:kern w:val="2"/>
                      <w:sz w:val="21"/>
                      <w:szCs w:val="21"/>
                    </w:rPr>
                    <w:t>＜</w:t>
                  </w:r>
                  <w:r>
                    <w:rPr>
                      <w:rFonts w:ascii="Times New Roman" w:hAnsi="Times New Roman" w:cs="宋体"/>
                      <w:snapToGrid/>
                      <w:color w:val="auto"/>
                      <w:spacing w:val="11"/>
                      <w:kern w:val="2"/>
                      <w:sz w:val="21"/>
                      <w:szCs w:val="21"/>
                    </w:rPr>
                    <w:t>1%</w:t>
                  </w:r>
                </w:p>
              </w:tc>
            </w:tr>
          </w:tbl>
          <w:p>
            <w:pPr>
              <w:widowControl/>
              <w:ind w:firstLine="482"/>
              <w:rPr>
                <w:b/>
                <w:bCs/>
                <w:color w:val="auto"/>
              </w:rPr>
            </w:pPr>
            <w:r>
              <w:rPr>
                <w:rFonts w:hint="eastAsia"/>
                <w:b/>
                <w:bCs/>
                <w:color w:val="auto"/>
              </w:rPr>
              <w:t>（3）评价因子和评价标准筛选</w:t>
            </w:r>
          </w:p>
          <w:p>
            <w:pPr>
              <w:ind w:firstLine="468"/>
              <w:rPr>
                <w:color w:val="auto"/>
              </w:rPr>
            </w:pPr>
            <w:r>
              <w:rPr>
                <w:color w:val="auto"/>
                <w:spacing w:val="-3"/>
              </w:rPr>
              <w:t>根据工程分析，本项目</w:t>
            </w:r>
            <w:r>
              <w:rPr>
                <w:rFonts w:hint="eastAsia"/>
                <w:color w:val="auto"/>
                <w:spacing w:val="-3"/>
                <w:lang w:val="en-US" w:eastAsia="zh-CN"/>
              </w:rPr>
              <w:t>评价因子</w:t>
            </w:r>
            <w:r>
              <w:rPr>
                <w:color w:val="auto"/>
                <w:spacing w:val="-3"/>
              </w:rPr>
              <w:t>主要为</w:t>
            </w:r>
            <w:r>
              <w:rPr>
                <w:rFonts w:hint="eastAsia"/>
                <w:color w:val="auto"/>
                <w:lang w:val="en-US" w:eastAsia="zh-CN"/>
              </w:rPr>
              <w:t>TVOC</w:t>
            </w:r>
            <w:r>
              <w:rPr>
                <w:rFonts w:hint="eastAsia"/>
                <w:color w:val="auto"/>
              </w:rPr>
              <w:t>、</w:t>
            </w:r>
            <w:r>
              <w:rPr>
                <w:rFonts w:hint="eastAsia"/>
                <w:color w:val="auto"/>
                <w:lang w:val="en-US" w:eastAsia="zh-CN"/>
              </w:rPr>
              <w:t>TSP</w:t>
            </w:r>
            <w:r>
              <w:rPr>
                <w:rFonts w:hint="eastAsia"/>
                <w:color w:val="auto"/>
              </w:rPr>
              <w:t>、</w:t>
            </w:r>
            <w:r>
              <w:rPr>
                <w:rFonts w:hint="eastAsia" w:cs="Times New Roman"/>
                <w:color w:val="auto"/>
                <w:lang w:val="en-US" w:eastAsia="zh-CN"/>
              </w:rPr>
              <w:t>PM</w:t>
            </w:r>
            <w:r>
              <w:rPr>
                <w:rFonts w:hint="eastAsia" w:cs="Times New Roman"/>
                <w:color w:val="auto"/>
                <w:vertAlign w:val="subscript"/>
                <w:lang w:val="en-US" w:eastAsia="zh-CN"/>
              </w:rPr>
              <w:t>10</w:t>
            </w:r>
            <w:r>
              <w:rPr>
                <w:rFonts w:hint="eastAsia"/>
                <w:color w:val="auto"/>
                <w:lang w:eastAsia="zh-CN"/>
              </w:rPr>
              <w:t>、</w:t>
            </w:r>
            <w:r>
              <w:rPr>
                <w:rFonts w:hint="eastAsia"/>
                <w:color w:val="auto"/>
              </w:rPr>
              <w:t>SO</w:t>
            </w:r>
            <w:r>
              <w:rPr>
                <w:rFonts w:hint="eastAsia"/>
                <w:color w:val="auto"/>
                <w:vertAlign w:val="subscript"/>
              </w:rPr>
              <w:t>2</w:t>
            </w:r>
            <w:r>
              <w:rPr>
                <w:rFonts w:hint="eastAsia"/>
                <w:color w:val="auto"/>
              </w:rPr>
              <w:t>、氮氧化物</w:t>
            </w:r>
            <w:r>
              <w:rPr>
                <w:color w:val="auto"/>
              </w:rPr>
              <w:t>。评价因子和评价标准见下表：</w:t>
            </w:r>
          </w:p>
          <w:p>
            <w:pPr>
              <w:pStyle w:val="48"/>
              <w:ind w:firstLine="422"/>
              <w:rPr>
                <w:color w:val="auto"/>
              </w:rPr>
            </w:pPr>
            <w:r>
              <w:rPr>
                <w:color w:val="auto"/>
              </w:rPr>
              <w:t>表7-4   污染物评价标准</w:t>
            </w:r>
          </w:p>
          <w:tbl>
            <w:tblPr>
              <w:tblStyle w:val="36"/>
              <w:tblW w:w="4984" w:type="pct"/>
              <w:tblInd w:w="-15" w:type="dxa"/>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Layout w:type="fixed"/>
              <w:tblCellMar>
                <w:top w:w="0" w:type="dxa"/>
                <w:left w:w="108" w:type="dxa"/>
                <w:bottom w:w="0" w:type="dxa"/>
                <w:right w:w="108" w:type="dxa"/>
              </w:tblCellMar>
            </w:tblPr>
            <w:tblGrid>
              <w:gridCol w:w="1305"/>
              <w:gridCol w:w="1100"/>
              <w:gridCol w:w="1150"/>
              <w:gridCol w:w="1276"/>
              <w:gridCol w:w="3512"/>
            </w:tblGrid>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2" w:type="pct"/>
                  <w:vAlign w:val="center"/>
                </w:tcPr>
                <w:p>
                  <w:pPr>
                    <w:pStyle w:val="50"/>
                    <w:rPr>
                      <w:color w:val="auto"/>
                    </w:rPr>
                  </w:pPr>
                  <w:r>
                    <w:rPr>
                      <w:color w:val="auto"/>
                    </w:rPr>
                    <w:t>污染物名称</w:t>
                  </w:r>
                </w:p>
              </w:tc>
              <w:tc>
                <w:tcPr>
                  <w:tcW w:w="659" w:type="pct"/>
                  <w:vAlign w:val="center"/>
                </w:tcPr>
                <w:p>
                  <w:pPr>
                    <w:pStyle w:val="50"/>
                    <w:rPr>
                      <w:color w:val="auto"/>
                    </w:rPr>
                  </w:pPr>
                  <w:r>
                    <w:rPr>
                      <w:color w:val="auto"/>
                    </w:rPr>
                    <w:t>功能区</w:t>
                  </w:r>
                </w:p>
              </w:tc>
              <w:tc>
                <w:tcPr>
                  <w:tcW w:w="689" w:type="pct"/>
                  <w:vAlign w:val="center"/>
                </w:tcPr>
                <w:p>
                  <w:pPr>
                    <w:pStyle w:val="50"/>
                    <w:rPr>
                      <w:color w:val="auto"/>
                    </w:rPr>
                  </w:pPr>
                  <w:r>
                    <w:rPr>
                      <w:rFonts w:hint="eastAsia"/>
                      <w:color w:val="auto"/>
                    </w:rPr>
                    <w:t>取值时间</w:t>
                  </w:r>
                </w:p>
              </w:tc>
              <w:tc>
                <w:tcPr>
                  <w:tcW w:w="764" w:type="pct"/>
                  <w:vAlign w:val="center"/>
                </w:tcPr>
                <w:p>
                  <w:pPr>
                    <w:pStyle w:val="50"/>
                    <w:rPr>
                      <w:color w:val="auto"/>
                    </w:rPr>
                  </w:pPr>
                  <w:r>
                    <w:rPr>
                      <w:color w:val="auto"/>
                    </w:rPr>
                    <w:t>标准值(μg/m³)</w:t>
                  </w:r>
                </w:p>
              </w:tc>
              <w:tc>
                <w:tcPr>
                  <w:tcW w:w="2104" w:type="pct"/>
                  <w:vAlign w:val="center"/>
                </w:tcPr>
                <w:p>
                  <w:pPr>
                    <w:pStyle w:val="50"/>
                    <w:rPr>
                      <w:color w:val="auto"/>
                    </w:rPr>
                  </w:pPr>
                  <w:r>
                    <w:rPr>
                      <w:color w:val="auto"/>
                    </w:rPr>
                    <w:t>标准来源</w:t>
                  </w: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2" w:type="pct"/>
                  <w:vAlign w:val="center"/>
                </w:tcPr>
                <w:p>
                  <w:pPr>
                    <w:pStyle w:val="50"/>
                    <w:rPr>
                      <w:color w:val="auto"/>
                    </w:rPr>
                  </w:pPr>
                  <w:r>
                    <w:rPr>
                      <w:rFonts w:hint="eastAsia"/>
                      <w:color w:val="auto"/>
                    </w:rPr>
                    <w:t>TSP</w:t>
                  </w:r>
                </w:p>
              </w:tc>
              <w:tc>
                <w:tcPr>
                  <w:tcW w:w="659" w:type="pct"/>
                  <w:vAlign w:val="center"/>
                </w:tcPr>
                <w:p>
                  <w:pPr>
                    <w:pStyle w:val="50"/>
                    <w:rPr>
                      <w:color w:val="auto"/>
                    </w:rPr>
                  </w:pPr>
                  <w:r>
                    <w:rPr>
                      <w:color w:val="auto"/>
                    </w:rPr>
                    <w:t>二类限区</w:t>
                  </w:r>
                </w:p>
              </w:tc>
              <w:tc>
                <w:tcPr>
                  <w:tcW w:w="689" w:type="pct"/>
                  <w:vAlign w:val="center"/>
                </w:tcPr>
                <w:p>
                  <w:pPr>
                    <w:pStyle w:val="50"/>
                    <w:rPr>
                      <w:color w:val="auto"/>
                    </w:rPr>
                  </w:pPr>
                  <w:r>
                    <w:rPr>
                      <w:rFonts w:hint="eastAsia"/>
                      <w:color w:val="auto"/>
                    </w:rPr>
                    <w:t>一小时</w:t>
                  </w:r>
                </w:p>
              </w:tc>
              <w:tc>
                <w:tcPr>
                  <w:tcW w:w="764" w:type="pct"/>
                  <w:vAlign w:val="center"/>
                </w:tcPr>
                <w:p>
                  <w:pPr>
                    <w:pStyle w:val="50"/>
                    <w:rPr>
                      <w:color w:val="auto"/>
                    </w:rPr>
                  </w:pPr>
                  <w:r>
                    <w:rPr>
                      <w:rFonts w:hint="eastAsia"/>
                      <w:color w:val="auto"/>
                    </w:rPr>
                    <w:t>9</w:t>
                  </w:r>
                  <w:r>
                    <w:rPr>
                      <w:color w:val="auto"/>
                    </w:rPr>
                    <w:t>00</w:t>
                  </w:r>
                </w:p>
              </w:tc>
              <w:tc>
                <w:tcPr>
                  <w:tcW w:w="2104" w:type="pct"/>
                  <w:vMerge w:val="restart"/>
                  <w:vAlign w:val="center"/>
                </w:tcPr>
                <w:p>
                  <w:pPr>
                    <w:pStyle w:val="50"/>
                    <w:rPr>
                      <w:color w:val="auto"/>
                    </w:rPr>
                  </w:pPr>
                  <w:r>
                    <w:rPr>
                      <w:color w:val="auto"/>
                      <w:shd w:val="clear" w:color="auto" w:fill="FFFFFF"/>
                      <w:lang w:bidi="en-US"/>
                    </w:rPr>
                    <w:t>《环境空气质量标准》（GB3095-2012）</w:t>
                  </w:r>
                  <w:r>
                    <w:rPr>
                      <w:color w:val="auto"/>
                    </w:rPr>
                    <w:t>二级标准</w:t>
                  </w: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1305" w:type="dxa"/>
                  <w:vAlign w:val="center"/>
                </w:tcPr>
                <w:p>
                  <w:pPr>
                    <w:pStyle w:val="50"/>
                    <w:ind w:firstLine="0" w:firstLineChars="0"/>
                    <w:rPr>
                      <w:rFonts w:hint="eastAsia"/>
                      <w:color w:val="auto"/>
                    </w:rPr>
                  </w:pPr>
                  <w:r>
                    <w:rPr>
                      <w:rFonts w:hint="eastAsia" w:cs="Times New Roman"/>
                      <w:color w:val="auto"/>
                      <w:lang w:val="en-US" w:eastAsia="zh-CN"/>
                    </w:rPr>
                    <w:t>PM</w:t>
                  </w:r>
                  <w:r>
                    <w:rPr>
                      <w:rFonts w:hint="eastAsia" w:cs="Times New Roman"/>
                      <w:color w:val="auto"/>
                      <w:vertAlign w:val="subscript"/>
                      <w:lang w:val="en-US" w:eastAsia="zh-CN"/>
                    </w:rPr>
                    <w:t>10</w:t>
                  </w:r>
                </w:p>
              </w:tc>
              <w:tc>
                <w:tcPr>
                  <w:tcW w:w="1100" w:type="dxa"/>
                  <w:vAlign w:val="center"/>
                </w:tcPr>
                <w:p>
                  <w:pPr>
                    <w:pStyle w:val="50"/>
                    <w:ind w:firstLine="0" w:firstLineChars="0"/>
                    <w:rPr>
                      <w:color w:val="auto"/>
                    </w:rPr>
                  </w:pPr>
                  <w:r>
                    <w:rPr>
                      <w:rFonts w:hint="default" w:ascii="Times New Roman" w:hAnsi="Times New Roman" w:cs="Times New Roman"/>
                      <w:color w:val="auto"/>
                      <w:lang w:val="en-US" w:eastAsia="zh-CN"/>
                    </w:rPr>
                    <w:t>二类限区</w:t>
                  </w:r>
                </w:p>
              </w:tc>
              <w:tc>
                <w:tcPr>
                  <w:tcW w:w="1150" w:type="dxa"/>
                  <w:vAlign w:val="center"/>
                </w:tcPr>
                <w:p>
                  <w:pPr>
                    <w:pStyle w:val="50"/>
                    <w:ind w:firstLine="0" w:firstLineChars="0"/>
                    <w:rPr>
                      <w:rFonts w:hint="eastAsia"/>
                      <w:color w:val="auto"/>
                    </w:rPr>
                  </w:pPr>
                  <w:r>
                    <w:rPr>
                      <w:rFonts w:hint="eastAsia" w:cs="Times New Roman"/>
                      <w:color w:val="auto"/>
                      <w:lang w:val="en-US" w:eastAsia="zh-CN"/>
                    </w:rPr>
                    <w:t>24h平均</w:t>
                  </w:r>
                </w:p>
              </w:tc>
              <w:tc>
                <w:tcPr>
                  <w:tcW w:w="1276" w:type="dxa"/>
                  <w:vAlign w:val="center"/>
                </w:tcPr>
                <w:p>
                  <w:pPr>
                    <w:pStyle w:val="50"/>
                    <w:ind w:firstLine="0" w:firstLineChars="0"/>
                    <w:rPr>
                      <w:rFonts w:hint="eastAsia"/>
                      <w:color w:val="auto"/>
                    </w:rPr>
                  </w:pPr>
                  <w:r>
                    <w:rPr>
                      <w:rFonts w:hint="eastAsia" w:cs="Times New Roman"/>
                      <w:color w:val="auto"/>
                      <w:lang w:val="en-US" w:eastAsia="zh-CN"/>
                    </w:rPr>
                    <w:t>150</w:t>
                  </w:r>
                </w:p>
              </w:tc>
              <w:tc>
                <w:tcPr>
                  <w:tcW w:w="2104" w:type="pct"/>
                  <w:vMerge w:val="continue"/>
                  <w:vAlign w:val="center"/>
                </w:tcPr>
                <w:p>
                  <w:pPr>
                    <w:pStyle w:val="50"/>
                    <w:rPr>
                      <w:color w:val="auto"/>
                      <w:shd w:val="clear" w:color="auto" w:fill="FFFFFF"/>
                      <w:lang w:bidi="en-US"/>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2" w:type="pct"/>
                  <w:vAlign w:val="center"/>
                </w:tcPr>
                <w:p>
                  <w:pPr>
                    <w:pStyle w:val="50"/>
                    <w:rPr>
                      <w:color w:val="auto"/>
                    </w:rPr>
                  </w:pPr>
                  <w:r>
                    <w:rPr>
                      <w:rFonts w:hint="eastAsia"/>
                      <w:color w:val="auto"/>
                    </w:rPr>
                    <w:t>SO</w:t>
                  </w:r>
                  <w:r>
                    <w:rPr>
                      <w:rFonts w:hint="eastAsia"/>
                      <w:color w:val="auto"/>
                      <w:vertAlign w:val="subscript"/>
                    </w:rPr>
                    <w:t>2</w:t>
                  </w:r>
                </w:p>
              </w:tc>
              <w:tc>
                <w:tcPr>
                  <w:tcW w:w="659" w:type="pct"/>
                  <w:vAlign w:val="center"/>
                </w:tcPr>
                <w:p>
                  <w:pPr>
                    <w:pStyle w:val="50"/>
                    <w:rPr>
                      <w:color w:val="auto"/>
                    </w:rPr>
                  </w:pPr>
                  <w:r>
                    <w:rPr>
                      <w:color w:val="auto"/>
                    </w:rPr>
                    <w:t>二类限区</w:t>
                  </w:r>
                </w:p>
              </w:tc>
              <w:tc>
                <w:tcPr>
                  <w:tcW w:w="689" w:type="pct"/>
                  <w:vAlign w:val="center"/>
                </w:tcPr>
                <w:p>
                  <w:pPr>
                    <w:pStyle w:val="50"/>
                    <w:rPr>
                      <w:color w:val="auto"/>
                    </w:rPr>
                  </w:pPr>
                  <w:r>
                    <w:rPr>
                      <w:rFonts w:hint="eastAsia"/>
                      <w:color w:val="auto"/>
                    </w:rPr>
                    <w:t>一小时</w:t>
                  </w:r>
                </w:p>
              </w:tc>
              <w:tc>
                <w:tcPr>
                  <w:tcW w:w="764" w:type="pct"/>
                  <w:vAlign w:val="center"/>
                </w:tcPr>
                <w:p>
                  <w:pPr>
                    <w:pStyle w:val="50"/>
                    <w:rPr>
                      <w:color w:val="auto"/>
                    </w:rPr>
                  </w:pPr>
                  <w:r>
                    <w:rPr>
                      <w:rFonts w:hint="eastAsia"/>
                      <w:color w:val="auto"/>
                    </w:rPr>
                    <w:t>5</w:t>
                  </w:r>
                  <w:r>
                    <w:rPr>
                      <w:color w:val="auto"/>
                    </w:rPr>
                    <w:t>00</w:t>
                  </w:r>
                </w:p>
              </w:tc>
              <w:tc>
                <w:tcPr>
                  <w:tcW w:w="2104"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782" w:type="pct"/>
                  <w:vAlign w:val="center"/>
                </w:tcPr>
                <w:p>
                  <w:pPr>
                    <w:pStyle w:val="50"/>
                    <w:rPr>
                      <w:color w:val="auto"/>
                    </w:rPr>
                  </w:pPr>
                  <w:r>
                    <w:rPr>
                      <w:rFonts w:hint="eastAsia"/>
                      <w:color w:val="auto"/>
                    </w:rPr>
                    <w:t>NO</w:t>
                  </w:r>
                  <w:r>
                    <w:rPr>
                      <w:rFonts w:hint="eastAsia"/>
                      <w:color w:val="auto"/>
                      <w:vertAlign w:val="subscript"/>
                    </w:rPr>
                    <w:t>X</w:t>
                  </w:r>
                </w:p>
              </w:tc>
              <w:tc>
                <w:tcPr>
                  <w:tcW w:w="659" w:type="pct"/>
                  <w:vAlign w:val="center"/>
                </w:tcPr>
                <w:p>
                  <w:pPr>
                    <w:pStyle w:val="50"/>
                    <w:rPr>
                      <w:color w:val="auto"/>
                    </w:rPr>
                  </w:pPr>
                  <w:r>
                    <w:rPr>
                      <w:color w:val="auto"/>
                    </w:rPr>
                    <w:t>二类限区</w:t>
                  </w:r>
                </w:p>
              </w:tc>
              <w:tc>
                <w:tcPr>
                  <w:tcW w:w="689" w:type="pct"/>
                  <w:vAlign w:val="center"/>
                </w:tcPr>
                <w:p>
                  <w:pPr>
                    <w:pStyle w:val="50"/>
                    <w:rPr>
                      <w:color w:val="auto"/>
                    </w:rPr>
                  </w:pPr>
                  <w:r>
                    <w:rPr>
                      <w:rFonts w:hint="eastAsia"/>
                      <w:color w:val="auto"/>
                    </w:rPr>
                    <w:t>一小时</w:t>
                  </w:r>
                </w:p>
              </w:tc>
              <w:tc>
                <w:tcPr>
                  <w:tcW w:w="764" w:type="pct"/>
                  <w:vAlign w:val="center"/>
                </w:tcPr>
                <w:p>
                  <w:pPr>
                    <w:pStyle w:val="50"/>
                    <w:rPr>
                      <w:color w:val="auto"/>
                    </w:rPr>
                  </w:pPr>
                  <w:r>
                    <w:rPr>
                      <w:rFonts w:hint="eastAsia"/>
                      <w:color w:val="auto"/>
                    </w:rPr>
                    <w:t>250</w:t>
                  </w:r>
                </w:p>
              </w:tc>
              <w:tc>
                <w:tcPr>
                  <w:tcW w:w="2104"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0" w:space="0"/>
                  <w:insideV w:val="single" w:color="auto" w:sz="0" w:space="0"/>
                </w:tblBorders>
                <w:tblCellMar>
                  <w:top w:w="0" w:type="dxa"/>
                  <w:left w:w="108" w:type="dxa"/>
                  <w:bottom w:w="0" w:type="dxa"/>
                  <w:right w:w="108" w:type="dxa"/>
                </w:tblCellMar>
              </w:tblPrEx>
              <w:tc>
                <w:tcPr>
                  <w:tcW w:w="1305" w:type="dxa"/>
                  <w:vAlign w:val="center"/>
                </w:tcPr>
                <w:p>
                  <w:pPr>
                    <w:pStyle w:val="50"/>
                    <w:ind w:firstLine="0" w:firstLineChars="0"/>
                    <w:rPr>
                      <w:rFonts w:hint="eastAsia"/>
                      <w:color w:val="auto"/>
                    </w:rPr>
                  </w:pPr>
                  <w:r>
                    <w:rPr>
                      <w:rFonts w:hint="default"/>
                      <w:color w:val="auto"/>
                    </w:rPr>
                    <w:t>TVOC</w:t>
                  </w:r>
                </w:p>
              </w:tc>
              <w:tc>
                <w:tcPr>
                  <w:tcW w:w="1100" w:type="dxa"/>
                  <w:vAlign w:val="center"/>
                </w:tcPr>
                <w:p>
                  <w:pPr>
                    <w:pStyle w:val="50"/>
                    <w:ind w:firstLine="0" w:firstLineChars="0"/>
                    <w:rPr>
                      <w:color w:val="auto"/>
                    </w:rPr>
                  </w:pPr>
                  <w:r>
                    <w:rPr>
                      <w:rFonts w:hint="default" w:ascii="Times New Roman" w:hAnsi="Times New Roman" w:cs="Times New Roman"/>
                      <w:color w:val="auto"/>
                      <w:lang w:val="en-US" w:eastAsia="zh-CN"/>
                    </w:rPr>
                    <w:t>二类限区</w:t>
                  </w:r>
                </w:p>
              </w:tc>
              <w:tc>
                <w:tcPr>
                  <w:tcW w:w="1150" w:type="dxa"/>
                  <w:vAlign w:val="center"/>
                </w:tcPr>
                <w:p>
                  <w:pPr>
                    <w:pStyle w:val="50"/>
                    <w:ind w:firstLine="0" w:firstLineChars="0"/>
                    <w:rPr>
                      <w:rFonts w:hint="eastAsia"/>
                      <w:color w:val="auto"/>
                    </w:rPr>
                  </w:pPr>
                  <w:r>
                    <w:rPr>
                      <w:rFonts w:hint="default" w:ascii="Times New Roman" w:hAnsi="Times New Roman" w:cs="Times New Roman"/>
                      <w:color w:val="auto"/>
                      <w:lang w:val="en-US" w:eastAsia="zh-CN"/>
                    </w:rPr>
                    <w:t>8h平均</w:t>
                  </w:r>
                </w:p>
              </w:tc>
              <w:tc>
                <w:tcPr>
                  <w:tcW w:w="1276" w:type="dxa"/>
                  <w:vAlign w:val="center"/>
                </w:tcPr>
                <w:p>
                  <w:pPr>
                    <w:pStyle w:val="50"/>
                    <w:ind w:firstLine="0" w:firstLineChars="0"/>
                    <w:rPr>
                      <w:rFonts w:hint="eastAsia"/>
                      <w:color w:val="auto"/>
                    </w:rPr>
                  </w:pPr>
                  <w:r>
                    <w:rPr>
                      <w:rFonts w:hint="eastAsia" w:cs="Times New Roman"/>
                      <w:color w:val="auto"/>
                      <w:lang w:val="en-US" w:eastAsia="zh-CN"/>
                    </w:rPr>
                    <w:t>600</w:t>
                  </w:r>
                </w:p>
              </w:tc>
              <w:tc>
                <w:tcPr>
                  <w:tcW w:w="3512" w:type="dxa"/>
                  <w:vAlign w:val="center"/>
                </w:tcPr>
                <w:p>
                  <w:pPr>
                    <w:pStyle w:val="50"/>
                    <w:ind w:firstLine="0" w:firstLineChars="0"/>
                    <w:rPr>
                      <w:color w:val="auto"/>
                    </w:rPr>
                  </w:pPr>
                  <w:r>
                    <w:rPr>
                      <w:rFonts w:hint="default" w:ascii="Times New Roman" w:hAnsi="Times New Roman" w:cs="Times New Roman"/>
                      <w:color w:val="auto"/>
                      <w:lang w:val="en-US" w:eastAsia="zh-CN"/>
                    </w:rPr>
                    <w:t>《环境影响评价技术导则大气环境HJ2.2-2018》附录D</w:t>
                  </w:r>
                </w:p>
              </w:tc>
            </w:tr>
          </w:tbl>
          <w:p>
            <w:pPr>
              <w:widowControl/>
              <w:spacing w:line="240" w:lineRule="auto"/>
              <w:ind w:firstLine="482"/>
              <w:jc w:val="left"/>
              <w:rPr>
                <w:b/>
                <w:bCs/>
                <w:color w:val="auto"/>
              </w:rPr>
            </w:pPr>
            <w:r>
              <w:rPr>
                <w:rFonts w:hint="eastAsia"/>
                <w:b/>
                <w:bCs/>
                <w:color w:val="auto"/>
              </w:rPr>
              <w:t>（4）估算模型参数</w:t>
            </w:r>
          </w:p>
          <w:p>
            <w:pPr>
              <w:pStyle w:val="48"/>
              <w:widowControl/>
              <w:ind w:firstLine="0" w:firstLineChars="0"/>
              <w:rPr>
                <w:color w:val="auto"/>
              </w:rPr>
            </w:pPr>
            <w:r>
              <w:rPr>
                <w:color w:val="auto"/>
              </w:rPr>
              <w:t>表7-5  本项目估算模型参数</w:t>
            </w:r>
          </w:p>
          <w:tbl>
            <w:tblPr>
              <w:tblStyle w:val="37"/>
              <w:tblW w:w="4963" w:type="pct"/>
              <w:tblInd w:w="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2885"/>
              <w:gridCol w:w="27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5502" w:type="dxa"/>
                  <w:gridSpan w:val="2"/>
                  <w:tcBorders>
                    <w:top w:val="single" w:color="auto" w:sz="4" w:space="0"/>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参数</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642" w:type="dxa"/>
                  <w:vMerge w:val="restart"/>
                  <w:tcBorders>
                    <w:top w:val="nil"/>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城市</w:t>
                  </w: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城市</w:t>
                  </w:r>
                  <w:r>
                    <w:rPr>
                      <w:rFonts w:ascii="Times New Roman" w:hAnsi="Times New Roman"/>
                      <w:color w:val="auto"/>
                      <w:spacing w:val="11"/>
                      <w:kern w:val="2"/>
                      <w:sz w:val="21"/>
                      <w:szCs w:val="21"/>
                    </w:rPr>
                    <w:t>/</w:t>
                  </w:r>
                  <w:r>
                    <w:rPr>
                      <w:rFonts w:hint="eastAsia" w:cs="宋体"/>
                      <w:color w:val="auto"/>
                      <w:spacing w:val="11"/>
                      <w:kern w:val="2"/>
                      <w:sz w:val="21"/>
                      <w:szCs w:val="21"/>
                    </w:rPr>
                    <w:t>农村</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trPr>
              <w:tc>
                <w:tcPr>
                  <w:tcW w:w="2642" w:type="dxa"/>
                  <w:vMerge w:val="continue"/>
                  <w:tcBorders>
                    <w:top w:val="nil"/>
                    <w:left w:val="single" w:color="auto" w:sz="4" w:space="0"/>
                    <w:bottom w:val="single" w:color="auto" w:sz="4" w:space="0"/>
                    <w:right w:val="single" w:color="auto" w:sz="4" w:space="0"/>
                  </w:tcBorders>
                  <w:shd w:val="clear" w:color="auto" w:fill="auto"/>
                </w:tcPr>
                <w:p>
                  <w:pPr>
                    <w:ind w:firstLine="400"/>
                    <w:rPr>
                      <w:color w:val="auto"/>
                      <w:sz w:val="20"/>
                      <w:szCs w:val="20"/>
                    </w:rPr>
                  </w:pP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人口数（城市选项时）</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hint="default" w:ascii="Times New Roman" w:hAnsi="Times New Roman" w:eastAsia="宋体"/>
                      <w:color w:val="auto"/>
                      <w:spacing w:val="11"/>
                      <w:kern w:val="2"/>
                      <w:sz w:val="21"/>
                      <w:szCs w:val="21"/>
                      <w:lang w:val="en-US" w:eastAsia="zh-CN"/>
                    </w:rPr>
                  </w:pPr>
                  <w:r>
                    <w:rPr>
                      <w:rFonts w:hint="eastAsia" w:ascii="Times New Roman" w:hAnsi="Times New Roman" w:cs="宋体"/>
                      <w:color w:val="auto"/>
                      <w:spacing w:val="11"/>
                      <w:kern w:val="2"/>
                      <w:sz w:val="21"/>
                      <w:szCs w:val="21"/>
                      <w:lang w:val="en-US" w:eastAsia="zh-CN"/>
                    </w:rPr>
                    <w:t>20285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trPr>
              <w:tc>
                <w:tcPr>
                  <w:tcW w:w="5502" w:type="dxa"/>
                  <w:gridSpan w:val="2"/>
                  <w:tcBorders>
                    <w:top w:val="single" w:color="auto" w:sz="4" w:space="0"/>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最高环境温度</w:t>
                  </w:r>
                  <w:r>
                    <w:rPr>
                      <w:rFonts w:ascii="Times New Roman" w:hAnsi="Times New Roman"/>
                      <w:color w:val="auto"/>
                      <w:spacing w:val="11"/>
                      <w:kern w:val="2"/>
                      <w:sz w:val="21"/>
                      <w:szCs w:val="21"/>
                    </w:rPr>
                    <w:t>/</w:t>
                  </w:r>
                  <w:r>
                    <w:rPr>
                      <w:rFonts w:hint="eastAsia" w:cs="宋体"/>
                      <w:color w:val="auto"/>
                      <w:spacing w:val="11"/>
                      <w:kern w:val="2"/>
                      <w:sz w:val="21"/>
                      <w:szCs w:val="21"/>
                    </w:rPr>
                    <w:t>℃</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502" w:type="dxa"/>
                  <w:gridSpan w:val="2"/>
                  <w:tcBorders>
                    <w:top w:val="single" w:color="auto" w:sz="4" w:space="0"/>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最低环境温度</w:t>
                  </w:r>
                  <w:r>
                    <w:rPr>
                      <w:rFonts w:ascii="Times New Roman" w:hAnsi="Times New Roman"/>
                      <w:color w:val="auto"/>
                      <w:spacing w:val="11"/>
                      <w:kern w:val="2"/>
                      <w:sz w:val="21"/>
                      <w:szCs w:val="21"/>
                    </w:rPr>
                    <w:t>/</w:t>
                  </w:r>
                  <w:r>
                    <w:rPr>
                      <w:rFonts w:hint="eastAsia" w:cs="宋体"/>
                      <w:color w:val="auto"/>
                      <w:spacing w:val="11"/>
                      <w:kern w:val="2"/>
                      <w:sz w:val="21"/>
                      <w:szCs w:val="21"/>
                    </w:rPr>
                    <w:t>℃</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502" w:type="dxa"/>
                  <w:gridSpan w:val="2"/>
                  <w:tcBorders>
                    <w:top w:val="single" w:color="auto" w:sz="4" w:space="0"/>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土地利用类型</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城市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5502" w:type="dxa"/>
                  <w:gridSpan w:val="2"/>
                  <w:tcBorders>
                    <w:top w:val="single" w:color="auto" w:sz="4" w:space="0"/>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区域湿度条件</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湿润区域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642" w:type="dxa"/>
                  <w:vMerge w:val="restart"/>
                  <w:tcBorders>
                    <w:top w:val="nil"/>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是否考虑地形</w:t>
                  </w: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考虑地形</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2642" w:type="dxa"/>
                  <w:vMerge w:val="continue"/>
                  <w:tcBorders>
                    <w:top w:val="nil"/>
                    <w:left w:val="single" w:color="auto" w:sz="4" w:space="0"/>
                    <w:bottom w:val="single" w:color="auto" w:sz="4" w:space="0"/>
                    <w:right w:val="single" w:color="auto" w:sz="4" w:space="0"/>
                  </w:tcBorders>
                  <w:shd w:val="clear" w:color="auto" w:fill="auto"/>
                </w:tcPr>
                <w:p>
                  <w:pPr>
                    <w:ind w:firstLine="400"/>
                    <w:rPr>
                      <w:color w:val="auto"/>
                      <w:sz w:val="20"/>
                      <w:szCs w:val="20"/>
                    </w:rPr>
                  </w:pP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地形数据分辨率</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2642" w:type="dxa"/>
                  <w:vMerge w:val="restart"/>
                  <w:tcBorders>
                    <w:top w:val="nil"/>
                    <w:left w:val="single" w:color="auto" w:sz="4" w:space="0"/>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是否考虑岸线熏烟</w:t>
                  </w: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考虑岸线熏烟</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2642" w:type="dxa"/>
                  <w:vMerge w:val="continue"/>
                  <w:tcBorders>
                    <w:top w:val="nil"/>
                    <w:left w:val="single" w:color="auto" w:sz="4" w:space="0"/>
                    <w:bottom w:val="single" w:color="auto" w:sz="4" w:space="0"/>
                    <w:right w:val="single" w:color="auto" w:sz="4" w:space="0"/>
                  </w:tcBorders>
                  <w:shd w:val="clear" w:color="auto" w:fill="auto"/>
                </w:tcPr>
                <w:p>
                  <w:pPr>
                    <w:ind w:firstLine="400"/>
                    <w:rPr>
                      <w:color w:val="auto"/>
                      <w:sz w:val="20"/>
                      <w:szCs w:val="20"/>
                    </w:rPr>
                  </w:pP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岸线距离</w:t>
                  </w:r>
                  <w:r>
                    <w:rPr>
                      <w:rFonts w:ascii="Times New Roman" w:hAnsi="Times New Roman"/>
                      <w:color w:val="auto"/>
                      <w:spacing w:val="11"/>
                      <w:kern w:val="2"/>
                      <w:sz w:val="21"/>
                      <w:szCs w:val="21"/>
                    </w:rPr>
                    <w:t>/km</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2642" w:type="dxa"/>
                  <w:vMerge w:val="continue"/>
                  <w:tcBorders>
                    <w:top w:val="nil"/>
                    <w:left w:val="single" w:color="auto" w:sz="4" w:space="0"/>
                    <w:bottom w:val="single" w:color="auto" w:sz="4" w:space="0"/>
                    <w:right w:val="single" w:color="auto" w:sz="4" w:space="0"/>
                  </w:tcBorders>
                  <w:shd w:val="clear" w:color="auto" w:fill="auto"/>
                </w:tcPr>
                <w:p>
                  <w:pPr>
                    <w:ind w:firstLine="400"/>
                    <w:rPr>
                      <w:color w:val="auto"/>
                      <w:sz w:val="20"/>
                      <w:szCs w:val="20"/>
                    </w:rPr>
                  </w:pPr>
                </w:p>
              </w:tc>
              <w:tc>
                <w:tcPr>
                  <w:tcW w:w="2860"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岸线方向</w:t>
                  </w:r>
                </w:p>
              </w:tc>
              <w:tc>
                <w:tcPr>
                  <w:tcW w:w="2734" w:type="dxa"/>
                  <w:tcBorders>
                    <w:top w:val="single" w:color="auto" w:sz="4" w:space="0"/>
                    <w:left w:val="nil"/>
                    <w:bottom w:val="single" w:color="auto" w:sz="4" w:space="0"/>
                    <w:right w:val="single" w:color="auto" w:sz="4" w:space="0"/>
                  </w:tcBorders>
                  <w:shd w:val="clear" w:color="auto" w:fill="auto"/>
                </w:tcPr>
                <w:p>
                  <w:pPr>
                    <w:pStyle w:val="31"/>
                    <w:keepNext/>
                    <w:keepLines/>
                    <w:widowControl w:val="0"/>
                    <w:spacing w:before="0" w:beforeAutospacing="0" w:after="0" w:afterAutospacing="0" w:line="240" w:lineRule="atLeast"/>
                    <w:ind w:firstLine="0" w:firstLineChars="0"/>
                    <w:jc w:val="center"/>
                    <w:rPr>
                      <w:rFonts w:ascii="Times New Roman" w:hAnsi="Times New Roman"/>
                      <w:color w:val="auto"/>
                      <w:spacing w:val="11"/>
                      <w:kern w:val="2"/>
                      <w:sz w:val="21"/>
                      <w:szCs w:val="21"/>
                    </w:rPr>
                  </w:pPr>
                  <w:r>
                    <w:rPr>
                      <w:rFonts w:hint="eastAsia" w:ascii="Times New Roman" w:hAnsi="Times New Roman" w:cs="宋体"/>
                      <w:color w:val="auto"/>
                      <w:spacing w:val="11"/>
                      <w:kern w:val="2"/>
                      <w:sz w:val="21"/>
                      <w:szCs w:val="21"/>
                    </w:rPr>
                    <w:t>/</w:t>
                  </w:r>
                </w:p>
              </w:tc>
            </w:tr>
          </w:tbl>
          <w:p>
            <w:pPr>
              <w:ind w:firstLine="482"/>
              <w:rPr>
                <w:b/>
                <w:bCs/>
                <w:color w:val="auto"/>
              </w:rPr>
            </w:pPr>
            <w:r>
              <w:rPr>
                <w:b/>
                <w:bCs/>
                <w:color w:val="auto"/>
              </w:rPr>
              <w:t>（5）项目污染源参数</w:t>
            </w:r>
          </w:p>
          <w:p>
            <w:pPr>
              <w:ind w:firstLine="480"/>
              <w:rPr>
                <w:color w:val="auto"/>
              </w:rPr>
            </w:pPr>
            <w:r>
              <w:rPr>
                <w:color w:val="auto"/>
              </w:rPr>
              <w:t>项目本项目污染源排污概况见表7-</w:t>
            </w:r>
            <w:r>
              <w:rPr>
                <w:rFonts w:hint="eastAsia"/>
                <w:color w:val="auto"/>
              </w:rPr>
              <w:t>6</w:t>
            </w:r>
            <w:r>
              <w:rPr>
                <w:color w:val="auto"/>
              </w:rPr>
              <w:t>、7-</w:t>
            </w:r>
            <w:r>
              <w:rPr>
                <w:rFonts w:hint="eastAsia"/>
                <w:color w:val="auto"/>
              </w:rPr>
              <w:t>7</w:t>
            </w:r>
            <w:r>
              <w:rPr>
                <w:color w:val="auto"/>
              </w:rPr>
              <w:t>。</w:t>
            </w:r>
          </w:p>
          <w:p>
            <w:pPr>
              <w:pStyle w:val="48"/>
              <w:ind w:firstLine="422"/>
              <w:rPr>
                <w:snapToGrid w:val="0"/>
                <w:color w:val="auto"/>
              </w:rPr>
            </w:pPr>
            <w:r>
              <w:rPr>
                <w:color w:val="auto"/>
              </w:rPr>
              <w:t>表7-6 污染源参数一览表(点源)</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947"/>
              <w:gridCol w:w="893"/>
              <w:gridCol w:w="926"/>
              <w:gridCol w:w="952"/>
              <w:gridCol w:w="685"/>
              <w:gridCol w:w="619"/>
              <w:gridCol w:w="652"/>
              <w:gridCol w:w="668"/>
              <w:gridCol w:w="765"/>
              <w:gridCol w:w="755"/>
              <w:gridCol w:w="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8" w:hRule="atLeast"/>
                <w:jc w:val="center"/>
              </w:trPr>
              <w:tc>
                <w:tcPr>
                  <w:tcW w:w="565" w:type="pct"/>
                  <w:vMerge w:val="restart"/>
                  <w:tcBorders>
                    <w:bottom w:val="single" w:color="auto" w:sz="4" w:space="0"/>
                    <w:right w:val="single" w:color="auto" w:sz="4" w:space="0"/>
                  </w:tcBorders>
                  <w:vAlign w:val="center"/>
                </w:tcPr>
                <w:p>
                  <w:pPr>
                    <w:pStyle w:val="50"/>
                    <w:rPr>
                      <w:color w:val="auto"/>
                    </w:rPr>
                  </w:pPr>
                  <w:r>
                    <w:rPr>
                      <w:color w:val="auto"/>
                    </w:rPr>
                    <w:t>污染源名称</w:t>
                  </w:r>
                </w:p>
              </w:tc>
              <w:tc>
                <w:tcPr>
                  <w:tcW w:w="1086" w:type="pct"/>
                  <w:gridSpan w:val="2"/>
                  <w:tcBorders>
                    <w:left w:val="nil"/>
                    <w:bottom w:val="single" w:color="auto" w:sz="4" w:space="0"/>
                    <w:right w:val="single" w:color="auto" w:sz="4" w:space="0"/>
                  </w:tcBorders>
                  <w:vAlign w:val="center"/>
                </w:tcPr>
                <w:p>
                  <w:pPr>
                    <w:pStyle w:val="50"/>
                    <w:rPr>
                      <w:color w:val="auto"/>
                    </w:rPr>
                  </w:pPr>
                  <w:r>
                    <w:rPr>
                      <w:color w:val="auto"/>
                    </w:rPr>
                    <w:t>排气筒底部中心坐标(o)</w:t>
                  </w:r>
                </w:p>
              </w:tc>
              <w:tc>
                <w:tcPr>
                  <w:tcW w:w="568" w:type="pct"/>
                  <w:vMerge w:val="restart"/>
                  <w:tcBorders>
                    <w:left w:val="nil"/>
                    <w:bottom w:val="single" w:color="auto" w:sz="4" w:space="0"/>
                    <w:right w:val="single" w:color="auto" w:sz="4" w:space="0"/>
                  </w:tcBorders>
                  <w:vAlign w:val="center"/>
                </w:tcPr>
                <w:p>
                  <w:pPr>
                    <w:pStyle w:val="50"/>
                    <w:rPr>
                      <w:color w:val="auto"/>
                    </w:rPr>
                  </w:pPr>
                  <w:r>
                    <w:rPr>
                      <w:color w:val="auto"/>
                    </w:rPr>
                    <w:t>排气筒底部海拔高度(m)</w:t>
                  </w:r>
                </w:p>
              </w:tc>
              <w:tc>
                <w:tcPr>
                  <w:tcW w:w="1567" w:type="pct"/>
                  <w:gridSpan w:val="4"/>
                  <w:tcBorders>
                    <w:left w:val="nil"/>
                    <w:bottom w:val="nil"/>
                    <w:right w:val="single" w:color="auto" w:sz="4" w:space="0"/>
                  </w:tcBorders>
                  <w:vAlign w:val="center"/>
                </w:tcPr>
                <w:p>
                  <w:pPr>
                    <w:pStyle w:val="50"/>
                    <w:rPr>
                      <w:color w:val="auto"/>
                    </w:rPr>
                  </w:pPr>
                  <w:r>
                    <w:rPr>
                      <w:color w:val="auto"/>
                    </w:rPr>
                    <w:t>排气筒参数</w:t>
                  </w:r>
                </w:p>
              </w:tc>
              <w:tc>
                <w:tcPr>
                  <w:tcW w:w="456" w:type="pct"/>
                  <w:vMerge w:val="restart"/>
                  <w:tcBorders>
                    <w:left w:val="nil"/>
                    <w:bottom w:val="single" w:color="auto" w:sz="4" w:space="0"/>
                    <w:right w:val="single" w:color="auto" w:sz="4" w:space="0"/>
                  </w:tcBorders>
                  <w:vAlign w:val="center"/>
                </w:tcPr>
                <w:p>
                  <w:pPr>
                    <w:pStyle w:val="50"/>
                    <w:rPr>
                      <w:color w:val="auto"/>
                    </w:rPr>
                  </w:pPr>
                  <w:r>
                    <w:rPr>
                      <w:color w:val="auto"/>
                    </w:rPr>
                    <w:t>污染物名称</w:t>
                  </w:r>
                </w:p>
              </w:tc>
              <w:tc>
                <w:tcPr>
                  <w:tcW w:w="450" w:type="pct"/>
                  <w:vMerge w:val="restart"/>
                  <w:tcBorders>
                    <w:left w:val="nil"/>
                    <w:bottom w:val="single" w:color="auto" w:sz="4" w:space="0"/>
                    <w:right w:val="single" w:color="auto" w:sz="4" w:space="0"/>
                  </w:tcBorders>
                  <w:vAlign w:val="center"/>
                </w:tcPr>
                <w:p>
                  <w:pPr>
                    <w:pStyle w:val="50"/>
                    <w:rPr>
                      <w:color w:val="auto"/>
                    </w:rPr>
                  </w:pPr>
                  <w:r>
                    <w:rPr>
                      <w:color w:val="auto"/>
                    </w:rPr>
                    <w:t>排放速率</w:t>
                  </w:r>
                </w:p>
              </w:tc>
              <w:tc>
                <w:tcPr>
                  <w:tcW w:w="303" w:type="pct"/>
                  <w:vMerge w:val="restart"/>
                  <w:tcBorders>
                    <w:left w:val="nil"/>
                    <w:bottom w:val="single" w:color="auto" w:sz="4" w:space="0"/>
                  </w:tcBorders>
                  <w:vAlign w:val="center"/>
                </w:tcPr>
                <w:p>
                  <w:pPr>
                    <w:pStyle w:val="50"/>
                    <w:rPr>
                      <w:color w:val="auto"/>
                    </w:rPr>
                  </w:pPr>
                  <w:r>
                    <w:rPr>
                      <w:color w:val="auto"/>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6" w:hRule="atLeast"/>
                <w:jc w:val="center"/>
              </w:trPr>
              <w:tc>
                <w:tcPr>
                  <w:tcW w:w="565" w:type="pct"/>
                  <w:vMerge w:val="continue"/>
                  <w:tcBorders>
                    <w:top w:val="single" w:color="auto" w:sz="4" w:space="0"/>
                    <w:bottom w:val="single" w:color="auto" w:sz="4" w:space="0"/>
                    <w:right w:val="single" w:color="auto" w:sz="4" w:space="0"/>
                  </w:tcBorders>
                  <w:vAlign w:val="center"/>
                </w:tcPr>
                <w:p>
                  <w:pPr>
                    <w:pStyle w:val="50"/>
                    <w:rPr>
                      <w:color w:val="auto"/>
                    </w:rPr>
                  </w:pPr>
                </w:p>
              </w:tc>
              <w:tc>
                <w:tcPr>
                  <w:tcW w:w="53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经度</w:t>
                  </w:r>
                </w:p>
              </w:tc>
              <w:tc>
                <w:tcPr>
                  <w:tcW w:w="55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纬度</w:t>
                  </w:r>
                </w:p>
              </w:tc>
              <w:tc>
                <w:tcPr>
                  <w:tcW w:w="568"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40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高度</w:t>
                  </w:r>
                </w:p>
                <w:p>
                  <w:pPr>
                    <w:pStyle w:val="50"/>
                    <w:rPr>
                      <w:color w:val="auto"/>
                    </w:rPr>
                  </w:pPr>
                  <w:r>
                    <w:rPr>
                      <w:color w:val="auto"/>
                    </w:rPr>
                    <w:t>(m)</w:t>
                  </w:r>
                </w:p>
              </w:tc>
              <w:tc>
                <w:tcPr>
                  <w:tcW w:w="370"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内径</w:t>
                  </w:r>
                </w:p>
                <w:p>
                  <w:pPr>
                    <w:pStyle w:val="50"/>
                    <w:rPr>
                      <w:color w:val="auto"/>
                    </w:rPr>
                  </w:pPr>
                  <w:r>
                    <w:rPr>
                      <w:color w:val="auto"/>
                    </w:rPr>
                    <w:t>(m)</w:t>
                  </w:r>
                </w:p>
              </w:tc>
              <w:tc>
                <w:tcPr>
                  <w:tcW w:w="38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温度</w:t>
                  </w:r>
                </w:p>
                <w:p>
                  <w:pPr>
                    <w:pStyle w:val="50"/>
                    <w:rPr>
                      <w:color w:val="auto"/>
                    </w:rPr>
                  </w:pPr>
                  <w:r>
                    <w:rPr>
                      <w:color w:val="auto"/>
                    </w:rPr>
                    <w:t>(℃)</w:t>
                  </w:r>
                </w:p>
              </w:tc>
              <w:tc>
                <w:tcPr>
                  <w:tcW w:w="398"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流速</w:t>
                  </w:r>
                </w:p>
                <w:p>
                  <w:pPr>
                    <w:pStyle w:val="50"/>
                    <w:rPr>
                      <w:color w:val="auto"/>
                    </w:rPr>
                  </w:pPr>
                  <w:r>
                    <w:rPr>
                      <w:color w:val="auto"/>
                    </w:rPr>
                    <w:t>(m/s)</w:t>
                  </w:r>
                </w:p>
              </w:tc>
              <w:tc>
                <w:tcPr>
                  <w:tcW w:w="456"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450"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303" w:type="pct"/>
                  <w:vMerge w:val="continue"/>
                  <w:tcBorders>
                    <w:top w:val="single" w:color="auto" w:sz="4" w:space="0"/>
                    <w:left w:val="nil"/>
                    <w:bottom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7" w:hRule="atLeast"/>
                <w:jc w:val="center"/>
              </w:trPr>
              <w:tc>
                <w:tcPr>
                  <w:tcW w:w="565"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1#排气筒</w:t>
                  </w:r>
                </w:p>
              </w:tc>
              <w:tc>
                <w:tcPr>
                  <w:tcW w:w="53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102.5277</w:t>
                  </w:r>
                </w:p>
              </w:tc>
              <w:tc>
                <w:tcPr>
                  <w:tcW w:w="55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25.2312</w:t>
                  </w:r>
                </w:p>
              </w:tc>
              <w:tc>
                <w:tcPr>
                  <w:tcW w:w="568"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rPr>
                    <w:t>175</w:t>
                  </w:r>
                  <w:r>
                    <w:rPr>
                      <w:rFonts w:hint="eastAsia"/>
                      <w:color w:val="auto"/>
                      <w:lang w:val="en-US" w:eastAsia="zh-CN"/>
                    </w:rPr>
                    <w:t>1</w:t>
                  </w:r>
                </w:p>
              </w:tc>
              <w:tc>
                <w:tcPr>
                  <w:tcW w:w="40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15.0</w:t>
                  </w:r>
                </w:p>
              </w:tc>
              <w:tc>
                <w:tcPr>
                  <w:tcW w:w="37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0.3</w:t>
                  </w:r>
                </w:p>
              </w:tc>
              <w:tc>
                <w:tcPr>
                  <w:tcW w:w="389"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常温</w:t>
                  </w:r>
                </w:p>
              </w:tc>
              <w:tc>
                <w:tcPr>
                  <w:tcW w:w="39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19.65</w:t>
                  </w:r>
                </w:p>
              </w:tc>
              <w:tc>
                <w:tcPr>
                  <w:tcW w:w="45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s="Times New Roman"/>
                      <w:color w:val="auto"/>
                      <w:lang w:val="en-US" w:eastAsia="zh-CN"/>
                    </w:rPr>
                    <w:t>PM</w:t>
                  </w:r>
                  <w:r>
                    <w:rPr>
                      <w:rFonts w:hint="eastAsia" w:cs="Times New Roman"/>
                      <w:color w:val="auto"/>
                      <w:vertAlign w:val="subscript"/>
                      <w:lang w:val="en-US" w:eastAsia="zh-CN"/>
                    </w:rPr>
                    <w:t>10</w:t>
                  </w:r>
                </w:p>
              </w:tc>
              <w:tc>
                <w:tcPr>
                  <w:tcW w:w="4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0.021</w:t>
                  </w:r>
                </w:p>
              </w:tc>
              <w:tc>
                <w:tcPr>
                  <w:tcW w:w="303" w:type="pct"/>
                  <w:tcBorders>
                    <w:top w:val="single" w:color="auto" w:sz="4" w:space="0"/>
                    <w:left w:val="nil"/>
                    <w:bottom w:val="single" w:color="auto" w:sz="4" w:space="0"/>
                  </w:tcBorders>
                  <w:vAlign w:val="center"/>
                </w:tcPr>
                <w:p>
                  <w:pPr>
                    <w:pStyle w:val="50"/>
                    <w:rPr>
                      <w:color w:val="auto"/>
                    </w:rPr>
                  </w:pPr>
                  <w:r>
                    <w:rPr>
                      <w:color w:val="auto"/>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7" w:hRule="atLeast"/>
                <w:jc w:val="center"/>
              </w:trPr>
              <w:tc>
                <w:tcPr>
                  <w:tcW w:w="565" w:type="pct"/>
                  <w:vMerge w:val="restart"/>
                  <w:tcBorders>
                    <w:top w:val="single" w:color="auto" w:sz="4" w:space="0"/>
                    <w:right w:val="single" w:color="auto" w:sz="4" w:space="0"/>
                  </w:tcBorders>
                  <w:vAlign w:val="center"/>
                </w:tcPr>
                <w:p>
                  <w:pPr>
                    <w:pStyle w:val="50"/>
                    <w:rPr>
                      <w:color w:val="auto"/>
                    </w:rPr>
                  </w:pPr>
                  <w:r>
                    <w:rPr>
                      <w:rFonts w:hint="eastAsia"/>
                      <w:color w:val="auto"/>
                    </w:rPr>
                    <w:t>2#排气筒</w:t>
                  </w:r>
                </w:p>
              </w:tc>
              <w:tc>
                <w:tcPr>
                  <w:tcW w:w="533"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102.5278</w:t>
                  </w:r>
                </w:p>
              </w:tc>
              <w:tc>
                <w:tcPr>
                  <w:tcW w:w="553"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25.2311</w:t>
                  </w:r>
                </w:p>
              </w:tc>
              <w:tc>
                <w:tcPr>
                  <w:tcW w:w="568" w:type="pct"/>
                  <w:vMerge w:val="restart"/>
                  <w:tcBorders>
                    <w:top w:val="single" w:color="auto" w:sz="4" w:space="0"/>
                    <w:left w:val="nil"/>
                    <w:right w:val="single" w:color="auto" w:sz="4" w:space="0"/>
                  </w:tcBorders>
                  <w:vAlign w:val="center"/>
                </w:tcPr>
                <w:p>
                  <w:pPr>
                    <w:pStyle w:val="50"/>
                    <w:rPr>
                      <w:rFonts w:hint="eastAsia" w:eastAsia="宋体"/>
                      <w:color w:val="auto"/>
                      <w:lang w:eastAsia="zh-CN"/>
                    </w:rPr>
                  </w:pPr>
                  <w:r>
                    <w:rPr>
                      <w:rFonts w:hint="eastAsia"/>
                      <w:color w:val="auto"/>
                    </w:rPr>
                    <w:t>175</w:t>
                  </w:r>
                  <w:r>
                    <w:rPr>
                      <w:rFonts w:hint="eastAsia"/>
                      <w:color w:val="auto"/>
                      <w:lang w:val="en-US" w:eastAsia="zh-CN"/>
                    </w:rPr>
                    <w:t>1</w:t>
                  </w:r>
                </w:p>
              </w:tc>
              <w:tc>
                <w:tcPr>
                  <w:tcW w:w="409" w:type="pct"/>
                  <w:vMerge w:val="restart"/>
                  <w:tcBorders>
                    <w:top w:val="single" w:color="auto" w:sz="4" w:space="0"/>
                    <w:left w:val="nil"/>
                    <w:right w:val="single" w:color="auto" w:sz="4" w:space="0"/>
                  </w:tcBorders>
                  <w:vAlign w:val="center"/>
                </w:tcPr>
                <w:p>
                  <w:pPr>
                    <w:pStyle w:val="50"/>
                    <w:rPr>
                      <w:color w:val="auto"/>
                    </w:rPr>
                  </w:pPr>
                  <w:r>
                    <w:rPr>
                      <w:color w:val="auto"/>
                    </w:rPr>
                    <w:t>15.0</w:t>
                  </w:r>
                </w:p>
              </w:tc>
              <w:tc>
                <w:tcPr>
                  <w:tcW w:w="370" w:type="pct"/>
                  <w:vMerge w:val="restart"/>
                  <w:tcBorders>
                    <w:top w:val="single" w:color="auto" w:sz="4" w:space="0"/>
                    <w:left w:val="nil"/>
                    <w:right w:val="single" w:color="auto" w:sz="4" w:space="0"/>
                  </w:tcBorders>
                  <w:vAlign w:val="center"/>
                </w:tcPr>
                <w:p>
                  <w:pPr>
                    <w:pStyle w:val="50"/>
                    <w:rPr>
                      <w:color w:val="auto"/>
                    </w:rPr>
                  </w:pPr>
                  <w:r>
                    <w:rPr>
                      <w:color w:val="auto"/>
                    </w:rPr>
                    <w:t>0.</w:t>
                  </w:r>
                  <w:r>
                    <w:rPr>
                      <w:rFonts w:hint="eastAsia"/>
                      <w:color w:val="auto"/>
                    </w:rPr>
                    <w:t>3</w:t>
                  </w:r>
                </w:p>
              </w:tc>
              <w:tc>
                <w:tcPr>
                  <w:tcW w:w="389"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60</w:t>
                  </w:r>
                </w:p>
              </w:tc>
              <w:tc>
                <w:tcPr>
                  <w:tcW w:w="398"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19.65</w:t>
                  </w:r>
                </w:p>
              </w:tc>
              <w:tc>
                <w:tcPr>
                  <w:tcW w:w="45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TSP</w:t>
                  </w:r>
                </w:p>
              </w:tc>
              <w:tc>
                <w:tcPr>
                  <w:tcW w:w="4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0.0115</w:t>
                  </w:r>
                </w:p>
              </w:tc>
              <w:tc>
                <w:tcPr>
                  <w:tcW w:w="303" w:type="pct"/>
                  <w:tcBorders>
                    <w:top w:val="single" w:color="auto" w:sz="4" w:space="0"/>
                    <w:left w:val="nil"/>
                    <w:bottom w:val="single" w:color="auto" w:sz="4" w:space="0"/>
                  </w:tcBorders>
                  <w:vAlign w:val="center"/>
                </w:tcPr>
                <w:p>
                  <w:pPr>
                    <w:pStyle w:val="50"/>
                    <w:rPr>
                      <w:color w:val="auto"/>
                    </w:rPr>
                  </w:pPr>
                  <w:r>
                    <w:rPr>
                      <w:color w:val="auto"/>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7" w:hRule="atLeast"/>
                <w:jc w:val="center"/>
              </w:trPr>
              <w:tc>
                <w:tcPr>
                  <w:tcW w:w="565" w:type="pct"/>
                  <w:vMerge w:val="continue"/>
                  <w:tcBorders>
                    <w:right w:val="single" w:color="auto" w:sz="4" w:space="0"/>
                  </w:tcBorders>
                  <w:vAlign w:val="center"/>
                </w:tcPr>
                <w:p>
                  <w:pPr>
                    <w:pStyle w:val="50"/>
                    <w:rPr>
                      <w:color w:val="auto"/>
                    </w:rPr>
                  </w:pPr>
                </w:p>
              </w:tc>
              <w:tc>
                <w:tcPr>
                  <w:tcW w:w="533" w:type="pct"/>
                  <w:vMerge w:val="continue"/>
                  <w:tcBorders>
                    <w:left w:val="nil"/>
                    <w:right w:val="single" w:color="auto" w:sz="4" w:space="0"/>
                  </w:tcBorders>
                  <w:vAlign w:val="center"/>
                </w:tcPr>
                <w:p>
                  <w:pPr>
                    <w:pStyle w:val="50"/>
                    <w:rPr>
                      <w:color w:val="auto"/>
                    </w:rPr>
                  </w:pPr>
                </w:p>
              </w:tc>
              <w:tc>
                <w:tcPr>
                  <w:tcW w:w="553" w:type="pct"/>
                  <w:vMerge w:val="continue"/>
                  <w:tcBorders>
                    <w:left w:val="nil"/>
                    <w:right w:val="single" w:color="auto" w:sz="4" w:space="0"/>
                  </w:tcBorders>
                  <w:vAlign w:val="center"/>
                </w:tcPr>
                <w:p>
                  <w:pPr>
                    <w:pStyle w:val="50"/>
                    <w:rPr>
                      <w:color w:val="auto"/>
                    </w:rPr>
                  </w:pPr>
                </w:p>
              </w:tc>
              <w:tc>
                <w:tcPr>
                  <w:tcW w:w="568" w:type="pct"/>
                  <w:vMerge w:val="continue"/>
                  <w:tcBorders>
                    <w:left w:val="nil"/>
                    <w:right w:val="single" w:color="auto" w:sz="4" w:space="0"/>
                  </w:tcBorders>
                  <w:vAlign w:val="center"/>
                </w:tcPr>
                <w:p>
                  <w:pPr>
                    <w:pStyle w:val="50"/>
                    <w:rPr>
                      <w:color w:val="auto"/>
                    </w:rPr>
                  </w:pPr>
                </w:p>
              </w:tc>
              <w:tc>
                <w:tcPr>
                  <w:tcW w:w="409" w:type="pct"/>
                  <w:vMerge w:val="continue"/>
                  <w:tcBorders>
                    <w:left w:val="nil"/>
                    <w:right w:val="single" w:color="auto" w:sz="4" w:space="0"/>
                  </w:tcBorders>
                  <w:vAlign w:val="center"/>
                </w:tcPr>
                <w:p>
                  <w:pPr>
                    <w:pStyle w:val="50"/>
                    <w:rPr>
                      <w:color w:val="auto"/>
                    </w:rPr>
                  </w:pPr>
                </w:p>
              </w:tc>
              <w:tc>
                <w:tcPr>
                  <w:tcW w:w="370" w:type="pct"/>
                  <w:vMerge w:val="continue"/>
                  <w:tcBorders>
                    <w:left w:val="nil"/>
                    <w:right w:val="single" w:color="auto" w:sz="4" w:space="0"/>
                  </w:tcBorders>
                  <w:vAlign w:val="center"/>
                </w:tcPr>
                <w:p>
                  <w:pPr>
                    <w:pStyle w:val="50"/>
                    <w:rPr>
                      <w:color w:val="auto"/>
                    </w:rPr>
                  </w:pPr>
                </w:p>
              </w:tc>
              <w:tc>
                <w:tcPr>
                  <w:tcW w:w="389" w:type="pct"/>
                  <w:vMerge w:val="continue"/>
                  <w:tcBorders>
                    <w:left w:val="nil"/>
                    <w:right w:val="single" w:color="auto" w:sz="4" w:space="0"/>
                  </w:tcBorders>
                  <w:vAlign w:val="center"/>
                </w:tcPr>
                <w:p>
                  <w:pPr>
                    <w:pStyle w:val="50"/>
                    <w:rPr>
                      <w:color w:val="auto"/>
                    </w:rPr>
                  </w:pPr>
                </w:p>
              </w:tc>
              <w:tc>
                <w:tcPr>
                  <w:tcW w:w="398" w:type="pct"/>
                  <w:vMerge w:val="continue"/>
                  <w:tcBorders>
                    <w:left w:val="nil"/>
                    <w:right w:val="single" w:color="auto" w:sz="4" w:space="0"/>
                  </w:tcBorders>
                  <w:vAlign w:val="center"/>
                </w:tcPr>
                <w:p>
                  <w:pPr>
                    <w:pStyle w:val="50"/>
                    <w:rPr>
                      <w:color w:val="auto"/>
                    </w:rPr>
                  </w:pPr>
                </w:p>
              </w:tc>
              <w:tc>
                <w:tcPr>
                  <w:tcW w:w="456"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SO</w:t>
                  </w:r>
                  <w:r>
                    <w:rPr>
                      <w:color w:val="auto"/>
                      <w:vertAlign w:val="subscript"/>
                    </w:rPr>
                    <w:t>2</w:t>
                  </w:r>
                </w:p>
              </w:tc>
              <w:tc>
                <w:tcPr>
                  <w:tcW w:w="4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0.0016</w:t>
                  </w:r>
                </w:p>
              </w:tc>
              <w:tc>
                <w:tcPr>
                  <w:tcW w:w="303" w:type="pct"/>
                  <w:tcBorders>
                    <w:top w:val="single" w:color="auto" w:sz="4" w:space="0"/>
                    <w:left w:val="nil"/>
                    <w:bottom w:val="single" w:color="auto" w:sz="4" w:space="0"/>
                  </w:tcBorders>
                  <w:vAlign w:val="center"/>
                </w:tcPr>
                <w:p>
                  <w:pPr>
                    <w:pStyle w:val="50"/>
                    <w:rPr>
                      <w:color w:val="auto"/>
                    </w:rPr>
                  </w:pPr>
                  <w:r>
                    <w:rPr>
                      <w:color w:val="auto"/>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7" w:hRule="atLeast"/>
                <w:jc w:val="center"/>
              </w:trPr>
              <w:tc>
                <w:tcPr>
                  <w:tcW w:w="565" w:type="pct"/>
                  <w:vMerge w:val="continue"/>
                  <w:tcBorders>
                    <w:bottom w:val="single" w:color="auto" w:sz="4" w:space="0"/>
                    <w:right w:val="single" w:color="auto" w:sz="4" w:space="0"/>
                  </w:tcBorders>
                  <w:vAlign w:val="center"/>
                </w:tcPr>
                <w:p>
                  <w:pPr>
                    <w:pStyle w:val="50"/>
                    <w:rPr>
                      <w:color w:val="auto"/>
                    </w:rPr>
                  </w:pPr>
                </w:p>
              </w:tc>
              <w:tc>
                <w:tcPr>
                  <w:tcW w:w="533" w:type="pct"/>
                  <w:vMerge w:val="continue"/>
                  <w:tcBorders>
                    <w:left w:val="nil"/>
                    <w:bottom w:val="single" w:color="auto" w:sz="4" w:space="0"/>
                    <w:right w:val="single" w:color="auto" w:sz="4" w:space="0"/>
                  </w:tcBorders>
                  <w:vAlign w:val="center"/>
                </w:tcPr>
                <w:p>
                  <w:pPr>
                    <w:pStyle w:val="50"/>
                    <w:rPr>
                      <w:color w:val="auto"/>
                    </w:rPr>
                  </w:pPr>
                </w:p>
              </w:tc>
              <w:tc>
                <w:tcPr>
                  <w:tcW w:w="553" w:type="pct"/>
                  <w:vMerge w:val="continue"/>
                  <w:tcBorders>
                    <w:left w:val="nil"/>
                    <w:bottom w:val="single" w:color="auto" w:sz="4" w:space="0"/>
                    <w:right w:val="single" w:color="auto" w:sz="4" w:space="0"/>
                  </w:tcBorders>
                  <w:vAlign w:val="center"/>
                </w:tcPr>
                <w:p>
                  <w:pPr>
                    <w:pStyle w:val="50"/>
                    <w:rPr>
                      <w:color w:val="auto"/>
                    </w:rPr>
                  </w:pPr>
                </w:p>
              </w:tc>
              <w:tc>
                <w:tcPr>
                  <w:tcW w:w="568" w:type="pct"/>
                  <w:vMerge w:val="continue"/>
                  <w:tcBorders>
                    <w:left w:val="nil"/>
                    <w:bottom w:val="single" w:color="auto" w:sz="4" w:space="0"/>
                    <w:right w:val="single" w:color="auto" w:sz="4" w:space="0"/>
                  </w:tcBorders>
                  <w:vAlign w:val="center"/>
                </w:tcPr>
                <w:p>
                  <w:pPr>
                    <w:pStyle w:val="50"/>
                    <w:rPr>
                      <w:color w:val="auto"/>
                    </w:rPr>
                  </w:pPr>
                </w:p>
              </w:tc>
              <w:tc>
                <w:tcPr>
                  <w:tcW w:w="409" w:type="pct"/>
                  <w:vMerge w:val="continue"/>
                  <w:tcBorders>
                    <w:left w:val="nil"/>
                    <w:bottom w:val="single" w:color="auto" w:sz="4" w:space="0"/>
                    <w:right w:val="single" w:color="auto" w:sz="4" w:space="0"/>
                  </w:tcBorders>
                  <w:vAlign w:val="center"/>
                </w:tcPr>
                <w:p>
                  <w:pPr>
                    <w:pStyle w:val="50"/>
                    <w:rPr>
                      <w:color w:val="auto"/>
                    </w:rPr>
                  </w:pPr>
                </w:p>
              </w:tc>
              <w:tc>
                <w:tcPr>
                  <w:tcW w:w="370" w:type="pct"/>
                  <w:vMerge w:val="continue"/>
                  <w:tcBorders>
                    <w:left w:val="nil"/>
                    <w:bottom w:val="single" w:color="auto" w:sz="4" w:space="0"/>
                    <w:right w:val="single" w:color="auto" w:sz="4" w:space="0"/>
                  </w:tcBorders>
                  <w:vAlign w:val="center"/>
                </w:tcPr>
                <w:p>
                  <w:pPr>
                    <w:pStyle w:val="50"/>
                    <w:rPr>
                      <w:color w:val="auto"/>
                    </w:rPr>
                  </w:pPr>
                </w:p>
              </w:tc>
              <w:tc>
                <w:tcPr>
                  <w:tcW w:w="389" w:type="pct"/>
                  <w:vMerge w:val="continue"/>
                  <w:tcBorders>
                    <w:left w:val="nil"/>
                    <w:bottom w:val="single" w:color="auto" w:sz="4" w:space="0"/>
                    <w:right w:val="single" w:color="auto" w:sz="4" w:space="0"/>
                  </w:tcBorders>
                  <w:vAlign w:val="center"/>
                </w:tcPr>
                <w:p>
                  <w:pPr>
                    <w:pStyle w:val="50"/>
                    <w:rPr>
                      <w:color w:val="auto"/>
                    </w:rPr>
                  </w:pPr>
                </w:p>
              </w:tc>
              <w:tc>
                <w:tcPr>
                  <w:tcW w:w="398" w:type="pct"/>
                  <w:vMerge w:val="continue"/>
                  <w:tcBorders>
                    <w:left w:val="nil"/>
                    <w:bottom w:val="single" w:color="auto" w:sz="4" w:space="0"/>
                    <w:right w:val="single" w:color="auto" w:sz="4" w:space="0"/>
                  </w:tcBorders>
                  <w:vAlign w:val="center"/>
                </w:tcPr>
                <w:p>
                  <w:pPr>
                    <w:pStyle w:val="50"/>
                    <w:rPr>
                      <w:color w:val="auto"/>
                    </w:rPr>
                  </w:pPr>
                </w:p>
              </w:tc>
              <w:tc>
                <w:tcPr>
                  <w:tcW w:w="456"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NO</w:t>
                  </w:r>
                  <w:r>
                    <w:rPr>
                      <w:rFonts w:hint="eastAsia"/>
                      <w:color w:val="auto"/>
                      <w:vertAlign w:val="subscript"/>
                    </w:rPr>
                    <w:t>X</w:t>
                  </w:r>
                </w:p>
              </w:tc>
              <w:tc>
                <w:tcPr>
                  <w:tcW w:w="4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0.075</w:t>
                  </w:r>
                </w:p>
              </w:tc>
              <w:tc>
                <w:tcPr>
                  <w:tcW w:w="303" w:type="pct"/>
                  <w:tcBorders>
                    <w:top w:val="single" w:color="auto" w:sz="4" w:space="0"/>
                    <w:left w:val="nil"/>
                    <w:bottom w:val="single" w:color="auto" w:sz="4" w:space="0"/>
                  </w:tcBorders>
                  <w:vAlign w:val="center"/>
                </w:tcPr>
                <w:p>
                  <w:pPr>
                    <w:pStyle w:val="50"/>
                    <w:rPr>
                      <w:color w:val="auto"/>
                    </w:rPr>
                  </w:pPr>
                  <w:r>
                    <w:rPr>
                      <w:color w:val="auto"/>
                    </w:rPr>
                    <w:t>kg/h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17" w:hRule="atLeast"/>
                <w:jc w:val="center"/>
              </w:trPr>
              <w:tc>
                <w:tcPr>
                  <w:tcW w:w="565" w:type="pct"/>
                  <w:vMerge w:val="continue"/>
                  <w:tcBorders>
                    <w:bottom w:val="single" w:color="auto" w:sz="4" w:space="0"/>
                    <w:right w:val="single" w:color="auto" w:sz="4" w:space="0"/>
                  </w:tcBorders>
                  <w:vAlign w:val="center"/>
                </w:tcPr>
                <w:p>
                  <w:pPr>
                    <w:pStyle w:val="50"/>
                    <w:rPr>
                      <w:color w:val="auto"/>
                    </w:rPr>
                  </w:pPr>
                </w:p>
              </w:tc>
              <w:tc>
                <w:tcPr>
                  <w:tcW w:w="533" w:type="pct"/>
                  <w:vMerge w:val="continue"/>
                  <w:tcBorders>
                    <w:left w:val="nil"/>
                    <w:bottom w:val="single" w:color="auto" w:sz="4" w:space="0"/>
                    <w:right w:val="single" w:color="auto" w:sz="4" w:space="0"/>
                  </w:tcBorders>
                  <w:vAlign w:val="center"/>
                </w:tcPr>
                <w:p>
                  <w:pPr>
                    <w:pStyle w:val="50"/>
                    <w:rPr>
                      <w:color w:val="auto"/>
                    </w:rPr>
                  </w:pPr>
                </w:p>
              </w:tc>
              <w:tc>
                <w:tcPr>
                  <w:tcW w:w="553" w:type="pct"/>
                  <w:vMerge w:val="continue"/>
                  <w:tcBorders>
                    <w:left w:val="nil"/>
                    <w:bottom w:val="single" w:color="auto" w:sz="4" w:space="0"/>
                    <w:right w:val="single" w:color="auto" w:sz="4" w:space="0"/>
                  </w:tcBorders>
                  <w:vAlign w:val="center"/>
                </w:tcPr>
                <w:p>
                  <w:pPr>
                    <w:pStyle w:val="50"/>
                    <w:rPr>
                      <w:color w:val="auto"/>
                    </w:rPr>
                  </w:pPr>
                </w:p>
              </w:tc>
              <w:tc>
                <w:tcPr>
                  <w:tcW w:w="568" w:type="pct"/>
                  <w:vMerge w:val="continue"/>
                  <w:tcBorders>
                    <w:left w:val="nil"/>
                    <w:bottom w:val="single" w:color="auto" w:sz="4" w:space="0"/>
                    <w:right w:val="single" w:color="auto" w:sz="4" w:space="0"/>
                  </w:tcBorders>
                  <w:vAlign w:val="center"/>
                </w:tcPr>
                <w:p>
                  <w:pPr>
                    <w:pStyle w:val="50"/>
                    <w:rPr>
                      <w:color w:val="auto"/>
                    </w:rPr>
                  </w:pPr>
                </w:p>
              </w:tc>
              <w:tc>
                <w:tcPr>
                  <w:tcW w:w="409" w:type="pct"/>
                  <w:vMerge w:val="continue"/>
                  <w:tcBorders>
                    <w:left w:val="nil"/>
                    <w:bottom w:val="single" w:color="auto" w:sz="4" w:space="0"/>
                    <w:right w:val="single" w:color="auto" w:sz="4" w:space="0"/>
                  </w:tcBorders>
                  <w:vAlign w:val="center"/>
                </w:tcPr>
                <w:p>
                  <w:pPr>
                    <w:pStyle w:val="50"/>
                    <w:rPr>
                      <w:color w:val="auto"/>
                    </w:rPr>
                  </w:pPr>
                </w:p>
              </w:tc>
              <w:tc>
                <w:tcPr>
                  <w:tcW w:w="370" w:type="pct"/>
                  <w:vMerge w:val="continue"/>
                  <w:tcBorders>
                    <w:left w:val="nil"/>
                    <w:bottom w:val="single" w:color="auto" w:sz="4" w:space="0"/>
                    <w:right w:val="single" w:color="auto" w:sz="4" w:space="0"/>
                  </w:tcBorders>
                  <w:vAlign w:val="center"/>
                </w:tcPr>
                <w:p>
                  <w:pPr>
                    <w:pStyle w:val="50"/>
                    <w:rPr>
                      <w:color w:val="auto"/>
                    </w:rPr>
                  </w:pPr>
                </w:p>
              </w:tc>
              <w:tc>
                <w:tcPr>
                  <w:tcW w:w="389" w:type="pct"/>
                  <w:vMerge w:val="continue"/>
                  <w:tcBorders>
                    <w:left w:val="nil"/>
                    <w:bottom w:val="single" w:color="auto" w:sz="4" w:space="0"/>
                    <w:right w:val="single" w:color="auto" w:sz="4" w:space="0"/>
                  </w:tcBorders>
                  <w:vAlign w:val="center"/>
                </w:tcPr>
                <w:p>
                  <w:pPr>
                    <w:pStyle w:val="50"/>
                    <w:rPr>
                      <w:color w:val="auto"/>
                    </w:rPr>
                  </w:pPr>
                </w:p>
              </w:tc>
              <w:tc>
                <w:tcPr>
                  <w:tcW w:w="398" w:type="pct"/>
                  <w:vMerge w:val="continue"/>
                  <w:tcBorders>
                    <w:left w:val="nil"/>
                    <w:bottom w:val="single" w:color="auto" w:sz="4" w:space="0"/>
                    <w:right w:val="single" w:color="auto" w:sz="4" w:space="0"/>
                  </w:tcBorders>
                  <w:vAlign w:val="center"/>
                </w:tcPr>
                <w:p>
                  <w:pPr>
                    <w:pStyle w:val="50"/>
                    <w:rPr>
                      <w:color w:val="auto"/>
                    </w:rPr>
                  </w:pPr>
                </w:p>
              </w:tc>
              <w:tc>
                <w:tcPr>
                  <w:tcW w:w="456" w:type="pct"/>
                  <w:tcBorders>
                    <w:top w:val="single" w:color="auto" w:sz="4" w:space="0"/>
                    <w:left w:val="nil"/>
                    <w:bottom w:val="single" w:color="auto" w:sz="4" w:space="0"/>
                    <w:right w:val="single" w:color="auto" w:sz="4" w:space="0"/>
                  </w:tcBorders>
                  <w:vAlign w:val="center"/>
                </w:tcPr>
                <w:p>
                  <w:pPr>
                    <w:pStyle w:val="50"/>
                    <w:rPr>
                      <w:rFonts w:hint="default" w:eastAsia="宋体"/>
                      <w:color w:val="auto"/>
                      <w:lang w:val="en-US" w:eastAsia="zh-CN"/>
                    </w:rPr>
                  </w:pPr>
                  <w:r>
                    <w:rPr>
                      <w:rFonts w:hint="eastAsia"/>
                      <w:color w:val="auto"/>
                      <w:lang w:val="en-US" w:eastAsia="zh-CN"/>
                    </w:rPr>
                    <w:t>TVOC</w:t>
                  </w:r>
                </w:p>
              </w:tc>
              <w:tc>
                <w:tcPr>
                  <w:tcW w:w="450" w:type="pct"/>
                  <w:tcBorders>
                    <w:top w:val="single" w:color="auto" w:sz="4" w:space="0"/>
                    <w:left w:val="nil"/>
                    <w:bottom w:val="single" w:color="auto" w:sz="4" w:space="0"/>
                    <w:right w:val="single" w:color="auto" w:sz="4" w:space="0"/>
                  </w:tcBorders>
                  <w:vAlign w:val="center"/>
                </w:tcPr>
                <w:p>
                  <w:pPr>
                    <w:pStyle w:val="50"/>
                    <w:rPr>
                      <w:rFonts w:hint="default" w:eastAsia="宋体"/>
                      <w:color w:val="auto"/>
                      <w:lang w:val="en-US" w:eastAsia="zh-CN"/>
                    </w:rPr>
                  </w:pPr>
                  <w:r>
                    <w:rPr>
                      <w:rFonts w:hint="eastAsia"/>
                      <w:color w:val="auto"/>
                      <w:lang w:val="en-US" w:eastAsia="zh-CN"/>
                    </w:rPr>
                    <w:t>0.07</w:t>
                  </w:r>
                </w:p>
              </w:tc>
              <w:tc>
                <w:tcPr>
                  <w:tcW w:w="303" w:type="pct"/>
                  <w:tcBorders>
                    <w:top w:val="single" w:color="auto" w:sz="4" w:space="0"/>
                    <w:left w:val="nil"/>
                    <w:bottom w:val="single" w:color="auto" w:sz="4" w:space="0"/>
                  </w:tcBorders>
                  <w:vAlign w:val="center"/>
                </w:tcPr>
                <w:p>
                  <w:pPr>
                    <w:pStyle w:val="50"/>
                    <w:rPr>
                      <w:color w:val="auto"/>
                    </w:rPr>
                  </w:pPr>
                  <w:r>
                    <w:rPr>
                      <w:color w:val="auto"/>
                    </w:rPr>
                    <w:t>kg/h</w:t>
                  </w:r>
                </w:p>
              </w:tc>
            </w:tr>
          </w:tbl>
          <w:p>
            <w:pPr>
              <w:pStyle w:val="48"/>
              <w:ind w:firstLine="0" w:firstLineChars="0"/>
              <w:rPr>
                <w:color w:val="auto"/>
              </w:rPr>
            </w:pPr>
            <w:r>
              <w:rPr>
                <w:color w:val="auto"/>
              </w:rPr>
              <w:t>表7-</w:t>
            </w:r>
            <w:r>
              <w:rPr>
                <w:rFonts w:hint="eastAsia"/>
                <w:color w:val="auto"/>
              </w:rPr>
              <w:t>7</w:t>
            </w:r>
            <w:r>
              <w:rPr>
                <w:color w:val="auto"/>
              </w:rPr>
              <w:t xml:space="preserve"> 污染源参数一览表(矩形面源)</w:t>
            </w:r>
          </w:p>
          <w:tbl>
            <w:tblPr>
              <w:tblStyle w:val="36"/>
              <w:tblW w:w="4995"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016"/>
              <w:gridCol w:w="917"/>
              <w:gridCol w:w="654"/>
              <w:gridCol w:w="752"/>
              <w:gridCol w:w="737"/>
              <w:gridCol w:w="689"/>
              <w:gridCol w:w="825"/>
              <w:gridCol w:w="836"/>
              <w:gridCol w:w="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pct"/>
                  <w:vMerge w:val="restart"/>
                  <w:tcBorders>
                    <w:bottom w:val="single" w:color="auto" w:sz="4" w:space="0"/>
                    <w:right w:val="single" w:color="auto" w:sz="4" w:space="0"/>
                  </w:tcBorders>
                  <w:vAlign w:val="center"/>
                </w:tcPr>
                <w:p>
                  <w:pPr>
                    <w:pStyle w:val="50"/>
                    <w:rPr>
                      <w:color w:val="auto"/>
                    </w:rPr>
                  </w:pPr>
                  <w:r>
                    <w:rPr>
                      <w:color w:val="auto"/>
                    </w:rPr>
                    <w:t>污染源名称</w:t>
                  </w:r>
                </w:p>
              </w:tc>
              <w:tc>
                <w:tcPr>
                  <w:tcW w:w="1155" w:type="pct"/>
                  <w:gridSpan w:val="2"/>
                  <w:tcBorders>
                    <w:left w:val="nil"/>
                    <w:bottom w:val="single" w:color="auto" w:sz="4" w:space="0"/>
                    <w:right w:val="single" w:color="auto" w:sz="4" w:space="0"/>
                  </w:tcBorders>
                  <w:vAlign w:val="center"/>
                </w:tcPr>
                <w:p>
                  <w:pPr>
                    <w:pStyle w:val="50"/>
                    <w:rPr>
                      <w:color w:val="auto"/>
                    </w:rPr>
                  </w:pPr>
                  <w:r>
                    <w:rPr>
                      <w:color w:val="auto"/>
                    </w:rPr>
                    <w:t>坐标</w:t>
                  </w:r>
                </w:p>
              </w:tc>
              <w:tc>
                <w:tcPr>
                  <w:tcW w:w="390" w:type="pct"/>
                  <w:vMerge w:val="restart"/>
                  <w:tcBorders>
                    <w:left w:val="nil"/>
                    <w:bottom w:val="single" w:color="auto" w:sz="4" w:space="0"/>
                    <w:right w:val="single" w:color="auto" w:sz="4" w:space="0"/>
                  </w:tcBorders>
                  <w:vAlign w:val="center"/>
                </w:tcPr>
                <w:p>
                  <w:pPr>
                    <w:pStyle w:val="50"/>
                    <w:rPr>
                      <w:color w:val="auto"/>
                    </w:rPr>
                  </w:pPr>
                  <w:r>
                    <w:rPr>
                      <w:color w:val="auto"/>
                    </w:rPr>
                    <w:t>海拔高度/m</w:t>
                  </w:r>
                </w:p>
              </w:tc>
              <w:tc>
                <w:tcPr>
                  <w:tcW w:w="1302" w:type="pct"/>
                  <w:gridSpan w:val="3"/>
                  <w:tcBorders>
                    <w:left w:val="nil"/>
                    <w:bottom w:val="nil"/>
                    <w:right w:val="single" w:color="auto" w:sz="4" w:space="0"/>
                  </w:tcBorders>
                  <w:vAlign w:val="center"/>
                </w:tcPr>
                <w:p>
                  <w:pPr>
                    <w:pStyle w:val="50"/>
                    <w:rPr>
                      <w:color w:val="auto"/>
                    </w:rPr>
                  </w:pPr>
                  <w:r>
                    <w:rPr>
                      <w:color w:val="auto"/>
                    </w:rPr>
                    <w:t>矩形面源</w:t>
                  </w:r>
                </w:p>
              </w:tc>
              <w:tc>
                <w:tcPr>
                  <w:tcW w:w="493" w:type="pct"/>
                  <w:vMerge w:val="restart"/>
                  <w:tcBorders>
                    <w:left w:val="nil"/>
                    <w:bottom w:val="single" w:color="auto" w:sz="4" w:space="0"/>
                    <w:right w:val="single" w:color="auto" w:sz="4" w:space="0"/>
                  </w:tcBorders>
                  <w:vAlign w:val="center"/>
                </w:tcPr>
                <w:p>
                  <w:pPr>
                    <w:pStyle w:val="50"/>
                    <w:rPr>
                      <w:color w:val="auto"/>
                    </w:rPr>
                  </w:pPr>
                  <w:r>
                    <w:rPr>
                      <w:color w:val="auto"/>
                    </w:rPr>
                    <w:t>污染物</w:t>
                  </w:r>
                </w:p>
              </w:tc>
              <w:tc>
                <w:tcPr>
                  <w:tcW w:w="500" w:type="pct"/>
                  <w:vMerge w:val="restart"/>
                  <w:tcBorders>
                    <w:left w:val="nil"/>
                    <w:bottom w:val="single" w:color="auto" w:sz="4" w:space="0"/>
                    <w:right w:val="single" w:color="auto" w:sz="4" w:space="0"/>
                  </w:tcBorders>
                  <w:vAlign w:val="center"/>
                </w:tcPr>
                <w:p>
                  <w:pPr>
                    <w:pStyle w:val="50"/>
                    <w:rPr>
                      <w:color w:val="auto"/>
                    </w:rPr>
                  </w:pPr>
                  <w:r>
                    <w:rPr>
                      <w:color w:val="auto"/>
                    </w:rPr>
                    <w:t>排放速率</w:t>
                  </w:r>
                </w:p>
              </w:tc>
              <w:tc>
                <w:tcPr>
                  <w:tcW w:w="397" w:type="pct"/>
                  <w:vMerge w:val="restart"/>
                  <w:tcBorders>
                    <w:left w:val="nil"/>
                    <w:bottom w:val="single" w:color="auto" w:sz="4" w:space="0"/>
                  </w:tcBorders>
                  <w:vAlign w:val="center"/>
                </w:tcPr>
                <w:p>
                  <w:pPr>
                    <w:pStyle w:val="50"/>
                    <w:rPr>
                      <w:color w:val="auto"/>
                    </w:rPr>
                  </w:pPr>
                  <w:r>
                    <w:rPr>
                      <w:color w:val="auto"/>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759" w:type="pct"/>
                  <w:vMerge w:val="continue"/>
                  <w:tcBorders>
                    <w:top w:val="single" w:color="auto" w:sz="4" w:space="0"/>
                    <w:bottom w:val="single" w:color="auto" w:sz="4" w:space="0"/>
                    <w:right w:val="single" w:color="auto" w:sz="4" w:space="0"/>
                  </w:tcBorders>
                  <w:vAlign w:val="center"/>
                </w:tcPr>
                <w:p>
                  <w:pPr>
                    <w:pStyle w:val="50"/>
                    <w:rPr>
                      <w:color w:val="auto"/>
                    </w:rPr>
                  </w:pPr>
                </w:p>
              </w:tc>
              <w:tc>
                <w:tcPr>
                  <w:tcW w:w="607"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X</w:t>
                  </w:r>
                </w:p>
              </w:tc>
              <w:tc>
                <w:tcPr>
                  <w:tcW w:w="548"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Y</w:t>
                  </w:r>
                </w:p>
              </w:tc>
              <w:tc>
                <w:tcPr>
                  <w:tcW w:w="390"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44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长度</w:t>
                  </w:r>
                </w:p>
              </w:tc>
              <w:tc>
                <w:tcPr>
                  <w:tcW w:w="440"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宽度</w:t>
                  </w:r>
                </w:p>
              </w:tc>
              <w:tc>
                <w:tcPr>
                  <w:tcW w:w="411"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有效高度</w:t>
                  </w:r>
                </w:p>
              </w:tc>
              <w:tc>
                <w:tcPr>
                  <w:tcW w:w="493"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500" w:type="pct"/>
                  <w:vMerge w:val="continue"/>
                  <w:tcBorders>
                    <w:top w:val="single" w:color="auto" w:sz="4" w:space="0"/>
                    <w:left w:val="nil"/>
                    <w:bottom w:val="single" w:color="auto" w:sz="4" w:space="0"/>
                    <w:right w:val="single" w:color="auto" w:sz="4" w:space="0"/>
                  </w:tcBorders>
                  <w:vAlign w:val="center"/>
                </w:tcPr>
                <w:p>
                  <w:pPr>
                    <w:pStyle w:val="50"/>
                    <w:rPr>
                      <w:color w:val="auto"/>
                    </w:rPr>
                  </w:pPr>
                </w:p>
              </w:tc>
              <w:tc>
                <w:tcPr>
                  <w:tcW w:w="397" w:type="pct"/>
                  <w:vMerge w:val="continue"/>
                  <w:tcBorders>
                    <w:top w:val="single" w:color="auto" w:sz="4" w:space="0"/>
                    <w:left w:val="nil"/>
                    <w:bottom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759" w:type="pct"/>
                  <w:tcBorders>
                    <w:right w:val="single" w:color="auto" w:sz="4" w:space="0"/>
                  </w:tcBorders>
                  <w:vAlign w:val="center"/>
                </w:tcPr>
                <w:p>
                  <w:pPr>
                    <w:pStyle w:val="50"/>
                    <w:rPr>
                      <w:color w:val="auto"/>
                    </w:rPr>
                  </w:pPr>
                  <w:r>
                    <w:rPr>
                      <w:color w:val="auto"/>
                    </w:rPr>
                    <w:t>矩形面源</w:t>
                  </w:r>
                </w:p>
              </w:tc>
              <w:tc>
                <w:tcPr>
                  <w:tcW w:w="607" w:type="pct"/>
                  <w:tcBorders>
                    <w:left w:val="nil"/>
                    <w:right w:val="single" w:color="auto" w:sz="4" w:space="0"/>
                  </w:tcBorders>
                  <w:vAlign w:val="center"/>
                </w:tcPr>
                <w:p>
                  <w:pPr>
                    <w:pStyle w:val="50"/>
                    <w:rPr>
                      <w:color w:val="auto"/>
                    </w:rPr>
                  </w:pPr>
                  <w:r>
                    <w:rPr>
                      <w:color w:val="auto"/>
                    </w:rPr>
                    <w:t>102.</w:t>
                  </w:r>
                  <w:r>
                    <w:rPr>
                      <w:rFonts w:hint="eastAsia"/>
                      <w:color w:val="auto"/>
                    </w:rPr>
                    <w:t>5158</w:t>
                  </w:r>
                </w:p>
              </w:tc>
              <w:tc>
                <w:tcPr>
                  <w:tcW w:w="548" w:type="pct"/>
                  <w:tcBorders>
                    <w:left w:val="nil"/>
                    <w:right w:val="single" w:color="auto" w:sz="4" w:space="0"/>
                  </w:tcBorders>
                  <w:vAlign w:val="center"/>
                </w:tcPr>
                <w:p>
                  <w:pPr>
                    <w:pStyle w:val="50"/>
                    <w:rPr>
                      <w:color w:val="auto"/>
                    </w:rPr>
                  </w:pPr>
                  <w:r>
                    <w:rPr>
                      <w:color w:val="auto"/>
                    </w:rPr>
                    <w:t>24.</w:t>
                  </w:r>
                  <w:r>
                    <w:rPr>
                      <w:rFonts w:hint="eastAsia"/>
                      <w:color w:val="auto"/>
                    </w:rPr>
                    <w:t>6939</w:t>
                  </w:r>
                </w:p>
              </w:tc>
              <w:tc>
                <w:tcPr>
                  <w:tcW w:w="390" w:type="pct"/>
                  <w:tcBorders>
                    <w:left w:val="nil"/>
                    <w:right w:val="single" w:color="auto" w:sz="4" w:space="0"/>
                  </w:tcBorders>
                  <w:vAlign w:val="center"/>
                </w:tcPr>
                <w:p>
                  <w:pPr>
                    <w:pStyle w:val="50"/>
                    <w:rPr>
                      <w:color w:val="auto"/>
                    </w:rPr>
                  </w:pPr>
                  <w:r>
                    <w:rPr>
                      <w:rFonts w:hint="eastAsia"/>
                      <w:color w:val="auto"/>
                    </w:rPr>
                    <w:t>1750</w:t>
                  </w:r>
                </w:p>
              </w:tc>
              <w:tc>
                <w:tcPr>
                  <w:tcW w:w="449" w:type="pct"/>
                  <w:tcBorders>
                    <w:left w:val="nil"/>
                    <w:right w:val="single" w:color="auto" w:sz="4" w:space="0"/>
                  </w:tcBorders>
                  <w:vAlign w:val="center"/>
                </w:tcPr>
                <w:p>
                  <w:pPr>
                    <w:pStyle w:val="50"/>
                    <w:rPr>
                      <w:color w:val="auto"/>
                    </w:rPr>
                  </w:pPr>
                  <w:r>
                    <w:rPr>
                      <w:rFonts w:hint="eastAsia"/>
                      <w:color w:val="auto"/>
                    </w:rPr>
                    <w:t>40</w:t>
                  </w:r>
                </w:p>
              </w:tc>
              <w:tc>
                <w:tcPr>
                  <w:tcW w:w="440" w:type="pct"/>
                  <w:tcBorders>
                    <w:left w:val="nil"/>
                    <w:right w:val="single" w:color="auto" w:sz="4" w:space="0"/>
                  </w:tcBorders>
                  <w:vAlign w:val="center"/>
                </w:tcPr>
                <w:p>
                  <w:pPr>
                    <w:pStyle w:val="50"/>
                    <w:rPr>
                      <w:color w:val="auto"/>
                    </w:rPr>
                  </w:pPr>
                  <w:r>
                    <w:rPr>
                      <w:rFonts w:hint="eastAsia"/>
                      <w:color w:val="auto"/>
                    </w:rPr>
                    <w:t>37.5</w:t>
                  </w:r>
                </w:p>
              </w:tc>
              <w:tc>
                <w:tcPr>
                  <w:tcW w:w="411" w:type="pct"/>
                  <w:tcBorders>
                    <w:left w:val="nil"/>
                    <w:right w:val="single" w:color="auto" w:sz="4" w:space="0"/>
                  </w:tcBorders>
                  <w:vAlign w:val="center"/>
                </w:tcPr>
                <w:p>
                  <w:pPr>
                    <w:pStyle w:val="50"/>
                    <w:rPr>
                      <w:color w:val="auto"/>
                    </w:rPr>
                  </w:pPr>
                  <w:r>
                    <w:rPr>
                      <w:color w:val="auto"/>
                    </w:rPr>
                    <w:t>10</w:t>
                  </w:r>
                </w:p>
              </w:tc>
              <w:tc>
                <w:tcPr>
                  <w:tcW w:w="49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TSP</w:t>
                  </w:r>
                </w:p>
              </w:tc>
              <w:tc>
                <w:tcPr>
                  <w:tcW w:w="500"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lang w:eastAsia="zh-CN"/>
                    </w:rPr>
                    <w:t>0.119</w:t>
                  </w:r>
                </w:p>
              </w:tc>
              <w:tc>
                <w:tcPr>
                  <w:tcW w:w="397" w:type="pct"/>
                  <w:tcBorders>
                    <w:top w:val="single" w:color="auto" w:sz="4" w:space="0"/>
                    <w:left w:val="nil"/>
                    <w:bottom w:val="single" w:color="auto" w:sz="4" w:space="0"/>
                  </w:tcBorders>
                  <w:vAlign w:val="center"/>
                </w:tcPr>
                <w:p>
                  <w:pPr>
                    <w:pStyle w:val="50"/>
                    <w:rPr>
                      <w:color w:val="auto"/>
                    </w:rPr>
                  </w:pPr>
                  <w:r>
                    <w:rPr>
                      <w:color w:val="auto"/>
                    </w:rPr>
                    <w:t>kg/h</w:t>
                  </w:r>
                </w:p>
              </w:tc>
            </w:tr>
          </w:tbl>
          <w:p>
            <w:pPr>
              <w:ind w:firstLine="482"/>
              <w:rPr>
                <w:b/>
                <w:bCs/>
                <w:color w:val="auto"/>
              </w:rPr>
            </w:pPr>
            <w:bookmarkStart w:id="19" w:name="_Toc237675895"/>
            <w:r>
              <w:rPr>
                <w:b/>
                <w:bCs/>
                <w:color w:val="auto"/>
              </w:rPr>
              <w:t>（6）评价工作等级确定</w:t>
            </w:r>
          </w:p>
          <w:p>
            <w:pPr>
              <w:ind w:firstLine="480"/>
              <w:rPr>
                <w:color w:val="auto"/>
                <w:position w:val="2"/>
              </w:rPr>
            </w:pPr>
            <w:r>
              <w:rPr>
                <w:color w:val="auto"/>
                <w:position w:val="2"/>
              </w:rPr>
              <w:t>本项目所有污染源的正常排放的污染物的P</w:t>
            </w:r>
            <w:r>
              <w:rPr>
                <w:color w:val="auto"/>
                <w:position w:val="2"/>
                <w:vertAlign w:val="subscript"/>
              </w:rPr>
              <w:t>max</w:t>
            </w:r>
            <w:r>
              <w:rPr>
                <w:color w:val="auto"/>
                <w:position w:val="2"/>
              </w:rPr>
              <w:t>和D</w:t>
            </w:r>
            <w:r>
              <w:rPr>
                <w:color w:val="auto"/>
                <w:position w:val="2"/>
                <w:vertAlign w:val="subscript"/>
              </w:rPr>
              <w:t>10%</w:t>
            </w:r>
            <w:r>
              <w:rPr>
                <w:color w:val="auto"/>
                <w:position w:val="2"/>
              </w:rPr>
              <w:t>预测结果如下：</w:t>
            </w:r>
          </w:p>
          <w:p>
            <w:pPr>
              <w:pStyle w:val="48"/>
              <w:ind w:firstLine="422"/>
              <w:rPr>
                <w:color w:val="auto"/>
              </w:rPr>
            </w:pPr>
            <w:r>
              <w:rPr>
                <w:color w:val="auto"/>
              </w:rPr>
              <w:t>表7-8  估算模式预测结果</w:t>
            </w:r>
          </w:p>
          <w:tbl>
            <w:tblPr>
              <w:tblStyle w:val="36"/>
              <w:tblW w:w="4995"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1195"/>
              <w:gridCol w:w="1859"/>
              <w:gridCol w:w="1528"/>
              <w:gridCol w:w="1295"/>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812" w:type="pct"/>
                  <w:tcBorders>
                    <w:bottom w:val="single" w:color="auto" w:sz="4" w:space="0"/>
                    <w:right w:val="single" w:color="auto" w:sz="4" w:space="0"/>
                  </w:tcBorders>
                  <w:vAlign w:val="center"/>
                </w:tcPr>
                <w:p>
                  <w:pPr>
                    <w:pStyle w:val="50"/>
                    <w:rPr>
                      <w:color w:val="auto"/>
                    </w:rPr>
                  </w:pPr>
                  <w:r>
                    <w:rPr>
                      <w:color w:val="auto"/>
                    </w:rPr>
                    <w:t>污染源名称</w:t>
                  </w:r>
                </w:p>
              </w:tc>
              <w:tc>
                <w:tcPr>
                  <w:tcW w:w="714" w:type="pct"/>
                  <w:tcBorders>
                    <w:left w:val="nil"/>
                    <w:bottom w:val="single" w:color="auto" w:sz="4" w:space="0"/>
                    <w:right w:val="single" w:color="auto" w:sz="4" w:space="0"/>
                  </w:tcBorders>
                  <w:vAlign w:val="center"/>
                </w:tcPr>
                <w:p>
                  <w:pPr>
                    <w:pStyle w:val="50"/>
                    <w:rPr>
                      <w:color w:val="auto"/>
                    </w:rPr>
                  </w:pPr>
                  <w:r>
                    <w:rPr>
                      <w:color w:val="auto"/>
                    </w:rPr>
                    <w:t>评价因子</w:t>
                  </w:r>
                </w:p>
              </w:tc>
              <w:tc>
                <w:tcPr>
                  <w:tcW w:w="1111" w:type="pct"/>
                  <w:tcBorders>
                    <w:left w:val="nil"/>
                    <w:bottom w:val="single" w:color="auto" w:sz="4" w:space="0"/>
                    <w:right w:val="single" w:color="auto" w:sz="4" w:space="0"/>
                  </w:tcBorders>
                  <w:vAlign w:val="center"/>
                </w:tcPr>
                <w:p>
                  <w:pPr>
                    <w:pStyle w:val="50"/>
                    <w:rPr>
                      <w:color w:val="auto"/>
                    </w:rPr>
                  </w:pPr>
                  <w:r>
                    <w:rPr>
                      <w:color w:val="auto"/>
                    </w:rPr>
                    <w:t>评价标准(μg/m³)</w:t>
                  </w:r>
                </w:p>
              </w:tc>
              <w:tc>
                <w:tcPr>
                  <w:tcW w:w="913" w:type="pct"/>
                  <w:tcBorders>
                    <w:left w:val="nil"/>
                    <w:bottom w:val="single" w:color="auto" w:sz="4" w:space="0"/>
                    <w:right w:val="single" w:color="auto" w:sz="4" w:space="0"/>
                  </w:tcBorders>
                  <w:vAlign w:val="center"/>
                </w:tcPr>
                <w:p>
                  <w:pPr>
                    <w:pStyle w:val="50"/>
                    <w:rPr>
                      <w:color w:val="auto"/>
                    </w:rPr>
                  </w:pPr>
                  <w:r>
                    <w:rPr>
                      <w:color w:val="auto"/>
                    </w:rPr>
                    <w:t>Cmax(mg/m</w:t>
                  </w:r>
                  <w:r>
                    <w:rPr>
                      <w:color w:val="auto"/>
                      <w:vertAlign w:val="superscript"/>
                    </w:rPr>
                    <w:t>3</w:t>
                  </w:r>
                  <w:r>
                    <w:rPr>
                      <w:color w:val="auto"/>
                    </w:rPr>
                    <w:t>)</w:t>
                  </w:r>
                </w:p>
              </w:tc>
              <w:tc>
                <w:tcPr>
                  <w:tcW w:w="774" w:type="pct"/>
                  <w:tcBorders>
                    <w:left w:val="nil"/>
                    <w:bottom w:val="single" w:color="auto" w:sz="4" w:space="0"/>
                    <w:right w:val="single" w:color="auto" w:sz="4" w:space="0"/>
                  </w:tcBorders>
                  <w:vAlign w:val="center"/>
                </w:tcPr>
                <w:p>
                  <w:pPr>
                    <w:pStyle w:val="50"/>
                    <w:rPr>
                      <w:color w:val="auto"/>
                    </w:rPr>
                  </w:pPr>
                  <w:r>
                    <w:rPr>
                      <w:color w:val="auto"/>
                    </w:rPr>
                    <w:t>Pmax(%)</w:t>
                  </w:r>
                </w:p>
              </w:tc>
              <w:tc>
                <w:tcPr>
                  <w:tcW w:w="672" w:type="pct"/>
                  <w:tcBorders>
                    <w:left w:val="nil"/>
                    <w:bottom w:val="single" w:color="auto" w:sz="4" w:space="0"/>
                  </w:tcBorders>
                  <w:vAlign w:val="center"/>
                </w:tcPr>
                <w:p>
                  <w:pPr>
                    <w:pStyle w:val="50"/>
                    <w:rPr>
                      <w:color w:val="auto"/>
                    </w:rPr>
                  </w:pPr>
                  <w:r>
                    <w:rPr>
                      <w:color w:val="auto"/>
                    </w:rPr>
                    <w:t>D10%(m)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12" w:type="pct"/>
                  <w:tcBorders>
                    <w:top w:val="single" w:color="auto" w:sz="4" w:space="0"/>
                    <w:bottom w:val="single" w:color="auto" w:sz="4" w:space="0"/>
                    <w:right w:val="single" w:color="auto" w:sz="4" w:space="0"/>
                  </w:tcBorders>
                  <w:vAlign w:val="center"/>
                </w:tcPr>
                <w:p>
                  <w:pPr>
                    <w:pStyle w:val="50"/>
                    <w:rPr>
                      <w:color w:val="auto"/>
                    </w:rPr>
                  </w:pPr>
                  <w:r>
                    <w:rPr>
                      <w:rFonts w:hint="eastAsia"/>
                      <w:color w:val="auto"/>
                    </w:rPr>
                    <w:t>1#排气筒</w:t>
                  </w:r>
                </w:p>
              </w:tc>
              <w:tc>
                <w:tcPr>
                  <w:tcW w:w="71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lang w:val="en-US" w:eastAsia="zh-CN"/>
                    </w:rPr>
                    <w:t>PM</w:t>
                  </w:r>
                  <w:r>
                    <w:rPr>
                      <w:rFonts w:hint="eastAsia"/>
                      <w:color w:val="auto"/>
                      <w:vertAlign w:val="subscript"/>
                      <w:lang w:val="en-US" w:eastAsia="zh-CN"/>
                    </w:rPr>
                    <w:t>10</w:t>
                  </w:r>
                </w:p>
              </w:tc>
              <w:tc>
                <w:tcPr>
                  <w:tcW w:w="1111" w:type="pct"/>
                  <w:tcBorders>
                    <w:top w:val="single" w:color="auto" w:sz="4" w:space="0"/>
                    <w:left w:val="nil"/>
                    <w:bottom w:val="single" w:color="auto" w:sz="4" w:space="0"/>
                    <w:right w:val="single" w:color="auto" w:sz="4" w:space="0"/>
                  </w:tcBorders>
                  <w:vAlign w:val="center"/>
                </w:tcPr>
                <w:p>
                  <w:pPr>
                    <w:pStyle w:val="50"/>
                    <w:rPr>
                      <w:rFonts w:hint="default"/>
                      <w:color w:val="auto"/>
                    </w:rPr>
                  </w:pPr>
                  <w:r>
                    <w:rPr>
                      <w:rFonts w:hint="eastAsia"/>
                      <w:color w:val="auto"/>
                      <w:lang w:eastAsia="zh-CN"/>
                    </w:rPr>
                    <w:t>4</w:t>
                  </w:r>
                  <w:r>
                    <w:rPr>
                      <w:rFonts w:hint="eastAsia"/>
                      <w:color w:val="auto"/>
                      <w:lang w:val="en-US" w:eastAsia="zh-CN"/>
                    </w:rPr>
                    <w:t>50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4.1434</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0.9208</w:t>
                  </w:r>
                </w:p>
              </w:tc>
              <w:tc>
                <w:tcPr>
                  <w:tcW w:w="672" w:type="pct"/>
                  <w:tcBorders>
                    <w:top w:val="single" w:color="auto" w:sz="4" w:space="0"/>
                    <w:left w:val="nil"/>
                    <w:bottom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2" w:type="pct"/>
                  <w:vMerge w:val="restart"/>
                  <w:tcBorders>
                    <w:top w:val="single" w:color="auto" w:sz="4" w:space="0"/>
                    <w:right w:val="single" w:color="auto" w:sz="4" w:space="0"/>
                  </w:tcBorders>
                  <w:vAlign w:val="center"/>
                </w:tcPr>
                <w:p>
                  <w:pPr>
                    <w:pStyle w:val="50"/>
                    <w:rPr>
                      <w:color w:val="auto"/>
                    </w:rPr>
                  </w:pPr>
                  <w:r>
                    <w:rPr>
                      <w:rFonts w:hint="eastAsia"/>
                      <w:color w:val="auto"/>
                    </w:rPr>
                    <w:t>2#排气筒</w:t>
                  </w:r>
                </w:p>
              </w:tc>
              <w:tc>
                <w:tcPr>
                  <w:tcW w:w="71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TSP</w:t>
                  </w:r>
                </w:p>
              </w:tc>
              <w:tc>
                <w:tcPr>
                  <w:tcW w:w="1111"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900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0.4519</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0.0502</w:t>
                  </w:r>
                </w:p>
              </w:tc>
              <w:tc>
                <w:tcPr>
                  <w:tcW w:w="672" w:type="pct"/>
                  <w:tcBorders>
                    <w:top w:val="single" w:color="auto" w:sz="4" w:space="0"/>
                    <w:left w:val="nil"/>
                    <w:bottom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2" w:type="pct"/>
                  <w:vMerge w:val="continue"/>
                  <w:tcBorders>
                    <w:right w:val="single" w:color="auto" w:sz="4" w:space="0"/>
                  </w:tcBorders>
                  <w:vAlign w:val="center"/>
                </w:tcPr>
                <w:p>
                  <w:pPr>
                    <w:pStyle w:val="50"/>
                    <w:rPr>
                      <w:color w:val="auto"/>
                    </w:rPr>
                  </w:pPr>
                </w:p>
              </w:tc>
              <w:tc>
                <w:tcPr>
                  <w:tcW w:w="71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SO</w:t>
                  </w:r>
                  <w:r>
                    <w:rPr>
                      <w:rFonts w:hint="eastAsia" w:ascii="Times New Roman" w:hAnsi="Times New Roman" w:eastAsia="宋体"/>
                      <w:b w:val="0"/>
                      <w:color w:val="auto"/>
                      <w:sz w:val="21"/>
                      <w:szCs w:val="21"/>
                      <w:vertAlign w:val="subscript"/>
                    </w:rPr>
                    <w:t>2</w:t>
                  </w:r>
                </w:p>
              </w:tc>
              <w:tc>
                <w:tcPr>
                  <w:tcW w:w="1111"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500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0.0629</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0.0126</w:t>
                  </w:r>
                </w:p>
              </w:tc>
              <w:tc>
                <w:tcPr>
                  <w:tcW w:w="672" w:type="pct"/>
                  <w:tcBorders>
                    <w:top w:val="single" w:color="auto" w:sz="4" w:space="0"/>
                    <w:left w:val="nil"/>
                    <w:bottom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12" w:type="pct"/>
                  <w:vMerge w:val="continue"/>
                  <w:tcBorders>
                    <w:right w:val="single" w:color="auto" w:sz="4" w:space="0"/>
                  </w:tcBorders>
                  <w:vAlign w:val="center"/>
                </w:tcPr>
                <w:p>
                  <w:pPr>
                    <w:pStyle w:val="50"/>
                    <w:rPr>
                      <w:color w:val="auto"/>
                    </w:rPr>
                  </w:pPr>
                </w:p>
              </w:tc>
              <w:tc>
                <w:tcPr>
                  <w:tcW w:w="71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NOx</w:t>
                  </w:r>
                </w:p>
              </w:tc>
              <w:tc>
                <w:tcPr>
                  <w:tcW w:w="1111"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250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2.9470</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0.9895</w:t>
                  </w:r>
                </w:p>
              </w:tc>
              <w:tc>
                <w:tcPr>
                  <w:tcW w:w="672" w:type="pct"/>
                  <w:tcBorders>
                    <w:top w:val="single" w:color="auto" w:sz="4" w:space="0"/>
                    <w:left w:val="nil"/>
                    <w:bottom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12" w:type="pct"/>
                  <w:vMerge w:val="continue"/>
                  <w:tcBorders>
                    <w:right w:val="single" w:color="auto" w:sz="4" w:space="0"/>
                  </w:tcBorders>
                  <w:vAlign w:val="center"/>
                </w:tcPr>
                <w:p>
                  <w:pPr>
                    <w:pStyle w:val="50"/>
                    <w:rPr>
                      <w:color w:val="auto"/>
                    </w:rPr>
                  </w:pPr>
                </w:p>
              </w:tc>
              <w:tc>
                <w:tcPr>
                  <w:tcW w:w="714" w:type="pct"/>
                  <w:tcBorders>
                    <w:top w:val="single" w:color="auto" w:sz="4" w:space="0"/>
                    <w:left w:val="nil"/>
                    <w:bottom w:val="single" w:color="auto" w:sz="4" w:space="0"/>
                    <w:right w:val="single" w:color="auto" w:sz="4" w:space="0"/>
                  </w:tcBorders>
                  <w:vAlign w:val="center"/>
                </w:tcPr>
                <w:p>
                  <w:pPr>
                    <w:pStyle w:val="50"/>
                    <w:rPr>
                      <w:rFonts w:hint="default"/>
                      <w:color w:val="auto"/>
                    </w:rPr>
                  </w:pPr>
                  <w:r>
                    <w:rPr>
                      <w:rFonts w:hint="eastAsia"/>
                      <w:b w:val="0"/>
                      <w:color w:val="auto"/>
                      <w:sz w:val="21"/>
                      <w:szCs w:val="21"/>
                      <w:lang w:eastAsia="zh-CN"/>
                    </w:rPr>
                    <w:t>T</w:t>
                  </w:r>
                  <w:r>
                    <w:rPr>
                      <w:rFonts w:hint="eastAsia"/>
                      <w:b w:val="0"/>
                      <w:color w:val="auto"/>
                      <w:sz w:val="21"/>
                      <w:szCs w:val="21"/>
                      <w:lang w:val="en-US" w:eastAsia="zh-CN"/>
                    </w:rPr>
                    <w:t>VOC</w:t>
                  </w:r>
                </w:p>
              </w:tc>
              <w:tc>
                <w:tcPr>
                  <w:tcW w:w="1111" w:type="pct"/>
                  <w:tcBorders>
                    <w:top w:val="single" w:color="auto" w:sz="4" w:space="0"/>
                    <w:left w:val="nil"/>
                    <w:bottom w:val="single" w:color="auto" w:sz="4" w:space="0"/>
                    <w:right w:val="single" w:color="auto" w:sz="4" w:space="0"/>
                  </w:tcBorders>
                  <w:vAlign w:val="center"/>
                </w:tcPr>
                <w:p>
                  <w:pPr>
                    <w:pStyle w:val="50"/>
                    <w:rPr>
                      <w:rFonts w:hint="default"/>
                      <w:color w:val="auto"/>
                    </w:rPr>
                  </w:pPr>
                  <w:r>
                    <w:rPr>
                      <w:rFonts w:hint="eastAsia"/>
                      <w:b w:val="0"/>
                      <w:color w:val="auto"/>
                      <w:sz w:val="21"/>
                      <w:szCs w:val="21"/>
                      <w:lang w:eastAsia="zh-CN"/>
                    </w:rPr>
                    <w:t>1</w:t>
                  </w:r>
                  <w:r>
                    <w:rPr>
                      <w:rFonts w:hint="eastAsia"/>
                      <w:b w:val="0"/>
                      <w:color w:val="auto"/>
                      <w:sz w:val="21"/>
                      <w:szCs w:val="21"/>
                      <w:lang w:val="en-US" w:eastAsia="zh-CN"/>
                    </w:rPr>
                    <w:t>200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2.7505</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1.1788</w:t>
                  </w:r>
                </w:p>
              </w:tc>
              <w:tc>
                <w:tcPr>
                  <w:tcW w:w="672" w:type="pct"/>
                  <w:tcBorders>
                    <w:top w:val="single" w:color="auto" w:sz="4" w:space="0"/>
                    <w:left w:val="nil"/>
                    <w:bottom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12" w:type="pct"/>
                  <w:tcBorders>
                    <w:right w:val="single" w:color="auto" w:sz="4" w:space="0"/>
                  </w:tcBorders>
                  <w:vAlign w:val="center"/>
                </w:tcPr>
                <w:p>
                  <w:pPr>
                    <w:pStyle w:val="50"/>
                    <w:rPr>
                      <w:color w:val="auto"/>
                    </w:rPr>
                  </w:pPr>
                  <w:r>
                    <w:rPr>
                      <w:color w:val="auto"/>
                    </w:rPr>
                    <w:t>厂区无组织废气</w:t>
                  </w:r>
                </w:p>
              </w:tc>
              <w:tc>
                <w:tcPr>
                  <w:tcW w:w="71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TSP</w:t>
                  </w:r>
                </w:p>
              </w:tc>
              <w:tc>
                <w:tcPr>
                  <w:tcW w:w="1111"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900.0</w:t>
                  </w:r>
                </w:p>
              </w:tc>
              <w:tc>
                <w:tcPr>
                  <w:tcW w:w="913"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46.1410</w:t>
                  </w:r>
                </w:p>
              </w:tc>
              <w:tc>
                <w:tcPr>
                  <w:tcW w:w="774"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ascii="Times New Roman" w:hAnsi="Times New Roman" w:eastAsia="宋体"/>
                      <w:b w:val="0"/>
                      <w:color w:val="auto"/>
                      <w:sz w:val="21"/>
                      <w:szCs w:val="21"/>
                    </w:rPr>
                    <w:t>5.1268</w:t>
                  </w:r>
                </w:p>
              </w:tc>
              <w:tc>
                <w:tcPr>
                  <w:tcW w:w="672" w:type="pct"/>
                  <w:tcBorders>
                    <w:top w:val="single" w:color="auto" w:sz="4" w:space="0"/>
                    <w:left w:val="nil"/>
                    <w:bottom w:val="single" w:color="auto" w:sz="4" w:space="0"/>
                  </w:tcBorders>
                  <w:vAlign w:val="center"/>
                </w:tcPr>
                <w:p>
                  <w:pPr>
                    <w:pStyle w:val="50"/>
                    <w:rPr>
                      <w:rFonts w:hint="eastAsia" w:eastAsia="宋体"/>
                      <w:color w:val="auto"/>
                      <w:lang w:val="en-US" w:eastAsia="zh-CN"/>
                    </w:rPr>
                  </w:pPr>
                  <w:r>
                    <w:rPr>
                      <w:rFonts w:hint="eastAsia"/>
                      <w:color w:val="auto"/>
                      <w:lang w:val="en-US" w:eastAsia="zh-CN"/>
                    </w:rPr>
                    <w:t>/</w:t>
                  </w:r>
                </w:p>
              </w:tc>
            </w:tr>
          </w:tbl>
          <w:p>
            <w:pPr>
              <w:ind w:firstLine="480"/>
              <w:rPr>
                <w:color w:val="auto"/>
              </w:rPr>
            </w:pPr>
            <w:r>
              <w:rPr>
                <w:color w:val="auto"/>
              </w:rPr>
              <w:t>本项目Pmax最大值出现为厂区无组织排放</w:t>
            </w:r>
            <w:r>
              <w:rPr>
                <w:rFonts w:hint="eastAsia"/>
                <w:color w:val="auto"/>
                <w:lang w:val="en-US" w:eastAsia="zh-CN"/>
              </w:rPr>
              <w:t>颗粒物</w:t>
            </w:r>
            <w:r>
              <w:rPr>
                <w:color w:val="auto"/>
              </w:rPr>
              <w:t>，Pmax值为</w:t>
            </w:r>
            <w:r>
              <w:rPr>
                <w:rFonts w:hint="default" w:ascii="Times New Roman" w:hAnsi="Times New Roman" w:eastAsia="宋体"/>
                <w:b w:val="0"/>
                <w:color w:val="auto"/>
                <w:sz w:val="24"/>
                <w:szCs w:val="24"/>
              </w:rPr>
              <w:t>5.1268</w:t>
            </w:r>
            <w:r>
              <w:rPr>
                <w:color w:val="auto"/>
              </w:rPr>
              <w:t>%，Cmax为</w:t>
            </w:r>
            <w:r>
              <w:rPr>
                <w:rFonts w:hint="default" w:ascii="Times New Roman" w:hAnsi="Times New Roman" w:eastAsia="宋体"/>
                <w:b w:val="0"/>
                <w:color w:val="auto"/>
                <w:sz w:val="24"/>
                <w:szCs w:val="24"/>
              </w:rPr>
              <w:t>46.1410</w:t>
            </w:r>
            <w:r>
              <w:rPr>
                <w:color w:val="auto"/>
              </w:rPr>
              <w:t>μg/m³，根据《环境影响评价技术导则 大气环境》（HJ2.2-2018）分级判据，确定本项目大气环境影响评价工作等级为二级，根据导则要求，二级评价项目无需进一步预测与评价，本次评价只进行污染源核算，评价范围确定为以项目为中心，边长为5km的区域。</w:t>
            </w:r>
          </w:p>
          <w:bookmarkEnd w:id="19"/>
          <w:p>
            <w:pPr>
              <w:ind w:firstLine="482"/>
              <w:rPr>
                <w:color w:val="auto"/>
              </w:rPr>
            </w:pPr>
            <w:r>
              <w:rPr>
                <w:b/>
                <w:bCs/>
                <w:color w:val="auto"/>
              </w:rPr>
              <w:t>（7）估算结果</w:t>
            </w:r>
          </w:p>
          <w:p>
            <w:pPr>
              <w:ind w:firstLine="482"/>
              <w:rPr>
                <w:b/>
                <w:bCs/>
                <w:color w:val="auto"/>
              </w:rPr>
            </w:pPr>
            <w:r>
              <w:rPr>
                <w:b/>
                <w:bCs/>
                <w:color w:val="auto"/>
              </w:rPr>
              <w:t>①正常排放情况预测结果及评价</w:t>
            </w:r>
          </w:p>
          <w:p>
            <w:pPr>
              <w:pStyle w:val="48"/>
              <w:ind w:firstLine="0" w:firstLineChars="0"/>
              <w:rPr>
                <w:color w:val="auto"/>
              </w:rPr>
            </w:pPr>
            <w:r>
              <w:rPr>
                <w:color w:val="auto"/>
              </w:rPr>
              <w:t>表7-</w:t>
            </w:r>
            <w:r>
              <w:rPr>
                <w:rFonts w:hint="eastAsia"/>
                <w:color w:val="auto"/>
              </w:rPr>
              <w:t>9</w:t>
            </w:r>
            <w:r>
              <w:rPr>
                <w:color w:val="auto"/>
              </w:rPr>
              <w:t xml:space="preserve">  最大Pmax和D10%预测结果表</w:t>
            </w:r>
          </w:p>
          <w:tbl>
            <w:tblPr>
              <w:tblStyle w:val="36"/>
              <w:tblW w:w="4988" w:type="pct"/>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2872"/>
              <w:gridCol w:w="2562"/>
              <w:gridCol w:w="2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3279" w:type="pct"/>
                  <w:gridSpan w:val="2"/>
                  <w:tcBorders>
                    <w:left w:val="single" w:color="000000" w:sz="4" w:space="0"/>
                    <w:bottom w:val="single" w:color="000000" w:sz="4" w:space="0"/>
                  </w:tcBorders>
                  <w:vAlign w:val="center"/>
                </w:tcPr>
                <w:p>
                  <w:pPr>
                    <w:pStyle w:val="50"/>
                    <w:rPr>
                      <w:rFonts w:hint="default" w:eastAsia="宋体"/>
                      <w:color w:val="auto"/>
                      <w:lang w:val="en-US" w:eastAsia="zh-CN"/>
                    </w:rPr>
                  </w:pPr>
                  <w:r>
                    <w:rPr>
                      <w:rFonts w:hint="eastAsia"/>
                      <w:color w:val="auto"/>
                      <w:lang w:val="en-US" w:eastAsia="zh-CN"/>
                    </w:rPr>
                    <w:t>1#排气筒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1720"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1534" w:type="pct"/>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olor w:val="auto"/>
                      <w:lang w:val="en-US" w:eastAsia="zh-CN"/>
                    </w:rPr>
                    <w:t>PM</w:t>
                  </w:r>
                  <w:r>
                    <w:rPr>
                      <w:rFonts w:hint="default"/>
                      <w:color w:val="auto"/>
                      <w:vertAlign w:val="subscript"/>
                      <w:lang w:val="en-US" w:eastAsia="zh-CN"/>
                    </w:rPr>
                    <w:t>10</w:t>
                  </w:r>
                  <w:r>
                    <w:rPr>
                      <w:color w:val="auto"/>
                    </w:rPr>
                    <w:t>浓度（</w:t>
                  </w:r>
                  <w:r>
                    <w:rPr>
                      <w:rFonts w:hint="eastAsia"/>
                      <w:color w:val="auto"/>
                    </w:rPr>
                    <w:t>ug/m</w:t>
                  </w:r>
                  <w:r>
                    <w:rPr>
                      <w:rFonts w:hint="eastAsia"/>
                      <w:color w:val="auto"/>
                      <w:vertAlign w:val="superscript"/>
                    </w:rPr>
                    <w:t>3</w:t>
                  </w:r>
                  <w:r>
                    <w:rPr>
                      <w:color w:val="auto"/>
                    </w:rPr>
                    <w:t>）</w:t>
                  </w:r>
                </w:p>
              </w:tc>
              <w:tc>
                <w:tcPr>
                  <w:tcW w:w="1745"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lang w:val="en-US" w:eastAsia="zh-CN"/>
                    </w:rPr>
                    <w:t>PM</w:t>
                  </w:r>
                  <w:r>
                    <w:rPr>
                      <w:rFonts w:hint="default"/>
                      <w:color w:val="auto"/>
                      <w:vertAlign w:val="subscript"/>
                      <w:lang w:val="en-US" w:eastAsia="zh-CN"/>
                    </w:rPr>
                    <w:t>10</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50.0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3.7396</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0.8310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3.0941</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0.6876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1.4905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0.3312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1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300.0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0.9373</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0.2083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23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0.6703</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0.1490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0.5094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0.1132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0.4115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0.0914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700.0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0.3515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0.0781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0.3044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0.0677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900.0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0.2669</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0.0593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0.2366</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0.0526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0.1908</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0.0424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0.1582</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0.1341</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0.0298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1800.0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0.1156</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0.0257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2000.0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0.1011</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2872" w:type="dxa"/>
                  <w:tcBorders>
                    <w:top w:val="single" w:color="000000" w:sz="4" w:space="0"/>
                    <w:bottom w:val="single" w:color="000000" w:sz="4" w:space="0"/>
                    <w:right w:val="single" w:color="000000" w:sz="4" w:space="0"/>
                  </w:tcBorders>
                  <w:vAlign w:val="center"/>
                </w:tcPr>
                <w:p>
                  <w:pPr>
                    <w:pStyle w:val="50"/>
                    <w:bidi w:val="0"/>
                    <w:rPr>
                      <w:color w:val="auto"/>
                    </w:rPr>
                  </w:pPr>
                  <w:r>
                    <w:rPr>
                      <w:color w:val="auto"/>
                    </w:rPr>
                    <w:t>2500.0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0.0757</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tcBorders>
                    <w:top w:val="single" w:color="000000" w:sz="4" w:space="0"/>
                    <w:bottom w:val="single" w:color="000000" w:sz="4" w:space="0"/>
                    <w:right w:val="single" w:color="000000" w:sz="4" w:space="0"/>
                  </w:tcBorders>
                  <w:vAlign w:val="center"/>
                </w:tcPr>
                <w:p>
                  <w:pPr>
                    <w:pStyle w:val="50"/>
                    <w:rPr>
                      <w:b/>
                      <w:bCs/>
                      <w:color w:val="auto"/>
                    </w:rPr>
                  </w:pPr>
                  <w:r>
                    <w:rPr>
                      <w:b/>
                      <w:bCs/>
                      <w:color w:val="auto"/>
                    </w:rPr>
                    <w:t>下风向</w:t>
                  </w:r>
                  <w:r>
                    <w:rPr>
                      <w:rFonts w:hint="eastAsia"/>
                      <w:b/>
                      <w:bCs/>
                      <w:color w:val="auto"/>
                    </w:rPr>
                    <w:t>最大浓度(距离</w:t>
                  </w:r>
                  <w:r>
                    <w:rPr>
                      <w:rFonts w:hint="eastAsia"/>
                      <w:b/>
                      <w:bCs/>
                      <w:color w:val="auto"/>
                      <w:lang w:val="en-US" w:eastAsia="zh-CN"/>
                    </w:rPr>
                    <w:t>58</w:t>
                  </w:r>
                  <w:r>
                    <w:rPr>
                      <w:rFonts w:hint="eastAsia"/>
                      <w:b/>
                      <w:bCs/>
                      <w:color w:val="auto"/>
                    </w:rPr>
                    <w:t>m)</w:t>
                  </w:r>
                </w:p>
              </w:tc>
              <w:tc>
                <w:tcPr>
                  <w:tcW w:w="2743"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b/>
                      <w:bCs/>
                      <w:color w:val="auto"/>
                    </w:rPr>
                  </w:pPr>
                  <w:r>
                    <w:rPr>
                      <w:b/>
                      <w:bCs/>
                      <w:color w:val="auto"/>
                    </w:rPr>
                    <w:t>4.1434</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0.9208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97" w:hRule="atLeast"/>
              </w:trPr>
              <w:tc>
                <w:tcPr>
                  <w:tcW w:w="1720" w:type="pct"/>
                  <w:tcBorders>
                    <w:top w:val="single" w:color="000000" w:sz="4" w:space="0"/>
                    <w:right w:val="single" w:color="000000" w:sz="4" w:space="0"/>
                  </w:tcBorders>
                  <w:vAlign w:val="center"/>
                </w:tcPr>
                <w:p>
                  <w:pPr>
                    <w:pStyle w:val="50"/>
                    <w:rPr>
                      <w:color w:val="auto"/>
                    </w:rPr>
                  </w:pPr>
                  <w:r>
                    <w:rPr>
                      <w:color w:val="auto"/>
                    </w:rPr>
                    <w:t>D10%最远距离</w:t>
                  </w:r>
                </w:p>
              </w:tc>
              <w:tc>
                <w:tcPr>
                  <w:tcW w:w="1534" w:type="pct"/>
                  <w:tcBorders>
                    <w:top w:val="single" w:color="000000" w:sz="4" w:space="0"/>
                    <w:left w:val="single" w:color="000000" w:sz="4" w:space="0"/>
                    <w:right w:val="single" w:color="000000" w:sz="4" w:space="0"/>
                  </w:tcBorders>
                  <w:vAlign w:val="center"/>
                </w:tcPr>
                <w:p>
                  <w:pPr>
                    <w:pStyle w:val="50"/>
                    <w:rPr>
                      <w:color w:val="auto"/>
                    </w:rPr>
                  </w:pPr>
                  <w:r>
                    <w:rPr>
                      <w:rFonts w:hint="eastAsia"/>
                      <w:color w:val="auto"/>
                    </w:rPr>
                    <w:t>/</w:t>
                  </w:r>
                </w:p>
              </w:tc>
              <w:tc>
                <w:tcPr>
                  <w:tcW w:w="1745" w:type="pct"/>
                  <w:tcBorders>
                    <w:top w:val="single" w:color="000000" w:sz="4" w:space="0"/>
                    <w:left w:val="single" w:color="000000" w:sz="4" w:space="0"/>
                  </w:tcBorders>
                  <w:vAlign w:val="center"/>
                </w:tcPr>
                <w:p>
                  <w:pPr>
                    <w:pStyle w:val="50"/>
                    <w:rPr>
                      <w:color w:val="auto"/>
                    </w:rPr>
                  </w:pPr>
                  <w:r>
                    <w:rPr>
                      <w:rFonts w:hint="eastAsia"/>
                      <w:color w:val="auto"/>
                    </w:rPr>
                    <w:t>/</w:t>
                  </w:r>
                </w:p>
              </w:tc>
            </w:tr>
          </w:tbl>
          <w:p>
            <w:pPr>
              <w:pStyle w:val="48"/>
              <w:ind w:firstLine="0" w:firstLineChars="0"/>
              <w:rPr>
                <w:color w:val="auto"/>
              </w:rPr>
            </w:pPr>
            <w:r>
              <w:rPr>
                <w:color w:val="auto"/>
              </w:rPr>
              <w:t>表7-</w:t>
            </w:r>
            <w:r>
              <w:rPr>
                <w:rFonts w:hint="eastAsia"/>
                <w:color w:val="auto"/>
              </w:rPr>
              <w:t>10</w:t>
            </w:r>
            <w:r>
              <w:rPr>
                <w:color w:val="auto"/>
              </w:rPr>
              <w:t>最大Pmax和D10%预测结果表</w:t>
            </w:r>
          </w:p>
          <w:tbl>
            <w:tblPr>
              <w:tblStyle w:val="36"/>
              <w:tblW w:w="4995" w:type="pct"/>
              <w:tblInd w:w="-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1539"/>
              <w:gridCol w:w="1214"/>
              <w:gridCol w:w="1050"/>
              <w:gridCol w:w="1132"/>
              <w:gridCol w:w="1072"/>
              <w:gridCol w:w="1276"/>
              <w:gridCol w:w="10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920"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4079" w:type="pct"/>
                  <w:gridSpan w:val="6"/>
                  <w:tcBorders>
                    <w:left w:val="single" w:color="000000" w:sz="4" w:space="0"/>
                    <w:bottom w:val="single" w:color="000000" w:sz="4" w:space="0"/>
                  </w:tcBorders>
                  <w:vAlign w:val="center"/>
                </w:tcPr>
                <w:p>
                  <w:pPr>
                    <w:pStyle w:val="50"/>
                    <w:rPr>
                      <w:rFonts w:hint="default" w:eastAsia="宋体"/>
                      <w:color w:val="auto"/>
                      <w:lang w:val="en-US" w:eastAsia="zh-CN"/>
                    </w:rPr>
                  </w:pPr>
                  <w:r>
                    <w:rPr>
                      <w:rFonts w:hint="eastAsia"/>
                      <w:color w:val="auto"/>
                      <w:lang w:val="en-US" w:eastAsia="zh-CN"/>
                    </w:rPr>
                    <w:t>2#排气筒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21" w:hRule="atLeast"/>
              </w:trPr>
              <w:tc>
                <w:tcPr>
                  <w:tcW w:w="920"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725" w:type="pct"/>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olor w:val="auto"/>
                    </w:rPr>
                    <w:t>TSP</w:t>
                  </w:r>
                  <w:r>
                    <w:rPr>
                      <w:color w:val="auto"/>
                    </w:rPr>
                    <w:t>浓度（</w:t>
                  </w:r>
                  <w:r>
                    <w:rPr>
                      <w:rFonts w:hint="eastAsia"/>
                      <w:color w:val="auto"/>
                    </w:rPr>
                    <w:t>ug</w:t>
                  </w:r>
                  <w:r>
                    <w:rPr>
                      <w:color w:val="auto"/>
                    </w:rPr>
                    <w:t>/m</w:t>
                  </w:r>
                  <w:r>
                    <w:rPr>
                      <w:color w:val="auto"/>
                      <w:vertAlign w:val="superscript"/>
                    </w:rPr>
                    <w:t>3</w:t>
                  </w:r>
                  <w:r>
                    <w:rPr>
                      <w:color w:val="auto"/>
                    </w:rPr>
                    <w:t>）</w:t>
                  </w:r>
                </w:p>
              </w:tc>
              <w:tc>
                <w:tcPr>
                  <w:tcW w:w="627"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TSP</w:t>
                  </w:r>
                  <w:r>
                    <w:rPr>
                      <w:color w:val="auto"/>
                    </w:rPr>
                    <w:t>占标率（%）</w:t>
                  </w:r>
                </w:p>
              </w:tc>
              <w:tc>
                <w:tcPr>
                  <w:tcW w:w="676"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SO</w:t>
                  </w:r>
                  <w:r>
                    <w:rPr>
                      <w:rFonts w:hint="eastAsia"/>
                      <w:color w:val="auto"/>
                      <w:vertAlign w:val="subscript"/>
                    </w:rPr>
                    <w:t>2</w:t>
                  </w:r>
                  <w:r>
                    <w:rPr>
                      <w:color w:val="auto"/>
                    </w:rPr>
                    <w:t>浓度（</w:t>
                  </w:r>
                  <w:r>
                    <w:rPr>
                      <w:rFonts w:hint="eastAsia"/>
                      <w:color w:val="auto"/>
                    </w:rPr>
                    <w:t>ug</w:t>
                  </w:r>
                  <w:r>
                    <w:rPr>
                      <w:color w:val="auto"/>
                    </w:rPr>
                    <w:t>/m</w:t>
                  </w:r>
                  <w:r>
                    <w:rPr>
                      <w:color w:val="auto"/>
                      <w:vertAlign w:val="superscript"/>
                    </w:rPr>
                    <w:t>3</w:t>
                  </w:r>
                  <w:r>
                    <w:rPr>
                      <w:color w:val="auto"/>
                    </w:rPr>
                    <w:t>）</w:t>
                  </w:r>
                </w:p>
              </w:tc>
              <w:tc>
                <w:tcPr>
                  <w:tcW w:w="641"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SO</w:t>
                  </w:r>
                  <w:r>
                    <w:rPr>
                      <w:rFonts w:hint="eastAsia"/>
                      <w:color w:val="auto"/>
                      <w:vertAlign w:val="subscript"/>
                    </w:rPr>
                    <w:t>2</w:t>
                  </w:r>
                  <w:r>
                    <w:rPr>
                      <w:color w:val="auto"/>
                    </w:rPr>
                    <w:t>占标率（%）</w:t>
                  </w:r>
                </w:p>
              </w:tc>
              <w:tc>
                <w:tcPr>
                  <w:tcW w:w="763"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氮氧化物</w:t>
                  </w:r>
                  <w:r>
                    <w:rPr>
                      <w:color w:val="auto"/>
                    </w:rPr>
                    <w:t>浓度（</w:t>
                  </w:r>
                  <w:r>
                    <w:rPr>
                      <w:rFonts w:hint="eastAsia"/>
                      <w:color w:val="auto"/>
                    </w:rPr>
                    <w:t>ug</w:t>
                  </w:r>
                  <w:r>
                    <w:rPr>
                      <w:color w:val="auto"/>
                    </w:rPr>
                    <w:t>/m</w:t>
                  </w:r>
                  <w:r>
                    <w:rPr>
                      <w:color w:val="auto"/>
                      <w:vertAlign w:val="superscript"/>
                    </w:rPr>
                    <w:t>3</w:t>
                  </w:r>
                  <w:r>
                    <w:rPr>
                      <w:color w:val="auto"/>
                    </w:rPr>
                    <w:t>）</w:t>
                  </w:r>
                </w:p>
              </w:tc>
              <w:tc>
                <w:tcPr>
                  <w:tcW w:w="644"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氮氧化物</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96"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0.3410</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0.0379</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0.0474</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0.0095</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2.2237</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0.8895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7"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0.2467</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0.0274</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0.0343</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0.0069</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1.6089</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0.6435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03"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0.3993</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0.0444</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0.0556</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0.0111</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2.6044</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1.0418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300.0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0.3863</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0.0429</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0.0537</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0.0107</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2.5194</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1.0077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7"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400.0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0.3302</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0.0367</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0.0459</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0.0092</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2.1535</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0.8614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7"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0.2780</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0.0309</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0.0387</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0.0077</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1.8131</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0.7252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600.0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0.2358</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0.0262</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0.0328</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0.0066</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1.5380</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0.6152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700.0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0.2025</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0.0225</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0.0282</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0.0056</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1.3209</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0.5283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800.0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0.1761</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0.0196</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0.0245</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0.0049</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1.1485</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0.4594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30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900.0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0.1549</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0.0172</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0.0215</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0.0043</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1.0101</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0.4040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0.1376</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0.0153</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0.0191</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0.0038</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0.8974</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0.3589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1200.0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0.1114</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0.0124</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0.0155</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0.0031</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0.7262</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0.2905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1400.0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0.0926</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0.0103</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0.0129</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0.0026</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0.6037</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0.2415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1600.0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0.0786</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0.0087</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0.0109</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0.0022</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0.5125</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0.2050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1800.0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0.0679</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0.0075</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0.0094</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0.0019</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0.4425</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0.1770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0.0594</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0.0066</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0.0083</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0.0017</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0.3874</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0.1549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2" w:hRule="atLeast"/>
              </w:trPr>
              <w:tc>
                <w:tcPr>
                  <w:tcW w:w="9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2500.0</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0.0446</w:t>
                  </w:r>
                </w:p>
              </w:tc>
              <w:tc>
                <w:tcPr>
                  <w:tcW w:w="1050"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0.0050</w:t>
                  </w:r>
                </w:p>
              </w:tc>
              <w:tc>
                <w:tcPr>
                  <w:tcW w:w="113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0.0062</w:t>
                  </w:r>
                </w:p>
              </w:tc>
              <w:tc>
                <w:tcPr>
                  <w:tcW w:w="1072"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0.0012</w:t>
                  </w:r>
                </w:p>
              </w:tc>
              <w:tc>
                <w:tcPr>
                  <w:tcW w:w="1276"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0.2908</w:t>
                  </w:r>
                </w:p>
              </w:tc>
              <w:tc>
                <w:tcPr>
                  <w:tcW w:w="1078"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0.1163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537" w:hRule="atLeast"/>
              </w:trPr>
              <w:tc>
                <w:tcPr>
                  <w:tcW w:w="920" w:type="pct"/>
                  <w:tcBorders>
                    <w:top w:val="single" w:color="000000" w:sz="4" w:space="0"/>
                    <w:bottom w:val="single" w:color="000000" w:sz="4" w:space="0"/>
                    <w:right w:val="single" w:color="000000" w:sz="4" w:space="0"/>
                  </w:tcBorders>
                  <w:vAlign w:val="center"/>
                </w:tcPr>
                <w:p>
                  <w:pPr>
                    <w:pStyle w:val="50"/>
                    <w:rPr>
                      <w:b/>
                      <w:bCs/>
                      <w:color w:val="auto"/>
                    </w:rPr>
                  </w:pPr>
                  <w:r>
                    <w:rPr>
                      <w:rFonts w:hint="eastAsia"/>
                      <w:b/>
                      <w:bCs/>
                      <w:color w:val="auto"/>
                    </w:rPr>
                    <w:t>下风向最大浓度(距离</w:t>
                  </w:r>
                  <w:r>
                    <w:rPr>
                      <w:rFonts w:hint="eastAsia"/>
                      <w:b/>
                      <w:bCs/>
                      <w:color w:val="auto"/>
                      <w:lang w:val="en-US" w:eastAsia="zh-CN"/>
                    </w:rPr>
                    <w:t>25</w:t>
                  </w:r>
                  <w:r>
                    <w:rPr>
                      <w:rFonts w:hint="eastAsia"/>
                      <w:b/>
                      <w:bCs/>
                      <w:color w:val="auto"/>
                    </w:rPr>
                    <w:t>m)</w:t>
                  </w:r>
                </w:p>
              </w:tc>
              <w:tc>
                <w:tcPr>
                  <w:tcW w:w="1214"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b/>
                      <w:bCs/>
                      <w:color w:val="auto"/>
                    </w:rPr>
                  </w:pPr>
                  <w:r>
                    <w:rPr>
                      <w:b/>
                      <w:bCs/>
                      <w:color w:val="auto"/>
                    </w:rPr>
                    <w:t>0.4519</w:t>
                  </w:r>
                </w:p>
              </w:tc>
              <w:tc>
                <w:tcPr>
                  <w:tcW w:w="1050"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0.0502</w:t>
                  </w:r>
                </w:p>
              </w:tc>
              <w:tc>
                <w:tcPr>
                  <w:tcW w:w="1132"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0.0629</w:t>
                  </w:r>
                </w:p>
              </w:tc>
              <w:tc>
                <w:tcPr>
                  <w:tcW w:w="1072"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0.0126</w:t>
                  </w:r>
                </w:p>
              </w:tc>
              <w:tc>
                <w:tcPr>
                  <w:tcW w:w="1276"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2.9470</w:t>
                  </w:r>
                </w:p>
              </w:tc>
              <w:tc>
                <w:tcPr>
                  <w:tcW w:w="1078"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1.1788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920" w:type="pct"/>
                  <w:tcBorders>
                    <w:top w:val="single" w:color="000000" w:sz="4" w:space="0"/>
                    <w:right w:val="single" w:color="000000" w:sz="4" w:space="0"/>
                  </w:tcBorders>
                  <w:vAlign w:val="center"/>
                </w:tcPr>
                <w:p>
                  <w:pPr>
                    <w:pStyle w:val="50"/>
                    <w:rPr>
                      <w:color w:val="auto"/>
                    </w:rPr>
                  </w:pPr>
                  <w:r>
                    <w:rPr>
                      <w:color w:val="auto"/>
                    </w:rPr>
                    <w:t>D10%最远距离</w:t>
                  </w:r>
                </w:p>
              </w:tc>
              <w:tc>
                <w:tcPr>
                  <w:tcW w:w="725" w:type="pct"/>
                  <w:tcBorders>
                    <w:top w:val="single" w:color="000000" w:sz="4" w:space="0"/>
                    <w:left w:val="single" w:color="000000" w:sz="4" w:space="0"/>
                    <w:right w:val="single" w:color="000000" w:sz="4" w:space="0"/>
                  </w:tcBorders>
                  <w:vAlign w:val="center"/>
                </w:tcPr>
                <w:p>
                  <w:pPr>
                    <w:pStyle w:val="50"/>
                    <w:rPr>
                      <w:color w:val="auto"/>
                    </w:rPr>
                  </w:pPr>
                  <w:r>
                    <w:rPr>
                      <w:color w:val="auto"/>
                    </w:rPr>
                    <w:t>/</w:t>
                  </w:r>
                </w:p>
              </w:tc>
              <w:tc>
                <w:tcPr>
                  <w:tcW w:w="627" w:type="pct"/>
                  <w:tcBorders>
                    <w:top w:val="single" w:color="000000" w:sz="4" w:space="0"/>
                    <w:left w:val="single" w:color="000000" w:sz="4" w:space="0"/>
                  </w:tcBorders>
                  <w:vAlign w:val="center"/>
                </w:tcPr>
                <w:p>
                  <w:pPr>
                    <w:pStyle w:val="50"/>
                    <w:rPr>
                      <w:color w:val="auto"/>
                    </w:rPr>
                  </w:pPr>
                  <w:r>
                    <w:rPr>
                      <w:color w:val="auto"/>
                    </w:rPr>
                    <w:t>/</w:t>
                  </w:r>
                </w:p>
              </w:tc>
              <w:tc>
                <w:tcPr>
                  <w:tcW w:w="676" w:type="pct"/>
                  <w:tcBorders>
                    <w:top w:val="single" w:color="000000" w:sz="4" w:space="0"/>
                    <w:left w:val="single" w:color="000000" w:sz="4" w:space="0"/>
                  </w:tcBorders>
                  <w:vAlign w:val="center"/>
                </w:tcPr>
                <w:p>
                  <w:pPr>
                    <w:pStyle w:val="50"/>
                    <w:rPr>
                      <w:color w:val="auto"/>
                    </w:rPr>
                  </w:pPr>
                  <w:r>
                    <w:rPr>
                      <w:color w:val="auto"/>
                    </w:rPr>
                    <w:t>/</w:t>
                  </w:r>
                </w:p>
              </w:tc>
              <w:tc>
                <w:tcPr>
                  <w:tcW w:w="641" w:type="pct"/>
                  <w:tcBorders>
                    <w:top w:val="single" w:color="000000" w:sz="4" w:space="0"/>
                    <w:left w:val="single" w:color="000000" w:sz="4" w:space="0"/>
                  </w:tcBorders>
                  <w:vAlign w:val="center"/>
                </w:tcPr>
                <w:p>
                  <w:pPr>
                    <w:pStyle w:val="50"/>
                    <w:rPr>
                      <w:color w:val="auto"/>
                    </w:rPr>
                  </w:pPr>
                  <w:r>
                    <w:rPr>
                      <w:color w:val="auto"/>
                    </w:rPr>
                    <w:t>/</w:t>
                  </w:r>
                </w:p>
              </w:tc>
              <w:tc>
                <w:tcPr>
                  <w:tcW w:w="763" w:type="pct"/>
                  <w:tcBorders>
                    <w:top w:val="single" w:color="000000" w:sz="4" w:space="0"/>
                    <w:left w:val="single" w:color="000000" w:sz="4" w:space="0"/>
                  </w:tcBorders>
                  <w:vAlign w:val="center"/>
                </w:tcPr>
                <w:p>
                  <w:pPr>
                    <w:pStyle w:val="50"/>
                    <w:rPr>
                      <w:color w:val="auto"/>
                    </w:rPr>
                  </w:pPr>
                  <w:r>
                    <w:rPr>
                      <w:color w:val="auto"/>
                    </w:rPr>
                    <w:t>/</w:t>
                  </w:r>
                </w:p>
              </w:tc>
              <w:tc>
                <w:tcPr>
                  <w:tcW w:w="644" w:type="pct"/>
                  <w:tcBorders>
                    <w:top w:val="single" w:color="000000" w:sz="4" w:space="0"/>
                    <w:left w:val="single" w:color="000000" w:sz="4" w:space="0"/>
                  </w:tcBorders>
                  <w:vAlign w:val="center"/>
                </w:tcPr>
                <w:p>
                  <w:pPr>
                    <w:pStyle w:val="50"/>
                    <w:rPr>
                      <w:color w:val="auto"/>
                    </w:rPr>
                  </w:pPr>
                  <w:r>
                    <w:rPr>
                      <w:color w:val="auto"/>
                    </w:rPr>
                    <w:t>/</w:t>
                  </w:r>
                </w:p>
              </w:tc>
            </w:tr>
          </w:tbl>
          <w:p>
            <w:pPr>
              <w:pStyle w:val="48"/>
              <w:ind w:firstLine="0" w:firstLineChars="0"/>
              <w:rPr>
                <w:color w:val="auto"/>
              </w:rPr>
            </w:pPr>
            <w:r>
              <w:rPr>
                <w:color w:val="auto"/>
              </w:rPr>
              <w:t>表7-</w:t>
            </w:r>
            <w:r>
              <w:rPr>
                <w:rFonts w:hint="eastAsia"/>
                <w:color w:val="auto"/>
              </w:rPr>
              <w:t xml:space="preserve">11 </w:t>
            </w:r>
            <w:r>
              <w:rPr>
                <w:color w:val="auto"/>
              </w:rPr>
              <w:t xml:space="preserve">  最大Pmax和D10%预测结果表</w:t>
            </w:r>
          </w:p>
          <w:tbl>
            <w:tblPr>
              <w:tblStyle w:val="36"/>
              <w:tblW w:w="4988" w:type="pct"/>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2872"/>
              <w:gridCol w:w="2562"/>
              <w:gridCol w:w="2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3279" w:type="pct"/>
                  <w:gridSpan w:val="2"/>
                  <w:tcBorders>
                    <w:left w:val="single" w:color="000000" w:sz="4" w:space="0"/>
                    <w:bottom w:val="single" w:color="000000" w:sz="4" w:space="0"/>
                  </w:tcBorders>
                  <w:vAlign w:val="center"/>
                </w:tcPr>
                <w:p>
                  <w:pPr>
                    <w:pStyle w:val="50"/>
                    <w:rPr>
                      <w:rFonts w:hint="default" w:eastAsia="宋体"/>
                      <w:color w:val="auto"/>
                      <w:lang w:val="en-US" w:eastAsia="zh-CN"/>
                    </w:rPr>
                  </w:pPr>
                  <w:r>
                    <w:rPr>
                      <w:rFonts w:hint="eastAsia"/>
                      <w:color w:val="auto"/>
                      <w:lang w:val="en-US" w:eastAsia="zh-CN"/>
                    </w:rPr>
                    <w:t>2#排气筒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1720"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olor w:val="auto"/>
                      <w:lang w:val="en-US" w:eastAsia="zh-CN"/>
                    </w:rPr>
                    <w:t>TVOC</w:t>
                  </w:r>
                  <w:r>
                    <w:rPr>
                      <w:color w:val="auto"/>
                    </w:rPr>
                    <w:t>浓度（</w:t>
                  </w:r>
                  <w:r>
                    <w:rPr>
                      <w:rFonts w:hint="eastAsia"/>
                      <w:color w:val="auto"/>
                    </w:rPr>
                    <w:t>ug</w:t>
                  </w:r>
                  <w:r>
                    <w:rPr>
                      <w:color w:val="auto"/>
                    </w:rPr>
                    <w:t>/m</w:t>
                  </w:r>
                  <w:r>
                    <w:rPr>
                      <w:rFonts w:hint="eastAsia"/>
                      <w:color w:val="auto"/>
                      <w:vertAlign w:val="superscript"/>
                    </w:rPr>
                    <w:t>3</w:t>
                  </w:r>
                  <w:r>
                    <w:rPr>
                      <w:color w:val="auto"/>
                    </w:rPr>
                    <w:t>）</w:t>
                  </w:r>
                </w:p>
              </w:tc>
              <w:tc>
                <w:tcPr>
                  <w:tcW w:w="3231" w:type="dxa"/>
                  <w:tcBorders>
                    <w:top w:val="single" w:color="000000" w:sz="4" w:space="0"/>
                    <w:left w:val="single" w:color="000000" w:sz="4" w:space="0"/>
                    <w:bottom w:val="single" w:color="000000" w:sz="4" w:space="0"/>
                  </w:tcBorders>
                  <w:vAlign w:val="center"/>
                </w:tcPr>
                <w:p>
                  <w:pPr>
                    <w:pStyle w:val="50"/>
                    <w:rPr>
                      <w:color w:val="auto"/>
                    </w:rPr>
                  </w:pPr>
                  <w:r>
                    <w:rPr>
                      <w:rFonts w:hint="eastAsia"/>
                      <w:color w:val="auto"/>
                      <w:lang w:val="en-US" w:eastAsia="zh-CN"/>
                    </w:rPr>
                    <w:t>TVOC</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2.0755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0.1730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1.5016</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0.1251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2.4308</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0.2026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1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300.0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2.3514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0.1959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2.0099</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0.1675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1.6922</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0.1410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1.4355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0.1196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700.0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1.2328</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0.1027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1.0719</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0.0893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900.0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0.9427</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0.0786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0.8375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0.0698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0.6778</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0.0565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0.5634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0.0470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0.4784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0.4130</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0.3615</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0.0301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color w:val="auto"/>
                    </w:rPr>
                  </w:pPr>
                  <w:r>
                    <w:rPr>
                      <w:color w:val="auto"/>
                    </w:rPr>
                    <w:t>0.2714</w:t>
                  </w:r>
                </w:p>
              </w:tc>
              <w:tc>
                <w:tcPr>
                  <w:tcW w:w="2914" w:type="dxa"/>
                  <w:tcBorders>
                    <w:top w:val="single" w:color="000000" w:sz="4" w:space="0"/>
                    <w:left w:val="single" w:color="000000" w:sz="4" w:space="0"/>
                    <w:bottom w:val="single" w:color="000000" w:sz="4" w:space="0"/>
                  </w:tcBorders>
                  <w:vAlign w:val="center"/>
                </w:tcPr>
                <w:p>
                  <w:pPr>
                    <w:pStyle w:val="50"/>
                    <w:bidi w:val="0"/>
                    <w:rPr>
                      <w:color w:val="auto"/>
                    </w:rPr>
                  </w:pPr>
                  <w:r>
                    <w:rPr>
                      <w:color w:val="auto"/>
                    </w:rPr>
                    <w:t>0.0226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tcBorders>
                    <w:top w:val="single" w:color="000000" w:sz="4" w:space="0"/>
                    <w:bottom w:val="single" w:color="000000" w:sz="4" w:space="0"/>
                    <w:right w:val="single" w:color="000000" w:sz="4" w:space="0"/>
                  </w:tcBorders>
                  <w:vAlign w:val="center"/>
                </w:tcPr>
                <w:p>
                  <w:pPr>
                    <w:pStyle w:val="50"/>
                    <w:rPr>
                      <w:b/>
                      <w:bCs/>
                      <w:color w:val="auto"/>
                    </w:rPr>
                  </w:pPr>
                  <w:r>
                    <w:rPr>
                      <w:b/>
                      <w:bCs/>
                      <w:color w:val="auto"/>
                    </w:rPr>
                    <w:t>下风向</w:t>
                  </w:r>
                  <w:r>
                    <w:rPr>
                      <w:rFonts w:hint="eastAsia"/>
                      <w:b/>
                      <w:bCs/>
                      <w:color w:val="auto"/>
                    </w:rPr>
                    <w:t>最大浓度(距离</w:t>
                  </w:r>
                  <w:r>
                    <w:rPr>
                      <w:rFonts w:hint="eastAsia"/>
                      <w:b/>
                      <w:bCs/>
                      <w:color w:val="auto"/>
                      <w:lang w:val="en-US" w:eastAsia="zh-CN"/>
                    </w:rPr>
                    <w:t>25</w:t>
                  </w:r>
                  <w:r>
                    <w:rPr>
                      <w:rFonts w:hint="eastAsia"/>
                      <w:b/>
                      <w:bCs/>
                      <w:color w:val="auto"/>
                    </w:rPr>
                    <w:t>m)</w:t>
                  </w:r>
                </w:p>
              </w:tc>
              <w:tc>
                <w:tcPr>
                  <w:tcW w:w="2743"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b/>
                      <w:bCs/>
                      <w:color w:val="auto"/>
                    </w:rPr>
                  </w:pPr>
                  <w:r>
                    <w:rPr>
                      <w:b/>
                      <w:bCs/>
                      <w:color w:val="auto"/>
                    </w:rPr>
                    <w:t>2.7505</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0.2292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97" w:hRule="atLeast"/>
              </w:trPr>
              <w:tc>
                <w:tcPr>
                  <w:tcW w:w="1720" w:type="pct"/>
                  <w:tcBorders>
                    <w:top w:val="single" w:color="000000" w:sz="4" w:space="0"/>
                    <w:right w:val="single" w:color="000000" w:sz="4" w:space="0"/>
                  </w:tcBorders>
                  <w:vAlign w:val="center"/>
                </w:tcPr>
                <w:p>
                  <w:pPr>
                    <w:pStyle w:val="50"/>
                    <w:rPr>
                      <w:color w:val="auto"/>
                    </w:rPr>
                  </w:pPr>
                  <w:r>
                    <w:rPr>
                      <w:color w:val="auto"/>
                    </w:rPr>
                    <w:t>D10%最远距离</w:t>
                  </w:r>
                </w:p>
              </w:tc>
              <w:tc>
                <w:tcPr>
                  <w:tcW w:w="1534" w:type="pct"/>
                  <w:tcBorders>
                    <w:top w:val="single" w:color="000000" w:sz="4" w:space="0"/>
                    <w:left w:val="single" w:color="000000" w:sz="4" w:space="0"/>
                    <w:right w:val="single" w:color="000000" w:sz="4" w:space="0"/>
                  </w:tcBorders>
                  <w:vAlign w:val="center"/>
                </w:tcPr>
                <w:p>
                  <w:pPr>
                    <w:pStyle w:val="50"/>
                    <w:rPr>
                      <w:color w:val="auto"/>
                    </w:rPr>
                  </w:pPr>
                  <w:r>
                    <w:rPr>
                      <w:rFonts w:hint="eastAsia"/>
                      <w:color w:val="auto"/>
                    </w:rPr>
                    <w:t>/</w:t>
                  </w:r>
                </w:p>
              </w:tc>
              <w:tc>
                <w:tcPr>
                  <w:tcW w:w="1745" w:type="pct"/>
                  <w:tcBorders>
                    <w:top w:val="single" w:color="000000" w:sz="4" w:space="0"/>
                    <w:left w:val="single" w:color="000000" w:sz="4" w:space="0"/>
                  </w:tcBorders>
                  <w:vAlign w:val="center"/>
                </w:tcPr>
                <w:p>
                  <w:pPr>
                    <w:pStyle w:val="50"/>
                    <w:rPr>
                      <w:color w:val="auto"/>
                    </w:rPr>
                  </w:pPr>
                  <w:r>
                    <w:rPr>
                      <w:rFonts w:hint="eastAsia"/>
                      <w:color w:val="auto"/>
                    </w:rPr>
                    <w:t>/</w:t>
                  </w:r>
                </w:p>
              </w:tc>
            </w:tr>
          </w:tbl>
          <w:p>
            <w:pPr>
              <w:ind w:firstLine="480"/>
              <w:rPr>
                <w:color w:val="auto"/>
              </w:rPr>
            </w:pPr>
            <w:r>
              <w:rPr>
                <w:rFonts w:hint="eastAsia"/>
                <w:color w:val="auto"/>
              </w:rPr>
              <w:t>根据预测结果，1#排气筒</w:t>
            </w:r>
            <w:r>
              <w:rPr>
                <w:rFonts w:hint="eastAsia"/>
                <w:color w:val="auto"/>
                <w:lang w:val="en-US" w:eastAsia="zh-CN"/>
              </w:rPr>
              <w:t>PM</w:t>
            </w:r>
            <w:r>
              <w:rPr>
                <w:rFonts w:hint="eastAsia"/>
                <w:color w:val="auto"/>
                <w:vertAlign w:val="subscript"/>
                <w:lang w:val="en-US" w:eastAsia="zh-CN"/>
              </w:rPr>
              <w:t>10</w:t>
            </w:r>
            <w:r>
              <w:rPr>
                <w:rFonts w:hint="eastAsia"/>
                <w:color w:val="auto"/>
              </w:rPr>
              <w:t>的最大占标率为0.9208%，落地最大质量浓度出现在</w:t>
            </w:r>
            <w:r>
              <w:rPr>
                <w:rFonts w:hint="eastAsia"/>
                <w:color w:val="auto"/>
                <w:lang w:val="en-US" w:eastAsia="zh-CN"/>
              </w:rPr>
              <w:t>58</w:t>
            </w:r>
            <w:r>
              <w:rPr>
                <w:rFonts w:hint="eastAsia"/>
                <w:color w:val="auto"/>
              </w:rPr>
              <w:t>m处，最大质量浓度为4.1434ug/m</w:t>
            </w:r>
            <w:r>
              <w:rPr>
                <w:rFonts w:hint="eastAsia"/>
                <w:color w:val="auto"/>
                <w:vertAlign w:val="superscript"/>
              </w:rPr>
              <w:t>3</w:t>
            </w:r>
            <w:r>
              <w:rPr>
                <w:rFonts w:hint="eastAsia"/>
                <w:color w:val="auto"/>
              </w:rPr>
              <w:t>，能够满足《环</w:t>
            </w:r>
            <w:r>
              <w:rPr>
                <w:rFonts w:hint="eastAsia"/>
                <w:color w:val="auto"/>
                <w:szCs w:val="22"/>
              </w:rPr>
              <w:t>境空气质量标准》（GB3095-2012）二级标准</w:t>
            </w:r>
            <w:r>
              <w:rPr>
                <w:rFonts w:hint="eastAsia"/>
                <w:color w:val="auto"/>
                <w:szCs w:val="24"/>
              </w:rPr>
              <w:t>。</w:t>
            </w:r>
            <w:r>
              <w:rPr>
                <w:rFonts w:hint="eastAsia"/>
                <w:color w:val="auto"/>
                <w:lang w:val="en-US" w:eastAsia="zh-CN"/>
              </w:rPr>
              <w:t>2</w:t>
            </w:r>
            <w:r>
              <w:rPr>
                <w:rFonts w:hint="eastAsia"/>
                <w:color w:val="auto"/>
              </w:rPr>
              <w:t>#排气筒TSP的最大占标率为0.0502%，落地最大质量浓度出现在</w:t>
            </w:r>
            <w:r>
              <w:rPr>
                <w:rFonts w:hint="eastAsia"/>
                <w:color w:val="auto"/>
                <w:lang w:val="en-US" w:eastAsia="zh-CN"/>
              </w:rPr>
              <w:t>428</w:t>
            </w:r>
            <w:r>
              <w:rPr>
                <w:rFonts w:hint="eastAsia"/>
                <w:color w:val="auto"/>
              </w:rPr>
              <w:t>.0m处，TSP的最大质量浓度为4.1434ug</w:t>
            </w:r>
            <w:r>
              <w:rPr>
                <w:color w:val="auto"/>
              </w:rPr>
              <w:t>/m</w:t>
            </w:r>
            <w:r>
              <w:rPr>
                <w:color w:val="auto"/>
                <w:vertAlign w:val="superscript"/>
              </w:rPr>
              <w:t>3</w:t>
            </w:r>
            <w:r>
              <w:rPr>
                <w:rFonts w:hint="eastAsia"/>
                <w:color w:val="auto"/>
              </w:rPr>
              <w:t>，SO</w:t>
            </w:r>
            <w:r>
              <w:rPr>
                <w:rFonts w:hint="eastAsia"/>
                <w:color w:val="auto"/>
                <w:vertAlign w:val="subscript"/>
              </w:rPr>
              <w:t>2</w:t>
            </w:r>
            <w:r>
              <w:rPr>
                <w:rFonts w:hint="eastAsia"/>
                <w:color w:val="auto"/>
              </w:rPr>
              <w:t>的最大占标率为0.0126%，落地最大质量浓度出现在</w:t>
            </w:r>
            <w:r>
              <w:rPr>
                <w:rFonts w:hint="eastAsia"/>
                <w:color w:val="auto"/>
                <w:lang w:val="en-US" w:eastAsia="zh-CN"/>
              </w:rPr>
              <w:t>25</w:t>
            </w:r>
            <w:r>
              <w:rPr>
                <w:rFonts w:hint="eastAsia"/>
                <w:color w:val="auto"/>
              </w:rPr>
              <w:t>m处，SO</w:t>
            </w:r>
            <w:r>
              <w:rPr>
                <w:rFonts w:hint="eastAsia"/>
                <w:color w:val="auto"/>
                <w:vertAlign w:val="subscript"/>
              </w:rPr>
              <w:t>2</w:t>
            </w:r>
            <w:r>
              <w:rPr>
                <w:rFonts w:hint="eastAsia"/>
                <w:color w:val="auto"/>
              </w:rPr>
              <w:t>的最大质量浓度为0.0629ug</w:t>
            </w:r>
            <w:r>
              <w:rPr>
                <w:color w:val="auto"/>
              </w:rPr>
              <w:t>/m</w:t>
            </w:r>
            <w:r>
              <w:rPr>
                <w:color w:val="auto"/>
                <w:vertAlign w:val="superscript"/>
              </w:rPr>
              <w:t>3</w:t>
            </w:r>
            <w:r>
              <w:rPr>
                <w:rFonts w:hint="eastAsia"/>
                <w:color w:val="auto"/>
              </w:rPr>
              <w:t>，氮氧化物的最大占标率为1.1788%，落地最大质量浓度出现在</w:t>
            </w:r>
            <w:r>
              <w:rPr>
                <w:rFonts w:hint="eastAsia"/>
                <w:color w:val="auto"/>
                <w:lang w:val="en-US" w:eastAsia="zh-CN"/>
              </w:rPr>
              <w:t>25</w:t>
            </w:r>
            <w:r>
              <w:rPr>
                <w:rFonts w:hint="eastAsia"/>
                <w:color w:val="auto"/>
              </w:rPr>
              <w:t>m处，氮氧化物的最大质量浓度为2.9470ug</w:t>
            </w:r>
            <w:r>
              <w:rPr>
                <w:color w:val="auto"/>
              </w:rPr>
              <w:t>/m</w:t>
            </w:r>
            <w:r>
              <w:rPr>
                <w:color w:val="auto"/>
                <w:vertAlign w:val="superscript"/>
              </w:rPr>
              <w:t>3</w:t>
            </w:r>
            <w:r>
              <w:rPr>
                <w:rFonts w:hint="eastAsia"/>
                <w:color w:val="auto"/>
              </w:rPr>
              <w:t>，能满足</w:t>
            </w:r>
            <w:r>
              <w:rPr>
                <w:rFonts w:hint="eastAsia"/>
                <w:color w:val="auto"/>
                <w:szCs w:val="22"/>
              </w:rPr>
              <w:t>《环境空气质量标准》（GB3095-2012）二级标准。</w:t>
            </w:r>
            <w:r>
              <w:rPr>
                <w:rFonts w:hint="eastAsia"/>
                <w:color w:val="auto"/>
                <w:lang w:val="en-US" w:eastAsia="zh-CN"/>
              </w:rPr>
              <w:t>TVOC</w:t>
            </w:r>
            <w:r>
              <w:rPr>
                <w:rFonts w:hint="eastAsia"/>
                <w:color w:val="auto"/>
              </w:rPr>
              <w:t>的最大占标率为0.2292%，落地最大质量浓度出现在</w:t>
            </w:r>
            <w:r>
              <w:rPr>
                <w:rFonts w:hint="eastAsia"/>
                <w:color w:val="auto"/>
                <w:lang w:val="en-US" w:eastAsia="zh-CN"/>
              </w:rPr>
              <w:t>25</w:t>
            </w:r>
            <w:r>
              <w:rPr>
                <w:rFonts w:hint="eastAsia"/>
                <w:color w:val="auto"/>
              </w:rPr>
              <w:t>m处，</w:t>
            </w:r>
            <w:r>
              <w:rPr>
                <w:rFonts w:hint="eastAsia"/>
                <w:color w:val="auto"/>
                <w:lang w:val="en-US" w:eastAsia="zh-CN"/>
              </w:rPr>
              <w:t>TVOC</w:t>
            </w:r>
            <w:r>
              <w:rPr>
                <w:rFonts w:hint="eastAsia"/>
                <w:color w:val="auto"/>
              </w:rPr>
              <w:t>的最大质量浓度为2.7505ug</w:t>
            </w:r>
            <w:r>
              <w:rPr>
                <w:color w:val="auto"/>
              </w:rPr>
              <w:t>/m</w:t>
            </w:r>
            <w:r>
              <w:rPr>
                <w:color w:val="auto"/>
                <w:vertAlign w:val="superscript"/>
              </w:rPr>
              <w:t>3</w:t>
            </w:r>
            <w:r>
              <w:rPr>
                <w:rFonts w:hint="eastAsia"/>
                <w:color w:val="auto"/>
              </w:rPr>
              <w:t>，</w:t>
            </w:r>
            <w:r>
              <w:rPr>
                <w:rFonts w:hint="eastAsia"/>
                <w:color w:val="auto"/>
                <w:szCs w:val="22"/>
              </w:rPr>
              <w:t>能满足</w:t>
            </w:r>
            <w:r>
              <w:rPr>
                <w:rFonts w:hint="default" w:ascii="Times New Roman" w:hAnsi="Times New Roman" w:cs="Times New Roman"/>
                <w:color w:val="auto"/>
                <w:lang w:val="en-US" w:eastAsia="zh-CN"/>
              </w:rPr>
              <w:t>《环境影响评价技术导则大气环境HJ2.2-2018》附录D</w:t>
            </w:r>
            <w:r>
              <w:rPr>
                <w:rFonts w:hint="eastAsia"/>
                <w:color w:val="auto"/>
                <w:szCs w:val="22"/>
              </w:rPr>
              <w:t>限值要求。</w:t>
            </w:r>
            <w:r>
              <w:rPr>
                <w:rFonts w:hint="eastAsia"/>
                <w:color w:val="auto"/>
              </w:rPr>
              <w:t>因此项目正常情况下有组织排放的废气对周边环境影响较小</w:t>
            </w:r>
            <w:r>
              <w:rPr>
                <w:color w:val="auto"/>
              </w:rPr>
              <w:t>。</w:t>
            </w:r>
          </w:p>
          <w:p>
            <w:pPr>
              <w:pStyle w:val="48"/>
              <w:ind w:firstLine="0" w:firstLineChars="0"/>
              <w:rPr>
                <w:color w:val="auto"/>
              </w:rPr>
            </w:pPr>
            <w:r>
              <w:rPr>
                <w:color w:val="auto"/>
              </w:rPr>
              <w:t>表7-</w:t>
            </w:r>
            <w:r>
              <w:rPr>
                <w:rFonts w:hint="eastAsia"/>
                <w:color w:val="auto"/>
              </w:rPr>
              <w:t>12</w:t>
            </w:r>
            <w:r>
              <w:rPr>
                <w:color w:val="auto"/>
              </w:rPr>
              <w:t xml:space="preserve"> 无组织排放估算预测结果(矩形面源)</w:t>
            </w:r>
          </w:p>
          <w:tbl>
            <w:tblPr>
              <w:tblStyle w:val="36"/>
              <w:tblW w:w="4996" w:type="pct"/>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2876"/>
              <w:gridCol w:w="2565"/>
              <w:gridCol w:w="29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1717"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3274" w:type="pct"/>
                  <w:gridSpan w:val="2"/>
                  <w:tcBorders>
                    <w:left w:val="single" w:color="000000" w:sz="4" w:space="0"/>
                    <w:bottom w:val="single" w:color="000000" w:sz="4" w:space="0"/>
                  </w:tcBorders>
                  <w:vAlign w:val="center"/>
                </w:tcPr>
                <w:p>
                  <w:pPr>
                    <w:pStyle w:val="50"/>
                    <w:rPr>
                      <w:color w:val="auto"/>
                    </w:rPr>
                  </w:pPr>
                  <w:r>
                    <w:rPr>
                      <w:rFonts w:hint="eastAsia"/>
                      <w:color w:val="auto"/>
                    </w:rPr>
                    <w:t>面源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1717"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1531" w:type="pct"/>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olor w:val="auto"/>
                    </w:rPr>
                    <w:t>TSP</w:t>
                  </w:r>
                  <w:r>
                    <w:rPr>
                      <w:color w:val="auto"/>
                    </w:rPr>
                    <w:t>浓度（</w:t>
                  </w:r>
                  <w:r>
                    <w:rPr>
                      <w:rFonts w:hint="eastAsia"/>
                      <w:color w:val="auto"/>
                    </w:rPr>
                    <w:t>ug/m</w:t>
                  </w:r>
                  <w:r>
                    <w:rPr>
                      <w:rFonts w:hint="eastAsia"/>
                      <w:color w:val="auto"/>
                      <w:vertAlign w:val="superscript"/>
                    </w:rPr>
                    <w:t>3</w:t>
                  </w:r>
                  <w:r>
                    <w:rPr>
                      <w:color w:val="auto"/>
                    </w:rPr>
                    <w:t>）</w:t>
                  </w:r>
                </w:p>
              </w:tc>
              <w:tc>
                <w:tcPr>
                  <w:tcW w:w="1742" w:type="pct"/>
                  <w:tcBorders>
                    <w:top w:val="single" w:color="000000" w:sz="4" w:space="0"/>
                    <w:left w:val="single" w:color="000000" w:sz="4" w:space="0"/>
                    <w:bottom w:val="single" w:color="000000" w:sz="4" w:space="0"/>
                  </w:tcBorders>
                  <w:vAlign w:val="center"/>
                </w:tcPr>
                <w:p>
                  <w:pPr>
                    <w:pStyle w:val="50"/>
                    <w:rPr>
                      <w:color w:val="auto"/>
                    </w:rPr>
                  </w:pPr>
                  <w:r>
                    <w:rPr>
                      <w:rFonts w:hint="eastAsia"/>
                      <w:color w:val="auto"/>
                    </w:rPr>
                    <w:t>TSP</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38.4320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4.2702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44.7770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4.9752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32.4320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3.6036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1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300.0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23.4090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2.6010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400.0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18.5070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2.0563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15.0570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1.6730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600.0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12.5120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1.3902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700.0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10.5900</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1.1767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800.0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9.1073</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1.0119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900.0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7.9442</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0.8827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7.0086</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0.7787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1200.0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5.6149</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0.6239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1400.0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4.6354</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0.5150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1600.0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3.9155</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0.4351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1800.0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3.4985</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0.3887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3.0386</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0.3376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17"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2500.0</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ascii="Times New Roman" w:hAnsi="Times New Roman" w:eastAsia="宋体"/>
                      <w:b w:val="0"/>
                      <w:color w:val="auto"/>
                      <w:sz w:val="21"/>
                      <w:szCs w:val="21"/>
                    </w:rPr>
                    <w:t>2.2527</w:t>
                  </w:r>
                </w:p>
              </w:tc>
              <w:tc>
                <w:tcPr>
                  <w:tcW w:w="2920" w:type="dxa"/>
                  <w:tcBorders>
                    <w:top w:val="single" w:color="000000" w:sz="4" w:space="0"/>
                    <w:left w:val="single" w:color="000000" w:sz="4" w:space="0"/>
                    <w:bottom w:val="single" w:color="000000" w:sz="4" w:space="0"/>
                  </w:tcBorders>
                  <w:vAlign w:val="center"/>
                </w:tcPr>
                <w:p>
                  <w:pPr>
                    <w:pStyle w:val="50"/>
                    <w:rPr>
                      <w:color w:val="auto"/>
                    </w:rPr>
                  </w:pPr>
                  <w:r>
                    <w:rPr>
                      <w:rFonts w:hint="eastAsia" w:ascii="Times New Roman" w:hAnsi="Times New Roman" w:eastAsia="宋体"/>
                      <w:b w:val="0"/>
                      <w:color w:val="auto"/>
                      <w:sz w:val="21"/>
                      <w:szCs w:val="21"/>
                    </w:rPr>
                    <w:t>0.2503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17" w:type="pct"/>
                  <w:tcBorders>
                    <w:top w:val="single" w:color="000000" w:sz="4" w:space="0"/>
                    <w:bottom w:val="single" w:color="000000" w:sz="4" w:space="0"/>
                    <w:right w:val="single" w:color="000000" w:sz="4" w:space="0"/>
                  </w:tcBorders>
                  <w:vAlign w:val="center"/>
                </w:tcPr>
                <w:p>
                  <w:pPr>
                    <w:pStyle w:val="50"/>
                    <w:rPr>
                      <w:b/>
                      <w:bCs/>
                      <w:color w:val="auto"/>
                    </w:rPr>
                  </w:pPr>
                  <w:r>
                    <w:rPr>
                      <w:b/>
                      <w:bCs/>
                      <w:color w:val="auto"/>
                    </w:rPr>
                    <w:t>下风向</w:t>
                  </w:r>
                  <w:r>
                    <w:rPr>
                      <w:rFonts w:hint="eastAsia"/>
                      <w:b/>
                      <w:bCs/>
                      <w:color w:val="auto"/>
                    </w:rPr>
                    <w:t>最大浓度(距离</w:t>
                  </w:r>
                  <w:r>
                    <w:rPr>
                      <w:rFonts w:hint="eastAsia"/>
                      <w:b/>
                      <w:bCs/>
                      <w:color w:val="auto"/>
                      <w:lang w:val="en-US" w:eastAsia="zh-CN"/>
                    </w:rPr>
                    <w:t>88</w:t>
                  </w:r>
                  <w:r>
                    <w:rPr>
                      <w:rFonts w:hint="eastAsia"/>
                      <w:b/>
                      <w:bCs/>
                      <w:color w:val="auto"/>
                    </w:rPr>
                    <w:t>m)</w:t>
                  </w:r>
                </w:p>
              </w:tc>
              <w:tc>
                <w:tcPr>
                  <w:tcW w:w="2565" w:type="dxa"/>
                  <w:tcBorders>
                    <w:top w:val="single" w:color="000000" w:sz="4" w:space="0"/>
                    <w:left w:val="single" w:color="000000" w:sz="4" w:space="0"/>
                    <w:bottom w:val="single" w:color="000000" w:sz="4" w:space="0"/>
                    <w:right w:val="single" w:color="000000" w:sz="4" w:space="0"/>
                  </w:tcBorders>
                  <w:vAlign w:val="center"/>
                </w:tcPr>
                <w:p>
                  <w:pPr>
                    <w:pStyle w:val="50"/>
                    <w:rPr>
                      <w:rFonts w:hint="eastAsia"/>
                      <w:b/>
                      <w:bCs/>
                      <w:color w:val="auto"/>
                    </w:rPr>
                  </w:pPr>
                  <w:r>
                    <w:rPr>
                      <w:rFonts w:hint="eastAsia" w:ascii="Times New Roman" w:hAnsi="Times New Roman" w:eastAsia="宋体"/>
                      <w:b/>
                      <w:bCs/>
                      <w:color w:val="auto"/>
                      <w:sz w:val="21"/>
                      <w:szCs w:val="21"/>
                    </w:rPr>
                    <w:t>46.1410</w:t>
                  </w:r>
                </w:p>
              </w:tc>
              <w:tc>
                <w:tcPr>
                  <w:tcW w:w="2920" w:type="dxa"/>
                  <w:tcBorders>
                    <w:top w:val="single" w:color="000000" w:sz="4" w:space="0"/>
                    <w:left w:val="single" w:color="000000" w:sz="4" w:space="0"/>
                    <w:bottom w:val="single" w:color="000000" w:sz="4" w:space="0"/>
                  </w:tcBorders>
                  <w:vAlign w:val="center"/>
                </w:tcPr>
                <w:p>
                  <w:pPr>
                    <w:pStyle w:val="50"/>
                    <w:rPr>
                      <w:rFonts w:hint="eastAsia"/>
                      <w:b/>
                      <w:bCs/>
                      <w:color w:val="auto"/>
                    </w:rPr>
                  </w:pPr>
                  <w:r>
                    <w:rPr>
                      <w:rFonts w:hint="eastAsia" w:ascii="Times New Roman" w:hAnsi="Times New Roman" w:eastAsia="宋体"/>
                      <w:b/>
                      <w:bCs/>
                      <w:color w:val="auto"/>
                      <w:sz w:val="21"/>
                      <w:szCs w:val="21"/>
                    </w:rPr>
                    <w:t>5.1268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97" w:hRule="atLeast"/>
              </w:trPr>
              <w:tc>
                <w:tcPr>
                  <w:tcW w:w="1717" w:type="pct"/>
                  <w:tcBorders>
                    <w:top w:val="single" w:color="000000" w:sz="4" w:space="0"/>
                    <w:right w:val="single" w:color="000000" w:sz="4" w:space="0"/>
                  </w:tcBorders>
                  <w:vAlign w:val="center"/>
                </w:tcPr>
                <w:p>
                  <w:pPr>
                    <w:pStyle w:val="50"/>
                    <w:rPr>
                      <w:color w:val="auto"/>
                    </w:rPr>
                  </w:pPr>
                  <w:r>
                    <w:rPr>
                      <w:color w:val="auto"/>
                    </w:rPr>
                    <w:t>D10%最远距离</w:t>
                  </w:r>
                </w:p>
              </w:tc>
              <w:tc>
                <w:tcPr>
                  <w:tcW w:w="1531" w:type="pct"/>
                  <w:tcBorders>
                    <w:top w:val="single" w:color="000000" w:sz="4" w:space="0"/>
                    <w:left w:val="single" w:color="000000" w:sz="4" w:space="0"/>
                    <w:right w:val="single" w:color="000000" w:sz="4" w:space="0"/>
                  </w:tcBorders>
                  <w:vAlign w:val="center"/>
                </w:tcPr>
                <w:p>
                  <w:pPr>
                    <w:pStyle w:val="50"/>
                    <w:rPr>
                      <w:color w:val="auto"/>
                    </w:rPr>
                  </w:pPr>
                  <w:r>
                    <w:rPr>
                      <w:rFonts w:hint="eastAsia"/>
                      <w:color w:val="auto"/>
                    </w:rPr>
                    <w:t>/</w:t>
                  </w:r>
                </w:p>
              </w:tc>
              <w:tc>
                <w:tcPr>
                  <w:tcW w:w="1742" w:type="pct"/>
                  <w:tcBorders>
                    <w:top w:val="single" w:color="000000" w:sz="4" w:space="0"/>
                    <w:left w:val="single" w:color="000000" w:sz="4" w:space="0"/>
                  </w:tcBorders>
                  <w:vAlign w:val="center"/>
                </w:tcPr>
                <w:p>
                  <w:pPr>
                    <w:pStyle w:val="50"/>
                    <w:rPr>
                      <w:color w:val="auto"/>
                    </w:rPr>
                  </w:pPr>
                  <w:r>
                    <w:rPr>
                      <w:rFonts w:hint="eastAsia"/>
                      <w:color w:val="auto"/>
                    </w:rPr>
                    <w:t>/</w:t>
                  </w:r>
                </w:p>
              </w:tc>
            </w:tr>
          </w:tbl>
          <w:p>
            <w:pPr>
              <w:ind w:firstLine="480"/>
              <w:rPr>
                <w:color w:val="auto"/>
              </w:rPr>
            </w:pPr>
            <w:r>
              <w:rPr>
                <w:rFonts w:hint="eastAsia"/>
                <w:color w:val="auto"/>
                <w:szCs w:val="22"/>
              </w:rPr>
              <w:t>根据预测结果，项目废气无组织排放TSP的占标率分别为</w:t>
            </w:r>
            <w:r>
              <w:rPr>
                <w:rFonts w:hint="eastAsia"/>
                <w:color w:val="auto"/>
                <w:szCs w:val="22"/>
                <w:lang w:val="en-US" w:eastAsia="zh-CN"/>
              </w:rPr>
              <w:t>5.1268</w:t>
            </w:r>
            <w:r>
              <w:rPr>
                <w:rFonts w:hint="eastAsia"/>
                <w:color w:val="auto"/>
                <w:szCs w:val="22"/>
              </w:rPr>
              <w:t>%，落地最大质量浓度出现在</w:t>
            </w:r>
            <w:r>
              <w:rPr>
                <w:rFonts w:hint="eastAsia"/>
                <w:color w:val="auto"/>
                <w:szCs w:val="22"/>
                <w:lang w:val="en-US" w:eastAsia="zh-CN"/>
              </w:rPr>
              <w:t>88</w:t>
            </w:r>
            <w:r>
              <w:rPr>
                <w:rFonts w:hint="eastAsia"/>
                <w:color w:val="auto"/>
                <w:szCs w:val="22"/>
              </w:rPr>
              <w:t>.0m处，TSP的最大质量浓度为</w:t>
            </w:r>
            <w:r>
              <w:rPr>
                <w:rFonts w:hint="eastAsia"/>
                <w:color w:val="auto"/>
                <w:szCs w:val="22"/>
                <w:lang w:val="en-US" w:eastAsia="zh-CN"/>
              </w:rPr>
              <w:t>46.1410</w:t>
            </w:r>
            <w:r>
              <w:rPr>
                <w:rFonts w:hint="eastAsia"/>
                <w:color w:val="auto"/>
              </w:rPr>
              <w:t>ug</w:t>
            </w:r>
            <w:r>
              <w:rPr>
                <w:color w:val="auto"/>
              </w:rPr>
              <w:t>/m</w:t>
            </w:r>
            <w:r>
              <w:rPr>
                <w:color w:val="auto"/>
                <w:vertAlign w:val="superscript"/>
              </w:rPr>
              <w:t>3</w:t>
            </w:r>
            <w:r>
              <w:rPr>
                <w:rFonts w:hint="eastAsia"/>
                <w:color w:val="auto"/>
                <w:szCs w:val="22"/>
              </w:rPr>
              <w:t>，能满足《环境空气质量标准》（GB3095-2012）二级标准中相关标准限值要求</w:t>
            </w:r>
            <w:r>
              <w:rPr>
                <w:color w:val="auto"/>
              </w:rPr>
              <w:t>；项目无组织排放的废气对周边环境影响较小。</w:t>
            </w:r>
          </w:p>
          <w:p>
            <w:pPr>
              <w:ind w:firstLine="482"/>
              <w:rPr>
                <w:b/>
                <w:bCs/>
                <w:color w:val="auto"/>
              </w:rPr>
            </w:pPr>
            <w:r>
              <w:rPr>
                <w:b/>
                <w:bCs/>
                <w:color w:val="auto"/>
              </w:rPr>
              <w:t>②非正常排放情况下预测结果及评价</w:t>
            </w:r>
          </w:p>
          <w:p>
            <w:pPr>
              <w:ind w:firstLine="480"/>
              <w:rPr>
                <w:color w:val="auto"/>
                <w:kern w:val="2"/>
              </w:rPr>
            </w:pPr>
            <w:r>
              <w:rPr>
                <w:color w:val="auto"/>
                <w:kern w:val="2"/>
              </w:rPr>
              <w:t>项目非正常排放情况主要是车间废气治理设施运行出现事故，达不到设计要求处理效率时的污染物排放。本评价对项目非正常排放情况下产生的最大影响进行分析，即废气处理设施全部失效，处理效率为0%。</w:t>
            </w:r>
          </w:p>
          <w:p>
            <w:pPr>
              <w:ind w:firstLine="480"/>
              <w:rPr>
                <w:color w:val="auto"/>
                <w:kern w:val="2"/>
              </w:rPr>
            </w:pPr>
            <w:r>
              <w:rPr>
                <w:rFonts w:hint="default" w:ascii="Times New Roman" w:hAnsi="Times New Roman" w:cs="Times New Roman"/>
                <w:color w:val="auto"/>
              </w:rPr>
              <w:t>根据工程分析，在非正常排放条件下，项目1#排气筒</w:t>
            </w:r>
            <w:r>
              <w:rPr>
                <w:rFonts w:hint="eastAsia" w:cs="Times New Roman"/>
                <w:color w:val="auto"/>
                <w:lang w:val="en-US" w:eastAsia="zh-CN"/>
              </w:rPr>
              <w:t>PM</w:t>
            </w:r>
            <w:r>
              <w:rPr>
                <w:rFonts w:hint="eastAsia" w:cs="Times New Roman"/>
                <w:color w:val="auto"/>
                <w:vertAlign w:val="subscript"/>
                <w:lang w:val="en-US" w:eastAsia="zh-CN"/>
              </w:rPr>
              <w:t>10</w:t>
            </w:r>
            <w:r>
              <w:rPr>
                <w:rFonts w:hint="default" w:ascii="Times New Roman" w:hAnsi="Times New Roman" w:cs="Times New Roman"/>
                <w:color w:val="auto"/>
              </w:rPr>
              <w:t>排放速率为</w:t>
            </w:r>
            <w:r>
              <w:rPr>
                <w:rFonts w:hint="eastAsia" w:cs="Times New Roman"/>
                <w:color w:val="auto"/>
                <w:lang w:val="en-US" w:eastAsia="zh-CN"/>
              </w:rPr>
              <w:t>1.05</w:t>
            </w:r>
            <w:r>
              <w:rPr>
                <w:rFonts w:hint="default" w:ascii="Times New Roman" w:hAnsi="Times New Roman" w:cs="Times New Roman"/>
                <w:color w:val="auto"/>
              </w:rPr>
              <w:t>kg/h，2#排气筒</w:t>
            </w:r>
            <w:r>
              <w:rPr>
                <w:rFonts w:hint="default"/>
                <w:color w:val="auto"/>
              </w:rPr>
              <w:t>TVOC</w:t>
            </w:r>
            <w:r>
              <w:rPr>
                <w:rFonts w:hint="default" w:ascii="Times New Roman" w:hAnsi="Times New Roman" w:cs="Times New Roman"/>
                <w:color w:val="auto"/>
              </w:rPr>
              <w:t>排放速率为</w:t>
            </w:r>
            <w:r>
              <w:rPr>
                <w:rFonts w:hint="eastAsia" w:cs="Times New Roman"/>
                <w:color w:val="auto"/>
                <w:lang w:val="en-US" w:eastAsia="zh-CN"/>
              </w:rPr>
              <w:t>0.035</w:t>
            </w:r>
            <w:r>
              <w:rPr>
                <w:rFonts w:hint="default" w:ascii="Times New Roman" w:hAnsi="Times New Roman" w:cs="Times New Roman"/>
                <w:color w:val="auto"/>
              </w:rPr>
              <w:t>kg/h</w:t>
            </w:r>
            <w:r>
              <w:rPr>
                <w:rFonts w:hint="eastAsia" w:cs="Times New Roman"/>
                <w:color w:val="auto"/>
                <w:lang w:eastAsia="zh-CN"/>
              </w:rPr>
              <w:t>（</w:t>
            </w:r>
            <w:r>
              <w:rPr>
                <w:rFonts w:hint="eastAsia" w:cs="Times New Roman"/>
                <w:color w:val="auto"/>
                <w:lang w:val="en-US" w:eastAsia="zh-CN"/>
              </w:rPr>
              <w:t>2#排气筒排放污染物中的</w:t>
            </w:r>
            <w:r>
              <w:rPr>
                <w:rFonts w:hint="eastAsia" w:cs="宋体"/>
                <w:snapToGrid/>
                <w:color w:val="auto"/>
                <w:spacing w:val="-11"/>
              </w:rPr>
              <w:t>SO</w:t>
            </w:r>
            <w:r>
              <w:rPr>
                <w:rFonts w:hint="eastAsia" w:cs="宋体"/>
                <w:snapToGrid/>
                <w:color w:val="auto"/>
                <w:spacing w:val="-11"/>
                <w:vertAlign w:val="subscript"/>
              </w:rPr>
              <w:t>2</w:t>
            </w:r>
            <w:r>
              <w:rPr>
                <w:rFonts w:hint="eastAsia" w:cs="宋体"/>
                <w:snapToGrid/>
                <w:color w:val="auto"/>
                <w:spacing w:val="-11"/>
                <w:vertAlign w:val="baseline"/>
                <w:lang w:eastAsia="zh-CN"/>
              </w:rPr>
              <w:t>、</w:t>
            </w:r>
            <w:r>
              <w:rPr>
                <w:rFonts w:hint="eastAsia" w:cs="宋体"/>
                <w:snapToGrid/>
                <w:color w:val="auto"/>
                <w:spacing w:val="-11"/>
              </w:rPr>
              <w:t>NO</w:t>
            </w:r>
            <w:r>
              <w:rPr>
                <w:rFonts w:hint="eastAsia" w:cs="宋体"/>
                <w:snapToGrid/>
                <w:color w:val="auto"/>
                <w:spacing w:val="-11"/>
                <w:vertAlign w:val="subscript"/>
              </w:rPr>
              <w:t>X</w:t>
            </w:r>
            <w:r>
              <w:rPr>
                <w:rFonts w:hint="eastAsia" w:cs="宋体"/>
                <w:snapToGrid/>
                <w:color w:val="auto"/>
                <w:spacing w:val="-11"/>
                <w:vertAlign w:val="baseline"/>
                <w:lang w:val="en-US" w:eastAsia="zh-CN"/>
              </w:rPr>
              <w:t>和颗粒物不受处理设施失效影响，因此不进行非正常预测</w:t>
            </w:r>
            <w:r>
              <w:rPr>
                <w:rFonts w:hint="eastAsia" w:cs="Times New Roman"/>
                <w:color w:val="auto"/>
                <w:lang w:eastAsia="zh-CN"/>
              </w:rPr>
              <w:t>）</w:t>
            </w:r>
            <w:r>
              <w:rPr>
                <w:rFonts w:hint="default" w:ascii="Times New Roman" w:hAnsi="Times New Roman" w:cs="Times New Roman"/>
                <w:color w:val="auto"/>
              </w:rPr>
              <w:t>。使用附录A推荐模型中的AERSCREEN模式进行预测</w:t>
            </w:r>
            <w:r>
              <w:rPr>
                <w:color w:val="auto"/>
                <w:kern w:val="2"/>
              </w:rPr>
              <w:t>，预测结果如下：</w:t>
            </w:r>
          </w:p>
          <w:p>
            <w:pPr>
              <w:pStyle w:val="48"/>
              <w:ind w:firstLine="0" w:firstLineChars="0"/>
              <w:rPr>
                <w:color w:val="auto"/>
              </w:rPr>
            </w:pPr>
            <w:r>
              <w:rPr>
                <w:color w:val="auto"/>
              </w:rPr>
              <w:t>表7-</w:t>
            </w:r>
            <w:r>
              <w:rPr>
                <w:rFonts w:hint="eastAsia"/>
                <w:color w:val="auto"/>
              </w:rPr>
              <w:t>13</w:t>
            </w:r>
            <w:r>
              <w:rPr>
                <w:color w:val="auto"/>
              </w:rPr>
              <w:t xml:space="preserve">  最大Pmax和D10%预测结果表</w:t>
            </w:r>
          </w:p>
          <w:tbl>
            <w:tblPr>
              <w:tblStyle w:val="36"/>
              <w:tblW w:w="4988" w:type="pct"/>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2872"/>
              <w:gridCol w:w="2562"/>
              <w:gridCol w:w="2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80" w:hRule="atLeast"/>
              </w:trPr>
              <w:tc>
                <w:tcPr>
                  <w:tcW w:w="1720"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3279" w:type="pct"/>
                  <w:gridSpan w:val="2"/>
                  <w:tcBorders>
                    <w:left w:val="single" w:color="000000" w:sz="4" w:space="0"/>
                    <w:bottom w:val="single" w:color="000000" w:sz="4" w:space="0"/>
                  </w:tcBorders>
                  <w:vAlign w:val="center"/>
                </w:tcPr>
                <w:p>
                  <w:pPr>
                    <w:pStyle w:val="50"/>
                    <w:rPr>
                      <w:rFonts w:hint="default" w:eastAsia="宋体"/>
                      <w:color w:val="auto"/>
                      <w:lang w:val="en-US" w:eastAsia="zh-CN"/>
                    </w:rPr>
                  </w:pPr>
                  <w:r>
                    <w:rPr>
                      <w:rFonts w:hint="eastAsia"/>
                      <w:color w:val="auto"/>
                      <w:lang w:val="en-US" w:eastAsia="zh-CN"/>
                    </w:rPr>
                    <w:t>1#排气筒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1720"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1534" w:type="pct"/>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s="Times New Roman"/>
                      <w:color w:val="auto"/>
                      <w:lang w:val="en-US" w:eastAsia="zh-CN"/>
                    </w:rPr>
                    <w:t>PM</w:t>
                  </w:r>
                  <w:r>
                    <w:rPr>
                      <w:rFonts w:hint="eastAsia" w:cs="Times New Roman"/>
                      <w:color w:val="auto"/>
                      <w:vertAlign w:val="subscript"/>
                      <w:lang w:val="en-US" w:eastAsia="zh-CN"/>
                    </w:rPr>
                    <w:t>10</w:t>
                  </w:r>
                  <w:r>
                    <w:rPr>
                      <w:color w:val="auto"/>
                    </w:rPr>
                    <w:t>浓度（</w:t>
                  </w:r>
                  <w:r>
                    <w:rPr>
                      <w:rFonts w:hint="eastAsia"/>
                      <w:color w:val="auto"/>
                    </w:rPr>
                    <w:t>ug/m</w:t>
                  </w:r>
                  <w:r>
                    <w:rPr>
                      <w:rFonts w:hint="eastAsia"/>
                      <w:color w:val="auto"/>
                      <w:vertAlign w:val="superscript"/>
                    </w:rPr>
                    <w:t>3</w:t>
                  </w:r>
                  <w:r>
                    <w:rPr>
                      <w:color w:val="auto"/>
                    </w:rPr>
                    <w:t>）</w:t>
                  </w:r>
                </w:p>
              </w:tc>
              <w:tc>
                <w:tcPr>
                  <w:tcW w:w="1745" w:type="pct"/>
                  <w:tcBorders>
                    <w:top w:val="single" w:color="000000" w:sz="4" w:space="0"/>
                    <w:left w:val="single" w:color="000000" w:sz="4" w:space="0"/>
                    <w:bottom w:val="single" w:color="000000" w:sz="4" w:space="0"/>
                  </w:tcBorders>
                  <w:vAlign w:val="center"/>
                </w:tcPr>
                <w:p>
                  <w:pPr>
                    <w:pStyle w:val="50"/>
                    <w:rPr>
                      <w:color w:val="auto"/>
                    </w:rPr>
                  </w:pPr>
                  <w:r>
                    <w:rPr>
                      <w:rFonts w:hint="eastAsia" w:cs="Times New Roman"/>
                      <w:color w:val="auto"/>
                      <w:lang w:val="en-US" w:eastAsia="zh-CN"/>
                    </w:rPr>
                    <w:t>PM</w:t>
                  </w:r>
                  <w:r>
                    <w:rPr>
                      <w:rFonts w:hint="eastAsia" w:cs="Times New Roman"/>
                      <w:color w:val="auto"/>
                      <w:vertAlign w:val="subscript"/>
                      <w:lang w:val="en-US" w:eastAsia="zh-CN"/>
                    </w:rPr>
                    <w:t>10</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187.0100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41.5578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154.7300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34.3844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74.5400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16.5644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1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300.0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46.8740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10.4164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400.0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33.5220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7.4493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25.4760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5.6613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600.0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20.5790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4.5731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700.0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17.5780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3.9062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800.0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15.2240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3.3831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900.0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13.3490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2.9664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11.8340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2.6298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1200.0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9.5419</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2.1204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1400.0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7.9122</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1.7583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1600.0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6.7050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1.4900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1800.0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5.7810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1.2847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5.0546</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1.1232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3075" w:type="dxa"/>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2500.0</w:t>
                  </w:r>
                </w:p>
              </w:tc>
              <w:tc>
                <w:tcPr>
                  <w:tcW w:w="274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3.7858</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0.8413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tcBorders>
                    <w:top w:val="single" w:color="000000" w:sz="4" w:space="0"/>
                    <w:bottom w:val="single" w:color="000000" w:sz="4" w:space="0"/>
                    <w:right w:val="single" w:color="000000" w:sz="4" w:space="0"/>
                  </w:tcBorders>
                  <w:vAlign w:val="center"/>
                </w:tcPr>
                <w:p>
                  <w:pPr>
                    <w:pStyle w:val="50"/>
                    <w:rPr>
                      <w:b/>
                      <w:bCs/>
                      <w:color w:val="auto"/>
                    </w:rPr>
                  </w:pPr>
                  <w:r>
                    <w:rPr>
                      <w:rFonts w:hint="eastAsia"/>
                      <w:b/>
                      <w:bCs/>
                      <w:color w:val="auto"/>
                    </w:rPr>
                    <w:t>下风向最大浓度(距离</w:t>
                  </w:r>
                  <w:r>
                    <w:rPr>
                      <w:rFonts w:hint="eastAsia"/>
                      <w:b/>
                      <w:bCs/>
                      <w:color w:val="auto"/>
                      <w:lang w:val="en-US" w:eastAsia="zh-CN"/>
                    </w:rPr>
                    <w:t>58</w:t>
                  </w:r>
                  <w:r>
                    <w:rPr>
                      <w:rFonts w:hint="eastAsia"/>
                      <w:b/>
                      <w:bCs/>
                      <w:color w:val="auto"/>
                    </w:rPr>
                    <w:t>m)</w:t>
                  </w:r>
                </w:p>
              </w:tc>
              <w:tc>
                <w:tcPr>
                  <w:tcW w:w="2743"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b/>
                      <w:bCs/>
                      <w:color w:val="auto"/>
                    </w:rPr>
                  </w:pPr>
                  <w:r>
                    <w:rPr>
                      <w:b/>
                      <w:bCs/>
                      <w:color w:val="auto"/>
                    </w:rPr>
                    <w:t>207.2100</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46.0467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97" w:hRule="atLeast"/>
              </w:trPr>
              <w:tc>
                <w:tcPr>
                  <w:tcW w:w="1720" w:type="pct"/>
                  <w:tcBorders>
                    <w:top w:val="single" w:color="000000" w:sz="4" w:space="0"/>
                    <w:right w:val="single" w:color="000000" w:sz="4" w:space="0"/>
                  </w:tcBorders>
                  <w:vAlign w:val="center"/>
                </w:tcPr>
                <w:p>
                  <w:pPr>
                    <w:pStyle w:val="50"/>
                    <w:rPr>
                      <w:color w:val="auto"/>
                    </w:rPr>
                  </w:pPr>
                  <w:r>
                    <w:rPr>
                      <w:rFonts w:hint="eastAsia"/>
                      <w:color w:val="auto"/>
                    </w:rPr>
                    <w:t>D10%最远距离</w:t>
                  </w:r>
                </w:p>
              </w:tc>
              <w:tc>
                <w:tcPr>
                  <w:tcW w:w="2562" w:type="dxa"/>
                  <w:tcBorders>
                    <w:top w:val="single" w:color="000000" w:sz="4" w:space="0"/>
                    <w:left w:val="single" w:color="000000" w:sz="4" w:space="0"/>
                    <w:right w:val="single" w:color="000000" w:sz="4" w:space="0"/>
                  </w:tcBorders>
                  <w:vAlign w:val="center"/>
                </w:tcPr>
                <w:p>
                  <w:pPr>
                    <w:pStyle w:val="50"/>
                    <w:ind w:firstLine="0" w:firstLineChars="0"/>
                    <w:rPr>
                      <w:rFonts w:hint="eastAsia"/>
                      <w:color w:val="auto"/>
                    </w:rPr>
                  </w:pPr>
                  <w:r>
                    <w:rPr>
                      <w:rFonts w:hint="eastAsia"/>
                      <w:color w:val="auto"/>
                    </w:rPr>
                    <w:t>325</w:t>
                  </w:r>
                </w:p>
              </w:tc>
              <w:tc>
                <w:tcPr>
                  <w:tcW w:w="2914" w:type="dxa"/>
                  <w:tcBorders>
                    <w:top w:val="single" w:color="000000" w:sz="4" w:space="0"/>
                    <w:left w:val="single" w:color="000000" w:sz="4" w:space="0"/>
                  </w:tcBorders>
                  <w:vAlign w:val="center"/>
                </w:tcPr>
                <w:p>
                  <w:pPr>
                    <w:pStyle w:val="50"/>
                    <w:ind w:firstLine="0" w:firstLineChars="0"/>
                    <w:rPr>
                      <w:rFonts w:hint="default" w:eastAsia="宋体"/>
                      <w:color w:val="auto"/>
                      <w:lang w:val="en-US" w:eastAsia="zh-CN"/>
                    </w:rPr>
                  </w:pPr>
                  <w:r>
                    <w:rPr>
                      <w:rFonts w:hint="eastAsia"/>
                      <w:b w:val="0"/>
                      <w:color w:val="auto"/>
                      <w:sz w:val="21"/>
                      <w:szCs w:val="21"/>
                      <w:lang w:val="en-US" w:eastAsia="zh-CN"/>
                    </w:rPr>
                    <w:t>325</w:t>
                  </w:r>
                </w:p>
              </w:tc>
            </w:tr>
          </w:tbl>
          <w:p>
            <w:pPr>
              <w:pStyle w:val="48"/>
              <w:ind w:firstLine="0" w:firstLineChars="0"/>
              <w:rPr>
                <w:color w:val="auto"/>
              </w:rPr>
            </w:pPr>
            <w:r>
              <w:rPr>
                <w:color w:val="auto"/>
              </w:rPr>
              <w:t>表7-</w:t>
            </w:r>
            <w:r>
              <w:rPr>
                <w:rFonts w:hint="eastAsia"/>
                <w:color w:val="auto"/>
              </w:rPr>
              <w:t>14</w:t>
            </w:r>
            <w:r>
              <w:rPr>
                <w:color w:val="auto"/>
              </w:rPr>
              <w:t>最大Pmax和D10%预测结果表</w:t>
            </w:r>
          </w:p>
          <w:tbl>
            <w:tblPr>
              <w:tblStyle w:val="36"/>
              <w:tblW w:w="4988" w:type="pct"/>
              <w:tblInd w:w="-1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2872"/>
              <w:gridCol w:w="2562"/>
              <w:gridCol w:w="2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vMerge w:val="restart"/>
                  <w:tcBorders>
                    <w:bottom w:val="single" w:color="000000" w:sz="4" w:space="0"/>
                    <w:right w:val="single" w:color="000000" w:sz="4" w:space="0"/>
                  </w:tcBorders>
                  <w:vAlign w:val="center"/>
                </w:tcPr>
                <w:p>
                  <w:pPr>
                    <w:pStyle w:val="50"/>
                    <w:rPr>
                      <w:color w:val="auto"/>
                    </w:rPr>
                  </w:pPr>
                  <w:r>
                    <w:rPr>
                      <w:color w:val="auto"/>
                    </w:rPr>
                    <w:t>下方向距离(m)</w:t>
                  </w:r>
                </w:p>
              </w:tc>
              <w:tc>
                <w:tcPr>
                  <w:tcW w:w="3279" w:type="pct"/>
                  <w:gridSpan w:val="2"/>
                  <w:tcBorders>
                    <w:left w:val="single" w:color="000000" w:sz="4" w:space="0"/>
                    <w:bottom w:val="single" w:color="000000" w:sz="4" w:space="0"/>
                  </w:tcBorders>
                  <w:vAlign w:val="center"/>
                </w:tcPr>
                <w:p>
                  <w:pPr>
                    <w:pStyle w:val="50"/>
                    <w:rPr>
                      <w:rFonts w:hint="default" w:eastAsia="宋体"/>
                      <w:color w:val="auto"/>
                      <w:lang w:val="en-US" w:eastAsia="zh-CN"/>
                    </w:rPr>
                  </w:pPr>
                  <w:r>
                    <w:rPr>
                      <w:rFonts w:hint="eastAsia"/>
                      <w:color w:val="auto"/>
                      <w:lang w:val="en-US" w:eastAsia="zh-CN"/>
                    </w:rPr>
                    <w:t>2#排气筒</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1" w:hRule="atLeast"/>
              </w:trPr>
              <w:tc>
                <w:tcPr>
                  <w:tcW w:w="1720" w:type="pct"/>
                  <w:vMerge w:val="continue"/>
                  <w:tcBorders>
                    <w:top w:val="single" w:color="000000" w:sz="4" w:space="0"/>
                    <w:bottom w:val="single" w:color="000000" w:sz="4" w:space="0"/>
                    <w:right w:val="single" w:color="000000" w:sz="4" w:space="0"/>
                  </w:tcBorders>
                  <w:vAlign w:val="center"/>
                </w:tcPr>
                <w:p>
                  <w:pPr>
                    <w:pStyle w:val="50"/>
                    <w:rPr>
                      <w:color w:val="auto"/>
                    </w:rPr>
                  </w:pPr>
                </w:p>
              </w:tc>
              <w:tc>
                <w:tcPr>
                  <w:tcW w:w="2840" w:type="dxa"/>
                  <w:tcBorders>
                    <w:top w:val="single" w:color="000000" w:sz="4" w:space="0"/>
                    <w:left w:val="single" w:color="000000" w:sz="4" w:space="0"/>
                    <w:bottom w:val="single" w:color="000000" w:sz="4" w:space="0"/>
                    <w:right w:val="single" w:color="000000" w:sz="4" w:space="0"/>
                  </w:tcBorders>
                  <w:vAlign w:val="center"/>
                </w:tcPr>
                <w:p>
                  <w:pPr>
                    <w:pStyle w:val="50"/>
                    <w:rPr>
                      <w:color w:val="auto"/>
                    </w:rPr>
                  </w:pPr>
                  <w:r>
                    <w:rPr>
                      <w:rFonts w:hint="eastAsia"/>
                      <w:color w:val="auto"/>
                      <w:lang w:val="en-US" w:eastAsia="zh-CN"/>
                    </w:rPr>
                    <w:t>TVOC</w:t>
                  </w:r>
                  <w:r>
                    <w:rPr>
                      <w:color w:val="auto"/>
                    </w:rPr>
                    <w:t>浓度（</w:t>
                  </w:r>
                  <w:r>
                    <w:rPr>
                      <w:rFonts w:hint="eastAsia"/>
                      <w:color w:val="auto"/>
                    </w:rPr>
                    <w:t>ug</w:t>
                  </w:r>
                  <w:r>
                    <w:rPr>
                      <w:color w:val="auto"/>
                    </w:rPr>
                    <w:t>/m</w:t>
                  </w:r>
                  <w:r>
                    <w:rPr>
                      <w:color w:val="auto"/>
                      <w:vertAlign w:val="superscript"/>
                    </w:rPr>
                    <w:t>3</w:t>
                  </w:r>
                  <w:r>
                    <w:rPr>
                      <w:color w:val="auto"/>
                    </w:rPr>
                    <w:t>）</w:t>
                  </w:r>
                </w:p>
              </w:tc>
              <w:tc>
                <w:tcPr>
                  <w:tcW w:w="3231" w:type="dxa"/>
                  <w:tcBorders>
                    <w:top w:val="single" w:color="000000" w:sz="4" w:space="0"/>
                    <w:left w:val="single" w:color="000000" w:sz="4" w:space="0"/>
                    <w:bottom w:val="single" w:color="000000" w:sz="4" w:space="0"/>
                  </w:tcBorders>
                  <w:vAlign w:val="center"/>
                </w:tcPr>
                <w:p>
                  <w:pPr>
                    <w:pStyle w:val="50"/>
                    <w:rPr>
                      <w:color w:val="auto"/>
                    </w:rPr>
                  </w:pPr>
                  <w:r>
                    <w:rPr>
                      <w:rFonts w:hint="eastAsia"/>
                      <w:color w:val="auto"/>
                      <w:lang w:val="en-US" w:eastAsia="zh-CN"/>
                    </w:rPr>
                    <w:t>TVOC</w:t>
                  </w:r>
                  <w:r>
                    <w:rPr>
                      <w:color w:val="auto"/>
                    </w:rPr>
                    <w:t>占标率（%）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1.0379</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0.0865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0.7510</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0.0626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1.2156</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0.1013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1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300.0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1.1759</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0.0980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1.0051</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0.0838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0.8463</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0.0705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0.7179</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0.0598</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2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700.0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0.6165</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0.0514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0.5361</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0.0447</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900.0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0.4715</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0.0393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0.4189</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0.0349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1200.0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0.3390</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0.0282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3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1400.0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0.2818</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0.0235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6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1600.0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0.2392</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0.0199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4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1800.0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0.2066</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0.0172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57"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2000.0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0.1808</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0.0151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272" w:hRule="atLeast"/>
              </w:trPr>
              <w:tc>
                <w:tcPr>
                  <w:tcW w:w="1720" w:type="pct"/>
                  <w:tcBorders>
                    <w:top w:val="single" w:color="000000" w:sz="4" w:space="0"/>
                    <w:bottom w:val="single" w:color="000000" w:sz="4" w:space="0"/>
                    <w:right w:val="single" w:color="000000" w:sz="4" w:space="0"/>
                  </w:tcBorders>
                  <w:vAlign w:val="center"/>
                </w:tcPr>
                <w:p>
                  <w:pPr>
                    <w:pStyle w:val="50"/>
                    <w:rPr>
                      <w:color w:val="auto"/>
                    </w:rPr>
                  </w:pPr>
                  <w:r>
                    <w:rPr>
                      <w:rFonts w:hint="eastAsia"/>
                      <w:color w:val="auto"/>
                    </w:rPr>
                    <w:t>2500.0</w:t>
                  </w:r>
                </w:p>
              </w:tc>
              <w:tc>
                <w:tcPr>
                  <w:tcW w:w="2562"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color w:val="auto"/>
                    </w:rPr>
                  </w:pPr>
                  <w:r>
                    <w:rPr>
                      <w:color w:val="auto"/>
                    </w:rPr>
                    <w:t>0.1357</w:t>
                  </w:r>
                </w:p>
              </w:tc>
              <w:tc>
                <w:tcPr>
                  <w:tcW w:w="2914" w:type="dxa"/>
                  <w:tcBorders>
                    <w:top w:val="single" w:color="000000" w:sz="4" w:space="0"/>
                    <w:left w:val="single" w:color="000000" w:sz="4" w:space="0"/>
                    <w:bottom w:val="single" w:color="000000" w:sz="4" w:space="0"/>
                  </w:tcBorders>
                  <w:vAlign w:val="center"/>
                </w:tcPr>
                <w:p>
                  <w:pPr>
                    <w:pStyle w:val="50"/>
                    <w:bidi w:val="0"/>
                    <w:rPr>
                      <w:rFonts w:hint="eastAsia"/>
                      <w:color w:val="auto"/>
                    </w:rPr>
                  </w:pPr>
                  <w:r>
                    <w:rPr>
                      <w:color w:val="auto"/>
                    </w:rPr>
                    <w:t>0.0113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720" w:type="pct"/>
                  <w:tcBorders>
                    <w:top w:val="single" w:color="000000" w:sz="4" w:space="0"/>
                    <w:bottom w:val="single" w:color="000000" w:sz="4" w:space="0"/>
                    <w:right w:val="single" w:color="000000" w:sz="4" w:space="0"/>
                  </w:tcBorders>
                  <w:vAlign w:val="center"/>
                </w:tcPr>
                <w:p>
                  <w:pPr>
                    <w:pStyle w:val="50"/>
                    <w:rPr>
                      <w:b/>
                      <w:bCs/>
                      <w:color w:val="auto"/>
                    </w:rPr>
                  </w:pPr>
                  <w:r>
                    <w:rPr>
                      <w:b/>
                      <w:bCs/>
                      <w:color w:val="auto"/>
                    </w:rPr>
                    <w:t>下风向</w:t>
                  </w:r>
                  <w:r>
                    <w:rPr>
                      <w:rFonts w:hint="eastAsia"/>
                      <w:b/>
                      <w:bCs/>
                      <w:color w:val="auto"/>
                    </w:rPr>
                    <w:t>最大浓度(距离</w:t>
                  </w:r>
                  <w:r>
                    <w:rPr>
                      <w:rFonts w:hint="eastAsia"/>
                      <w:b/>
                      <w:bCs/>
                      <w:color w:val="auto"/>
                      <w:lang w:val="en-US" w:eastAsia="zh-CN"/>
                    </w:rPr>
                    <w:t>25</w:t>
                  </w:r>
                  <w:r>
                    <w:rPr>
                      <w:rFonts w:hint="eastAsia"/>
                      <w:b/>
                      <w:bCs/>
                      <w:color w:val="auto"/>
                    </w:rPr>
                    <w:t>m)</w:t>
                  </w:r>
                </w:p>
              </w:tc>
              <w:tc>
                <w:tcPr>
                  <w:tcW w:w="2743" w:type="dxa"/>
                  <w:tcBorders>
                    <w:top w:val="single" w:color="000000" w:sz="4" w:space="0"/>
                    <w:left w:val="single" w:color="000000" w:sz="4" w:space="0"/>
                    <w:bottom w:val="single" w:color="000000" w:sz="4" w:space="0"/>
                    <w:right w:val="single" w:color="000000" w:sz="4" w:space="0"/>
                  </w:tcBorders>
                  <w:vAlign w:val="center"/>
                </w:tcPr>
                <w:p>
                  <w:pPr>
                    <w:pStyle w:val="50"/>
                    <w:bidi w:val="0"/>
                    <w:rPr>
                      <w:rFonts w:hint="eastAsia"/>
                      <w:b/>
                      <w:bCs/>
                      <w:color w:val="auto"/>
                    </w:rPr>
                  </w:pPr>
                  <w:r>
                    <w:rPr>
                      <w:b/>
                      <w:bCs/>
                      <w:color w:val="auto"/>
                    </w:rPr>
                    <w:t>1.3756</w:t>
                  </w:r>
                </w:p>
              </w:tc>
              <w:tc>
                <w:tcPr>
                  <w:tcW w:w="3120" w:type="dxa"/>
                  <w:tcBorders>
                    <w:top w:val="single" w:color="000000" w:sz="4" w:space="0"/>
                    <w:left w:val="single" w:color="000000" w:sz="4" w:space="0"/>
                    <w:bottom w:val="single" w:color="000000" w:sz="4" w:space="0"/>
                  </w:tcBorders>
                  <w:vAlign w:val="center"/>
                </w:tcPr>
                <w:p>
                  <w:pPr>
                    <w:pStyle w:val="50"/>
                    <w:bidi w:val="0"/>
                    <w:rPr>
                      <w:rFonts w:hint="eastAsia"/>
                      <w:b/>
                      <w:bCs/>
                      <w:color w:val="auto"/>
                    </w:rPr>
                  </w:pPr>
                  <w:r>
                    <w:rPr>
                      <w:b/>
                      <w:bCs/>
                      <w:color w:val="auto"/>
                    </w:rPr>
                    <w:t>0.1146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197" w:hRule="atLeast"/>
              </w:trPr>
              <w:tc>
                <w:tcPr>
                  <w:tcW w:w="1720" w:type="pct"/>
                  <w:tcBorders>
                    <w:top w:val="single" w:color="000000" w:sz="4" w:space="0"/>
                    <w:right w:val="single" w:color="000000" w:sz="4" w:space="0"/>
                  </w:tcBorders>
                  <w:vAlign w:val="center"/>
                </w:tcPr>
                <w:p>
                  <w:pPr>
                    <w:pStyle w:val="50"/>
                    <w:rPr>
                      <w:color w:val="auto"/>
                    </w:rPr>
                  </w:pPr>
                  <w:r>
                    <w:rPr>
                      <w:color w:val="auto"/>
                    </w:rPr>
                    <w:t>D10%最远距离</w:t>
                  </w:r>
                </w:p>
              </w:tc>
              <w:tc>
                <w:tcPr>
                  <w:tcW w:w="1534" w:type="pct"/>
                  <w:tcBorders>
                    <w:top w:val="single" w:color="000000" w:sz="4" w:space="0"/>
                    <w:left w:val="single" w:color="000000" w:sz="4" w:space="0"/>
                    <w:right w:val="single" w:color="000000" w:sz="4" w:space="0"/>
                  </w:tcBorders>
                  <w:vAlign w:val="center"/>
                </w:tcPr>
                <w:p>
                  <w:pPr>
                    <w:pStyle w:val="50"/>
                    <w:rPr>
                      <w:color w:val="auto"/>
                    </w:rPr>
                  </w:pPr>
                  <w:r>
                    <w:rPr>
                      <w:rFonts w:hint="eastAsia"/>
                      <w:color w:val="auto"/>
                    </w:rPr>
                    <w:t>/</w:t>
                  </w:r>
                </w:p>
              </w:tc>
              <w:tc>
                <w:tcPr>
                  <w:tcW w:w="1745" w:type="pct"/>
                  <w:tcBorders>
                    <w:top w:val="single" w:color="000000" w:sz="4" w:space="0"/>
                    <w:left w:val="single" w:color="000000" w:sz="4" w:space="0"/>
                  </w:tcBorders>
                  <w:vAlign w:val="center"/>
                </w:tcPr>
                <w:p>
                  <w:pPr>
                    <w:pStyle w:val="50"/>
                    <w:rPr>
                      <w:color w:val="auto"/>
                    </w:rPr>
                  </w:pPr>
                  <w:r>
                    <w:rPr>
                      <w:rFonts w:hint="eastAsia"/>
                      <w:color w:val="auto"/>
                    </w:rPr>
                    <w:t>/</w:t>
                  </w:r>
                </w:p>
              </w:tc>
            </w:tr>
          </w:tbl>
          <w:p>
            <w:pPr>
              <w:pStyle w:val="17"/>
              <w:ind w:firstLine="480"/>
              <w:rPr>
                <w:rFonts w:ascii="Times New Roman" w:hAnsi="Times New Roman"/>
                <w:color w:val="auto"/>
                <w:sz w:val="24"/>
                <w:szCs w:val="24"/>
              </w:rPr>
            </w:pPr>
            <w:r>
              <w:rPr>
                <w:rFonts w:ascii="Times New Roman" w:hAnsi="Times New Roman"/>
                <w:color w:val="auto"/>
                <w:sz w:val="24"/>
                <w:szCs w:val="24"/>
              </w:rPr>
              <w:t>由以上分析可以看出，当废气处理措施处理效率下降为0%时，</w:t>
            </w:r>
            <w:r>
              <w:rPr>
                <w:rFonts w:hint="eastAsia" w:ascii="Times New Roman" w:hAnsi="Times New Roman"/>
                <w:color w:val="auto"/>
                <w:sz w:val="24"/>
                <w:szCs w:val="24"/>
              </w:rPr>
              <w:t>1</w:t>
            </w:r>
            <w:r>
              <w:rPr>
                <w:rFonts w:ascii="Times New Roman" w:hAnsi="Times New Roman"/>
                <w:color w:val="auto"/>
                <w:sz w:val="24"/>
                <w:szCs w:val="24"/>
              </w:rPr>
              <w:t>#排气筒下风向</w:t>
            </w:r>
            <w:r>
              <w:rPr>
                <w:rFonts w:hint="eastAsia" w:ascii="Times New Roman" w:hAnsi="Times New Roman"/>
                <w:color w:val="auto"/>
                <w:sz w:val="24"/>
                <w:szCs w:val="24"/>
                <w:lang w:val="en-US" w:eastAsia="zh-CN"/>
              </w:rPr>
              <w:t>PM</w:t>
            </w:r>
            <w:r>
              <w:rPr>
                <w:rFonts w:hint="eastAsia" w:ascii="Times New Roman" w:hAnsi="Times New Roman"/>
                <w:color w:val="auto"/>
                <w:sz w:val="24"/>
                <w:szCs w:val="24"/>
                <w:vertAlign w:val="subscript"/>
                <w:lang w:val="en-US" w:eastAsia="zh-CN"/>
              </w:rPr>
              <w:t>10</w:t>
            </w:r>
            <w:r>
              <w:rPr>
                <w:rFonts w:ascii="Times New Roman" w:hAnsi="Times New Roman"/>
                <w:color w:val="auto"/>
                <w:sz w:val="24"/>
                <w:szCs w:val="24"/>
              </w:rPr>
              <w:t>最大</w:t>
            </w:r>
            <w:r>
              <w:rPr>
                <w:rFonts w:hint="eastAsia" w:ascii="Times New Roman" w:hAnsi="Times New Roman"/>
                <w:color w:val="auto"/>
                <w:sz w:val="24"/>
                <w:szCs w:val="24"/>
              </w:rPr>
              <w:t>质量</w:t>
            </w:r>
            <w:r>
              <w:rPr>
                <w:rFonts w:ascii="Times New Roman" w:hAnsi="Times New Roman"/>
                <w:color w:val="auto"/>
                <w:sz w:val="24"/>
                <w:szCs w:val="24"/>
              </w:rPr>
              <w:t>浓度分别为207.2100</w:t>
            </w:r>
            <w:r>
              <w:rPr>
                <w:rFonts w:hint="eastAsia" w:ascii="Times New Roman" w:hAnsi="Times New Roman"/>
                <w:color w:val="auto"/>
                <w:sz w:val="24"/>
                <w:szCs w:val="24"/>
              </w:rPr>
              <w:t>ug/m</w:t>
            </w:r>
            <w:r>
              <w:rPr>
                <w:rFonts w:hint="eastAsia" w:ascii="Times New Roman" w:hAnsi="Times New Roman"/>
                <w:color w:val="auto"/>
                <w:sz w:val="24"/>
                <w:szCs w:val="24"/>
                <w:vertAlign w:val="superscript"/>
              </w:rPr>
              <w:t>3</w:t>
            </w:r>
            <w:r>
              <w:rPr>
                <w:rFonts w:ascii="Times New Roman" w:hAnsi="Times New Roman"/>
                <w:color w:val="auto"/>
                <w:sz w:val="24"/>
                <w:szCs w:val="24"/>
              </w:rPr>
              <w:t>，最大占标率为46.0467%</w:t>
            </w:r>
            <w:r>
              <w:rPr>
                <w:rFonts w:hint="eastAsia" w:ascii="Times New Roman" w:hAnsi="Times New Roman"/>
                <w:color w:val="auto"/>
                <w:sz w:val="24"/>
                <w:szCs w:val="24"/>
              </w:rPr>
              <w:t>，2</w:t>
            </w:r>
            <w:r>
              <w:rPr>
                <w:rFonts w:ascii="Times New Roman" w:hAnsi="Times New Roman"/>
                <w:color w:val="auto"/>
                <w:sz w:val="24"/>
                <w:szCs w:val="24"/>
              </w:rPr>
              <w:t>#排气筒</w:t>
            </w:r>
            <w:r>
              <w:rPr>
                <w:rFonts w:hint="eastAsia" w:ascii="Times New Roman" w:hAnsi="Times New Roman"/>
                <w:color w:val="auto"/>
                <w:sz w:val="24"/>
                <w:szCs w:val="24"/>
                <w:lang w:val="en-US" w:eastAsia="zh-CN"/>
              </w:rPr>
              <w:t>TVOC</w:t>
            </w:r>
            <w:r>
              <w:rPr>
                <w:rFonts w:ascii="Times New Roman" w:hAnsi="Times New Roman"/>
                <w:color w:val="auto"/>
                <w:sz w:val="24"/>
                <w:szCs w:val="24"/>
              </w:rPr>
              <w:t>下风向最大</w:t>
            </w:r>
            <w:r>
              <w:rPr>
                <w:rFonts w:hint="eastAsia" w:ascii="Times New Roman" w:hAnsi="Times New Roman"/>
                <w:color w:val="auto"/>
                <w:sz w:val="24"/>
                <w:szCs w:val="24"/>
              </w:rPr>
              <w:t>质量</w:t>
            </w:r>
            <w:r>
              <w:rPr>
                <w:rFonts w:ascii="Times New Roman" w:hAnsi="Times New Roman"/>
                <w:color w:val="auto"/>
                <w:sz w:val="24"/>
                <w:szCs w:val="24"/>
              </w:rPr>
              <w:t>浓度为1.3756</w:t>
            </w:r>
            <w:r>
              <w:rPr>
                <w:rFonts w:hint="eastAsia" w:ascii="Times New Roman" w:hAnsi="Times New Roman"/>
                <w:color w:val="auto"/>
                <w:sz w:val="24"/>
                <w:szCs w:val="24"/>
              </w:rPr>
              <w:t>ug/m</w:t>
            </w:r>
            <w:r>
              <w:rPr>
                <w:rFonts w:ascii="Times New Roman" w:hAnsi="Times New Roman"/>
                <w:color w:val="auto"/>
                <w:sz w:val="24"/>
                <w:szCs w:val="24"/>
              </w:rPr>
              <w:t>，最大占标率分别为0.1146</w:t>
            </w:r>
            <w:r>
              <w:rPr>
                <w:rFonts w:hint="eastAsia" w:ascii="Times New Roman" w:hAnsi="Times New Roman"/>
                <w:color w:val="auto"/>
                <w:sz w:val="24"/>
                <w:szCs w:val="24"/>
                <w:lang w:val="en-US" w:eastAsia="zh-CN"/>
              </w:rPr>
              <w:t>%</w:t>
            </w:r>
            <w:r>
              <w:rPr>
                <w:rFonts w:ascii="Times New Roman" w:hAnsi="Times New Roman"/>
                <w:color w:val="auto"/>
                <w:sz w:val="24"/>
                <w:szCs w:val="24"/>
              </w:rPr>
              <w:t>，</w:t>
            </w:r>
            <w:r>
              <w:rPr>
                <w:rFonts w:hint="eastAsia" w:ascii="Times New Roman" w:hAnsi="Times New Roman"/>
                <w:color w:val="auto"/>
                <w:sz w:val="24"/>
                <w:szCs w:val="24"/>
              </w:rPr>
              <w:t>1</w:t>
            </w:r>
            <w:r>
              <w:rPr>
                <w:rFonts w:ascii="Times New Roman" w:hAnsi="Times New Roman"/>
                <w:color w:val="auto"/>
                <w:sz w:val="24"/>
                <w:szCs w:val="24"/>
              </w:rPr>
              <w:t>#排气筒出现超标现象</w:t>
            </w:r>
            <w:r>
              <w:rPr>
                <w:rFonts w:hint="eastAsia" w:ascii="Times New Roman" w:hAnsi="Times New Roman"/>
                <w:color w:val="auto"/>
                <w:sz w:val="24"/>
                <w:szCs w:val="24"/>
                <w:lang w:eastAsia="zh-CN"/>
              </w:rPr>
              <w:t>，</w:t>
            </w:r>
            <w:r>
              <w:rPr>
                <w:rFonts w:hint="eastAsia" w:ascii="Times New Roman" w:hAnsi="Times New Roman"/>
                <w:color w:val="auto"/>
                <w:sz w:val="24"/>
                <w:szCs w:val="24"/>
              </w:rPr>
              <w:t>2</w:t>
            </w:r>
            <w:r>
              <w:rPr>
                <w:rFonts w:ascii="Times New Roman" w:hAnsi="Times New Roman"/>
                <w:color w:val="auto"/>
                <w:sz w:val="24"/>
                <w:szCs w:val="24"/>
              </w:rPr>
              <w:t>#排气筒虽未出现超标现象，但污染物浓度明显增大，大大增加了环境负担，</w:t>
            </w:r>
            <w:r>
              <w:rPr>
                <w:rFonts w:hint="eastAsia" w:ascii="Times New Roman" w:hAnsi="Times New Roman"/>
                <w:color w:val="auto"/>
                <w:sz w:val="24"/>
                <w:szCs w:val="24"/>
              </w:rPr>
              <w:t>因此，本项目应加强废气处理装置的日常管理，一旦出现问题应立即停产进行故障排除处理，保证其正常运行，避免非正常排放情况出现。</w:t>
            </w:r>
          </w:p>
          <w:p>
            <w:pPr>
              <w:ind w:firstLine="482"/>
              <w:rPr>
                <w:b/>
                <w:bCs/>
                <w:color w:val="auto"/>
              </w:rPr>
            </w:pPr>
            <w:r>
              <w:rPr>
                <w:b/>
                <w:bCs/>
                <w:color w:val="auto"/>
              </w:rPr>
              <w:t>（8）污染物排放</w:t>
            </w:r>
          </w:p>
          <w:p>
            <w:pPr>
              <w:ind w:firstLine="480"/>
              <w:rPr>
                <w:color w:val="auto"/>
              </w:rPr>
            </w:pPr>
            <w:r>
              <w:rPr>
                <w:color w:val="auto"/>
              </w:rPr>
              <w:t>本次大气环境影响评价执行二级评价，根据《环境影响评价技术导则-大气环境》（HJ2.2-2018），二级评价不进行进一步预测和评价，只对污染物排放量进行核算。</w:t>
            </w:r>
          </w:p>
          <w:p>
            <w:pPr>
              <w:keepNext/>
              <w:keepLines/>
              <w:ind w:firstLine="480"/>
              <w:rPr>
                <w:color w:val="auto"/>
              </w:rPr>
            </w:pPr>
            <w:r>
              <w:rPr>
                <w:color w:val="auto"/>
              </w:rPr>
              <w:t>大气污染物有组织排放量核算见表7</w:t>
            </w:r>
            <w:r>
              <w:rPr>
                <w:rFonts w:hint="eastAsia"/>
                <w:color w:val="auto"/>
              </w:rPr>
              <w:t>-16</w:t>
            </w:r>
            <w:r>
              <w:rPr>
                <w:color w:val="auto"/>
              </w:rPr>
              <w:t>。</w:t>
            </w:r>
          </w:p>
          <w:p>
            <w:pPr>
              <w:pStyle w:val="48"/>
              <w:keepNext/>
              <w:keepLines/>
              <w:ind w:firstLine="422"/>
              <w:rPr>
                <w:color w:val="auto"/>
              </w:rPr>
            </w:pPr>
            <w:r>
              <w:rPr>
                <w:color w:val="auto"/>
              </w:rPr>
              <w:t>表7</w:t>
            </w:r>
            <w:r>
              <w:rPr>
                <w:rFonts w:hint="eastAsia"/>
                <w:color w:val="auto"/>
              </w:rPr>
              <w:t>-16</w:t>
            </w:r>
            <w:r>
              <w:rPr>
                <w:color w:val="auto"/>
              </w:rPr>
              <w:t xml:space="preserve"> 大气污染物有组织排放量核算表</w:t>
            </w:r>
          </w:p>
          <w:tbl>
            <w:tblPr>
              <w:tblStyle w:val="36"/>
              <w:tblW w:w="4996" w:type="pct"/>
              <w:tblInd w:w="-15"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782"/>
              <w:gridCol w:w="1256"/>
              <w:gridCol w:w="1482"/>
              <w:gridCol w:w="1634"/>
              <w:gridCol w:w="1665"/>
              <w:gridCol w:w="1543"/>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468" w:type="pct"/>
                  <w:vAlign w:val="center"/>
                </w:tcPr>
                <w:p>
                  <w:pPr>
                    <w:pStyle w:val="57"/>
                    <w:keepNext/>
                    <w:keepLines/>
                    <w:rPr>
                      <w:color w:val="auto"/>
                    </w:rPr>
                  </w:pPr>
                  <w:r>
                    <w:rPr>
                      <w:color w:val="auto"/>
                    </w:rPr>
                    <w:t>序号</w:t>
                  </w:r>
                </w:p>
              </w:tc>
              <w:tc>
                <w:tcPr>
                  <w:tcW w:w="751" w:type="pct"/>
                  <w:vAlign w:val="center"/>
                </w:tcPr>
                <w:p>
                  <w:pPr>
                    <w:pStyle w:val="57"/>
                    <w:keepNext/>
                    <w:keepLines/>
                    <w:rPr>
                      <w:color w:val="auto"/>
                    </w:rPr>
                  </w:pPr>
                  <w:r>
                    <w:rPr>
                      <w:color w:val="auto"/>
                    </w:rPr>
                    <w:t>排放口编号</w:t>
                  </w:r>
                </w:p>
              </w:tc>
              <w:tc>
                <w:tcPr>
                  <w:tcW w:w="886" w:type="pct"/>
                  <w:vAlign w:val="center"/>
                </w:tcPr>
                <w:p>
                  <w:pPr>
                    <w:pStyle w:val="57"/>
                    <w:keepNext/>
                    <w:keepLines/>
                    <w:rPr>
                      <w:color w:val="auto"/>
                    </w:rPr>
                  </w:pPr>
                  <w:r>
                    <w:rPr>
                      <w:color w:val="auto"/>
                    </w:rPr>
                    <w:t>污染物</w:t>
                  </w:r>
                </w:p>
              </w:tc>
              <w:tc>
                <w:tcPr>
                  <w:tcW w:w="977" w:type="pct"/>
                  <w:vAlign w:val="center"/>
                </w:tcPr>
                <w:p>
                  <w:pPr>
                    <w:pStyle w:val="57"/>
                    <w:keepNext/>
                    <w:keepLines/>
                    <w:rPr>
                      <w:color w:val="auto"/>
                    </w:rPr>
                  </w:pPr>
                  <w:r>
                    <w:rPr>
                      <w:color w:val="auto"/>
                    </w:rPr>
                    <w:t>核算排放浓度</w:t>
                  </w:r>
                </w:p>
                <w:p>
                  <w:pPr>
                    <w:pStyle w:val="57"/>
                    <w:keepNext/>
                    <w:keepLines/>
                    <w:rPr>
                      <w:color w:val="auto"/>
                    </w:rPr>
                  </w:pPr>
                  <w:r>
                    <w:rPr>
                      <w:color w:val="auto"/>
                    </w:rPr>
                    <w:t>（mg/m³）</w:t>
                  </w:r>
                </w:p>
              </w:tc>
              <w:tc>
                <w:tcPr>
                  <w:tcW w:w="994" w:type="pct"/>
                  <w:vAlign w:val="center"/>
                </w:tcPr>
                <w:p>
                  <w:pPr>
                    <w:pStyle w:val="57"/>
                    <w:keepNext/>
                    <w:keepLines/>
                    <w:rPr>
                      <w:color w:val="auto"/>
                    </w:rPr>
                  </w:pPr>
                  <w:r>
                    <w:rPr>
                      <w:color w:val="auto"/>
                    </w:rPr>
                    <w:t>核算排放速率</w:t>
                  </w:r>
                </w:p>
                <w:p>
                  <w:pPr>
                    <w:pStyle w:val="57"/>
                    <w:keepNext/>
                    <w:keepLines/>
                    <w:rPr>
                      <w:color w:val="auto"/>
                    </w:rPr>
                  </w:pPr>
                  <w:r>
                    <w:rPr>
                      <w:color w:val="auto"/>
                    </w:rPr>
                    <w:t>（kg/h）</w:t>
                  </w:r>
                </w:p>
              </w:tc>
              <w:tc>
                <w:tcPr>
                  <w:tcW w:w="921" w:type="pct"/>
                  <w:vAlign w:val="center"/>
                </w:tcPr>
                <w:p>
                  <w:pPr>
                    <w:pStyle w:val="57"/>
                    <w:keepNext/>
                    <w:keepLines/>
                    <w:rPr>
                      <w:color w:val="auto"/>
                    </w:rPr>
                  </w:pPr>
                  <w:r>
                    <w:rPr>
                      <w:color w:val="auto"/>
                    </w:rPr>
                    <w:t>核算排放量</w:t>
                  </w:r>
                </w:p>
                <w:p>
                  <w:pPr>
                    <w:pStyle w:val="57"/>
                    <w:keepNext/>
                    <w:keepLines/>
                    <w:rPr>
                      <w:color w:val="auto"/>
                    </w:rPr>
                  </w:pPr>
                  <w:r>
                    <w:rPr>
                      <w:color w:val="auto"/>
                    </w:rPr>
                    <w:t>（t/a）</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000" w:type="pct"/>
                  <w:gridSpan w:val="6"/>
                  <w:vAlign w:val="center"/>
                </w:tcPr>
                <w:p>
                  <w:pPr>
                    <w:pStyle w:val="57"/>
                    <w:keepNext/>
                    <w:keepLines/>
                    <w:rPr>
                      <w:color w:val="auto"/>
                    </w:rPr>
                  </w:pPr>
                  <w:r>
                    <w:rPr>
                      <w:rFonts w:hint="eastAsia"/>
                      <w:color w:val="auto"/>
                    </w:rPr>
                    <w:t>一般</w:t>
                  </w:r>
                  <w:r>
                    <w:rPr>
                      <w:color w:val="auto"/>
                    </w:rPr>
                    <w:t>排放口</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8" w:type="pct"/>
                  <w:vAlign w:val="center"/>
                </w:tcPr>
                <w:p>
                  <w:pPr>
                    <w:pStyle w:val="57"/>
                    <w:keepNext/>
                    <w:keepLines/>
                    <w:rPr>
                      <w:color w:val="auto"/>
                    </w:rPr>
                  </w:pPr>
                  <w:r>
                    <w:rPr>
                      <w:color w:val="auto"/>
                    </w:rPr>
                    <w:t>1</w:t>
                  </w:r>
                </w:p>
              </w:tc>
              <w:tc>
                <w:tcPr>
                  <w:tcW w:w="751" w:type="pct"/>
                  <w:vAlign w:val="center"/>
                </w:tcPr>
                <w:p>
                  <w:pPr>
                    <w:pStyle w:val="57"/>
                    <w:keepNext/>
                    <w:keepLines/>
                    <w:rPr>
                      <w:color w:val="auto"/>
                    </w:rPr>
                  </w:pPr>
                  <w:r>
                    <w:rPr>
                      <w:color w:val="auto"/>
                    </w:rPr>
                    <w:t>1#排气筒</w:t>
                  </w:r>
                </w:p>
              </w:tc>
              <w:tc>
                <w:tcPr>
                  <w:tcW w:w="886" w:type="pct"/>
                  <w:vAlign w:val="center"/>
                </w:tcPr>
                <w:p>
                  <w:pPr>
                    <w:pStyle w:val="57"/>
                    <w:keepNext/>
                    <w:keepLines/>
                    <w:rPr>
                      <w:color w:val="auto"/>
                    </w:rPr>
                  </w:pPr>
                  <w:r>
                    <w:rPr>
                      <w:rFonts w:hint="eastAsia"/>
                      <w:color w:val="auto"/>
                    </w:rPr>
                    <w:t>颗粒物</w:t>
                  </w:r>
                </w:p>
              </w:tc>
              <w:tc>
                <w:tcPr>
                  <w:tcW w:w="977" w:type="pct"/>
                  <w:vAlign w:val="center"/>
                </w:tcPr>
                <w:p>
                  <w:pPr>
                    <w:pStyle w:val="50"/>
                    <w:rPr>
                      <w:color w:val="auto"/>
                    </w:rPr>
                  </w:pPr>
                  <w:r>
                    <w:rPr>
                      <w:rFonts w:hint="eastAsia"/>
                      <w:color w:val="auto"/>
                    </w:rPr>
                    <w:t>4.2</w:t>
                  </w:r>
                </w:p>
              </w:tc>
              <w:tc>
                <w:tcPr>
                  <w:tcW w:w="994" w:type="pct"/>
                  <w:vAlign w:val="center"/>
                </w:tcPr>
                <w:p>
                  <w:pPr>
                    <w:pStyle w:val="50"/>
                    <w:rPr>
                      <w:color w:val="auto"/>
                    </w:rPr>
                  </w:pPr>
                  <w:r>
                    <w:rPr>
                      <w:rFonts w:hint="eastAsia"/>
                      <w:color w:val="auto"/>
                    </w:rPr>
                    <w:t>0.021</w:t>
                  </w:r>
                </w:p>
              </w:tc>
              <w:tc>
                <w:tcPr>
                  <w:tcW w:w="921" w:type="pct"/>
                  <w:vAlign w:val="center"/>
                </w:tcPr>
                <w:p>
                  <w:pPr>
                    <w:pStyle w:val="50"/>
                    <w:rPr>
                      <w:color w:val="auto"/>
                    </w:rPr>
                  </w:pPr>
                  <w:r>
                    <w:rPr>
                      <w:rFonts w:hint="eastAsia"/>
                      <w:color w:val="auto"/>
                    </w:rPr>
                    <w:t>0.0504</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8" w:type="pct"/>
                  <w:vMerge w:val="restart"/>
                  <w:vAlign w:val="center"/>
                </w:tcPr>
                <w:p>
                  <w:pPr>
                    <w:pStyle w:val="57"/>
                    <w:keepNext/>
                    <w:keepLines/>
                    <w:rPr>
                      <w:color w:val="auto"/>
                    </w:rPr>
                  </w:pPr>
                  <w:r>
                    <w:rPr>
                      <w:rFonts w:hint="eastAsia"/>
                      <w:color w:val="auto"/>
                    </w:rPr>
                    <w:t>2</w:t>
                  </w:r>
                </w:p>
              </w:tc>
              <w:tc>
                <w:tcPr>
                  <w:tcW w:w="751" w:type="pct"/>
                  <w:vMerge w:val="restart"/>
                  <w:vAlign w:val="center"/>
                </w:tcPr>
                <w:p>
                  <w:pPr>
                    <w:pStyle w:val="57"/>
                    <w:keepNext/>
                    <w:keepLines/>
                    <w:rPr>
                      <w:color w:val="auto"/>
                    </w:rPr>
                  </w:pPr>
                  <w:r>
                    <w:rPr>
                      <w:rFonts w:hint="eastAsia"/>
                      <w:color w:val="auto"/>
                    </w:rPr>
                    <w:t>2</w:t>
                  </w:r>
                  <w:r>
                    <w:rPr>
                      <w:color w:val="auto"/>
                    </w:rPr>
                    <w:t>#排气筒</w:t>
                  </w:r>
                </w:p>
              </w:tc>
              <w:tc>
                <w:tcPr>
                  <w:tcW w:w="886" w:type="pct"/>
                  <w:vAlign w:val="center"/>
                </w:tcPr>
                <w:p>
                  <w:pPr>
                    <w:pStyle w:val="57"/>
                    <w:keepNext/>
                    <w:keepLines/>
                    <w:rPr>
                      <w:color w:val="auto"/>
                    </w:rPr>
                  </w:pPr>
                  <w:r>
                    <w:rPr>
                      <w:rFonts w:hint="eastAsia"/>
                      <w:color w:val="auto"/>
                    </w:rPr>
                    <w:t>颗粒物</w:t>
                  </w:r>
                </w:p>
              </w:tc>
              <w:tc>
                <w:tcPr>
                  <w:tcW w:w="977" w:type="pct"/>
                  <w:vAlign w:val="center"/>
                </w:tcPr>
                <w:p>
                  <w:pPr>
                    <w:pStyle w:val="50"/>
                    <w:rPr>
                      <w:rFonts w:hint="default" w:eastAsia="宋体"/>
                      <w:color w:val="auto"/>
                      <w:lang w:val="en-US" w:eastAsia="zh-CN"/>
                    </w:rPr>
                  </w:pPr>
                  <w:r>
                    <w:rPr>
                      <w:rFonts w:hint="eastAsia"/>
                      <w:color w:val="auto"/>
                      <w:lang w:val="en-US" w:eastAsia="zh-CN"/>
                    </w:rPr>
                    <w:t>2.3</w:t>
                  </w:r>
                </w:p>
              </w:tc>
              <w:tc>
                <w:tcPr>
                  <w:tcW w:w="994" w:type="pct"/>
                  <w:vAlign w:val="center"/>
                </w:tcPr>
                <w:p>
                  <w:pPr>
                    <w:pStyle w:val="50"/>
                    <w:rPr>
                      <w:color w:val="auto"/>
                    </w:rPr>
                  </w:pPr>
                  <w:r>
                    <w:rPr>
                      <w:rFonts w:hint="eastAsia"/>
                      <w:color w:val="auto"/>
                    </w:rPr>
                    <w:t>0.0115</w:t>
                  </w:r>
                </w:p>
              </w:tc>
              <w:tc>
                <w:tcPr>
                  <w:tcW w:w="921" w:type="pct"/>
                  <w:vAlign w:val="center"/>
                </w:tcPr>
                <w:p>
                  <w:pPr>
                    <w:pStyle w:val="50"/>
                    <w:rPr>
                      <w:rFonts w:hint="default" w:eastAsia="宋体"/>
                      <w:color w:val="auto"/>
                      <w:lang w:val="en-US" w:eastAsia="zh-CN"/>
                    </w:rPr>
                  </w:pPr>
                  <w:r>
                    <w:rPr>
                      <w:rFonts w:hint="eastAsia"/>
                      <w:color w:val="auto"/>
                    </w:rPr>
                    <w:t>0.00</w:t>
                  </w:r>
                  <w:r>
                    <w:rPr>
                      <w:rFonts w:hint="eastAsia"/>
                      <w:color w:val="auto"/>
                      <w:lang w:val="en-US" w:eastAsia="zh-CN"/>
                    </w:rPr>
                    <w:t>275</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8" w:type="pct"/>
                  <w:vMerge w:val="continue"/>
                  <w:vAlign w:val="center"/>
                </w:tcPr>
                <w:p>
                  <w:pPr>
                    <w:pStyle w:val="57"/>
                    <w:keepNext/>
                    <w:keepLines/>
                    <w:rPr>
                      <w:color w:val="auto"/>
                    </w:rPr>
                  </w:pPr>
                </w:p>
              </w:tc>
              <w:tc>
                <w:tcPr>
                  <w:tcW w:w="751" w:type="pct"/>
                  <w:vMerge w:val="continue"/>
                  <w:vAlign w:val="center"/>
                </w:tcPr>
                <w:p>
                  <w:pPr>
                    <w:pStyle w:val="57"/>
                    <w:keepNext/>
                    <w:keepLines/>
                    <w:rPr>
                      <w:color w:val="auto"/>
                    </w:rPr>
                  </w:pPr>
                </w:p>
              </w:tc>
              <w:tc>
                <w:tcPr>
                  <w:tcW w:w="886" w:type="pct"/>
                  <w:vAlign w:val="center"/>
                </w:tcPr>
                <w:p>
                  <w:pPr>
                    <w:pStyle w:val="50"/>
                    <w:rPr>
                      <w:color w:val="auto"/>
                    </w:rPr>
                  </w:pPr>
                  <w:r>
                    <w:rPr>
                      <w:color w:val="auto"/>
                    </w:rPr>
                    <w:t>SO</w:t>
                  </w:r>
                  <w:r>
                    <w:rPr>
                      <w:color w:val="auto"/>
                      <w:vertAlign w:val="subscript"/>
                    </w:rPr>
                    <w:t>2</w:t>
                  </w:r>
                </w:p>
              </w:tc>
              <w:tc>
                <w:tcPr>
                  <w:tcW w:w="977" w:type="pct"/>
                  <w:vAlign w:val="center"/>
                </w:tcPr>
                <w:p>
                  <w:pPr>
                    <w:pStyle w:val="50"/>
                    <w:rPr>
                      <w:rFonts w:hint="eastAsia" w:eastAsia="宋体"/>
                      <w:color w:val="auto"/>
                      <w:lang w:eastAsia="zh-CN"/>
                    </w:rPr>
                  </w:pPr>
                  <w:r>
                    <w:rPr>
                      <w:rFonts w:hint="eastAsia"/>
                      <w:color w:val="auto"/>
                      <w:lang w:eastAsia="zh-CN"/>
                    </w:rPr>
                    <w:t>0.32</w:t>
                  </w:r>
                </w:p>
              </w:tc>
              <w:tc>
                <w:tcPr>
                  <w:tcW w:w="994" w:type="pct"/>
                  <w:vAlign w:val="center"/>
                </w:tcPr>
                <w:p>
                  <w:pPr>
                    <w:pStyle w:val="50"/>
                    <w:rPr>
                      <w:color w:val="auto"/>
                    </w:rPr>
                  </w:pPr>
                  <w:r>
                    <w:rPr>
                      <w:rFonts w:hint="eastAsia"/>
                      <w:color w:val="auto"/>
                    </w:rPr>
                    <w:t>0.0016</w:t>
                  </w:r>
                </w:p>
              </w:tc>
              <w:tc>
                <w:tcPr>
                  <w:tcW w:w="921" w:type="pct"/>
                  <w:vAlign w:val="center"/>
                </w:tcPr>
                <w:p>
                  <w:pPr>
                    <w:pStyle w:val="50"/>
                    <w:rPr>
                      <w:rFonts w:hint="eastAsia" w:eastAsia="宋体"/>
                      <w:color w:val="auto"/>
                      <w:lang w:eastAsia="zh-CN"/>
                    </w:rPr>
                  </w:pPr>
                  <w:r>
                    <w:rPr>
                      <w:rFonts w:hint="eastAsia"/>
                      <w:color w:val="auto"/>
                      <w:lang w:eastAsia="zh-CN"/>
                    </w:rPr>
                    <w:t>0.00384</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8" w:type="pct"/>
                  <w:vMerge w:val="continue"/>
                  <w:vAlign w:val="center"/>
                </w:tcPr>
                <w:p>
                  <w:pPr>
                    <w:pStyle w:val="57"/>
                    <w:keepNext/>
                    <w:keepLines/>
                    <w:rPr>
                      <w:color w:val="auto"/>
                    </w:rPr>
                  </w:pPr>
                </w:p>
              </w:tc>
              <w:tc>
                <w:tcPr>
                  <w:tcW w:w="751" w:type="pct"/>
                  <w:vMerge w:val="continue"/>
                  <w:vAlign w:val="center"/>
                </w:tcPr>
                <w:p>
                  <w:pPr>
                    <w:pStyle w:val="57"/>
                    <w:keepNext/>
                    <w:keepLines/>
                    <w:rPr>
                      <w:color w:val="auto"/>
                    </w:rPr>
                  </w:pPr>
                </w:p>
              </w:tc>
              <w:tc>
                <w:tcPr>
                  <w:tcW w:w="886" w:type="pct"/>
                  <w:vAlign w:val="center"/>
                </w:tcPr>
                <w:p>
                  <w:pPr>
                    <w:pStyle w:val="50"/>
                    <w:rPr>
                      <w:color w:val="auto"/>
                    </w:rPr>
                  </w:pPr>
                  <w:r>
                    <w:rPr>
                      <w:color w:val="auto"/>
                    </w:rPr>
                    <w:t>氮氧化物</w:t>
                  </w:r>
                </w:p>
              </w:tc>
              <w:tc>
                <w:tcPr>
                  <w:tcW w:w="977" w:type="pct"/>
                  <w:vAlign w:val="center"/>
                </w:tcPr>
                <w:p>
                  <w:pPr>
                    <w:pStyle w:val="50"/>
                    <w:rPr>
                      <w:rFonts w:hint="default" w:eastAsia="宋体"/>
                      <w:color w:val="auto"/>
                      <w:lang w:val="en-US" w:eastAsia="zh-CN"/>
                    </w:rPr>
                  </w:pPr>
                  <w:r>
                    <w:rPr>
                      <w:rFonts w:hint="eastAsia"/>
                      <w:color w:val="auto"/>
                      <w:lang w:val="en-US" w:eastAsia="zh-CN"/>
                    </w:rPr>
                    <w:t>15</w:t>
                  </w:r>
                </w:p>
              </w:tc>
              <w:tc>
                <w:tcPr>
                  <w:tcW w:w="994" w:type="pct"/>
                  <w:vAlign w:val="center"/>
                </w:tcPr>
                <w:p>
                  <w:pPr>
                    <w:pStyle w:val="50"/>
                    <w:rPr>
                      <w:color w:val="auto"/>
                    </w:rPr>
                  </w:pPr>
                  <w:r>
                    <w:rPr>
                      <w:rFonts w:hint="eastAsia"/>
                      <w:color w:val="auto"/>
                    </w:rPr>
                    <w:t>0.075</w:t>
                  </w:r>
                </w:p>
              </w:tc>
              <w:tc>
                <w:tcPr>
                  <w:tcW w:w="921" w:type="pct"/>
                  <w:vAlign w:val="center"/>
                </w:tcPr>
                <w:p>
                  <w:pPr>
                    <w:pStyle w:val="50"/>
                    <w:rPr>
                      <w:rFonts w:hint="eastAsia" w:eastAsia="宋体"/>
                      <w:color w:val="auto"/>
                      <w:lang w:eastAsia="zh-CN"/>
                    </w:rPr>
                  </w:pPr>
                  <w:r>
                    <w:rPr>
                      <w:rFonts w:hint="eastAsia"/>
                      <w:color w:val="auto"/>
                      <w:lang w:eastAsia="zh-CN"/>
                    </w:rPr>
                    <w:t>0.18</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468" w:type="pct"/>
                  <w:vMerge w:val="continue"/>
                  <w:vAlign w:val="center"/>
                </w:tcPr>
                <w:p>
                  <w:pPr>
                    <w:pStyle w:val="57"/>
                    <w:keepNext/>
                    <w:keepLines/>
                    <w:rPr>
                      <w:color w:val="auto"/>
                    </w:rPr>
                  </w:pPr>
                </w:p>
              </w:tc>
              <w:tc>
                <w:tcPr>
                  <w:tcW w:w="751" w:type="pct"/>
                  <w:vMerge w:val="continue"/>
                  <w:vAlign w:val="center"/>
                </w:tcPr>
                <w:p>
                  <w:pPr>
                    <w:pStyle w:val="57"/>
                    <w:keepNext/>
                    <w:keepLines/>
                    <w:rPr>
                      <w:color w:val="auto"/>
                    </w:rPr>
                  </w:pPr>
                </w:p>
              </w:tc>
              <w:tc>
                <w:tcPr>
                  <w:tcW w:w="886" w:type="pct"/>
                  <w:vAlign w:val="center"/>
                </w:tcPr>
                <w:p>
                  <w:pPr>
                    <w:pStyle w:val="57"/>
                    <w:keepNext/>
                    <w:keepLines/>
                    <w:rPr>
                      <w:color w:val="auto"/>
                    </w:rPr>
                  </w:pPr>
                  <w:r>
                    <w:rPr>
                      <w:rFonts w:hint="eastAsia"/>
                      <w:color w:val="auto"/>
                      <w:lang w:val="en-US" w:eastAsia="zh-CN"/>
                    </w:rPr>
                    <w:t>VOCs（以</w:t>
                  </w:r>
                  <w:r>
                    <w:rPr>
                      <w:rFonts w:hint="eastAsia"/>
                      <w:color w:val="auto"/>
                    </w:rPr>
                    <w:t>非甲烷总烃</w:t>
                  </w:r>
                  <w:r>
                    <w:rPr>
                      <w:rFonts w:hint="eastAsia"/>
                      <w:color w:val="auto"/>
                      <w:lang w:val="en-US" w:eastAsia="zh-CN"/>
                    </w:rPr>
                    <w:t>计）</w:t>
                  </w:r>
                </w:p>
              </w:tc>
              <w:tc>
                <w:tcPr>
                  <w:tcW w:w="977" w:type="pct"/>
                  <w:vAlign w:val="center"/>
                </w:tcPr>
                <w:p>
                  <w:pPr>
                    <w:pStyle w:val="50"/>
                    <w:rPr>
                      <w:rFonts w:hint="default" w:eastAsia="宋体"/>
                      <w:color w:val="auto"/>
                      <w:lang w:val="en-US" w:eastAsia="zh-CN"/>
                    </w:rPr>
                  </w:pPr>
                  <w:r>
                    <w:rPr>
                      <w:rFonts w:hint="eastAsia"/>
                      <w:color w:val="auto"/>
                      <w:lang w:val="en-US" w:eastAsia="zh-CN"/>
                    </w:rPr>
                    <w:t>1.4</w:t>
                  </w:r>
                </w:p>
              </w:tc>
              <w:tc>
                <w:tcPr>
                  <w:tcW w:w="994" w:type="pct"/>
                  <w:vAlign w:val="center"/>
                </w:tcPr>
                <w:p>
                  <w:pPr>
                    <w:pStyle w:val="50"/>
                    <w:rPr>
                      <w:rFonts w:hint="default" w:eastAsia="宋体"/>
                      <w:color w:val="auto"/>
                      <w:lang w:val="en-US" w:eastAsia="zh-CN"/>
                    </w:rPr>
                  </w:pPr>
                  <w:r>
                    <w:rPr>
                      <w:rFonts w:hint="eastAsia"/>
                      <w:color w:val="auto"/>
                      <w:lang w:val="en-US" w:eastAsia="zh-CN"/>
                    </w:rPr>
                    <w:t>0.007</w:t>
                  </w:r>
                </w:p>
              </w:tc>
              <w:tc>
                <w:tcPr>
                  <w:tcW w:w="921" w:type="pct"/>
                  <w:vAlign w:val="center"/>
                </w:tcPr>
                <w:p>
                  <w:pPr>
                    <w:pStyle w:val="50"/>
                    <w:rPr>
                      <w:rFonts w:hint="default" w:eastAsia="宋体"/>
                      <w:color w:val="auto"/>
                      <w:lang w:val="en-US" w:eastAsia="zh-CN"/>
                    </w:rPr>
                  </w:pPr>
                  <w:r>
                    <w:rPr>
                      <w:rFonts w:hint="eastAsia"/>
                      <w:color w:val="auto"/>
                      <w:lang w:val="en-US" w:eastAsia="zh-CN"/>
                    </w:rPr>
                    <w:t>0.0168</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19" w:type="pct"/>
                  <w:gridSpan w:val="2"/>
                  <w:vMerge w:val="restart"/>
                  <w:vAlign w:val="center"/>
                </w:tcPr>
                <w:p>
                  <w:pPr>
                    <w:pStyle w:val="57"/>
                    <w:keepNext/>
                    <w:keepLines/>
                    <w:rPr>
                      <w:color w:val="auto"/>
                    </w:rPr>
                  </w:pPr>
                  <w:r>
                    <w:rPr>
                      <w:rFonts w:hint="eastAsia"/>
                      <w:color w:val="auto"/>
                    </w:rPr>
                    <w:t>一般</w:t>
                  </w:r>
                  <w:r>
                    <w:rPr>
                      <w:color w:val="auto"/>
                    </w:rPr>
                    <w:t>排放口合计</w:t>
                  </w:r>
                </w:p>
              </w:tc>
              <w:tc>
                <w:tcPr>
                  <w:tcW w:w="5304" w:type="dxa"/>
                  <w:gridSpan w:val="3"/>
                  <w:vAlign w:val="center"/>
                </w:tcPr>
                <w:p>
                  <w:pPr>
                    <w:pStyle w:val="57"/>
                    <w:keepNext/>
                    <w:keepLines/>
                    <w:rPr>
                      <w:color w:val="auto"/>
                    </w:rPr>
                  </w:pPr>
                  <w:r>
                    <w:rPr>
                      <w:rFonts w:hint="eastAsia"/>
                      <w:color w:val="auto"/>
                    </w:rPr>
                    <w:t>颗粒物</w:t>
                  </w:r>
                </w:p>
              </w:tc>
              <w:tc>
                <w:tcPr>
                  <w:tcW w:w="921" w:type="pct"/>
                  <w:vAlign w:val="bottom"/>
                </w:tcPr>
                <w:p>
                  <w:pPr>
                    <w:pStyle w:val="50"/>
                    <w:keepNext/>
                    <w:keepLines/>
                    <w:rPr>
                      <w:rFonts w:hint="default" w:eastAsia="宋体"/>
                      <w:color w:val="auto"/>
                      <w:lang w:val="en-US" w:eastAsia="zh-CN"/>
                    </w:rPr>
                  </w:pPr>
                  <w:r>
                    <w:rPr>
                      <w:rFonts w:hint="eastAsia"/>
                      <w:color w:val="auto"/>
                      <w:lang w:val="en-US" w:eastAsia="zh-CN"/>
                    </w:rPr>
                    <w:t>0.05315</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19" w:type="pct"/>
                  <w:gridSpan w:val="2"/>
                  <w:vMerge w:val="continue"/>
                  <w:vAlign w:val="center"/>
                </w:tcPr>
                <w:p>
                  <w:pPr>
                    <w:pStyle w:val="57"/>
                    <w:keepNext/>
                    <w:keepLines/>
                    <w:rPr>
                      <w:color w:val="auto"/>
                    </w:rPr>
                  </w:pPr>
                </w:p>
              </w:tc>
              <w:tc>
                <w:tcPr>
                  <w:tcW w:w="5304" w:type="dxa"/>
                  <w:gridSpan w:val="3"/>
                  <w:vAlign w:val="center"/>
                </w:tcPr>
                <w:p>
                  <w:pPr>
                    <w:pStyle w:val="50"/>
                    <w:rPr>
                      <w:color w:val="auto"/>
                    </w:rPr>
                  </w:pPr>
                  <w:r>
                    <w:rPr>
                      <w:color w:val="auto"/>
                    </w:rPr>
                    <w:t>SO</w:t>
                  </w:r>
                  <w:r>
                    <w:rPr>
                      <w:color w:val="auto"/>
                      <w:vertAlign w:val="subscript"/>
                    </w:rPr>
                    <w:t>2</w:t>
                  </w:r>
                </w:p>
              </w:tc>
              <w:tc>
                <w:tcPr>
                  <w:tcW w:w="921" w:type="pct"/>
                  <w:vAlign w:val="bottom"/>
                </w:tcPr>
                <w:p>
                  <w:pPr>
                    <w:pStyle w:val="50"/>
                    <w:keepNext/>
                    <w:keepLines/>
                    <w:rPr>
                      <w:color w:val="auto"/>
                    </w:rPr>
                  </w:pPr>
                  <w:r>
                    <w:rPr>
                      <w:rFonts w:hint="eastAsia"/>
                      <w:color w:val="auto"/>
                      <w:lang w:eastAsia="zh-CN"/>
                    </w:rPr>
                    <w:t>0.00384</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19" w:type="pct"/>
                  <w:gridSpan w:val="2"/>
                  <w:vMerge w:val="continue"/>
                  <w:vAlign w:val="center"/>
                </w:tcPr>
                <w:p>
                  <w:pPr>
                    <w:pStyle w:val="57"/>
                    <w:keepNext/>
                    <w:keepLines/>
                    <w:rPr>
                      <w:color w:val="auto"/>
                    </w:rPr>
                  </w:pPr>
                </w:p>
              </w:tc>
              <w:tc>
                <w:tcPr>
                  <w:tcW w:w="5304" w:type="dxa"/>
                  <w:gridSpan w:val="3"/>
                  <w:vAlign w:val="center"/>
                </w:tcPr>
                <w:p>
                  <w:pPr>
                    <w:pStyle w:val="57"/>
                    <w:keepNext/>
                    <w:keepLines/>
                    <w:rPr>
                      <w:color w:val="auto"/>
                    </w:rPr>
                  </w:pPr>
                  <w:r>
                    <w:rPr>
                      <w:color w:val="auto"/>
                    </w:rPr>
                    <w:t>氮氧化物</w:t>
                  </w:r>
                </w:p>
              </w:tc>
              <w:tc>
                <w:tcPr>
                  <w:tcW w:w="921" w:type="pct"/>
                  <w:vAlign w:val="bottom"/>
                </w:tcPr>
                <w:p>
                  <w:pPr>
                    <w:pStyle w:val="50"/>
                    <w:keepNext/>
                    <w:keepLines/>
                    <w:rPr>
                      <w:rFonts w:hint="default" w:eastAsia="宋体"/>
                      <w:color w:val="auto"/>
                      <w:lang w:val="en-US" w:eastAsia="zh-CN"/>
                    </w:rPr>
                  </w:pPr>
                  <w:r>
                    <w:rPr>
                      <w:rFonts w:hint="eastAsia"/>
                      <w:color w:val="auto"/>
                      <w:lang w:val="en-US" w:eastAsia="zh-CN"/>
                    </w:rPr>
                    <w:t>0.18</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219" w:type="pct"/>
                  <w:gridSpan w:val="2"/>
                  <w:vAlign w:val="center"/>
                </w:tcPr>
                <w:p>
                  <w:pPr>
                    <w:pStyle w:val="57"/>
                    <w:keepNext/>
                    <w:keepLines/>
                    <w:rPr>
                      <w:color w:val="auto"/>
                    </w:rPr>
                  </w:pPr>
                </w:p>
              </w:tc>
              <w:tc>
                <w:tcPr>
                  <w:tcW w:w="2858" w:type="pct"/>
                  <w:gridSpan w:val="3"/>
                  <w:vAlign w:val="center"/>
                </w:tcPr>
                <w:p>
                  <w:pPr>
                    <w:pStyle w:val="50"/>
                    <w:rPr>
                      <w:color w:val="auto"/>
                    </w:rPr>
                  </w:pPr>
                  <w:r>
                    <w:rPr>
                      <w:rFonts w:hint="eastAsia"/>
                      <w:color w:val="auto"/>
                      <w:lang w:val="en-US" w:eastAsia="zh-CN"/>
                    </w:rPr>
                    <w:t>VOCs（以</w:t>
                  </w:r>
                  <w:r>
                    <w:rPr>
                      <w:rFonts w:hint="eastAsia"/>
                      <w:color w:val="auto"/>
                    </w:rPr>
                    <w:t>非甲烷总烃</w:t>
                  </w:r>
                  <w:r>
                    <w:rPr>
                      <w:rFonts w:hint="eastAsia"/>
                      <w:color w:val="auto"/>
                      <w:lang w:val="en-US" w:eastAsia="zh-CN"/>
                    </w:rPr>
                    <w:t>计）</w:t>
                  </w:r>
                </w:p>
              </w:tc>
              <w:tc>
                <w:tcPr>
                  <w:tcW w:w="921" w:type="pct"/>
                  <w:vAlign w:val="bottom"/>
                </w:tcPr>
                <w:p>
                  <w:pPr>
                    <w:pStyle w:val="50"/>
                    <w:keepNext/>
                    <w:keepLines/>
                    <w:rPr>
                      <w:rFonts w:hint="default" w:eastAsia="宋体"/>
                      <w:color w:val="auto"/>
                      <w:lang w:val="en-US" w:eastAsia="zh-CN"/>
                    </w:rPr>
                  </w:pPr>
                  <w:r>
                    <w:rPr>
                      <w:rFonts w:hint="eastAsia"/>
                      <w:color w:val="auto"/>
                      <w:lang w:val="en-US" w:eastAsia="zh-CN"/>
                    </w:rPr>
                    <w:t>0.0168</w:t>
                  </w:r>
                </w:p>
              </w:tc>
            </w:tr>
          </w:tbl>
          <w:p>
            <w:pPr>
              <w:keepNext/>
              <w:keepLines/>
              <w:ind w:firstLine="480"/>
              <w:rPr>
                <w:color w:val="auto"/>
              </w:rPr>
            </w:pPr>
            <w:r>
              <w:rPr>
                <w:color w:val="auto"/>
              </w:rPr>
              <w:t>大气污染物无组织排放量核算见表7</w:t>
            </w:r>
            <w:r>
              <w:rPr>
                <w:rFonts w:hint="eastAsia"/>
                <w:color w:val="auto"/>
              </w:rPr>
              <w:t>-17</w:t>
            </w:r>
            <w:r>
              <w:rPr>
                <w:color w:val="auto"/>
              </w:rPr>
              <w:t>。</w:t>
            </w:r>
          </w:p>
          <w:p>
            <w:pPr>
              <w:pStyle w:val="48"/>
              <w:keepNext/>
              <w:keepLines/>
              <w:ind w:firstLine="422"/>
              <w:rPr>
                <w:color w:val="auto"/>
              </w:rPr>
            </w:pPr>
            <w:r>
              <w:rPr>
                <w:color w:val="auto"/>
              </w:rPr>
              <w:t>表7</w:t>
            </w:r>
            <w:r>
              <w:rPr>
                <w:rFonts w:hint="eastAsia"/>
                <w:color w:val="auto"/>
              </w:rPr>
              <w:t>-17</w:t>
            </w:r>
            <w:r>
              <w:rPr>
                <w:color w:val="auto"/>
              </w:rPr>
              <w:t xml:space="preserve"> 大气污染物无组织排放量核算表</w:t>
            </w:r>
          </w:p>
          <w:tbl>
            <w:tblPr>
              <w:tblStyle w:val="36"/>
              <w:tblW w:w="4995" w:type="pct"/>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446"/>
              <w:gridCol w:w="657"/>
              <w:gridCol w:w="978"/>
              <w:gridCol w:w="211"/>
              <w:gridCol w:w="487"/>
              <w:gridCol w:w="1085"/>
              <w:gridCol w:w="1998"/>
              <w:gridCol w:w="1393"/>
              <w:gridCol w:w="1106"/>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266" w:type="pct"/>
                  <w:vMerge w:val="restart"/>
                  <w:vAlign w:val="center"/>
                </w:tcPr>
                <w:p>
                  <w:pPr>
                    <w:pStyle w:val="57"/>
                    <w:keepNext/>
                    <w:keepLines/>
                    <w:rPr>
                      <w:color w:val="auto"/>
                    </w:rPr>
                  </w:pPr>
                  <w:r>
                    <w:rPr>
                      <w:color w:val="auto"/>
                    </w:rPr>
                    <w:t>序号</w:t>
                  </w:r>
                </w:p>
              </w:tc>
              <w:tc>
                <w:tcPr>
                  <w:tcW w:w="392" w:type="pct"/>
                  <w:vMerge w:val="restart"/>
                  <w:vAlign w:val="center"/>
                </w:tcPr>
                <w:p>
                  <w:pPr>
                    <w:pStyle w:val="57"/>
                    <w:keepNext/>
                    <w:keepLines/>
                    <w:rPr>
                      <w:color w:val="auto"/>
                    </w:rPr>
                  </w:pPr>
                  <w:r>
                    <w:rPr>
                      <w:color w:val="auto"/>
                    </w:rPr>
                    <w:t>排放口编号</w:t>
                  </w:r>
                </w:p>
              </w:tc>
              <w:tc>
                <w:tcPr>
                  <w:tcW w:w="585" w:type="pct"/>
                  <w:vMerge w:val="restart"/>
                  <w:vAlign w:val="center"/>
                </w:tcPr>
                <w:p>
                  <w:pPr>
                    <w:pStyle w:val="57"/>
                    <w:keepNext/>
                    <w:keepLines/>
                    <w:rPr>
                      <w:color w:val="auto"/>
                    </w:rPr>
                  </w:pPr>
                  <w:r>
                    <w:rPr>
                      <w:color w:val="auto"/>
                    </w:rPr>
                    <w:t>产污环节</w:t>
                  </w:r>
                </w:p>
              </w:tc>
              <w:tc>
                <w:tcPr>
                  <w:tcW w:w="417" w:type="pct"/>
                  <w:gridSpan w:val="2"/>
                  <w:vMerge w:val="restart"/>
                  <w:vAlign w:val="center"/>
                </w:tcPr>
                <w:p>
                  <w:pPr>
                    <w:pStyle w:val="57"/>
                    <w:keepNext/>
                    <w:keepLines/>
                    <w:rPr>
                      <w:color w:val="auto"/>
                    </w:rPr>
                  </w:pPr>
                  <w:r>
                    <w:rPr>
                      <w:color w:val="auto"/>
                    </w:rPr>
                    <w:t>污染物</w:t>
                  </w:r>
                </w:p>
              </w:tc>
              <w:tc>
                <w:tcPr>
                  <w:tcW w:w="649" w:type="pct"/>
                  <w:vMerge w:val="restart"/>
                  <w:vAlign w:val="center"/>
                </w:tcPr>
                <w:p>
                  <w:pPr>
                    <w:pStyle w:val="57"/>
                    <w:keepNext/>
                    <w:keepLines/>
                    <w:rPr>
                      <w:color w:val="auto"/>
                    </w:rPr>
                  </w:pPr>
                  <w:r>
                    <w:rPr>
                      <w:color w:val="auto"/>
                    </w:rPr>
                    <w:t>主要污染防治措施</w:t>
                  </w:r>
                </w:p>
              </w:tc>
              <w:tc>
                <w:tcPr>
                  <w:tcW w:w="2027" w:type="pct"/>
                  <w:gridSpan w:val="2"/>
                  <w:vAlign w:val="center"/>
                </w:tcPr>
                <w:p>
                  <w:pPr>
                    <w:pStyle w:val="57"/>
                    <w:keepNext/>
                    <w:keepLines/>
                    <w:rPr>
                      <w:color w:val="auto"/>
                    </w:rPr>
                  </w:pPr>
                  <w:r>
                    <w:rPr>
                      <w:color w:val="auto"/>
                    </w:rPr>
                    <w:t>国家或地方污染物排放标准</w:t>
                  </w:r>
                </w:p>
              </w:tc>
              <w:tc>
                <w:tcPr>
                  <w:tcW w:w="661" w:type="pct"/>
                  <w:vMerge w:val="restart"/>
                  <w:vAlign w:val="center"/>
                </w:tcPr>
                <w:p>
                  <w:pPr>
                    <w:pStyle w:val="57"/>
                    <w:keepNext/>
                    <w:keepLines/>
                    <w:rPr>
                      <w:color w:val="auto"/>
                    </w:rPr>
                  </w:pPr>
                  <w:r>
                    <w:rPr>
                      <w:color w:val="auto"/>
                    </w:rPr>
                    <w:t>年排放量</w:t>
                  </w:r>
                </w:p>
                <w:p>
                  <w:pPr>
                    <w:pStyle w:val="57"/>
                    <w:keepNext/>
                    <w:keepLines/>
                    <w:rPr>
                      <w:color w:val="auto"/>
                    </w:rPr>
                  </w:pPr>
                  <w:r>
                    <w:rPr>
                      <w:color w:val="auto"/>
                    </w:rPr>
                    <w:t>（t/a）</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66" w:type="pct"/>
                  <w:vMerge w:val="continue"/>
                  <w:vAlign w:val="center"/>
                </w:tcPr>
                <w:p>
                  <w:pPr>
                    <w:pStyle w:val="57"/>
                    <w:keepNext/>
                    <w:keepLines/>
                    <w:rPr>
                      <w:color w:val="auto"/>
                    </w:rPr>
                  </w:pPr>
                </w:p>
              </w:tc>
              <w:tc>
                <w:tcPr>
                  <w:tcW w:w="392" w:type="pct"/>
                  <w:vMerge w:val="continue"/>
                  <w:vAlign w:val="center"/>
                </w:tcPr>
                <w:p>
                  <w:pPr>
                    <w:pStyle w:val="57"/>
                    <w:keepNext/>
                    <w:keepLines/>
                    <w:rPr>
                      <w:color w:val="auto"/>
                    </w:rPr>
                  </w:pPr>
                </w:p>
              </w:tc>
              <w:tc>
                <w:tcPr>
                  <w:tcW w:w="585" w:type="pct"/>
                  <w:vMerge w:val="continue"/>
                  <w:vAlign w:val="center"/>
                </w:tcPr>
                <w:p>
                  <w:pPr>
                    <w:pStyle w:val="57"/>
                    <w:keepNext/>
                    <w:keepLines/>
                    <w:rPr>
                      <w:color w:val="auto"/>
                    </w:rPr>
                  </w:pPr>
                </w:p>
              </w:tc>
              <w:tc>
                <w:tcPr>
                  <w:tcW w:w="417" w:type="pct"/>
                  <w:gridSpan w:val="2"/>
                  <w:vMerge w:val="continue"/>
                  <w:vAlign w:val="center"/>
                </w:tcPr>
                <w:p>
                  <w:pPr>
                    <w:pStyle w:val="57"/>
                    <w:keepNext/>
                    <w:keepLines/>
                    <w:rPr>
                      <w:color w:val="auto"/>
                    </w:rPr>
                  </w:pPr>
                </w:p>
              </w:tc>
              <w:tc>
                <w:tcPr>
                  <w:tcW w:w="649" w:type="pct"/>
                  <w:vMerge w:val="continue"/>
                  <w:vAlign w:val="center"/>
                </w:tcPr>
                <w:p>
                  <w:pPr>
                    <w:pStyle w:val="57"/>
                    <w:keepNext/>
                    <w:keepLines/>
                    <w:rPr>
                      <w:color w:val="auto"/>
                    </w:rPr>
                  </w:pPr>
                </w:p>
              </w:tc>
              <w:tc>
                <w:tcPr>
                  <w:tcW w:w="1194" w:type="pct"/>
                  <w:vAlign w:val="center"/>
                </w:tcPr>
                <w:p>
                  <w:pPr>
                    <w:pStyle w:val="57"/>
                    <w:keepNext/>
                    <w:keepLines/>
                    <w:rPr>
                      <w:color w:val="auto"/>
                    </w:rPr>
                  </w:pPr>
                  <w:r>
                    <w:rPr>
                      <w:color w:val="auto"/>
                    </w:rPr>
                    <w:t>标准名称</w:t>
                  </w:r>
                </w:p>
              </w:tc>
              <w:tc>
                <w:tcPr>
                  <w:tcW w:w="833" w:type="pct"/>
                  <w:vAlign w:val="center"/>
                </w:tcPr>
                <w:p>
                  <w:pPr>
                    <w:pStyle w:val="57"/>
                    <w:keepNext/>
                    <w:keepLines/>
                    <w:rPr>
                      <w:color w:val="auto"/>
                    </w:rPr>
                  </w:pPr>
                  <w:r>
                    <w:rPr>
                      <w:color w:val="auto"/>
                    </w:rPr>
                    <w:t>浓度限值</w:t>
                  </w:r>
                </w:p>
                <w:p>
                  <w:pPr>
                    <w:pStyle w:val="57"/>
                    <w:keepNext/>
                    <w:keepLines/>
                    <w:rPr>
                      <w:color w:val="auto"/>
                    </w:rPr>
                  </w:pPr>
                  <w:r>
                    <w:rPr>
                      <w:color w:val="auto"/>
                    </w:rPr>
                    <w:t>mg/m³</w:t>
                  </w:r>
                </w:p>
              </w:tc>
              <w:tc>
                <w:tcPr>
                  <w:tcW w:w="661" w:type="pct"/>
                  <w:vMerge w:val="continue"/>
                  <w:vAlign w:val="center"/>
                </w:tcPr>
                <w:p>
                  <w:pPr>
                    <w:pStyle w:val="57"/>
                    <w:keepNext/>
                    <w:keepLines/>
                    <w:rPr>
                      <w:color w:val="auto"/>
                    </w:rPr>
                  </w:pP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371" w:hRule="atLeast"/>
                <w:jc w:val="center"/>
              </w:trPr>
              <w:tc>
                <w:tcPr>
                  <w:tcW w:w="266" w:type="pct"/>
                  <w:vAlign w:val="center"/>
                </w:tcPr>
                <w:p>
                  <w:pPr>
                    <w:pStyle w:val="57"/>
                    <w:keepNext/>
                    <w:keepLines/>
                    <w:rPr>
                      <w:color w:val="auto"/>
                    </w:rPr>
                  </w:pPr>
                  <w:r>
                    <w:rPr>
                      <w:color w:val="auto"/>
                    </w:rPr>
                    <w:t>1</w:t>
                  </w:r>
                </w:p>
              </w:tc>
              <w:tc>
                <w:tcPr>
                  <w:tcW w:w="392" w:type="pct"/>
                  <w:vMerge w:val="restart"/>
                  <w:vAlign w:val="center"/>
                </w:tcPr>
                <w:p>
                  <w:pPr>
                    <w:pStyle w:val="57"/>
                    <w:keepNext/>
                    <w:keepLines/>
                    <w:rPr>
                      <w:color w:val="auto"/>
                    </w:rPr>
                  </w:pPr>
                  <w:r>
                    <w:rPr>
                      <w:color w:val="auto"/>
                    </w:rPr>
                    <w:t>生产车间矩形面源</w:t>
                  </w:r>
                </w:p>
              </w:tc>
              <w:tc>
                <w:tcPr>
                  <w:tcW w:w="585" w:type="pct"/>
                  <w:vAlign w:val="center"/>
                </w:tcPr>
                <w:p>
                  <w:pPr>
                    <w:pStyle w:val="57"/>
                    <w:keepNext/>
                    <w:keepLines/>
                    <w:rPr>
                      <w:color w:val="auto"/>
                    </w:rPr>
                  </w:pPr>
                  <w:r>
                    <w:rPr>
                      <w:rFonts w:hint="eastAsia"/>
                      <w:color w:val="auto"/>
                    </w:rPr>
                    <w:t>焊接烟尘</w:t>
                  </w:r>
                </w:p>
              </w:tc>
              <w:tc>
                <w:tcPr>
                  <w:tcW w:w="417" w:type="pct"/>
                  <w:gridSpan w:val="2"/>
                  <w:vAlign w:val="center"/>
                </w:tcPr>
                <w:p>
                  <w:pPr>
                    <w:pStyle w:val="57"/>
                    <w:keepNext/>
                    <w:keepLines/>
                    <w:rPr>
                      <w:color w:val="auto"/>
                    </w:rPr>
                  </w:pPr>
                  <w:r>
                    <w:rPr>
                      <w:rFonts w:hint="eastAsia"/>
                      <w:color w:val="auto"/>
                    </w:rPr>
                    <w:t>颗粒物</w:t>
                  </w:r>
                </w:p>
              </w:tc>
              <w:tc>
                <w:tcPr>
                  <w:tcW w:w="649" w:type="pct"/>
                  <w:vMerge w:val="restart"/>
                  <w:vAlign w:val="center"/>
                </w:tcPr>
                <w:p>
                  <w:pPr>
                    <w:pStyle w:val="57"/>
                    <w:keepNext/>
                    <w:keepLines/>
                    <w:rPr>
                      <w:color w:val="auto"/>
                    </w:rPr>
                  </w:pPr>
                  <w:r>
                    <w:rPr>
                      <w:color w:val="auto"/>
                    </w:rPr>
                    <w:t>加强通风</w:t>
                  </w:r>
                </w:p>
              </w:tc>
              <w:tc>
                <w:tcPr>
                  <w:tcW w:w="1194" w:type="pct"/>
                  <w:vMerge w:val="restart"/>
                  <w:vAlign w:val="center"/>
                </w:tcPr>
                <w:p>
                  <w:pPr>
                    <w:pStyle w:val="57"/>
                    <w:keepNext/>
                    <w:keepLines/>
                    <w:rPr>
                      <w:color w:val="auto"/>
                    </w:rPr>
                  </w:pPr>
                  <w:r>
                    <w:rPr>
                      <w:rFonts w:hint="eastAsia"/>
                      <w:color w:val="auto"/>
                    </w:rPr>
                    <w:t>《</w:t>
                  </w:r>
                  <w:r>
                    <w:rPr>
                      <w:color w:val="auto"/>
                    </w:rPr>
                    <w:t>大气污染物综合排放标准</w:t>
                  </w:r>
                  <w:r>
                    <w:rPr>
                      <w:rFonts w:hint="eastAsia"/>
                      <w:color w:val="auto"/>
                    </w:rPr>
                    <w:t>》</w:t>
                  </w:r>
                  <w:r>
                    <w:rPr>
                      <w:color w:val="auto"/>
                    </w:rPr>
                    <w:t>（GB16297-1996）</w:t>
                  </w:r>
                </w:p>
              </w:tc>
              <w:tc>
                <w:tcPr>
                  <w:tcW w:w="833" w:type="pct"/>
                  <w:vAlign w:val="center"/>
                </w:tcPr>
                <w:p>
                  <w:pPr>
                    <w:pStyle w:val="57"/>
                    <w:keepNext/>
                    <w:keepLines/>
                    <w:rPr>
                      <w:color w:val="auto"/>
                    </w:rPr>
                  </w:pPr>
                  <w:r>
                    <w:rPr>
                      <w:color w:val="auto"/>
                    </w:rPr>
                    <w:t>/</w:t>
                  </w:r>
                </w:p>
              </w:tc>
              <w:tc>
                <w:tcPr>
                  <w:tcW w:w="661" w:type="pct"/>
                  <w:vAlign w:val="center"/>
                </w:tcPr>
                <w:p>
                  <w:pPr>
                    <w:pStyle w:val="50"/>
                    <w:rPr>
                      <w:color w:val="auto"/>
                    </w:rPr>
                  </w:pPr>
                  <w:r>
                    <w:rPr>
                      <w:rFonts w:hint="eastAsia"/>
                      <w:color w:val="auto"/>
                    </w:rPr>
                    <w:t>0.00576</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66" w:type="pct"/>
                  <w:vAlign w:val="center"/>
                </w:tcPr>
                <w:p>
                  <w:pPr>
                    <w:pStyle w:val="57"/>
                    <w:keepNext/>
                    <w:keepLines/>
                    <w:rPr>
                      <w:color w:val="auto"/>
                    </w:rPr>
                  </w:pPr>
                  <w:r>
                    <w:rPr>
                      <w:color w:val="auto"/>
                    </w:rPr>
                    <w:t>2</w:t>
                  </w:r>
                </w:p>
              </w:tc>
              <w:tc>
                <w:tcPr>
                  <w:tcW w:w="392" w:type="pct"/>
                  <w:vMerge w:val="continue"/>
                  <w:vAlign w:val="center"/>
                </w:tcPr>
                <w:p>
                  <w:pPr>
                    <w:pStyle w:val="57"/>
                    <w:keepNext/>
                    <w:keepLines/>
                    <w:rPr>
                      <w:color w:val="auto"/>
                    </w:rPr>
                  </w:pPr>
                </w:p>
              </w:tc>
              <w:tc>
                <w:tcPr>
                  <w:tcW w:w="585" w:type="pct"/>
                  <w:vAlign w:val="center"/>
                </w:tcPr>
                <w:p>
                  <w:pPr>
                    <w:pStyle w:val="57"/>
                    <w:keepNext/>
                    <w:keepLines/>
                    <w:rPr>
                      <w:color w:val="auto"/>
                    </w:rPr>
                  </w:pPr>
                  <w:r>
                    <w:rPr>
                      <w:color w:val="auto"/>
                    </w:rPr>
                    <w:t>喷</w:t>
                  </w:r>
                  <w:r>
                    <w:rPr>
                      <w:rFonts w:hint="eastAsia"/>
                      <w:color w:val="auto"/>
                    </w:rPr>
                    <w:t>塑粉尘</w:t>
                  </w:r>
                </w:p>
              </w:tc>
              <w:tc>
                <w:tcPr>
                  <w:tcW w:w="417" w:type="pct"/>
                  <w:gridSpan w:val="2"/>
                  <w:vAlign w:val="center"/>
                </w:tcPr>
                <w:p>
                  <w:pPr>
                    <w:pStyle w:val="57"/>
                    <w:keepNext/>
                    <w:keepLines/>
                    <w:rPr>
                      <w:color w:val="auto"/>
                    </w:rPr>
                  </w:pPr>
                  <w:r>
                    <w:rPr>
                      <w:rFonts w:hint="eastAsia"/>
                      <w:color w:val="auto"/>
                    </w:rPr>
                    <w:t>颗粒物</w:t>
                  </w:r>
                </w:p>
              </w:tc>
              <w:tc>
                <w:tcPr>
                  <w:tcW w:w="649" w:type="pct"/>
                  <w:vMerge w:val="continue"/>
                  <w:vAlign w:val="center"/>
                </w:tcPr>
                <w:p>
                  <w:pPr>
                    <w:pStyle w:val="57"/>
                    <w:keepNext/>
                    <w:keepLines/>
                    <w:rPr>
                      <w:color w:val="auto"/>
                    </w:rPr>
                  </w:pPr>
                </w:p>
              </w:tc>
              <w:tc>
                <w:tcPr>
                  <w:tcW w:w="1194" w:type="pct"/>
                  <w:vMerge w:val="continue"/>
                  <w:vAlign w:val="center"/>
                </w:tcPr>
                <w:p>
                  <w:pPr>
                    <w:pStyle w:val="57"/>
                    <w:keepNext/>
                    <w:keepLines/>
                    <w:rPr>
                      <w:color w:val="auto"/>
                    </w:rPr>
                  </w:pPr>
                </w:p>
              </w:tc>
              <w:tc>
                <w:tcPr>
                  <w:tcW w:w="833" w:type="pct"/>
                  <w:vAlign w:val="center"/>
                </w:tcPr>
                <w:p>
                  <w:pPr>
                    <w:pStyle w:val="57"/>
                    <w:keepNext/>
                    <w:keepLines/>
                    <w:rPr>
                      <w:color w:val="auto"/>
                    </w:rPr>
                  </w:pPr>
                  <w:r>
                    <w:rPr>
                      <w:rFonts w:hint="eastAsia"/>
                      <w:color w:val="auto"/>
                    </w:rPr>
                    <w:t>/</w:t>
                  </w:r>
                </w:p>
              </w:tc>
              <w:tc>
                <w:tcPr>
                  <w:tcW w:w="661" w:type="pct"/>
                  <w:vAlign w:val="center"/>
                </w:tcPr>
                <w:p>
                  <w:pPr>
                    <w:pStyle w:val="50"/>
                    <w:rPr>
                      <w:color w:val="auto"/>
                    </w:rPr>
                  </w:pPr>
                  <w:r>
                    <w:rPr>
                      <w:rFonts w:hint="eastAsia"/>
                      <w:color w:val="auto"/>
                    </w:rPr>
                    <w:t>0.28</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5000" w:type="pct"/>
                  <w:gridSpan w:val="9"/>
                  <w:vAlign w:val="center"/>
                </w:tcPr>
                <w:p>
                  <w:pPr>
                    <w:pStyle w:val="50"/>
                    <w:rPr>
                      <w:color w:val="auto"/>
                    </w:rPr>
                  </w:pPr>
                  <w:r>
                    <w:rPr>
                      <w:color w:val="auto"/>
                    </w:rPr>
                    <w:t>无组织排放总计</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jc w:val="center"/>
              </w:trPr>
              <w:tc>
                <w:tcPr>
                  <w:tcW w:w="1370" w:type="pct"/>
                  <w:gridSpan w:val="4"/>
                  <w:vAlign w:val="center"/>
                </w:tcPr>
                <w:p>
                  <w:pPr>
                    <w:pStyle w:val="50"/>
                    <w:rPr>
                      <w:color w:val="auto"/>
                    </w:rPr>
                  </w:pPr>
                  <w:r>
                    <w:rPr>
                      <w:color w:val="auto"/>
                    </w:rPr>
                    <w:t>无组织排放总计</w:t>
                  </w:r>
                </w:p>
              </w:tc>
              <w:tc>
                <w:tcPr>
                  <w:tcW w:w="2968" w:type="pct"/>
                  <w:gridSpan w:val="4"/>
                  <w:vAlign w:val="center"/>
                </w:tcPr>
                <w:p>
                  <w:pPr>
                    <w:pStyle w:val="57"/>
                    <w:keepNext/>
                    <w:keepLines/>
                    <w:rPr>
                      <w:color w:val="auto"/>
                    </w:rPr>
                  </w:pPr>
                  <w:r>
                    <w:rPr>
                      <w:rFonts w:hint="eastAsia"/>
                      <w:color w:val="auto"/>
                    </w:rPr>
                    <w:t>颗粒物</w:t>
                  </w:r>
                </w:p>
              </w:tc>
              <w:tc>
                <w:tcPr>
                  <w:tcW w:w="661" w:type="pct"/>
                  <w:vAlign w:val="center"/>
                </w:tcPr>
                <w:p>
                  <w:pPr>
                    <w:pStyle w:val="50"/>
                    <w:keepNext/>
                    <w:keepLines/>
                    <w:rPr>
                      <w:color w:val="auto"/>
                    </w:rPr>
                  </w:pPr>
                  <w:r>
                    <w:rPr>
                      <w:rFonts w:hint="eastAsia"/>
                      <w:color w:val="auto"/>
                    </w:rPr>
                    <w:t>0.286</w:t>
                  </w:r>
                </w:p>
              </w:tc>
            </w:tr>
          </w:tbl>
          <w:p>
            <w:pPr>
              <w:keepNext/>
              <w:keepLines/>
              <w:ind w:firstLine="480"/>
              <w:rPr>
                <w:color w:val="auto"/>
              </w:rPr>
            </w:pPr>
            <w:r>
              <w:rPr>
                <w:color w:val="auto"/>
              </w:rPr>
              <w:t>大气污染物年排放量核算见表7</w:t>
            </w:r>
            <w:r>
              <w:rPr>
                <w:rFonts w:hint="eastAsia"/>
                <w:color w:val="auto"/>
              </w:rPr>
              <w:t>-18</w:t>
            </w:r>
            <w:r>
              <w:rPr>
                <w:color w:val="auto"/>
              </w:rPr>
              <w:t>。</w:t>
            </w:r>
          </w:p>
          <w:p>
            <w:pPr>
              <w:pStyle w:val="48"/>
              <w:keepNext/>
              <w:keepLines/>
              <w:ind w:firstLine="422"/>
              <w:rPr>
                <w:color w:val="auto"/>
              </w:rPr>
            </w:pPr>
            <w:r>
              <w:rPr>
                <w:color w:val="auto"/>
              </w:rPr>
              <w:t>表7</w:t>
            </w:r>
            <w:r>
              <w:rPr>
                <w:rFonts w:hint="eastAsia"/>
                <w:color w:val="auto"/>
              </w:rPr>
              <w:t>-18</w:t>
            </w:r>
            <w:r>
              <w:rPr>
                <w:color w:val="auto"/>
              </w:rPr>
              <w:t xml:space="preserve">  大气污染物年排放量核算表</w:t>
            </w:r>
          </w:p>
          <w:tbl>
            <w:tblPr>
              <w:tblStyle w:val="36"/>
              <w:tblW w:w="4998" w:type="pct"/>
              <w:tblInd w:w="-15" w:type="dxa"/>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fixed"/>
              <w:tblCellMar>
                <w:top w:w="0" w:type="dxa"/>
                <w:left w:w="0" w:type="dxa"/>
                <w:bottom w:w="0" w:type="dxa"/>
                <w:right w:w="0" w:type="dxa"/>
              </w:tblCellMar>
            </w:tblPr>
            <w:tblGrid>
              <w:gridCol w:w="2620"/>
              <w:gridCol w:w="2419"/>
              <w:gridCol w:w="3327"/>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65" w:type="pct"/>
                </w:tcPr>
                <w:p>
                  <w:pPr>
                    <w:pStyle w:val="57"/>
                    <w:keepNext/>
                    <w:keepLines/>
                    <w:rPr>
                      <w:color w:val="auto"/>
                    </w:rPr>
                  </w:pPr>
                  <w:r>
                    <w:rPr>
                      <w:color w:val="auto"/>
                    </w:rPr>
                    <w:t>序号</w:t>
                  </w:r>
                </w:p>
              </w:tc>
              <w:tc>
                <w:tcPr>
                  <w:tcW w:w="1445" w:type="pct"/>
                </w:tcPr>
                <w:p>
                  <w:pPr>
                    <w:pStyle w:val="57"/>
                    <w:keepNext/>
                    <w:keepLines/>
                    <w:rPr>
                      <w:color w:val="auto"/>
                    </w:rPr>
                  </w:pPr>
                  <w:r>
                    <w:rPr>
                      <w:color w:val="auto"/>
                    </w:rPr>
                    <w:t>污染物</w:t>
                  </w:r>
                </w:p>
              </w:tc>
              <w:tc>
                <w:tcPr>
                  <w:tcW w:w="1988" w:type="pct"/>
                </w:tcPr>
                <w:p>
                  <w:pPr>
                    <w:pStyle w:val="57"/>
                    <w:keepNext/>
                    <w:keepLines/>
                    <w:rPr>
                      <w:color w:val="auto"/>
                    </w:rPr>
                  </w:pPr>
                  <w:r>
                    <w:rPr>
                      <w:color w:val="auto"/>
                    </w:rPr>
                    <w:t>年排放量（t/a）</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65" w:type="pct"/>
                </w:tcPr>
                <w:p>
                  <w:pPr>
                    <w:pStyle w:val="57"/>
                    <w:keepNext/>
                    <w:keepLines/>
                    <w:rPr>
                      <w:color w:val="auto"/>
                    </w:rPr>
                  </w:pPr>
                  <w:r>
                    <w:rPr>
                      <w:rFonts w:hint="eastAsia"/>
                      <w:color w:val="auto"/>
                    </w:rPr>
                    <w:t>1</w:t>
                  </w:r>
                </w:p>
              </w:tc>
              <w:tc>
                <w:tcPr>
                  <w:tcW w:w="1445" w:type="pct"/>
                  <w:vAlign w:val="center"/>
                </w:tcPr>
                <w:p>
                  <w:pPr>
                    <w:pStyle w:val="57"/>
                    <w:keepNext/>
                    <w:keepLines/>
                    <w:rPr>
                      <w:color w:val="auto"/>
                    </w:rPr>
                  </w:pPr>
                  <w:r>
                    <w:rPr>
                      <w:rFonts w:hint="eastAsia"/>
                      <w:color w:val="auto"/>
                      <w:lang w:val="en-US" w:eastAsia="zh-CN"/>
                    </w:rPr>
                    <w:t>VOCs（以</w:t>
                  </w:r>
                  <w:r>
                    <w:rPr>
                      <w:rFonts w:hint="eastAsia"/>
                      <w:color w:val="auto"/>
                    </w:rPr>
                    <w:t>非甲烷总烃</w:t>
                  </w:r>
                  <w:r>
                    <w:rPr>
                      <w:rFonts w:hint="eastAsia"/>
                      <w:color w:val="auto"/>
                      <w:lang w:val="en-US" w:eastAsia="zh-CN"/>
                    </w:rPr>
                    <w:t>计）</w:t>
                  </w:r>
                </w:p>
              </w:tc>
              <w:tc>
                <w:tcPr>
                  <w:tcW w:w="3607" w:type="dxa"/>
                  <w:vAlign w:val="bottom"/>
                </w:tcPr>
                <w:p>
                  <w:pPr>
                    <w:pStyle w:val="50"/>
                    <w:keepNext/>
                    <w:keepLines/>
                    <w:rPr>
                      <w:rFonts w:hint="default" w:eastAsia="宋体"/>
                      <w:color w:val="auto"/>
                      <w:lang w:val="en-US" w:eastAsia="zh-CN"/>
                    </w:rPr>
                  </w:pPr>
                  <w:r>
                    <w:rPr>
                      <w:rFonts w:hint="eastAsia"/>
                      <w:color w:val="auto"/>
                      <w:lang w:val="en-US" w:eastAsia="zh-CN"/>
                    </w:rPr>
                    <w:t>0.0168</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65" w:type="pct"/>
                </w:tcPr>
                <w:p>
                  <w:pPr>
                    <w:pStyle w:val="57"/>
                    <w:keepNext/>
                    <w:keepLines/>
                    <w:rPr>
                      <w:color w:val="auto"/>
                    </w:rPr>
                  </w:pPr>
                  <w:r>
                    <w:rPr>
                      <w:rFonts w:hint="eastAsia"/>
                      <w:color w:val="auto"/>
                    </w:rPr>
                    <w:t>2</w:t>
                  </w:r>
                </w:p>
              </w:tc>
              <w:tc>
                <w:tcPr>
                  <w:tcW w:w="1445" w:type="pct"/>
                  <w:vAlign w:val="center"/>
                </w:tcPr>
                <w:p>
                  <w:pPr>
                    <w:pStyle w:val="57"/>
                    <w:keepNext/>
                    <w:keepLines/>
                    <w:rPr>
                      <w:color w:val="auto"/>
                    </w:rPr>
                  </w:pPr>
                  <w:r>
                    <w:rPr>
                      <w:rFonts w:hint="eastAsia"/>
                      <w:color w:val="auto"/>
                    </w:rPr>
                    <w:t>颗粒物</w:t>
                  </w:r>
                </w:p>
              </w:tc>
              <w:tc>
                <w:tcPr>
                  <w:tcW w:w="3607" w:type="dxa"/>
                  <w:vAlign w:val="bottom"/>
                </w:tcPr>
                <w:p>
                  <w:pPr>
                    <w:pStyle w:val="50"/>
                    <w:keepNext/>
                    <w:keepLines/>
                    <w:rPr>
                      <w:rFonts w:hint="default" w:eastAsia="宋体"/>
                      <w:color w:val="auto"/>
                      <w:lang w:val="en-US" w:eastAsia="zh-CN"/>
                    </w:rPr>
                  </w:pPr>
                  <w:r>
                    <w:rPr>
                      <w:rFonts w:hint="eastAsia"/>
                      <w:color w:val="auto"/>
                      <w:lang w:val="en-US" w:eastAsia="zh-CN"/>
                    </w:rPr>
                    <w:t>0.3392</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65" w:type="pct"/>
                </w:tcPr>
                <w:p>
                  <w:pPr>
                    <w:pStyle w:val="57"/>
                    <w:keepNext/>
                    <w:keepLines/>
                    <w:rPr>
                      <w:color w:val="auto"/>
                    </w:rPr>
                  </w:pPr>
                  <w:r>
                    <w:rPr>
                      <w:color w:val="auto"/>
                    </w:rPr>
                    <w:t>3</w:t>
                  </w:r>
                </w:p>
              </w:tc>
              <w:tc>
                <w:tcPr>
                  <w:tcW w:w="2592" w:type="dxa"/>
                  <w:vAlign w:val="center"/>
                </w:tcPr>
                <w:p>
                  <w:pPr>
                    <w:pStyle w:val="50"/>
                    <w:rPr>
                      <w:color w:val="auto"/>
                    </w:rPr>
                  </w:pPr>
                  <w:r>
                    <w:rPr>
                      <w:color w:val="auto"/>
                    </w:rPr>
                    <w:t>SO</w:t>
                  </w:r>
                  <w:r>
                    <w:rPr>
                      <w:color w:val="auto"/>
                      <w:vertAlign w:val="subscript"/>
                    </w:rPr>
                    <w:t>2</w:t>
                  </w:r>
                </w:p>
              </w:tc>
              <w:tc>
                <w:tcPr>
                  <w:tcW w:w="3607" w:type="dxa"/>
                  <w:vAlign w:val="bottom"/>
                </w:tcPr>
                <w:p>
                  <w:pPr>
                    <w:pStyle w:val="50"/>
                    <w:keepNext/>
                    <w:keepLines/>
                    <w:rPr>
                      <w:rFonts w:hint="eastAsia" w:eastAsia="宋体"/>
                      <w:color w:val="auto"/>
                      <w:lang w:eastAsia="zh-CN"/>
                    </w:rPr>
                  </w:pPr>
                  <w:r>
                    <w:rPr>
                      <w:rFonts w:hint="eastAsia"/>
                      <w:color w:val="auto"/>
                      <w:lang w:eastAsia="zh-CN"/>
                    </w:rPr>
                    <w:t>0.00384</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1565" w:type="pct"/>
                </w:tcPr>
                <w:p>
                  <w:pPr>
                    <w:pStyle w:val="57"/>
                    <w:keepNext/>
                    <w:keepLines/>
                    <w:rPr>
                      <w:color w:val="auto"/>
                    </w:rPr>
                  </w:pPr>
                  <w:r>
                    <w:rPr>
                      <w:rFonts w:hint="eastAsia"/>
                      <w:color w:val="auto"/>
                    </w:rPr>
                    <w:t>4</w:t>
                  </w:r>
                </w:p>
              </w:tc>
              <w:tc>
                <w:tcPr>
                  <w:tcW w:w="2592" w:type="dxa"/>
                  <w:vAlign w:val="center"/>
                </w:tcPr>
                <w:p>
                  <w:pPr>
                    <w:pStyle w:val="50"/>
                    <w:rPr>
                      <w:color w:val="auto"/>
                    </w:rPr>
                  </w:pPr>
                  <w:r>
                    <w:rPr>
                      <w:color w:val="auto"/>
                    </w:rPr>
                    <w:t>氮氧化物</w:t>
                  </w:r>
                </w:p>
              </w:tc>
              <w:tc>
                <w:tcPr>
                  <w:tcW w:w="3607" w:type="dxa"/>
                  <w:vAlign w:val="bottom"/>
                </w:tcPr>
                <w:p>
                  <w:pPr>
                    <w:pStyle w:val="50"/>
                    <w:keepNext/>
                    <w:keepLines/>
                    <w:rPr>
                      <w:rFonts w:hint="eastAsia" w:eastAsia="宋体"/>
                      <w:color w:val="auto"/>
                      <w:lang w:eastAsia="zh-CN"/>
                    </w:rPr>
                  </w:pPr>
                  <w:r>
                    <w:rPr>
                      <w:rFonts w:hint="eastAsia"/>
                      <w:color w:val="auto"/>
                      <w:lang w:eastAsia="zh-CN"/>
                    </w:rPr>
                    <w:t>0.18</w:t>
                  </w:r>
                </w:p>
              </w:tc>
            </w:tr>
          </w:tbl>
          <w:p>
            <w:pPr>
              <w:ind w:firstLine="480"/>
              <w:rPr>
                <w:color w:val="auto"/>
              </w:rPr>
            </w:pPr>
            <w:r>
              <w:rPr>
                <w:color w:val="auto"/>
              </w:rPr>
              <w:t>根据工程分析及预测结果，本项目排放大气污染物排放量不大，对环境的影响较小，从环境空气影响角度评价，该项目是可行的。</w:t>
            </w:r>
          </w:p>
          <w:p>
            <w:pPr>
              <w:keepNext/>
              <w:keepLines/>
              <w:ind w:firstLine="480"/>
              <w:rPr>
                <w:color w:val="auto"/>
              </w:rPr>
            </w:pPr>
            <w:r>
              <w:rPr>
                <w:color w:val="auto"/>
              </w:rPr>
              <w:t>在整个生产过程中对每一种工艺都必须严格控制，每一个生产过程和环节都不允许有跑、冒、滴、漏发生，因此，项目不需设置卫生防护距离</w:t>
            </w:r>
            <w:r>
              <w:rPr>
                <w:rFonts w:hint="eastAsia"/>
                <w:color w:val="auto"/>
              </w:rPr>
              <w:t>。</w:t>
            </w:r>
          </w:p>
          <w:p>
            <w:pPr>
              <w:ind w:firstLine="482"/>
              <w:rPr>
                <w:b/>
                <w:bCs/>
                <w:color w:val="auto"/>
              </w:rPr>
            </w:pPr>
            <w:r>
              <w:rPr>
                <w:b/>
                <w:bCs/>
                <w:color w:val="auto"/>
              </w:rPr>
              <w:t>（</w:t>
            </w:r>
            <w:r>
              <w:rPr>
                <w:rFonts w:hint="eastAsia"/>
                <w:b/>
                <w:bCs/>
                <w:color w:val="auto"/>
              </w:rPr>
              <w:t>9</w:t>
            </w:r>
            <w:r>
              <w:rPr>
                <w:b/>
                <w:bCs/>
                <w:color w:val="auto"/>
              </w:rPr>
              <w:t>）</w:t>
            </w:r>
            <w:r>
              <w:rPr>
                <w:rFonts w:hint="eastAsia"/>
                <w:b/>
                <w:bCs/>
                <w:color w:val="auto"/>
              </w:rPr>
              <w:t>大气防护距离设置</w:t>
            </w:r>
          </w:p>
          <w:p>
            <w:pPr>
              <w:pStyle w:val="14"/>
              <w:spacing w:line="360" w:lineRule="auto"/>
              <w:ind w:firstLine="480"/>
              <w:rPr>
                <w:snapToGrid/>
                <w:color w:val="auto"/>
                <w:sz w:val="24"/>
              </w:rPr>
            </w:pPr>
            <w:r>
              <w:rPr>
                <w:rFonts w:hint="eastAsia"/>
                <w:color w:val="auto"/>
                <w:sz w:val="24"/>
              </w:rPr>
              <w:t>根据《环境影响评级到则 大气环境》（HJ2.2-</w:t>
            </w:r>
            <w:r>
              <w:rPr>
                <w:color w:val="auto"/>
                <w:sz w:val="24"/>
              </w:rPr>
              <w:t>2018</w:t>
            </w:r>
            <w:r>
              <w:rPr>
                <w:rFonts w:hint="eastAsia"/>
                <w:color w:val="auto"/>
                <w:sz w:val="24"/>
              </w:rPr>
              <w:t>）</w:t>
            </w:r>
            <w:r>
              <w:rPr>
                <w:color w:val="auto"/>
                <w:sz w:val="24"/>
              </w:rPr>
              <w:t>中关于大气防护距离的要求，对于项目厂界浓度满足大气污染物厂界浓度限值，但</w:t>
            </w:r>
            <w:r>
              <w:rPr>
                <w:rFonts w:hint="eastAsia"/>
                <w:color w:val="auto"/>
                <w:sz w:val="24"/>
              </w:rPr>
              <w:t>厂界外大气污染物短期贡献浓度超过环境质量浓度限值的，可以自厂界向外设置一定范围的大气环境防护区域。以确保大</w:t>
            </w:r>
            <w:r>
              <w:rPr>
                <w:color w:val="auto"/>
                <w:sz w:val="24"/>
              </w:rPr>
              <w:t>气环境防护区域外的污染物贡献浓度满足环境质量标准</w:t>
            </w:r>
            <w:r>
              <w:rPr>
                <w:rFonts w:hint="eastAsia"/>
                <w:color w:val="auto"/>
                <w:sz w:val="24"/>
              </w:rPr>
              <w:t>。根据估算结果可知，项目废气计算在下风向评价范围内无超标点，因此，无需设置大气防护距离。</w:t>
            </w:r>
          </w:p>
          <w:p>
            <w:pPr>
              <w:ind w:firstLine="482"/>
              <w:rPr>
                <w:b/>
                <w:bCs/>
                <w:snapToGrid/>
                <w:color w:val="auto"/>
              </w:rPr>
            </w:pPr>
            <w:r>
              <w:rPr>
                <w:b/>
                <w:bCs/>
                <w:color w:val="auto"/>
              </w:rPr>
              <w:t>（</w:t>
            </w:r>
            <w:r>
              <w:rPr>
                <w:rFonts w:hint="eastAsia"/>
                <w:b/>
                <w:bCs/>
                <w:color w:val="auto"/>
              </w:rPr>
              <w:t>10</w:t>
            </w:r>
            <w:r>
              <w:rPr>
                <w:b/>
                <w:bCs/>
                <w:color w:val="auto"/>
              </w:rPr>
              <w:t>）废气处理设施的可行性分析</w:t>
            </w:r>
          </w:p>
          <w:p>
            <w:pPr>
              <w:ind w:firstLine="480"/>
              <w:rPr>
                <w:b/>
                <w:bCs/>
                <w:color w:val="auto"/>
              </w:rPr>
            </w:pPr>
            <w:r>
              <w:rPr>
                <w:rFonts w:hint="eastAsia"/>
                <w:b/>
                <w:bCs/>
                <w:color w:val="auto"/>
              </w:rPr>
              <w:t>1、</w:t>
            </w:r>
            <w:r>
              <w:rPr>
                <w:b/>
                <w:bCs/>
                <w:color w:val="auto"/>
              </w:rPr>
              <w:t>采用</w:t>
            </w:r>
            <w:r>
              <w:rPr>
                <w:rFonts w:hint="eastAsia"/>
                <w:b/>
                <w:bCs/>
                <w:color w:val="auto"/>
              </w:rPr>
              <w:t>二级滤芯</w:t>
            </w:r>
            <w:r>
              <w:rPr>
                <w:b/>
                <w:bCs/>
                <w:color w:val="auto"/>
              </w:rPr>
              <w:t>脉冲除尘设备净化粉尘的可行性分析</w:t>
            </w:r>
          </w:p>
          <w:p>
            <w:pPr>
              <w:ind w:firstLine="480"/>
              <w:rPr>
                <w:color w:val="auto"/>
              </w:rPr>
            </w:pPr>
            <w:r>
              <w:rPr>
                <w:rFonts w:hint="eastAsia"/>
                <w:color w:val="auto"/>
              </w:rPr>
              <w:t>二级滤芯脉冲除尘器是当含尘气体由进风口进入滤芯除尘器，首先碰到进出风口中间的斜板及挡板，气流便转向流入灰斗，同时气流速度放慢，由于惯性作用，使气体中粗颗粒粉尘直接流入灰斗。起预收尘的作用，进入灰斗的气流随后折而向上通过内部装有金属骨架的滤袋粉尘被捕集在滤袋的外表面，净化后的气体进入滤袋室上部清洁室，汇集到出风口排出，含尘气体通过滤袋净化的过程中，随着时间的增加而积附在滤袋上的粉尘越来越多，增加滤袋阻力，致使处理风量逐渐减少，为正常工作，要控制阻力在一定范围内(140-170毫米水柱)，一旦超过范围必须对滤袋进行清灰，清灰时由脉冲控制仪顺序触发各控制阀开启脉冲阀，气包内的压缩空气由喷吹管各孔经文氏管喷射到各相应的滤袋内，滤袋瞬间急剧膨胀，使积附在滤袋表面的粉尘脱落，滤袋恢复初始状态。清下粉尘落入灰斗，经排灰系统排出机体。由此使积附在滤袋上的粉尘周期地脉冲喷吹清灰，使净化气体正常通过，保证除尘系统运行。</w:t>
            </w:r>
            <w:r>
              <w:rPr>
                <w:color w:val="auto"/>
              </w:rPr>
              <w:t>因此，从处理效果和经济角度看，采用</w:t>
            </w:r>
            <w:r>
              <w:rPr>
                <w:rFonts w:hint="eastAsia"/>
                <w:color w:val="auto"/>
              </w:rPr>
              <w:t>二级滤芯脉冲除尘设备净化</w:t>
            </w:r>
            <w:r>
              <w:rPr>
                <w:color w:val="auto"/>
              </w:rPr>
              <w:t>项目产生的</w:t>
            </w:r>
            <w:r>
              <w:rPr>
                <w:rFonts w:hint="eastAsia"/>
                <w:color w:val="auto"/>
              </w:rPr>
              <w:t>粉尘</w:t>
            </w:r>
            <w:r>
              <w:rPr>
                <w:color w:val="auto"/>
              </w:rPr>
              <w:t>是可行性分析。</w:t>
            </w:r>
          </w:p>
          <w:p>
            <w:pPr>
              <w:ind w:firstLine="480"/>
              <w:rPr>
                <w:color w:val="auto"/>
              </w:rPr>
            </w:pPr>
            <w:r>
              <w:rPr>
                <w:rFonts w:hint="eastAsia"/>
                <w:b/>
                <w:bCs/>
                <w:color w:val="auto"/>
              </w:rPr>
              <w:t>2、</w:t>
            </w:r>
            <w:r>
              <w:rPr>
                <w:b/>
                <w:bCs/>
                <w:color w:val="auto"/>
              </w:rPr>
              <w:t>采用</w:t>
            </w:r>
            <w:r>
              <w:rPr>
                <w:rFonts w:hint="eastAsia"/>
                <w:b/>
                <w:bCs/>
                <w:color w:val="auto"/>
              </w:rPr>
              <w:t>UV光氧设备+活性炭吸附设备</w:t>
            </w:r>
            <w:r>
              <w:rPr>
                <w:b/>
                <w:bCs/>
                <w:color w:val="auto"/>
              </w:rPr>
              <w:t>净化有机废气的</w:t>
            </w:r>
            <w:r>
              <w:rPr>
                <w:rFonts w:hint="eastAsia"/>
                <w:b/>
                <w:bCs/>
                <w:color w:val="auto"/>
                <w:lang w:val="en-US" w:eastAsia="zh-CN"/>
              </w:rPr>
              <w:t>有效性、</w:t>
            </w:r>
            <w:r>
              <w:rPr>
                <w:b/>
                <w:bCs/>
                <w:color w:val="auto"/>
              </w:rPr>
              <w:t>可行性分析</w:t>
            </w:r>
          </w:p>
          <w:p>
            <w:pPr>
              <w:bidi w:val="0"/>
              <w:rPr>
                <w:b w:val="0"/>
                <w:bCs w:val="0"/>
                <w:color w:val="auto"/>
              </w:rPr>
            </w:pPr>
            <w:r>
              <w:rPr>
                <w:rFonts w:hint="eastAsia"/>
                <w:b w:val="0"/>
                <w:bCs w:val="0"/>
                <w:color w:val="auto"/>
              </w:rPr>
              <w:t>1</w:t>
            </w:r>
            <w:r>
              <w:rPr>
                <w:rFonts w:hint="eastAsia"/>
                <w:b w:val="0"/>
                <w:bCs w:val="0"/>
                <w:color w:val="auto"/>
                <w:lang w:eastAsia="zh-CN"/>
              </w:rPr>
              <w:t>）</w:t>
            </w:r>
            <w:r>
              <w:rPr>
                <w:b w:val="0"/>
                <w:bCs w:val="0"/>
                <w:color w:val="auto"/>
              </w:rPr>
              <w:t>采用</w:t>
            </w:r>
            <w:r>
              <w:rPr>
                <w:rFonts w:hint="eastAsia"/>
                <w:b w:val="0"/>
                <w:bCs w:val="0"/>
                <w:color w:val="auto"/>
              </w:rPr>
              <w:t>UV光氧设备+活性炭吸附设备</w:t>
            </w:r>
            <w:r>
              <w:rPr>
                <w:b w:val="0"/>
                <w:bCs w:val="0"/>
                <w:color w:val="auto"/>
              </w:rPr>
              <w:t>的</w:t>
            </w:r>
            <w:r>
              <w:rPr>
                <w:rFonts w:hint="eastAsia"/>
                <w:b w:val="0"/>
                <w:bCs w:val="0"/>
                <w:color w:val="auto"/>
                <w:lang w:val="en-US" w:eastAsia="zh-CN"/>
              </w:rPr>
              <w:t>有效性</w:t>
            </w:r>
            <w:r>
              <w:rPr>
                <w:b w:val="0"/>
                <w:bCs w:val="0"/>
                <w:color w:val="auto"/>
              </w:rPr>
              <w:t>分析</w:t>
            </w:r>
          </w:p>
          <w:p>
            <w:pPr>
              <w:keepNext/>
              <w:keepLines/>
              <w:ind w:firstLine="480"/>
              <w:rPr>
                <w:rFonts w:hint="eastAsia"/>
                <w:b w:val="0"/>
                <w:bCs w:val="0"/>
                <w:color w:val="auto"/>
              </w:rPr>
            </w:pPr>
            <w:r>
              <w:rPr>
                <w:rFonts w:hint="eastAsia"/>
                <w:color w:val="auto"/>
              </w:rPr>
              <w:t>根据《“十三五”挥发性有机物污染防治工作方案》，项目产生的有机废气必须进行收集和处置，项目有机废气收集处理技术参照《云南省重点行业挥发性有机物综合治理实施方案》进行综合考虑。根据该指南，有机废气处理技术选择有处理达标</w:t>
            </w:r>
            <w:r>
              <w:rPr>
                <w:rFonts w:hint="eastAsia"/>
                <w:color w:val="auto"/>
                <w:lang w:eastAsia="zh-CN"/>
              </w:rPr>
              <w:t>、</w:t>
            </w:r>
            <w:r>
              <w:rPr>
                <w:rFonts w:hint="eastAsia"/>
                <w:color w:val="auto"/>
              </w:rPr>
              <w:t>效率稳定、经济实用等原则。本项目属于小型企业，有机废气产生量小，浓度低，综合考虑环保、经济、技术等因素，参照其他同类企业，项目有机废气处理方式采用UV光氧设备光解催化+活性炭吸附设备</w:t>
            </w:r>
            <w:r>
              <w:rPr>
                <w:rFonts w:hint="eastAsia"/>
                <w:color w:val="auto"/>
                <w:lang w:val="en-US" w:eastAsia="zh-CN"/>
              </w:rPr>
              <w:t>吸附</w:t>
            </w:r>
            <w:r>
              <w:rPr>
                <w:rFonts w:hint="eastAsia"/>
                <w:color w:val="auto"/>
              </w:rPr>
              <w:t>净化的方式进行。UV光氧设备</w:t>
            </w:r>
            <w:r>
              <w:rPr>
                <w:color w:val="auto"/>
              </w:rPr>
              <w:t>利用高能UV紫外光束分解空气中的氧分子产生游离氧</w:t>
            </w:r>
            <w:r>
              <w:rPr>
                <w:rFonts w:hint="eastAsia"/>
                <w:color w:val="auto"/>
                <w:lang w:eastAsia="zh-CN"/>
              </w:rPr>
              <w:t>，</w:t>
            </w:r>
            <w:r>
              <w:rPr>
                <w:color w:val="auto"/>
              </w:rPr>
              <w:t>对有机物具有极强的氧化作用</w:t>
            </w:r>
            <w:r>
              <w:rPr>
                <w:rFonts w:hint="eastAsia"/>
                <w:color w:val="auto"/>
                <w:lang w:eastAsia="zh-CN"/>
              </w:rPr>
              <w:t>；</w:t>
            </w:r>
            <w:r>
              <w:rPr>
                <w:rFonts w:hint="eastAsia"/>
                <w:color w:val="auto"/>
              </w:rPr>
              <w:t>活性炭是处理有机废气吸附法的优选吸附介质，可有效处理本项目产生的有机废气</w:t>
            </w:r>
            <w:r>
              <w:rPr>
                <w:rFonts w:hint="eastAsia"/>
                <w:color w:val="auto"/>
                <w:lang w:eastAsia="zh-CN"/>
              </w:rPr>
              <w:t>，</w:t>
            </w:r>
            <w:r>
              <w:rPr>
                <w:rFonts w:hint="eastAsia"/>
                <w:color w:val="auto"/>
              </w:rPr>
              <w:t>使有机废气达标排放</w:t>
            </w:r>
            <w:r>
              <w:rPr>
                <w:rFonts w:hint="eastAsia"/>
                <w:color w:val="auto"/>
                <w:lang w:eastAsia="zh-CN"/>
              </w:rPr>
              <w:t>。</w:t>
            </w:r>
            <w:r>
              <w:rPr>
                <w:rFonts w:hint="eastAsia"/>
                <w:color w:val="auto"/>
                <w:lang w:val="en-US" w:eastAsia="zh-CN"/>
              </w:rPr>
              <w:t>建议建设单位每天使用</w:t>
            </w:r>
            <w:r>
              <w:rPr>
                <w:rFonts w:hint="eastAsia" w:ascii="Times New Roman" w:hAnsi="Times New Roman" w:eastAsia="宋体" w:cs="Times New Roman"/>
                <w:i w:val="0"/>
                <w:caps w:val="0"/>
                <w:color w:val="auto"/>
                <w:spacing w:val="0"/>
                <w:sz w:val="24"/>
                <w:szCs w:val="24"/>
                <w:shd w:val="clear" w:color="auto" w:fill="FFFFFF"/>
              </w:rPr>
              <w:t>UV能量计</w:t>
            </w:r>
            <w:r>
              <w:rPr>
                <w:rFonts w:hint="eastAsia" w:cs="Times New Roman"/>
                <w:i w:val="0"/>
                <w:caps w:val="0"/>
                <w:color w:val="auto"/>
                <w:spacing w:val="0"/>
                <w:sz w:val="24"/>
                <w:szCs w:val="24"/>
                <w:lang w:val="en-US" w:eastAsia="zh-CN"/>
              </w:rPr>
              <w:t>对</w:t>
            </w:r>
            <w:r>
              <w:rPr>
                <w:rFonts w:hint="eastAsia"/>
                <w:color w:val="auto"/>
              </w:rPr>
              <w:t>UV</w:t>
            </w:r>
            <w:r>
              <w:rPr>
                <w:rFonts w:hint="eastAsia"/>
                <w:color w:val="auto"/>
                <w:lang w:val="en-US" w:eastAsia="zh-CN"/>
              </w:rPr>
              <w:t>灯管进行能量测试，发现异常立即更换；</w:t>
            </w:r>
            <w:r>
              <w:rPr>
                <w:rFonts w:hint="eastAsia"/>
                <w:color w:val="auto"/>
              </w:rPr>
              <w:t>活性炭更换周期</w:t>
            </w:r>
            <w:r>
              <w:rPr>
                <w:rFonts w:hint="eastAsia"/>
                <w:color w:val="auto"/>
                <w:lang w:val="en-US" w:eastAsia="zh-CN"/>
              </w:rPr>
              <w:t>定</w:t>
            </w:r>
            <w:r>
              <w:rPr>
                <w:rFonts w:hint="eastAsia"/>
                <w:color w:val="auto"/>
              </w:rPr>
              <w:t>为每月2次</w:t>
            </w:r>
            <w:r>
              <w:rPr>
                <w:rFonts w:hint="eastAsia"/>
                <w:color w:val="auto"/>
                <w:lang w:eastAsia="zh-CN"/>
              </w:rPr>
              <w:t>，</w:t>
            </w:r>
            <w:r>
              <w:rPr>
                <w:rFonts w:hint="eastAsia"/>
                <w:color w:val="auto"/>
                <w:lang w:val="en-US" w:eastAsia="zh-CN"/>
              </w:rPr>
              <w:t>以保</w:t>
            </w:r>
            <w:r>
              <w:rPr>
                <w:rFonts w:hint="eastAsia" w:eastAsia="宋体" w:cs="Times New Roman"/>
                <w:color w:val="auto"/>
                <w:lang w:val="en-US" w:eastAsia="zh-CN"/>
              </w:rPr>
              <w:t>证其</w:t>
            </w:r>
            <w:r>
              <w:rPr>
                <w:rFonts w:hint="eastAsia" w:eastAsia="宋体" w:cs="Times New Roman"/>
                <w:b w:val="0"/>
                <w:bCs w:val="0"/>
                <w:color w:val="auto"/>
              </w:rPr>
              <w:t>UV光氧设备</w:t>
            </w:r>
            <w:r>
              <w:rPr>
                <w:rFonts w:hint="eastAsia" w:eastAsia="宋体" w:cs="Times New Roman"/>
                <w:b w:val="0"/>
                <w:bCs w:val="0"/>
                <w:color w:val="auto"/>
                <w:lang w:val="en-US" w:eastAsia="zh-CN"/>
              </w:rPr>
              <w:t>及</w:t>
            </w:r>
            <w:r>
              <w:rPr>
                <w:rFonts w:hint="eastAsia" w:eastAsia="宋体" w:cs="Times New Roman"/>
                <w:b w:val="0"/>
                <w:bCs w:val="0"/>
                <w:color w:val="auto"/>
              </w:rPr>
              <w:t>活性炭吸附设备</w:t>
            </w:r>
            <w:r>
              <w:rPr>
                <w:rFonts w:hint="eastAsia" w:eastAsia="宋体" w:cs="Times New Roman"/>
                <w:color w:val="auto"/>
                <w:lang w:val="en-US" w:eastAsia="zh-CN"/>
              </w:rPr>
              <w:t>净化废气的</w:t>
            </w:r>
            <w:r>
              <w:rPr>
                <w:rFonts w:hint="eastAsia"/>
                <w:color w:val="auto"/>
                <w:lang w:val="en-US" w:eastAsia="zh-CN"/>
              </w:rPr>
              <w:t>有效性</w:t>
            </w:r>
            <w:r>
              <w:rPr>
                <w:rFonts w:hint="eastAsia"/>
                <w:color w:val="auto"/>
              </w:rPr>
              <w:t>。</w:t>
            </w:r>
          </w:p>
          <w:p>
            <w:pPr>
              <w:keepNext/>
              <w:keepLines/>
              <w:ind w:firstLine="482"/>
              <w:rPr>
                <w:b w:val="0"/>
                <w:bCs w:val="0"/>
                <w:color w:val="auto"/>
              </w:rPr>
            </w:pPr>
            <w:r>
              <w:rPr>
                <w:rFonts w:hint="eastAsia"/>
                <w:b w:val="0"/>
                <w:bCs w:val="0"/>
                <w:color w:val="auto"/>
                <w:lang w:val="en-US" w:eastAsia="zh-CN"/>
              </w:rPr>
              <w:t>2</w:t>
            </w:r>
            <w:r>
              <w:rPr>
                <w:rFonts w:hint="eastAsia"/>
                <w:b w:val="0"/>
                <w:bCs w:val="0"/>
                <w:color w:val="auto"/>
                <w:lang w:eastAsia="zh-CN"/>
              </w:rPr>
              <w:t>）</w:t>
            </w:r>
            <w:r>
              <w:rPr>
                <w:b w:val="0"/>
                <w:bCs w:val="0"/>
                <w:color w:val="auto"/>
              </w:rPr>
              <w:t>采用活性炭吸附有机废气的可行性分析</w:t>
            </w:r>
          </w:p>
          <w:p>
            <w:pPr>
              <w:keepNext/>
              <w:keepLines/>
              <w:ind w:firstLine="480"/>
              <w:rPr>
                <w:rFonts w:hint="eastAsia"/>
                <w:color w:val="auto"/>
              </w:rPr>
            </w:pPr>
            <w:r>
              <w:rPr>
                <w:rFonts w:hint="eastAsia"/>
                <w:color w:val="auto"/>
              </w:rPr>
              <w:t>由于活性炭固体表面上存在着未平衡和未饱和的分子引力或化学键力，因此当此固体表面与气体接触时，就能吸引气体分子，使其浓聚并保持在固体表面，利用固体表面的吸附能力，使废气与大表面的多孔性固体物质相接触，废气中的污染物被吸附在固体表面上，使其与气体混合物分离，达到净化目的，净化效率可达</w:t>
            </w:r>
            <w:r>
              <w:rPr>
                <w:rFonts w:hint="eastAsia"/>
                <w:color w:val="auto"/>
                <w:lang w:val="en-US" w:eastAsia="zh-CN"/>
              </w:rPr>
              <w:t>6</w:t>
            </w:r>
            <w:r>
              <w:rPr>
                <w:rFonts w:hint="eastAsia"/>
                <w:color w:val="auto"/>
              </w:rPr>
              <w:t>0%以上。由于活性炭不溶于有机溶剂，利用活性炭吸附有机溶剂不会产生二次污染，且项目有机废气产生量较小，对活性炭的需求量较小。</w:t>
            </w:r>
          </w:p>
          <w:p>
            <w:pPr>
              <w:ind w:firstLine="482"/>
              <w:rPr>
                <w:b w:val="0"/>
                <w:bCs w:val="0"/>
                <w:color w:val="auto"/>
              </w:rPr>
            </w:pPr>
            <w:r>
              <w:rPr>
                <w:rFonts w:hint="eastAsia"/>
                <w:b w:val="0"/>
                <w:bCs w:val="0"/>
                <w:color w:val="auto"/>
                <w:lang w:val="en-US" w:eastAsia="zh-CN"/>
              </w:rPr>
              <w:t>3</w:t>
            </w:r>
            <w:r>
              <w:rPr>
                <w:rFonts w:hint="eastAsia"/>
                <w:b w:val="0"/>
                <w:bCs w:val="0"/>
                <w:color w:val="auto"/>
                <w:lang w:eastAsia="zh-CN"/>
              </w:rPr>
              <w:t>）</w:t>
            </w:r>
            <w:r>
              <w:rPr>
                <w:b w:val="0"/>
                <w:bCs w:val="0"/>
                <w:color w:val="auto"/>
              </w:rPr>
              <w:t>采用</w:t>
            </w:r>
            <w:r>
              <w:rPr>
                <w:rFonts w:hint="eastAsia"/>
                <w:b w:val="0"/>
                <w:bCs w:val="0"/>
                <w:color w:val="auto"/>
              </w:rPr>
              <w:t>UV光氧设备</w:t>
            </w:r>
            <w:r>
              <w:rPr>
                <w:b w:val="0"/>
                <w:bCs w:val="0"/>
                <w:color w:val="auto"/>
              </w:rPr>
              <w:t>光解催化有机废气的可行性分析</w:t>
            </w:r>
          </w:p>
          <w:p>
            <w:pPr>
              <w:ind w:firstLine="480"/>
              <w:rPr>
                <w:color w:val="auto"/>
              </w:rPr>
            </w:pPr>
            <w:r>
              <w:rPr>
                <w:color w:val="auto"/>
              </w:rPr>
              <w:t>利用特制的高能臭氧UV紫外线光束照射废气，裂解工业废气如：氨、三甲胺、硫化氢、甲硫醇、甲硫醚、乙酸丁脂、乙酸乙酯、二甲二硫、二硫化碳和苯乙烯，硫化物H</w:t>
            </w:r>
            <w:r>
              <w:rPr>
                <w:color w:val="auto"/>
                <w:vertAlign w:val="subscript"/>
              </w:rPr>
              <w:t>2</w:t>
            </w:r>
            <w:r>
              <w:rPr>
                <w:color w:val="auto"/>
              </w:rPr>
              <w:t>S、VOC类，苯、甲苯、二甲苯的分子链结构，使有机或无机高分子恶臭化合物分子链，在高能紫外线光束照射下，降解转变成低分子化合物，如CO</w:t>
            </w:r>
            <w:r>
              <w:rPr>
                <w:color w:val="auto"/>
                <w:vertAlign w:val="subscript"/>
              </w:rPr>
              <w:t>2</w:t>
            </w:r>
            <w:r>
              <w:rPr>
                <w:color w:val="auto"/>
              </w:rPr>
              <w:t>、H</w:t>
            </w:r>
            <w:r>
              <w:rPr>
                <w:color w:val="auto"/>
                <w:vertAlign w:val="subscript"/>
              </w:rPr>
              <w:t>2</w:t>
            </w:r>
            <w:r>
              <w:rPr>
                <w:color w:val="auto"/>
              </w:rPr>
              <w:t>O等。利用高能高臭氧UV紫外光束分解空气中的氧分子产生游离氧，即活性氧、因游离氧所携正负电子不平衡所以需与氧分子结合，进而产生臭氧。UV+O</w:t>
            </w:r>
            <w:r>
              <w:rPr>
                <w:color w:val="auto"/>
                <w:vertAlign w:val="subscript"/>
              </w:rPr>
              <w:t>2</w:t>
            </w:r>
            <w:r>
              <w:rPr>
                <w:color w:val="auto"/>
              </w:rPr>
              <w:t>→O-+O*（活性氧）O+O</w:t>
            </w:r>
            <w:r>
              <w:rPr>
                <w:color w:val="auto"/>
                <w:vertAlign w:val="subscript"/>
              </w:rPr>
              <w:t>2</w:t>
            </w:r>
            <w:r>
              <w:rPr>
                <w:color w:val="auto"/>
              </w:rPr>
              <w:t>→O</w:t>
            </w:r>
            <w:r>
              <w:rPr>
                <w:color w:val="auto"/>
                <w:vertAlign w:val="subscript"/>
              </w:rPr>
              <w:t>3</w:t>
            </w:r>
            <w:r>
              <w:rPr>
                <w:color w:val="auto"/>
              </w:rPr>
              <w:t>（臭氧），臭氧对有机物具有极强的氧化作用，对工业废气及其他刺激性异味有立竿见影的清除效果。本套设备具有的优点如下：</w:t>
            </w:r>
          </w:p>
          <w:p>
            <w:pPr>
              <w:keepNext/>
              <w:keepLines/>
              <w:ind w:firstLine="480"/>
              <w:rPr>
                <w:color w:val="auto"/>
              </w:rPr>
            </w:pPr>
            <w:r>
              <w:rPr>
                <w:color w:val="auto"/>
              </w:rPr>
              <w:t>①高效除去有机废气：能高效去除挥发性有机物、无机物、硫化氢、氨气、硫醇类等主要污染物，以及各种恶臭，效率可达</w:t>
            </w:r>
            <w:r>
              <w:rPr>
                <w:rFonts w:hint="eastAsia"/>
                <w:color w:val="auto"/>
                <w:lang w:val="en-US" w:eastAsia="zh-CN"/>
              </w:rPr>
              <w:t>6</w:t>
            </w:r>
            <w:r>
              <w:rPr>
                <w:color w:val="auto"/>
              </w:rPr>
              <w:t>0%以上。</w:t>
            </w:r>
          </w:p>
          <w:p>
            <w:pPr>
              <w:keepNext/>
              <w:keepLines/>
              <w:ind w:firstLine="480"/>
              <w:rPr>
                <w:color w:val="auto"/>
              </w:rPr>
            </w:pPr>
            <w:r>
              <w:rPr>
                <w:color w:val="auto"/>
              </w:rPr>
              <w:t>②无需添加任何物质：只需要设置相应的排风管道和排风动力，使有机废气通过本设备进行分解，无需添加任何物质参与化学反应。</w:t>
            </w:r>
          </w:p>
          <w:p>
            <w:pPr>
              <w:keepNext/>
              <w:keepLines/>
              <w:ind w:firstLine="480"/>
              <w:rPr>
                <w:color w:val="auto"/>
              </w:rPr>
            </w:pPr>
            <w:r>
              <w:rPr>
                <w:color w:val="auto"/>
              </w:rPr>
              <w:t>③适应性强：可适应较高浓度有机废气，可每天24小时连续工作，运行稳定可靠。</w:t>
            </w:r>
          </w:p>
          <w:p>
            <w:pPr>
              <w:ind w:firstLine="480"/>
              <w:rPr>
                <w:color w:val="auto"/>
              </w:rPr>
            </w:pPr>
            <w:r>
              <w:rPr>
                <w:color w:val="auto"/>
              </w:rPr>
              <w:t>④运行成本低：本设备无任何机械动作，无需专人管理和日常维护，只需作定期检查，能耗低，（每处理1000立方米/小时，仅消耗0.2度电能），设备风阻极低&lt;50pa，可节约大量排风动力能耗。</w:t>
            </w:r>
          </w:p>
          <w:p>
            <w:pPr>
              <w:ind w:firstLine="480"/>
              <w:rPr>
                <w:color w:val="auto"/>
              </w:rPr>
            </w:pPr>
            <w:r>
              <w:rPr>
                <w:color w:val="auto"/>
              </w:rPr>
              <w:t>⑤设备占地面积小，自重轻。</w:t>
            </w:r>
          </w:p>
          <w:p>
            <w:pPr>
              <w:ind w:firstLine="480"/>
              <w:rPr>
                <w:color w:val="auto"/>
              </w:rPr>
            </w:pPr>
            <w:r>
              <w:rPr>
                <w:color w:val="auto"/>
              </w:rPr>
              <w:t>⑥优质进口材料制造：防火、防爆、防腐蚀性能高，设备性能安全稳定，采用不锈钢材质，使用寿命在15年以上。</w:t>
            </w:r>
          </w:p>
          <w:p>
            <w:pPr>
              <w:ind w:firstLine="480"/>
              <w:rPr>
                <w:color w:val="auto"/>
              </w:rPr>
            </w:pPr>
            <w:r>
              <w:rPr>
                <w:snapToGrid w:val="0"/>
                <w:color w:val="auto"/>
              </w:rPr>
              <w:t>因此，从处理效果和经济角度看，采用</w:t>
            </w:r>
            <w:r>
              <w:rPr>
                <w:rFonts w:hint="eastAsia"/>
                <w:color w:val="auto"/>
              </w:rPr>
              <w:t>UV光氧设备+活性炭吸附设备</w:t>
            </w:r>
            <w:r>
              <w:rPr>
                <w:snapToGrid w:val="0"/>
                <w:color w:val="auto"/>
              </w:rPr>
              <w:t>净化项目产生的有机废气是</w:t>
            </w:r>
            <w:r>
              <w:rPr>
                <w:rFonts w:hint="eastAsia"/>
                <w:snapToGrid w:val="0"/>
                <w:color w:val="auto"/>
                <w:lang w:val="en-US" w:eastAsia="zh-CN"/>
              </w:rPr>
              <w:t>有效的、</w:t>
            </w:r>
            <w:r>
              <w:rPr>
                <w:snapToGrid w:val="0"/>
                <w:color w:val="auto"/>
              </w:rPr>
              <w:t>可行</w:t>
            </w:r>
            <w:r>
              <w:rPr>
                <w:rFonts w:hint="eastAsia"/>
                <w:snapToGrid w:val="0"/>
                <w:color w:val="auto"/>
                <w:lang w:val="en-US" w:eastAsia="zh-CN"/>
              </w:rPr>
              <w:t>的</w:t>
            </w:r>
            <w:r>
              <w:rPr>
                <w:color w:val="auto"/>
              </w:rPr>
              <w:t>。</w:t>
            </w:r>
          </w:p>
          <w:p>
            <w:pPr>
              <w:ind w:firstLine="482"/>
              <w:rPr>
                <w:b/>
                <w:bCs/>
                <w:color w:val="auto"/>
              </w:rPr>
            </w:pPr>
            <w:r>
              <w:rPr>
                <w:rFonts w:hint="eastAsia"/>
                <w:b/>
                <w:bCs/>
                <w:color w:val="auto"/>
              </w:rPr>
              <w:t>（11）</w:t>
            </w:r>
            <w:r>
              <w:rPr>
                <w:b/>
                <w:bCs/>
                <w:color w:val="auto"/>
              </w:rPr>
              <w:t>排气筒设置合理性分析</w:t>
            </w:r>
          </w:p>
          <w:p>
            <w:pPr>
              <w:ind w:firstLine="480"/>
              <w:contextualSpacing/>
              <w:rPr>
                <w:color w:val="auto"/>
              </w:rPr>
            </w:pPr>
            <w:r>
              <w:rPr>
                <w:color w:val="auto"/>
              </w:rPr>
              <w:t>项目共设</w:t>
            </w:r>
            <w:r>
              <w:rPr>
                <w:rFonts w:hint="eastAsia"/>
                <w:color w:val="auto"/>
              </w:rPr>
              <w:t>2</w:t>
            </w:r>
            <w:r>
              <w:rPr>
                <w:color w:val="auto"/>
              </w:rPr>
              <w:t>个排气筒，排气筒设置于项目区</w:t>
            </w:r>
            <w:r>
              <w:rPr>
                <w:rFonts w:hint="eastAsia"/>
                <w:color w:val="auto"/>
              </w:rPr>
              <w:t>西侧</w:t>
            </w:r>
            <w:r>
              <w:rPr>
                <w:color w:val="auto"/>
              </w:rPr>
              <w:t>，高均为15m，</w:t>
            </w:r>
            <w:r>
              <w:rPr>
                <w:rFonts w:hint="eastAsia"/>
                <w:color w:val="auto"/>
              </w:rPr>
              <w:t>本</w:t>
            </w:r>
            <w:r>
              <w:rPr>
                <w:color w:val="auto"/>
              </w:rPr>
              <w:t>项目</w:t>
            </w:r>
            <w:r>
              <w:rPr>
                <w:rFonts w:hint="eastAsia"/>
                <w:color w:val="auto"/>
              </w:rPr>
              <w:t>产生的废气经采取上述治理措施后</w:t>
            </w:r>
            <w:r>
              <w:rPr>
                <w:color w:val="auto"/>
              </w:rPr>
              <w:t>污染物可以达标排放</w:t>
            </w:r>
            <w:r>
              <w:rPr>
                <w:rFonts w:hint="eastAsia"/>
                <w:color w:val="auto"/>
              </w:rPr>
              <w:t>。</w:t>
            </w:r>
            <w:r>
              <w:rPr>
                <w:color w:val="auto"/>
              </w:rPr>
              <w:t>拟设排气筒半径200m周边为项目厂房、空地及其他企业等，高度在</w:t>
            </w:r>
            <w:r>
              <w:rPr>
                <w:rFonts w:hint="eastAsia"/>
                <w:color w:val="auto"/>
                <w:lang w:val="en-US" w:eastAsia="zh-CN"/>
              </w:rPr>
              <w:t>10</w:t>
            </w:r>
            <w:r>
              <w:rPr>
                <w:color w:val="auto"/>
              </w:rPr>
              <w:t>m以内，项目排气筒高度</w:t>
            </w:r>
            <w:r>
              <w:rPr>
                <w:rFonts w:hint="eastAsia"/>
                <w:color w:val="auto"/>
              </w:rPr>
              <w:t>为</w:t>
            </w:r>
            <w:r>
              <w:rPr>
                <w:color w:val="auto"/>
              </w:rPr>
              <w:t>15m，符合GB16297-1996《大气污染物综合排放标准》中相关要求，通过设置15m高排气筒，本项目排放污染物可得到较好扩散，对周边大气环境影响较小。</w:t>
            </w:r>
            <w:r>
              <w:rPr>
                <w:rFonts w:hint="eastAsia"/>
                <w:color w:val="auto"/>
              </w:rPr>
              <w:t>因此排气筒高度设置合理，</w:t>
            </w:r>
            <w:r>
              <w:rPr>
                <w:color w:val="auto"/>
              </w:rPr>
              <w:t>有效降低</w:t>
            </w:r>
            <w:r>
              <w:rPr>
                <w:rFonts w:hint="eastAsia"/>
                <w:color w:val="auto"/>
              </w:rPr>
              <w:t>废气</w:t>
            </w:r>
            <w:r>
              <w:rPr>
                <w:color w:val="auto"/>
              </w:rPr>
              <w:t>对周围环境的影响。</w:t>
            </w:r>
          </w:p>
          <w:p>
            <w:pPr>
              <w:ind w:firstLine="482"/>
              <w:rPr>
                <w:b/>
                <w:bCs/>
                <w:color w:val="auto"/>
              </w:rPr>
            </w:pPr>
            <w:bookmarkStart w:id="20" w:name="_Toc14245"/>
            <w:bookmarkStart w:id="21" w:name="_Toc25054"/>
            <w:r>
              <w:rPr>
                <w:b/>
                <w:bCs/>
                <w:color w:val="auto"/>
              </w:rPr>
              <w:t>（</w:t>
            </w:r>
            <w:r>
              <w:rPr>
                <w:rFonts w:hint="eastAsia"/>
                <w:b/>
                <w:bCs/>
                <w:color w:val="auto"/>
              </w:rPr>
              <w:t>12</w:t>
            </w:r>
            <w:r>
              <w:rPr>
                <w:b/>
                <w:bCs/>
                <w:color w:val="auto"/>
              </w:rPr>
              <w:t>）大气环境影响分析</w:t>
            </w:r>
            <w:bookmarkEnd w:id="20"/>
            <w:bookmarkEnd w:id="21"/>
          </w:p>
          <w:p>
            <w:pPr>
              <w:ind w:firstLine="480"/>
              <w:rPr>
                <w:color w:val="auto"/>
              </w:rPr>
            </w:pPr>
            <w:r>
              <w:rPr>
                <w:rFonts w:hint="eastAsia"/>
                <w:color w:val="auto"/>
              </w:rPr>
              <w:t>①喷塑废气</w:t>
            </w:r>
          </w:p>
          <w:p>
            <w:pPr>
              <w:ind w:firstLine="480"/>
              <w:rPr>
                <w:color w:val="auto"/>
              </w:rPr>
            </w:pPr>
            <w:r>
              <w:rPr>
                <w:rFonts w:hint="eastAsia"/>
                <w:color w:val="auto"/>
              </w:rPr>
              <w:t>项目喷塑粉尘</w:t>
            </w:r>
            <w:r>
              <w:rPr>
                <w:color w:val="auto"/>
              </w:rPr>
              <w:t>采用</w:t>
            </w:r>
            <w:r>
              <w:rPr>
                <w:rFonts w:hint="eastAsia"/>
                <w:color w:val="auto"/>
              </w:rPr>
              <w:t>二级滤芯脉冲除尘处理</w:t>
            </w:r>
            <w:r>
              <w:rPr>
                <w:color w:val="auto"/>
              </w:rPr>
              <w:t>后由</w:t>
            </w:r>
            <w:r>
              <w:rPr>
                <w:rFonts w:hint="eastAsia"/>
                <w:color w:val="auto"/>
              </w:rPr>
              <w:t>15m高（1#）排气筒</w:t>
            </w:r>
            <w:r>
              <w:rPr>
                <w:color w:val="auto"/>
              </w:rPr>
              <w:t>外排</w:t>
            </w:r>
            <w:r>
              <w:rPr>
                <w:rFonts w:hint="eastAsia"/>
                <w:color w:val="auto"/>
              </w:rPr>
              <w:t>，根据工程分析，项目喷塑废气有组织粉尘排放浓度为4.2mg/m</w:t>
            </w:r>
            <w:r>
              <w:rPr>
                <w:rFonts w:hint="eastAsia"/>
                <w:color w:val="auto"/>
                <w:vertAlign w:val="superscript"/>
              </w:rPr>
              <w:t>3</w:t>
            </w:r>
            <w:r>
              <w:rPr>
                <w:rFonts w:hint="eastAsia"/>
                <w:color w:val="auto"/>
              </w:rPr>
              <w:t>，能够满足</w:t>
            </w:r>
            <w:r>
              <w:rPr>
                <w:color w:val="auto"/>
              </w:rPr>
              <w:t>《大气污染物综合排放标准》（GB16297-1996）中表2中排放监控浓度限值</w:t>
            </w:r>
            <w:r>
              <w:rPr>
                <w:rFonts w:hint="eastAsia"/>
                <w:color w:val="auto"/>
              </w:rPr>
              <w:t>，经过预测分析，喷塑废气TSP最大落地质量浓度为Cmax：0.1082</w:t>
            </w:r>
            <w:r>
              <w:rPr>
                <w:color w:val="auto"/>
              </w:rPr>
              <w:t>μg/m</w:t>
            </w:r>
            <w:r>
              <w:rPr>
                <w:rFonts w:hint="eastAsia"/>
                <w:color w:val="auto"/>
                <w:vertAlign w:val="superscript"/>
              </w:rPr>
              <w:t>3</w:t>
            </w:r>
            <w:r>
              <w:rPr>
                <w:rFonts w:hint="eastAsia"/>
                <w:color w:val="auto"/>
              </w:rPr>
              <w:t>，Pmax：0.012%，能够满足</w:t>
            </w:r>
            <w:r>
              <w:rPr>
                <w:rFonts w:hint="eastAsia"/>
                <w:color w:val="auto"/>
                <w:szCs w:val="22"/>
              </w:rPr>
              <w:t>《环境空气质量标准》（GB3095-2012）二级标准。</w:t>
            </w:r>
          </w:p>
          <w:p>
            <w:pPr>
              <w:ind w:firstLine="480"/>
              <w:rPr>
                <w:snapToGrid/>
                <w:color w:val="auto"/>
              </w:rPr>
            </w:pPr>
            <w:r>
              <w:rPr>
                <w:color w:val="auto"/>
              </w:rPr>
              <w:t>②</w:t>
            </w:r>
            <w:r>
              <w:rPr>
                <w:rFonts w:hint="eastAsia"/>
                <w:color w:val="auto"/>
              </w:rPr>
              <w:t>固化</w:t>
            </w:r>
          </w:p>
          <w:p>
            <w:pPr>
              <w:ind w:firstLine="480"/>
              <w:rPr>
                <w:snapToGrid/>
                <w:color w:val="auto"/>
                <w:szCs w:val="22"/>
              </w:rPr>
            </w:pPr>
            <w:r>
              <w:rPr>
                <w:rFonts w:hint="eastAsia"/>
                <w:color w:val="auto"/>
              </w:rPr>
              <w:t>项目固化废气经</w:t>
            </w:r>
            <w:r>
              <w:rPr>
                <w:rFonts w:hint="eastAsia"/>
                <w:color w:val="auto"/>
                <w:lang w:val="en-US" w:eastAsia="zh-CN"/>
              </w:rPr>
              <w:t>UV光氧+</w:t>
            </w:r>
            <w:r>
              <w:rPr>
                <w:rFonts w:hint="eastAsia"/>
                <w:color w:val="auto"/>
              </w:rPr>
              <w:t>活性炭吸附装置处理后至15m高（2#）排气筒排放，根据工程分析，项目固化废气有组织</w:t>
            </w:r>
            <w:r>
              <w:rPr>
                <w:rFonts w:hint="eastAsia"/>
                <w:color w:val="auto"/>
                <w:lang w:val="en-US" w:eastAsia="zh-CN"/>
              </w:rPr>
              <w:t>VOCs（以非甲烷总烃计）</w:t>
            </w:r>
            <w:r>
              <w:rPr>
                <w:rFonts w:hint="eastAsia"/>
                <w:color w:val="auto"/>
              </w:rPr>
              <w:t>排放浓度分别为</w:t>
            </w:r>
            <w:r>
              <w:rPr>
                <w:rFonts w:hint="eastAsia"/>
                <w:color w:val="auto"/>
                <w:lang w:val="en-US" w:eastAsia="zh-CN"/>
              </w:rPr>
              <w:t>1.4</w:t>
            </w:r>
            <w:r>
              <w:rPr>
                <w:rFonts w:hint="eastAsia"/>
                <w:color w:val="auto"/>
              </w:rPr>
              <w:t>mg/m</w:t>
            </w:r>
            <w:r>
              <w:rPr>
                <w:rFonts w:hint="eastAsia"/>
                <w:color w:val="auto"/>
                <w:vertAlign w:val="superscript"/>
              </w:rPr>
              <w:t>3</w:t>
            </w:r>
            <w:r>
              <w:rPr>
                <w:rFonts w:hint="eastAsia"/>
                <w:color w:val="auto"/>
              </w:rPr>
              <w:t>，能够满足</w:t>
            </w:r>
            <w:r>
              <w:rPr>
                <w:color w:val="auto"/>
              </w:rPr>
              <w:t>《大气污染物综合排放标准》（GB16297-1996）中表2中排放监控浓度限值</w:t>
            </w:r>
            <w:r>
              <w:rPr>
                <w:rFonts w:hint="eastAsia"/>
                <w:color w:val="auto"/>
              </w:rPr>
              <w:t>，经过预测分析，项目固化废气</w:t>
            </w:r>
            <w:r>
              <w:rPr>
                <w:rFonts w:hint="eastAsia"/>
                <w:color w:val="auto"/>
                <w:lang w:val="en-US" w:eastAsia="zh-CN"/>
              </w:rPr>
              <w:t>TVOC</w:t>
            </w:r>
            <w:r>
              <w:rPr>
                <w:rFonts w:hint="eastAsia"/>
                <w:color w:val="auto"/>
              </w:rPr>
              <w:t>最大落地质量浓度为Cmax：2.7505</w:t>
            </w:r>
            <w:r>
              <w:rPr>
                <w:color w:val="auto"/>
              </w:rPr>
              <w:t>μg/m</w:t>
            </w:r>
            <w:r>
              <w:rPr>
                <w:rFonts w:hint="eastAsia"/>
                <w:color w:val="auto"/>
                <w:vertAlign w:val="superscript"/>
              </w:rPr>
              <w:t>3</w:t>
            </w:r>
            <w:r>
              <w:rPr>
                <w:rFonts w:hint="eastAsia"/>
                <w:color w:val="auto"/>
              </w:rPr>
              <w:t>，Pmax：0.2292%，</w:t>
            </w:r>
            <w:r>
              <w:rPr>
                <w:rFonts w:hint="eastAsia"/>
                <w:color w:val="auto"/>
                <w:szCs w:val="22"/>
              </w:rPr>
              <w:t>能满足</w:t>
            </w:r>
            <w:r>
              <w:rPr>
                <w:rFonts w:hint="default"/>
                <w:color w:val="auto"/>
                <w:lang w:val="en-US" w:eastAsia="zh-CN"/>
              </w:rPr>
              <w:t>《环境影响评价技术导则-大气环境》（HJ2.2-2018）附录D中“其它污染物空气质量浓度参考限值</w:t>
            </w:r>
            <w:r>
              <w:rPr>
                <w:rFonts w:hint="default"/>
                <w:color w:val="auto"/>
              </w:rPr>
              <w:t>要求</w:t>
            </w:r>
            <w:r>
              <w:rPr>
                <w:rFonts w:hint="eastAsia"/>
                <w:color w:val="auto"/>
                <w:szCs w:val="22"/>
              </w:rPr>
              <w:t>。</w:t>
            </w:r>
          </w:p>
          <w:p>
            <w:pPr>
              <w:ind w:firstLine="480"/>
              <w:rPr>
                <w:snapToGrid/>
                <w:color w:val="auto"/>
              </w:rPr>
            </w:pPr>
            <w:r>
              <w:rPr>
                <w:rFonts w:hint="eastAsia"/>
                <w:color w:val="auto"/>
              </w:rPr>
              <w:t>③燃烧废气</w:t>
            </w:r>
          </w:p>
          <w:p>
            <w:pPr>
              <w:ind w:firstLine="480"/>
              <w:rPr>
                <w:snapToGrid/>
                <w:color w:val="auto"/>
                <w:szCs w:val="22"/>
              </w:rPr>
            </w:pPr>
            <w:r>
              <w:rPr>
                <w:rFonts w:hint="eastAsia"/>
                <w:color w:val="auto"/>
              </w:rPr>
              <w:t>项目固化采用天然气燃烧提供热源，燃烧废气经一根15m高（2#）排气筒排放，根据工程分析，项目燃烧废气有组织颗粒物、SO</w:t>
            </w:r>
            <w:r>
              <w:rPr>
                <w:rFonts w:hint="eastAsia"/>
                <w:color w:val="auto"/>
                <w:vertAlign w:val="subscript"/>
              </w:rPr>
              <w:t>2</w:t>
            </w:r>
            <w:r>
              <w:rPr>
                <w:rFonts w:hint="eastAsia"/>
                <w:color w:val="auto"/>
              </w:rPr>
              <w:t>、氮氧化物排放浓度分别为</w:t>
            </w:r>
            <w:r>
              <w:rPr>
                <w:rFonts w:hint="eastAsia"/>
                <w:color w:val="auto"/>
                <w:lang w:val="en-US" w:eastAsia="zh-CN"/>
              </w:rPr>
              <w:t>2.3</w:t>
            </w:r>
            <w:r>
              <w:rPr>
                <w:rFonts w:hint="eastAsia"/>
                <w:color w:val="auto"/>
              </w:rPr>
              <w:t>mg/m</w:t>
            </w:r>
            <w:r>
              <w:rPr>
                <w:rFonts w:hint="eastAsia"/>
                <w:color w:val="auto"/>
                <w:vertAlign w:val="superscript"/>
              </w:rPr>
              <w:t>3</w:t>
            </w:r>
            <w:r>
              <w:rPr>
                <w:rFonts w:hint="eastAsia"/>
                <w:color w:val="auto"/>
              </w:rPr>
              <w:t>、</w:t>
            </w:r>
            <w:r>
              <w:rPr>
                <w:rFonts w:hint="eastAsia"/>
                <w:color w:val="auto"/>
                <w:lang w:eastAsia="zh-CN"/>
              </w:rPr>
              <w:t>0.32</w:t>
            </w:r>
            <w:r>
              <w:rPr>
                <w:rFonts w:hint="eastAsia"/>
                <w:color w:val="auto"/>
              </w:rPr>
              <w:t>mg/m</w:t>
            </w:r>
            <w:r>
              <w:rPr>
                <w:rFonts w:hint="eastAsia"/>
                <w:color w:val="auto"/>
                <w:vertAlign w:val="superscript"/>
              </w:rPr>
              <w:t>3</w:t>
            </w:r>
            <w:r>
              <w:rPr>
                <w:rFonts w:hint="eastAsia"/>
                <w:color w:val="auto"/>
              </w:rPr>
              <w:t>、</w:t>
            </w:r>
            <w:r>
              <w:rPr>
                <w:rFonts w:hint="eastAsia"/>
                <w:color w:val="auto"/>
                <w:lang w:val="en-US" w:eastAsia="zh-CN"/>
              </w:rPr>
              <w:t>1</w:t>
            </w:r>
            <w:r>
              <w:rPr>
                <w:rFonts w:hint="eastAsia"/>
                <w:color w:val="auto"/>
              </w:rPr>
              <w:t>5mg/m</w:t>
            </w:r>
            <w:r>
              <w:rPr>
                <w:rFonts w:hint="eastAsia"/>
                <w:color w:val="auto"/>
                <w:vertAlign w:val="superscript"/>
              </w:rPr>
              <w:t>3</w:t>
            </w:r>
            <w:r>
              <w:rPr>
                <w:rFonts w:hint="eastAsia"/>
                <w:color w:val="auto"/>
              </w:rPr>
              <w:t>，颗粒物、二氧化硫和氮氧化物满足</w:t>
            </w:r>
            <w:r>
              <w:rPr>
                <w:color w:val="auto"/>
              </w:rPr>
              <w:t>GB16297-1996《大气污染物综合排放标准》表2二级标准限值</w:t>
            </w:r>
            <w:r>
              <w:rPr>
                <w:rFonts w:hint="eastAsia"/>
                <w:color w:val="auto"/>
              </w:rPr>
              <w:t>，即颗粒物≤</w:t>
            </w:r>
            <w:r>
              <w:rPr>
                <w:rFonts w:hint="eastAsia"/>
                <w:color w:val="auto"/>
                <w:lang w:val="en-US" w:eastAsia="zh-CN"/>
              </w:rPr>
              <w:t>120</w:t>
            </w:r>
            <w:r>
              <w:rPr>
                <w:rFonts w:hint="eastAsia"/>
                <w:color w:val="auto"/>
              </w:rPr>
              <w:t>mg/m</w:t>
            </w:r>
            <w:r>
              <w:rPr>
                <w:rFonts w:hint="eastAsia"/>
                <w:color w:val="auto"/>
                <w:vertAlign w:val="superscript"/>
              </w:rPr>
              <w:t>3</w:t>
            </w:r>
            <w:r>
              <w:rPr>
                <w:rFonts w:hint="eastAsia"/>
                <w:color w:val="auto"/>
              </w:rPr>
              <w:t>，SO</w:t>
            </w:r>
            <w:r>
              <w:rPr>
                <w:rFonts w:hint="eastAsia"/>
                <w:color w:val="auto"/>
                <w:vertAlign w:val="subscript"/>
              </w:rPr>
              <w:t>2</w:t>
            </w:r>
            <w:r>
              <w:rPr>
                <w:rFonts w:hint="eastAsia"/>
                <w:color w:val="auto"/>
              </w:rPr>
              <w:t>≤550mg/m</w:t>
            </w:r>
            <w:r>
              <w:rPr>
                <w:rFonts w:hint="eastAsia"/>
                <w:color w:val="auto"/>
                <w:vertAlign w:val="superscript"/>
              </w:rPr>
              <w:t>3</w:t>
            </w:r>
            <w:r>
              <w:rPr>
                <w:rFonts w:hint="eastAsia"/>
                <w:color w:val="auto"/>
              </w:rPr>
              <w:t>，NOx≤240mg/m</w:t>
            </w:r>
            <w:r>
              <w:rPr>
                <w:rFonts w:hint="eastAsia"/>
                <w:color w:val="auto"/>
                <w:vertAlign w:val="superscript"/>
              </w:rPr>
              <w:t>3</w:t>
            </w:r>
            <w:r>
              <w:rPr>
                <w:rFonts w:hint="eastAsia"/>
                <w:color w:val="auto"/>
              </w:rPr>
              <w:t>。经过预测分析，项目燃烧废气TSP最大落地质量浓度为Cmax：0.0677</w:t>
            </w:r>
            <w:r>
              <w:rPr>
                <w:color w:val="auto"/>
              </w:rPr>
              <w:t>μg/m</w:t>
            </w:r>
            <w:r>
              <w:rPr>
                <w:rFonts w:hint="eastAsia"/>
                <w:color w:val="auto"/>
                <w:vertAlign w:val="superscript"/>
              </w:rPr>
              <w:t>3</w:t>
            </w:r>
            <w:r>
              <w:rPr>
                <w:rFonts w:hint="eastAsia"/>
                <w:color w:val="auto"/>
              </w:rPr>
              <w:t>，Pmax：0.0074%，SO</w:t>
            </w:r>
            <w:r>
              <w:rPr>
                <w:rFonts w:hint="eastAsia"/>
                <w:color w:val="auto"/>
                <w:vertAlign w:val="subscript"/>
              </w:rPr>
              <w:t>2</w:t>
            </w:r>
            <w:r>
              <w:rPr>
                <w:rFonts w:hint="eastAsia"/>
                <w:color w:val="auto"/>
              </w:rPr>
              <w:t>最大落地质量浓度为Cmax：0.3416</w:t>
            </w:r>
            <w:r>
              <w:rPr>
                <w:color w:val="auto"/>
              </w:rPr>
              <w:t>μg/m</w:t>
            </w:r>
            <w:r>
              <w:rPr>
                <w:rFonts w:hint="eastAsia"/>
                <w:color w:val="auto"/>
                <w:vertAlign w:val="superscript"/>
              </w:rPr>
              <w:t>3</w:t>
            </w:r>
            <w:r>
              <w:rPr>
                <w:rFonts w:hint="eastAsia"/>
                <w:color w:val="auto"/>
              </w:rPr>
              <w:t>，Pmax：0.0683%，氮氧化物最大落地质量浓度为Cmax：0.6804</w:t>
            </w:r>
            <w:r>
              <w:rPr>
                <w:color w:val="auto"/>
              </w:rPr>
              <w:t>μg/m</w:t>
            </w:r>
            <w:r>
              <w:rPr>
                <w:rFonts w:hint="eastAsia"/>
                <w:color w:val="auto"/>
                <w:vertAlign w:val="superscript"/>
              </w:rPr>
              <w:t>3</w:t>
            </w:r>
            <w:r>
              <w:rPr>
                <w:rFonts w:hint="eastAsia"/>
                <w:color w:val="auto"/>
              </w:rPr>
              <w:t>，Pmax：0.2722%，能够满足</w:t>
            </w:r>
            <w:r>
              <w:rPr>
                <w:rFonts w:hint="eastAsia"/>
                <w:color w:val="auto"/>
                <w:szCs w:val="22"/>
              </w:rPr>
              <w:t>《环境空气质量标准》（GB3095-2012）二级标准。</w:t>
            </w:r>
          </w:p>
          <w:p>
            <w:pPr>
              <w:ind w:firstLine="480"/>
              <w:rPr>
                <w:snapToGrid/>
                <w:color w:val="auto"/>
              </w:rPr>
            </w:pPr>
            <w:r>
              <w:rPr>
                <w:rFonts w:hint="eastAsia"/>
                <w:color w:val="auto"/>
              </w:rPr>
              <w:fldChar w:fldCharType="begin"/>
            </w:r>
            <w:r>
              <w:rPr>
                <w:rFonts w:hint="eastAsia"/>
                <w:color w:val="auto"/>
              </w:rPr>
              <w:instrText xml:space="preserve"> = 4 \* GB3 \* MERGEFORMAT </w:instrText>
            </w:r>
            <w:r>
              <w:rPr>
                <w:rFonts w:hint="eastAsia"/>
                <w:color w:val="auto"/>
              </w:rPr>
              <w:fldChar w:fldCharType="separate"/>
            </w:r>
            <w:r>
              <w:rPr>
                <w:color w:val="auto"/>
              </w:rPr>
              <w:t>④</w:t>
            </w:r>
            <w:r>
              <w:rPr>
                <w:rFonts w:hint="eastAsia"/>
                <w:color w:val="auto"/>
              </w:rPr>
              <w:fldChar w:fldCharType="end"/>
            </w:r>
            <w:r>
              <w:rPr>
                <w:rFonts w:hint="eastAsia"/>
                <w:color w:val="auto"/>
              </w:rPr>
              <w:t>结论</w:t>
            </w:r>
          </w:p>
          <w:p>
            <w:pPr>
              <w:ind w:firstLine="480"/>
              <w:rPr>
                <w:snapToGrid/>
                <w:color w:val="auto"/>
              </w:rPr>
            </w:pPr>
            <w:r>
              <w:rPr>
                <w:rFonts w:hint="eastAsia"/>
                <w:color w:val="auto"/>
              </w:rPr>
              <w:t>根据以上分析，项目产生的废气经采取处理措施后，均能达标排放，并满足环境空气质量要求，对周边大气环境影响较小。</w:t>
            </w:r>
          </w:p>
          <w:p>
            <w:pPr>
              <w:ind w:firstLine="480"/>
              <w:rPr>
                <w:snapToGrid/>
                <w:color w:val="auto"/>
              </w:rPr>
            </w:pPr>
            <w:r>
              <w:rPr>
                <w:rFonts w:hint="eastAsia"/>
                <w:color w:val="auto"/>
              </w:rPr>
              <w:t>项目大气环境影响评价自查表见附表二。</w:t>
            </w:r>
          </w:p>
          <w:p>
            <w:pPr>
              <w:tabs>
                <w:tab w:val="left" w:pos="1050"/>
              </w:tabs>
              <w:ind w:firstLine="498"/>
              <w:contextualSpacing/>
              <w:rPr>
                <w:b/>
                <w:snapToGrid/>
                <w:color w:val="auto"/>
                <w:spacing w:val="4"/>
              </w:rPr>
            </w:pPr>
            <w:r>
              <w:rPr>
                <w:b/>
                <w:color w:val="auto"/>
                <w:spacing w:val="4"/>
              </w:rPr>
              <w:t>2、地表水环境影响分析</w:t>
            </w:r>
          </w:p>
          <w:p>
            <w:pPr>
              <w:ind w:firstLine="482"/>
              <w:rPr>
                <w:b/>
                <w:color w:val="auto"/>
              </w:rPr>
            </w:pPr>
            <w:r>
              <w:rPr>
                <w:b/>
                <w:color w:val="auto"/>
              </w:rPr>
              <w:t>（1）评价等级</w:t>
            </w:r>
            <w:r>
              <w:rPr>
                <w:rFonts w:hint="eastAsia"/>
                <w:b/>
                <w:color w:val="auto"/>
              </w:rPr>
              <w:t>判定</w:t>
            </w:r>
          </w:p>
          <w:p>
            <w:pPr>
              <w:ind w:firstLine="480"/>
              <w:rPr>
                <w:color w:val="auto"/>
              </w:rPr>
            </w:pPr>
            <w:r>
              <w:rPr>
                <w:color w:val="auto"/>
              </w:rPr>
              <w:t>根据《环境影响评价技术导则  地表水环境》（HJ2.2-2018），地表水环境影响评价分级判据如下：</w:t>
            </w:r>
          </w:p>
          <w:p>
            <w:pPr>
              <w:pStyle w:val="48"/>
              <w:ind w:firstLine="422"/>
              <w:rPr>
                <w:color w:val="auto"/>
              </w:rPr>
            </w:pPr>
            <w:r>
              <w:rPr>
                <w:color w:val="auto"/>
              </w:rPr>
              <w:t>表7</w:t>
            </w:r>
            <w:r>
              <w:rPr>
                <w:rFonts w:hint="eastAsia"/>
                <w:color w:val="auto"/>
              </w:rPr>
              <w:t>-19</w:t>
            </w:r>
            <w:r>
              <w:rPr>
                <w:color w:val="auto"/>
              </w:rPr>
              <w:t xml:space="preserve"> 水污染影响型建设项目评价等级判定</w:t>
            </w:r>
          </w:p>
          <w:tbl>
            <w:tblPr>
              <w:tblStyle w:val="3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4"/>
              <w:gridCol w:w="2098"/>
              <w:gridCol w:w="3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pct"/>
                  <w:vMerge w:val="restart"/>
                  <w:vAlign w:val="center"/>
                </w:tcPr>
                <w:p>
                  <w:pPr>
                    <w:pStyle w:val="50"/>
                    <w:rPr>
                      <w:color w:val="auto"/>
                    </w:rPr>
                  </w:pPr>
                  <w:r>
                    <w:rPr>
                      <w:color w:val="auto"/>
                    </w:rPr>
                    <w:t>评价等级</w:t>
                  </w:r>
                </w:p>
              </w:tc>
              <w:tc>
                <w:tcPr>
                  <w:tcW w:w="3347" w:type="pct"/>
                  <w:gridSpan w:val="2"/>
                  <w:vAlign w:val="center"/>
                </w:tcPr>
                <w:p>
                  <w:pPr>
                    <w:pStyle w:val="50"/>
                    <w:rPr>
                      <w:color w:val="auto"/>
                    </w:rPr>
                  </w:pPr>
                  <w:r>
                    <w:rPr>
                      <w:color w:val="auto"/>
                    </w:rPr>
                    <w:t>判定依据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pct"/>
                  <w:vMerge w:val="continue"/>
                  <w:vAlign w:val="center"/>
                </w:tcPr>
                <w:p>
                  <w:pPr>
                    <w:pStyle w:val="50"/>
                    <w:rPr>
                      <w:color w:val="auto"/>
                    </w:rPr>
                  </w:pPr>
                </w:p>
              </w:tc>
              <w:tc>
                <w:tcPr>
                  <w:tcW w:w="1254" w:type="pct"/>
                  <w:vAlign w:val="center"/>
                </w:tcPr>
                <w:p>
                  <w:pPr>
                    <w:pStyle w:val="50"/>
                    <w:rPr>
                      <w:color w:val="auto"/>
                    </w:rPr>
                  </w:pPr>
                  <w:r>
                    <w:rPr>
                      <w:color w:val="auto"/>
                    </w:rPr>
                    <w:t>排放方式</w:t>
                  </w:r>
                </w:p>
              </w:tc>
              <w:tc>
                <w:tcPr>
                  <w:tcW w:w="2092" w:type="pct"/>
                  <w:vAlign w:val="center"/>
                </w:tcPr>
                <w:p>
                  <w:pPr>
                    <w:pStyle w:val="50"/>
                    <w:rPr>
                      <w:color w:val="auto"/>
                    </w:rPr>
                  </w:pPr>
                  <w:r>
                    <w:rPr>
                      <w:color w:val="auto"/>
                    </w:rPr>
                    <w:t>废水排放量Q/（m</w:t>
                  </w:r>
                  <w:r>
                    <w:rPr>
                      <w:color w:val="auto"/>
                      <w:vertAlign w:val="superscript"/>
                    </w:rPr>
                    <w:t>3</w:t>
                  </w:r>
                  <w:r>
                    <w:rPr>
                      <w:color w:val="auto"/>
                    </w:rPr>
                    <w:t>/d）；</w:t>
                  </w:r>
                </w:p>
                <w:p>
                  <w:pPr>
                    <w:pStyle w:val="50"/>
                    <w:rPr>
                      <w:color w:val="auto"/>
                    </w:rPr>
                  </w:pPr>
                  <w:r>
                    <w:rPr>
                      <w:color w:val="auto"/>
                    </w:rPr>
                    <w:t>水污染物当量数W/（无量纲）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pct"/>
                  <w:vAlign w:val="center"/>
                </w:tcPr>
                <w:p>
                  <w:pPr>
                    <w:pStyle w:val="50"/>
                    <w:rPr>
                      <w:color w:val="auto"/>
                    </w:rPr>
                  </w:pPr>
                  <w:r>
                    <w:rPr>
                      <w:color w:val="auto"/>
                    </w:rPr>
                    <w:t>一级</w:t>
                  </w:r>
                </w:p>
              </w:tc>
              <w:tc>
                <w:tcPr>
                  <w:tcW w:w="1254" w:type="pct"/>
                  <w:vAlign w:val="center"/>
                </w:tcPr>
                <w:p>
                  <w:pPr>
                    <w:pStyle w:val="50"/>
                    <w:rPr>
                      <w:color w:val="auto"/>
                    </w:rPr>
                  </w:pPr>
                  <w:r>
                    <w:rPr>
                      <w:color w:val="auto"/>
                    </w:rPr>
                    <w:t>直接排放</w:t>
                  </w:r>
                </w:p>
              </w:tc>
              <w:tc>
                <w:tcPr>
                  <w:tcW w:w="2092" w:type="pct"/>
                  <w:vAlign w:val="center"/>
                </w:tcPr>
                <w:p>
                  <w:pPr>
                    <w:pStyle w:val="50"/>
                    <w:rPr>
                      <w:color w:val="auto"/>
                    </w:rPr>
                  </w:pPr>
                  <w:r>
                    <w:rPr>
                      <w:color w:val="auto"/>
                    </w:rPr>
                    <w:t>Q≥20000或W≥600000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pct"/>
                  <w:vAlign w:val="center"/>
                </w:tcPr>
                <w:p>
                  <w:pPr>
                    <w:pStyle w:val="50"/>
                    <w:rPr>
                      <w:color w:val="auto"/>
                    </w:rPr>
                  </w:pPr>
                  <w:r>
                    <w:rPr>
                      <w:color w:val="auto"/>
                    </w:rPr>
                    <w:t>二级</w:t>
                  </w:r>
                </w:p>
              </w:tc>
              <w:tc>
                <w:tcPr>
                  <w:tcW w:w="1254" w:type="pct"/>
                  <w:vAlign w:val="center"/>
                </w:tcPr>
                <w:p>
                  <w:pPr>
                    <w:pStyle w:val="50"/>
                    <w:rPr>
                      <w:color w:val="auto"/>
                    </w:rPr>
                  </w:pPr>
                  <w:r>
                    <w:rPr>
                      <w:color w:val="auto"/>
                    </w:rPr>
                    <w:t>直接排放</w:t>
                  </w:r>
                </w:p>
              </w:tc>
              <w:tc>
                <w:tcPr>
                  <w:tcW w:w="2092" w:type="pct"/>
                  <w:vAlign w:val="center"/>
                </w:tcPr>
                <w:p>
                  <w:pPr>
                    <w:pStyle w:val="50"/>
                    <w:rPr>
                      <w:color w:val="auto"/>
                    </w:rPr>
                  </w:pPr>
                  <w:r>
                    <w:rPr>
                      <w:color w:val="auto"/>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2" w:type="pct"/>
                  <w:vAlign w:val="center"/>
                </w:tcPr>
                <w:p>
                  <w:pPr>
                    <w:pStyle w:val="50"/>
                    <w:rPr>
                      <w:color w:val="auto"/>
                    </w:rPr>
                  </w:pPr>
                  <w:r>
                    <w:rPr>
                      <w:color w:val="auto"/>
                    </w:rPr>
                    <w:t>三级A</w:t>
                  </w:r>
                </w:p>
              </w:tc>
              <w:tc>
                <w:tcPr>
                  <w:tcW w:w="1254" w:type="pct"/>
                  <w:vAlign w:val="center"/>
                </w:tcPr>
                <w:p>
                  <w:pPr>
                    <w:pStyle w:val="50"/>
                    <w:rPr>
                      <w:color w:val="auto"/>
                    </w:rPr>
                  </w:pPr>
                  <w:r>
                    <w:rPr>
                      <w:color w:val="auto"/>
                    </w:rPr>
                    <w:t>直接排放</w:t>
                  </w:r>
                </w:p>
              </w:tc>
              <w:tc>
                <w:tcPr>
                  <w:tcW w:w="2092" w:type="pct"/>
                  <w:vAlign w:val="center"/>
                </w:tcPr>
                <w:p>
                  <w:pPr>
                    <w:pStyle w:val="50"/>
                    <w:rPr>
                      <w:color w:val="auto"/>
                    </w:rPr>
                  </w:pPr>
                  <w:r>
                    <w:rPr>
                      <w:color w:val="auto"/>
                    </w:rPr>
                    <w:t>Q＜200且W＜6000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1652" w:type="pct"/>
                  <w:vAlign w:val="center"/>
                </w:tcPr>
                <w:p>
                  <w:pPr>
                    <w:pStyle w:val="50"/>
                    <w:rPr>
                      <w:color w:val="auto"/>
                    </w:rPr>
                  </w:pPr>
                  <w:r>
                    <w:rPr>
                      <w:color w:val="auto"/>
                    </w:rPr>
                    <w:t>三级B</w:t>
                  </w:r>
                </w:p>
              </w:tc>
              <w:tc>
                <w:tcPr>
                  <w:tcW w:w="1254" w:type="pct"/>
                  <w:vAlign w:val="center"/>
                </w:tcPr>
                <w:p>
                  <w:pPr>
                    <w:pStyle w:val="50"/>
                    <w:rPr>
                      <w:color w:val="auto"/>
                    </w:rPr>
                  </w:pPr>
                  <w:r>
                    <w:rPr>
                      <w:color w:val="auto"/>
                    </w:rPr>
                    <w:t>间接排放</w:t>
                  </w:r>
                </w:p>
              </w:tc>
              <w:tc>
                <w:tcPr>
                  <w:tcW w:w="2092" w:type="pct"/>
                  <w:vAlign w:val="center"/>
                </w:tcPr>
                <w:p>
                  <w:pPr>
                    <w:pStyle w:val="50"/>
                    <w:rPr>
                      <w:color w:val="auto"/>
                    </w:rPr>
                  </w:pPr>
                  <w:r>
                    <w:rPr>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vAlign w:val="center"/>
                </w:tcPr>
                <w:p>
                  <w:pPr>
                    <w:pStyle w:val="50"/>
                    <w:jc w:val="both"/>
                    <w:rPr>
                      <w:color w:val="auto"/>
                    </w:rPr>
                  </w:pPr>
                  <w:r>
                    <w:rPr>
                      <w:color w:val="auto"/>
                    </w:rPr>
                    <w:t>注1：水污染物当量数等于该污染物的年排放量除以该污染物的污染当量值（见附录A），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pPr>
                    <w:pStyle w:val="50"/>
                    <w:jc w:val="both"/>
                    <w:rPr>
                      <w:color w:val="auto"/>
                    </w:rPr>
                  </w:pPr>
                  <w:r>
                    <w:rPr>
                      <w:color w:val="auto"/>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pPr>
                    <w:pStyle w:val="50"/>
                    <w:jc w:val="both"/>
                    <w:rPr>
                      <w:color w:val="auto"/>
                    </w:rPr>
                  </w:pPr>
                  <w:r>
                    <w:rPr>
                      <w:color w:val="auto"/>
                    </w:rPr>
                    <w:t>注3：厂区存在堆积物（露天堆放的原料、燃料、废渣等以及垃圾堆放场）、降尘污染的，应将初期雨污水纳入废水排放量，相应的主要污染物纳入水污染当量计算。</w:t>
                  </w:r>
                </w:p>
                <w:p>
                  <w:pPr>
                    <w:pStyle w:val="50"/>
                    <w:jc w:val="both"/>
                    <w:rPr>
                      <w:color w:val="auto"/>
                    </w:rPr>
                  </w:pPr>
                  <w:r>
                    <w:rPr>
                      <w:color w:val="auto"/>
                    </w:rPr>
                    <w:t>注4：建设项目直接排放第一类污染物的，其评价等级为一级；建设项目直接排放的污染物为受纳水体超标因子的，评价等级不低于二级。</w:t>
                  </w:r>
                </w:p>
                <w:p>
                  <w:pPr>
                    <w:pStyle w:val="50"/>
                    <w:jc w:val="both"/>
                    <w:rPr>
                      <w:color w:val="auto"/>
                    </w:rPr>
                  </w:pPr>
                  <w:r>
                    <w:rPr>
                      <w:color w:val="auto"/>
                    </w:rPr>
                    <w:t>注5：直接排放受纳水体影响范围涉及饮用水水源保护区、饮用水取水口、重点保护与珍稀水生生物的栖息地、重要水生生物的自然产卵场等保护目标时，评价等级不低于二级。</w:t>
                  </w:r>
                </w:p>
                <w:p>
                  <w:pPr>
                    <w:pStyle w:val="50"/>
                    <w:jc w:val="both"/>
                    <w:rPr>
                      <w:color w:val="auto"/>
                    </w:rPr>
                  </w:pPr>
                  <w:r>
                    <w:rPr>
                      <w:color w:val="auto"/>
                    </w:rPr>
                    <w:t>注6：建设项目向河流、湖库排放温排水引起受纳水体水温变化超过水环境质量标准要求，且评价范围有水温敏感目标时，评价等级为一级。</w:t>
                  </w:r>
                </w:p>
                <w:p>
                  <w:pPr>
                    <w:pStyle w:val="50"/>
                    <w:jc w:val="both"/>
                    <w:rPr>
                      <w:color w:val="auto"/>
                    </w:rPr>
                  </w:pPr>
                  <w:r>
                    <w:rPr>
                      <w:color w:val="auto"/>
                    </w:rPr>
                    <w:t>注7：建设项目利用海水作为调节温度介质，排水量≥500万m</w:t>
                  </w:r>
                  <w:r>
                    <w:rPr>
                      <w:color w:val="auto"/>
                      <w:vertAlign w:val="superscript"/>
                    </w:rPr>
                    <w:t>3</w:t>
                  </w:r>
                  <w:r>
                    <w:rPr>
                      <w:color w:val="auto"/>
                    </w:rPr>
                    <w:t>/d，评价等级为一级；排水量＜500万m</w:t>
                  </w:r>
                  <w:r>
                    <w:rPr>
                      <w:color w:val="auto"/>
                      <w:vertAlign w:val="superscript"/>
                    </w:rPr>
                    <w:t>3</w:t>
                  </w:r>
                  <w:r>
                    <w:rPr>
                      <w:color w:val="auto"/>
                    </w:rPr>
                    <w:t>/d，评价等级为二级。</w:t>
                  </w:r>
                </w:p>
                <w:p>
                  <w:pPr>
                    <w:pStyle w:val="50"/>
                    <w:jc w:val="both"/>
                    <w:rPr>
                      <w:color w:val="auto"/>
                    </w:rPr>
                  </w:pPr>
                  <w:r>
                    <w:rPr>
                      <w:color w:val="auto"/>
                    </w:rPr>
                    <w:t>注8：仅涉及清净下水排放的，如其排放水质满足受纳水体水环境质量标准要求的，评价等级为三级A。</w:t>
                  </w:r>
                </w:p>
                <w:p>
                  <w:pPr>
                    <w:pStyle w:val="50"/>
                    <w:jc w:val="both"/>
                    <w:rPr>
                      <w:color w:val="auto"/>
                    </w:rPr>
                  </w:pPr>
                  <w:r>
                    <w:rPr>
                      <w:color w:val="auto"/>
                    </w:rPr>
                    <w:t>注9：依托现有排放口，且对外环境未新增排放污染物的直接排放建设项目，评价等级参照间接排放，定为三级B。</w:t>
                  </w:r>
                </w:p>
                <w:p>
                  <w:pPr>
                    <w:pStyle w:val="50"/>
                    <w:rPr>
                      <w:color w:val="auto"/>
                    </w:rPr>
                  </w:pPr>
                  <w:r>
                    <w:rPr>
                      <w:color w:val="auto"/>
                    </w:rPr>
                    <w:t>注10：建设项目生产工艺中有废水产生，但作为回水利用，不排放到外环境的，按三级B评价。</w:t>
                  </w:r>
                </w:p>
              </w:tc>
            </w:tr>
          </w:tbl>
          <w:p>
            <w:pPr>
              <w:ind w:firstLine="480"/>
              <w:rPr>
                <w:color w:val="auto"/>
              </w:rPr>
            </w:pPr>
            <w:r>
              <w:rPr>
                <w:color w:val="auto"/>
              </w:rPr>
              <w:t>本</w:t>
            </w:r>
            <w:r>
              <w:rPr>
                <w:rFonts w:hint="eastAsia"/>
                <w:color w:val="auto"/>
              </w:rPr>
              <w:t>项目工艺过程</w:t>
            </w:r>
            <w:r>
              <w:rPr>
                <w:rFonts w:hint="eastAsia"/>
                <w:color w:val="auto"/>
                <w:lang w:eastAsia="zh-CN"/>
              </w:rPr>
              <w:t>不使用水，</w:t>
            </w:r>
            <w:r>
              <w:rPr>
                <w:rFonts w:hint="eastAsia"/>
                <w:color w:val="auto"/>
              </w:rPr>
              <w:t>不产生</w:t>
            </w:r>
            <w:r>
              <w:rPr>
                <w:rFonts w:hint="eastAsia"/>
                <w:color w:val="auto"/>
                <w:lang w:eastAsia="zh-CN"/>
              </w:rPr>
              <w:t>生产</w:t>
            </w:r>
            <w:r>
              <w:rPr>
                <w:rFonts w:hint="eastAsia"/>
                <w:color w:val="auto"/>
              </w:rPr>
              <w:t>废水，项目不设置食堂和住宿，冲厕废水</w:t>
            </w:r>
            <w:r>
              <w:rPr>
                <w:color w:val="auto"/>
              </w:rPr>
              <w:t>依托</w:t>
            </w:r>
            <w:r>
              <w:rPr>
                <w:rFonts w:hint="eastAsia"/>
                <w:color w:val="auto"/>
              </w:rPr>
              <w:t>昆明力线电缆制造有限公司已建设的化粪池及一体化污水处理设备处理达标后回用于绿化及道路清扫，不外排</w:t>
            </w:r>
            <w:r>
              <w:rPr>
                <w:rFonts w:hint="eastAsia" w:ascii="宋体" w:hAnsi="宋体" w:cs="宋体"/>
                <w:color w:val="auto"/>
              </w:rPr>
              <w:t>。</w:t>
            </w:r>
            <w:r>
              <w:rPr>
                <w:color w:val="auto"/>
              </w:rPr>
              <w:t>根据地表水环境影响评价技术导则</w:t>
            </w:r>
            <w:r>
              <w:rPr>
                <w:rFonts w:hint="eastAsia"/>
                <w:color w:val="auto"/>
              </w:rPr>
              <w:t>，项目评价等级为三级B，三级B评价，水污染影响型可不进行水环境影响预测。因此，本项目不进行水环境影响预测</w:t>
            </w:r>
            <w:r>
              <w:rPr>
                <w:color w:val="auto"/>
              </w:rPr>
              <w:t>。</w:t>
            </w:r>
          </w:p>
          <w:p>
            <w:pPr>
              <w:widowControl/>
              <w:adjustRightInd/>
              <w:snapToGrid/>
              <w:ind w:firstLine="482"/>
              <w:jc w:val="left"/>
              <w:rPr>
                <w:b/>
                <w:color w:val="auto"/>
              </w:rPr>
            </w:pPr>
            <w:r>
              <w:rPr>
                <w:b/>
                <w:color w:val="auto"/>
              </w:rPr>
              <w:t>（2）废水</w:t>
            </w:r>
            <w:r>
              <w:rPr>
                <w:rFonts w:hint="eastAsia"/>
                <w:b/>
                <w:color w:val="auto"/>
              </w:rPr>
              <w:t>不外排可行性分析</w:t>
            </w:r>
          </w:p>
          <w:p>
            <w:pPr>
              <w:ind w:firstLine="480"/>
              <w:rPr>
                <w:color w:val="auto"/>
              </w:rPr>
            </w:pPr>
            <w:r>
              <w:rPr>
                <w:rFonts w:hint="eastAsia"/>
                <w:color w:val="auto"/>
              </w:rPr>
              <w:t>项目生产不使用水，</w:t>
            </w:r>
            <w:r>
              <w:rPr>
                <w:rFonts w:hint="eastAsia"/>
                <w:color w:val="auto"/>
                <w:lang w:val="en-US" w:eastAsia="zh-CN"/>
              </w:rPr>
              <w:t>无生产废水产生，</w:t>
            </w:r>
            <w:r>
              <w:rPr>
                <w:color w:val="auto"/>
              </w:rPr>
              <w:t>项目不设置食堂和住宿，</w:t>
            </w:r>
            <w:r>
              <w:rPr>
                <w:rFonts w:hint="eastAsia"/>
                <w:color w:val="auto"/>
              </w:rPr>
              <w:t>卫生间使用昆明力线电缆制造有限公司已建成公共卫生间，</w:t>
            </w:r>
            <w:r>
              <w:rPr>
                <w:color w:val="auto"/>
              </w:rPr>
              <w:t>项目产生</w:t>
            </w:r>
            <w:r>
              <w:rPr>
                <w:rFonts w:hint="eastAsia"/>
                <w:color w:val="auto"/>
                <w:lang w:eastAsia="zh-CN"/>
              </w:rPr>
              <w:t>生活废水</w:t>
            </w:r>
            <w:r>
              <w:rPr>
                <w:color w:val="auto"/>
              </w:rPr>
              <w:t>仅</w:t>
            </w:r>
            <w:r>
              <w:rPr>
                <w:rFonts w:hint="eastAsia"/>
                <w:color w:val="auto"/>
              </w:rPr>
              <w:t>为员工冲厕废水</w:t>
            </w:r>
            <w:r>
              <w:rPr>
                <w:color w:val="auto"/>
              </w:rPr>
              <w:t>，</w:t>
            </w:r>
            <w:r>
              <w:rPr>
                <w:rFonts w:hint="eastAsia"/>
                <w:color w:val="auto"/>
              </w:rPr>
              <w:t>每人每天冲厕水量约为0.01</w:t>
            </w:r>
            <w:r>
              <w:rPr>
                <w:color w:val="auto"/>
              </w:rPr>
              <w:t>m</w:t>
            </w:r>
            <w:r>
              <w:rPr>
                <w:color w:val="auto"/>
                <w:vertAlign w:val="superscript"/>
              </w:rPr>
              <w:t>3</w:t>
            </w:r>
            <w:r>
              <w:rPr>
                <w:color w:val="auto"/>
              </w:rPr>
              <w:t>/d</w:t>
            </w:r>
            <w:r>
              <w:rPr>
                <w:rFonts w:hint="eastAsia"/>
                <w:color w:val="auto"/>
              </w:rPr>
              <w:t>，项目员工人数为20人，则冲厕废水</w:t>
            </w:r>
            <w:r>
              <w:rPr>
                <w:color w:val="auto"/>
              </w:rPr>
              <w:t>产生量约为0.</w:t>
            </w:r>
            <w:r>
              <w:rPr>
                <w:rFonts w:hint="eastAsia"/>
                <w:color w:val="auto"/>
              </w:rPr>
              <w:t>2</w:t>
            </w:r>
            <w:r>
              <w:rPr>
                <w:color w:val="auto"/>
              </w:rPr>
              <w:t>m</w:t>
            </w:r>
            <w:r>
              <w:rPr>
                <w:color w:val="auto"/>
                <w:vertAlign w:val="superscript"/>
              </w:rPr>
              <w:t>3</w:t>
            </w:r>
            <w:r>
              <w:rPr>
                <w:color w:val="auto"/>
              </w:rPr>
              <w:t>/d（</w:t>
            </w:r>
            <w:r>
              <w:rPr>
                <w:rFonts w:hint="eastAsia"/>
                <w:color w:val="auto"/>
              </w:rPr>
              <w:t>60</w:t>
            </w:r>
            <w:r>
              <w:rPr>
                <w:color w:val="auto"/>
              </w:rPr>
              <w:t>m</w:t>
            </w:r>
            <w:r>
              <w:rPr>
                <w:color w:val="auto"/>
                <w:vertAlign w:val="superscript"/>
              </w:rPr>
              <w:t>3</w:t>
            </w:r>
            <w:r>
              <w:rPr>
                <w:color w:val="auto"/>
              </w:rPr>
              <w:t>/a），</w:t>
            </w:r>
            <w:r>
              <w:rPr>
                <w:rFonts w:hint="eastAsia"/>
                <w:color w:val="auto"/>
              </w:rPr>
              <w:t>冲厕废水</w:t>
            </w:r>
            <w:r>
              <w:rPr>
                <w:color w:val="auto"/>
              </w:rPr>
              <w:t>排入</w:t>
            </w:r>
            <w:r>
              <w:rPr>
                <w:rFonts w:hint="eastAsia"/>
                <w:color w:val="auto"/>
              </w:rPr>
              <w:t>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w:t>
            </w:r>
            <w:r>
              <w:rPr>
                <w:rFonts w:hint="eastAsia"/>
                <w:color w:val="auto"/>
              </w:rPr>
              <w:t>标准后回用于绿化及道路清扫，不外排</w:t>
            </w:r>
            <w:r>
              <w:rPr>
                <w:rFonts w:hint="eastAsia" w:ascii="宋体" w:hAnsi="宋体" w:cs="宋体"/>
                <w:color w:val="auto"/>
              </w:rPr>
              <w:t>。</w:t>
            </w:r>
          </w:p>
          <w:p>
            <w:pPr>
              <w:numPr>
                <w:ilvl w:val="255"/>
                <w:numId w:val="0"/>
              </w:numPr>
              <w:ind w:firstLine="480" w:firstLineChars="200"/>
              <w:rPr>
                <w:rFonts w:hint="default" w:ascii="宋体" w:hAnsi="宋体" w:eastAsia="宋体" w:cs="宋体"/>
                <w:color w:val="auto"/>
                <w:lang w:val="en-US" w:eastAsia="zh-CN"/>
              </w:rPr>
            </w:pPr>
            <w:r>
              <w:rPr>
                <w:rFonts w:hint="eastAsia" w:ascii="宋体" w:hAnsi="宋体" w:cs="宋体"/>
                <w:color w:val="auto"/>
              </w:rPr>
              <w:t>根据</w:t>
            </w:r>
            <w:r>
              <w:rPr>
                <w:rFonts w:hint="eastAsia"/>
                <w:color w:val="auto"/>
              </w:rPr>
              <w:t>昆明力线电缆制造有限公司电线电缆制造项目的环评、验收文件及批复</w:t>
            </w:r>
            <w:r>
              <w:rPr>
                <w:color w:val="auto"/>
              </w:rPr>
              <w:t>（</w:t>
            </w:r>
            <w:r>
              <w:rPr>
                <w:rFonts w:hint="eastAsia"/>
                <w:color w:val="auto"/>
              </w:rPr>
              <w:t>富环保复</w:t>
            </w:r>
            <w:r>
              <w:rPr>
                <w:color w:val="auto"/>
              </w:rPr>
              <w:t>[201</w:t>
            </w:r>
            <w:r>
              <w:rPr>
                <w:rFonts w:hint="eastAsia"/>
                <w:color w:val="auto"/>
              </w:rPr>
              <w:t>5</w:t>
            </w:r>
            <w:r>
              <w:rPr>
                <w:color w:val="auto"/>
              </w:rPr>
              <w:t>]</w:t>
            </w:r>
            <w:r>
              <w:rPr>
                <w:rFonts w:hint="eastAsia"/>
                <w:color w:val="auto"/>
              </w:rPr>
              <w:t>15</w:t>
            </w:r>
            <w:r>
              <w:rPr>
                <w:color w:val="auto"/>
              </w:rPr>
              <w:t>号）</w:t>
            </w:r>
            <w:r>
              <w:rPr>
                <w:rFonts w:hint="eastAsia"/>
                <w:color w:val="auto"/>
              </w:rPr>
              <w:t>，昆明力线电缆制造有限公司</w:t>
            </w:r>
            <w:r>
              <w:rPr>
                <w:rFonts w:hint="eastAsia"/>
                <w:color w:val="auto"/>
                <w:lang w:val="en-US" w:eastAsia="zh-CN"/>
              </w:rPr>
              <w:t>目前使用的化粪池和</w:t>
            </w:r>
            <w:r>
              <w:rPr>
                <w:rFonts w:hint="eastAsia"/>
                <w:color w:val="auto"/>
              </w:rPr>
              <w:t>一体化污水处理设备规模</w:t>
            </w:r>
            <w:r>
              <w:rPr>
                <w:rFonts w:hint="eastAsia"/>
                <w:color w:val="auto"/>
                <w:lang w:val="en-US" w:eastAsia="zh-CN"/>
              </w:rPr>
              <w:t>均</w:t>
            </w:r>
            <w:r>
              <w:rPr>
                <w:rFonts w:hint="eastAsia"/>
                <w:color w:val="auto"/>
              </w:rPr>
              <w:t>为10</w:t>
            </w:r>
            <w:r>
              <w:rPr>
                <w:color w:val="auto"/>
              </w:rPr>
              <w:t>m</w:t>
            </w:r>
            <w:r>
              <w:rPr>
                <w:color w:val="auto"/>
                <w:vertAlign w:val="superscript"/>
              </w:rPr>
              <w:t>3</w:t>
            </w:r>
            <w:r>
              <w:rPr>
                <w:color w:val="auto"/>
              </w:rPr>
              <w:t>/d</w:t>
            </w:r>
            <w:r>
              <w:rPr>
                <w:rFonts w:hint="eastAsia"/>
                <w:color w:val="auto"/>
              </w:rPr>
              <w:t>，</w:t>
            </w:r>
            <w:r>
              <w:rPr>
                <w:rFonts w:hint="eastAsia"/>
                <w:color w:val="auto"/>
                <w:lang w:val="en-US" w:eastAsia="zh-CN"/>
              </w:rPr>
              <w:t>根据调查了解，</w:t>
            </w:r>
            <w:r>
              <w:rPr>
                <w:rFonts w:hint="eastAsia"/>
                <w:color w:val="auto"/>
              </w:rPr>
              <w:t>昆明力线电缆制造有限公司实际生活用水生活用水</w:t>
            </w:r>
            <w:r>
              <w:rPr>
                <w:rFonts w:hint="eastAsia"/>
                <w:color w:val="auto"/>
                <w:szCs w:val="21"/>
              </w:rPr>
              <w:t>4.15</w:t>
            </w:r>
            <w:r>
              <w:rPr>
                <w:color w:val="auto"/>
              </w:rPr>
              <w:t>m</w:t>
            </w:r>
            <w:r>
              <w:rPr>
                <w:color w:val="auto"/>
                <w:vertAlign w:val="superscript"/>
              </w:rPr>
              <w:t>3</w:t>
            </w:r>
            <w:r>
              <w:rPr>
                <w:color w:val="auto"/>
              </w:rPr>
              <w:t>/d</w:t>
            </w:r>
            <w:r>
              <w:rPr>
                <w:rFonts w:hint="eastAsia"/>
                <w:color w:val="auto"/>
              </w:rPr>
              <w:t>，产生生活废水</w:t>
            </w:r>
            <w:r>
              <w:rPr>
                <w:rFonts w:hint="eastAsia"/>
                <w:color w:val="auto"/>
                <w:szCs w:val="21"/>
              </w:rPr>
              <w:t>3.32</w:t>
            </w:r>
            <w:r>
              <w:rPr>
                <w:color w:val="auto"/>
              </w:rPr>
              <w:t>m</w:t>
            </w:r>
            <w:r>
              <w:rPr>
                <w:color w:val="auto"/>
                <w:vertAlign w:val="superscript"/>
              </w:rPr>
              <w:t>3</w:t>
            </w:r>
            <w:r>
              <w:rPr>
                <w:color w:val="auto"/>
              </w:rPr>
              <w:t>/d</w:t>
            </w:r>
            <w:r>
              <w:rPr>
                <w:rFonts w:hint="eastAsia"/>
                <w:color w:val="auto"/>
              </w:rPr>
              <w:t>，本项目冲厕废水0.2</w:t>
            </w:r>
            <w:r>
              <w:rPr>
                <w:color w:val="auto"/>
              </w:rPr>
              <w:t>m</w:t>
            </w:r>
            <w:r>
              <w:rPr>
                <w:color w:val="auto"/>
                <w:vertAlign w:val="superscript"/>
              </w:rPr>
              <w:t>3</w:t>
            </w:r>
            <w:r>
              <w:rPr>
                <w:color w:val="auto"/>
              </w:rPr>
              <w:t>/d，</w:t>
            </w:r>
            <w:r>
              <w:rPr>
                <w:rFonts w:hint="eastAsia"/>
                <w:color w:val="auto"/>
              </w:rPr>
              <w:t>合计生活用水</w:t>
            </w:r>
            <w:r>
              <w:rPr>
                <w:rFonts w:hint="eastAsia"/>
                <w:color w:val="auto"/>
                <w:szCs w:val="21"/>
              </w:rPr>
              <w:t>4.35</w:t>
            </w:r>
            <w:r>
              <w:rPr>
                <w:color w:val="auto"/>
              </w:rPr>
              <w:t>m</w:t>
            </w:r>
            <w:r>
              <w:rPr>
                <w:color w:val="auto"/>
                <w:vertAlign w:val="superscript"/>
              </w:rPr>
              <w:t>3</w:t>
            </w:r>
            <w:r>
              <w:rPr>
                <w:color w:val="auto"/>
              </w:rPr>
              <w:t>/d</w:t>
            </w:r>
            <w:r>
              <w:rPr>
                <w:rFonts w:hint="eastAsia"/>
                <w:color w:val="auto"/>
              </w:rPr>
              <w:t>，产生生活废水</w:t>
            </w:r>
            <w:r>
              <w:rPr>
                <w:rFonts w:hint="eastAsia"/>
                <w:color w:val="auto"/>
                <w:szCs w:val="21"/>
              </w:rPr>
              <w:t>3.52</w:t>
            </w:r>
            <w:r>
              <w:rPr>
                <w:color w:val="auto"/>
              </w:rPr>
              <w:t>m</w:t>
            </w:r>
            <w:r>
              <w:rPr>
                <w:color w:val="auto"/>
                <w:vertAlign w:val="superscript"/>
              </w:rPr>
              <w:t>3</w:t>
            </w:r>
            <w:r>
              <w:rPr>
                <w:color w:val="auto"/>
              </w:rPr>
              <w:t>/d</w:t>
            </w:r>
            <w:r>
              <w:rPr>
                <w:rFonts w:hint="eastAsia"/>
                <w:color w:val="auto"/>
              </w:rPr>
              <w:t>，</w:t>
            </w:r>
            <w:r>
              <w:rPr>
                <w:rFonts w:hint="eastAsia" w:ascii="宋体" w:hAnsi="宋体" w:cs="宋体"/>
                <w:color w:val="auto"/>
              </w:rPr>
              <w:t>化粪池</w:t>
            </w:r>
            <w:r>
              <w:rPr>
                <w:rFonts w:hint="eastAsia"/>
                <w:color w:val="auto"/>
                <w:szCs w:val="21"/>
              </w:rPr>
              <w:t>容积及</w:t>
            </w:r>
            <w:r>
              <w:rPr>
                <w:rFonts w:hint="eastAsia"/>
                <w:color w:val="auto"/>
              </w:rPr>
              <w:t>一体化污水处理设备规模为10</w:t>
            </w:r>
            <w:r>
              <w:rPr>
                <w:color w:val="auto"/>
              </w:rPr>
              <w:t>m</w:t>
            </w:r>
            <w:r>
              <w:rPr>
                <w:color w:val="auto"/>
                <w:vertAlign w:val="superscript"/>
              </w:rPr>
              <w:t>3</w:t>
            </w:r>
            <w:r>
              <w:rPr>
                <w:color w:val="auto"/>
              </w:rPr>
              <w:t>/d</w:t>
            </w:r>
            <w:r>
              <w:rPr>
                <w:rFonts w:hint="eastAsia"/>
                <w:color w:val="auto"/>
              </w:rPr>
              <w:t>，</w:t>
            </w:r>
            <w:r>
              <w:rPr>
                <w:rFonts w:hint="eastAsia" w:ascii="宋体" w:hAnsi="宋体" w:cs="宋体"/>
                <w:color w:val="auto"/>
              </w:rPr>
              <w:t>因此，</w:t>
            </w:r>
            <w:r>
              <w:rPr>
                <w:rFonts w:hint="eastAsia" w:ascii="宋体" w:hAnsi="宋体" w:cs="宋体"/>
                <w:color w:val="auto"/>
                <w:lang w:val="en-US" w:eastAsia="zh-CN"/>
              </w:rPr>
              <w:t>本</w:t>
            </w:r>
            <w:r>
              <w:rPr>
                <w:rFonts w:hint="eastAsia" w:ascii="宋体" w:hAnsi="宋体" w:cs="宋体"/>
                <w:color w:val="auto"/>
              </w:rPr>
              <w:t>项目生活废水依托昆明力线电缆制造有限公司已建设的化粪池及一体化污水处理设备可行</w:t>
            </w:r>
            <w:r>
              <w:rPr>
                <w:rFonts w:hint="eastAsia" w:ascii="宋体" w:hAnsi="宋体" w:cs="宋体"/>
                <w:color w:val="auto"/>
                <w:lang w:eastAsia="zh-CN"/>
              </w:rPr>
              <w:t>。</w:t>
            </w:r>
          </w:p>
          <w:p>
            <w:pPr>
              <w:numPr>
                <w:ilvl w:val="255"/>
                <w:numId w:val="0"/>
              </w:numPr>
              <w:ind w:firstLine="480" w:firstLineChars="200"/>
              <w:rPr>
                <w:rFonts w:hint="default" w:ascii="宋体" w:hAnsi="宋体" w:cs="宋体"/>
                <w:color w:val="auto"/>
                <w:lang w:val="en-US" w:eastAsia="zh-CN"/>
              </w:rPr>
            </w:pPr>
            <w:r>
              <w:rPr>
                <w:rFonts w:hint="eastAsia" w:ascii="宋体" w:hAnsi="宋体" w:cs="宋体"/>
                <w:color w:val="auto"/>
                <w:lang w:eastAsia="zh-CN"/>
              </w:rPr>
              <w:t>（</w:t>
            </w:r>
            <w:r>
              <w:rPr>
                <w:rFonts w:hint="eastAsia" w:ascii="宋体" w:hAnsi="宋体" w:cs="宋体"/>
                <w:color w:val="auto"/>
                <w:lang w:val="en-US" w:eastAsia="zh-CN"/>
              </w:rPr>
              <w:t>3</w:t>
            </w:r>
            <w:r>
              <w:rPr>
                <w:rFonts w:hint="eastAsia" w:ascii="宋体" w:hAnsi="宋体" w:cs="宋体"/>
                <w:color w:val="auto"/>
                <w:lang w:eastAsia="zh-CN"/>
              </w:rPr>
              <w:t>）</w:t>
            </w:r>
            <w:r>
              <w:rPr>
                <w:rFonts w:hint="eastAsia" w:ascii="宋体" w:hAnsi="宋体" w:cs="宋体"/>
                <w:color w:val="auto"/>
                <w:lang w:val="en-US" w:eastAsia="zh-CN"/>
              </w:rPr>
              <w:t>废水回用可行性分析</w:t>
            </w:r>
          </w:p>
          <w:p>
            <w:pPr>
              <w:numPr>
                <w:ilvl w:val="255"/>
                <w:numId w:val="0"/>
              </w:numPr>
              <w:ind w:firstLine="480" w:firstLineChars="200"/>
              <w:rPr>
                <w:color w:val="auto"/>
              </w:rPr>
            </w:pPr>
            <w:r>
              <w:rPr>
                <w:rFonts w:hint="eastAsia" w:ascii="宋体" w:hAnsi="宋体" w:cs="宋体"/>
                <w:color w:val="auto"/>
                <w:lang w:val="en-US" w:eastAsia="zh-CN"/>
              </w:rPr>
              <w:t>根据调查了解，目前</w:t>
            </w:r>
            <w:r>
              <w:rPr>
                <w:rFonts w:hint="eastAsia"/>
                <w:color w:val="auto"/>
              </w:rPr>
              <w:t>昆明力线电缆制造有限公司</w:t>
            </w:r>
            <w:r>
              <w:rPr>
                <w:rFonts w:hint="eastAsia"/>
                <w:color w:val="auto"/>
                <w:lang w:val="en-US" w:eastAsia="zh-CN"/>
              </w:rPr>
              <w:t>绿化和道路清扫用水量约为4.85</w:t>
            </w:r>
            <w:r>
              <w:rPr>
                <w:color w:val="auto"/>
              </w:rPr>
              <w:t>m</w:t>
            </w:r>
            <w:r>
              <w:rPr>
                <w:color w:val="auto"/>
                <w:vertAlign w:val="superscript"/>
              </w:rPr>
              <w:t>3</w:t>
            </w:r>
            <w:r>
              <w:rPr>
                <w:color w:val="auto"/>
              </w:rPr>
              <w:t>/d</w:t>
            </w:r>
            <w:r>
              <w:rPr>
                <w:rFonts w:hint="eastAsia"/>
                <w:color w:val="auto"/>
                <w:lang w:eastAsia="zh-CN"/>
              </w:rPr>
              <w:t>，</w:t>
            </w:r>
            <w:r>
              <w:rPr>
                <w:rFonts w:hint="eastAsia"/>
                <w:color w:val="auto"/>
                <w:lang w:val="en-US" w:eastAsia="zh-CN"/>
              </w:rPr>
              <w:t>从水量上，本项目的建设不会影响废水量的回用可行性，依然能够满足废水全部回用。根据</w:t>
            </w:r>
            <w:r>
              <w:rPr>
                <w:rFonts w:hint="eastAsia"/>
                <w:color w:val="auto"/>
              </w:rPr>
              <w:t>昆明力线电缆制造有限公司</w:t>
            </w:r>
            <w:r>
              <w:rPr>
                <w:rFonts w:hint="eastAsia"/>
                <w:color w:val="auto"/>
                <w:lang w:val="en-US" w:eastAsia="zh-CN"/>
              </w:rPr>
              <w:t>对一体化污水处理设备的出水水质的验收情况，该</w:t>
            </w:r>
            <w:r>
              <w:rPr>
                <w:rFonts w:hint="eastAsia" w:ascii="宋体" w:hAnsi="宋体" w:cs="宋体"/>
                <w:color w:val="auto"/>
              </w:rPr>
              <w:t>一体化污水处理设备</w:t>
            </w:r>
            <w:r>
              <w:rPr>
                <w:rFonts w:hint="eastAsia" w:ascii="宋体" w:hAnsi="宋体" w:cs="宋体"/>
                <w:color w:val="auto"/>
                <w:lang w:val="en-US" w:eastAsia="zh-CN"/>
              </w:rPr>
              <w:t>出水水质能够达到</w:t>
            </w:r>
            <w:r>
              <w:rPr>
                <w:rFonts w:hint="eastAsia"/>
                <w:color w:val="auto"/>
                <w:lang w:val="en-US" w:eastAsia="zh-CN"/>
              </w:rPr>
              <w:t>《城市污水再生利用城市杂用水水质》（GB/T18920-2020）</w:t>
            </w:r>
            <w:r>
              <w:rPr>
                <w:rFonts w:hint="eastAsia"/>
                <w:color w:val="auto"/>
                <w:lang w:val="en-US" w:eastAsia="zh-CN"/>
              </w:rPr>
              <w:t>中表1城市绿化杂用水标准及道路清扫杂用水标准</w:t>
            </w:r>
            <w:r>
              <w:rPr>
                <w:rFonts w:hint="eastAsia" w:ascii="宋体" w:hAnsi="宋体" w:cs="宋体"/>
                <w:color w:val="auto"/>
              </w:rPr>
              <w:t>。</w:t>
            </w:r>
          </w:p>
          <w:p>
            <w:pPr>
              <w:tabs>
                <w:tab w:val="left" w:pos="1050"/>
              </w:tabs>
              <w:ind w:firstLine="498"/>
              <w:contextualSpacing/>
              <w:rPr>
                <w:b/>
                <w:color w:val="auto"/>
                <w:spacing w:val="4"/>
                <w:szCs w:val="28"/>
              </w:rPr>
            </w:pPr>
            <w:r>
              <w:rPr>
                <w:b/>
                <w:color w:val="auto"/>
                <w:spacing w:val="4"/>
                <w:szCs w:val="28"/>
              </w:rPr>
              <w:t>3、地下水环境影响分析</w:t>
            </w:r>
          </w:p>
          <w:p>
            <w:pPr>
              <w:ind w:firstLine="480"/>
              <w:rPr>
                <w:color w:val="auto"/>
              </w:rPr>
            </w:pPr>
            <w:r>
              <w:rPr>
                <w:rFonts w:hint="eastAsia" w:ascii="宋体" w:hAnsi="宋体" w:cs="宋体"/>
                <w:color w:val="auto"/>
              </w:rPr>
              <w:t>建设项目的地下水环境敏感程度分为敏感、较敏感、不敏感三级，分级原则见表</w:t>
            </w:r>
            <w:r>
              <w:rPr>
                <w:color w:val="auto"/>
              </w:rPr>
              <w:t>7</w:t>
            </w:r>
            <w:r>
              <w:rPr>
                <w:rFonts w:hint="eastAsia" w:ascii="宋体" w:hAnsi="宋体" w:cs="宋体"/>
                <w:color w:val="auto"/>
              </w:rPr>
              <w:t>-</w:t>
            </w:r>
            <w:r>
              <w:rPr>
                <w:rFonts w:hint="eastAsia"/>
                <w:color w:val="auto"/>
              </w:rPr>
              <w:t>20</w:t>
            </w:r>
            <w:r>
              <w:rPr>
                <w:rFonts w:hint="eastAsia" w:ascii="宋体" w:hAnsi="宋体" w:cs="宋体"/>
                <w:color w:val="auto"/>
              </w:rPr>
              <w:t>。</w:t>
            </w:r>
          </w:p>
          <w:p>
            <w:pPr>
              <w:pStyle w:val="48"/>
              <w:ind w:firstLine="422"/>
              <w:rPr>
                <w:color w:val="auto"/>
              </w:rPr>
            </w:pPr>
            <w:r>
              <w:rPr>
                <w:color w:val="auto"/>
              </w:rPr>
              <w:t>表7-</w:t>
            </w:r>
            <w:r>
              <w:rPr>
                <w:rFonts w:hint="eastAsia"/>
                <w:color w:val="auto"/>
              </w:rPr>
              <w:t>20</w:t>
            </w:r>
            <w:r>
              <w:rPr>
                <w:color w:val="auto"/>
              </w:rPr>
              <w:t xml:space="preserve">  地下水环境敏感程度分级表</w:t>
            </w:r>
          </w:p>
          <w:tbl>
            <w:tblPr>
              <w:tblStyle w:val="36"/>
              <w:tblW w:w="83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1"/>
              <w:gridCol w:w="6071"/>
              <w:gridCol w:w="10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50"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敏感程度</w:t>
                  </w:r>
                </w:p>
              </w:tc>
              <w:tc>
                <w:tcPr>
                  <w:tcW w:w="3642"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地下水环境敏感特征</w:t>
                  </w:r>
                </w:p>
              </w:tc>
              <w:tc>
                <w:tcPr>
                  <w:tcW w:w="60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50"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敏感</w:t>
                  </w:r>
                </w:p>
              </w:tc>
              <w:tc>
                <w:tcPr>
                  <w:tcW w:w="3642"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集中式饮用水水源（包括已建成的在用、备用、应急水源，在建和规划的饮用水水源）准保护区；除集中式饮用水水源以外的国家或地方政府设定的与地下水环境相关的其他保护区，如热水、矿泉水、温泉等特殊地下水资源保护区。</w:t>
                  </w:r>
                </w:p>
              </w:tc>
              <w:tc>
                <w:tcPr>
                  <w:tcW w:w="60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2" w:hRule="atLeast"/>
                <w:jc w:val="center"/>
              </w:trPr>
              <w:tc>
                <w:tcPr>
                  <w:tcW w:w="750"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较敏感</w:t>
                  </w:r>
                </w:p>
              </w:tc>
              <w:tc>
                <w:tcPr>
                  <w:tcW w:w="3642"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集中式饮用水水源（包括已建成的在用、备用、应急水源，在建和规划的饮用水水源）准保护区以外的补给径流区；未划定准保护区的集中水式饮用水水源，其保护区以外的补给径流区；分散式饮用水水源地；特殊地下水资源（如矿泉水、温泉等）保护区以外的分布区等其他未列入上述敏感分级的环境敏感区a。</w:t>
                  </w:r>
                </w:p>
              </w:tc>
              <w:tc>
                <w:tcPr>
                  <w:tcW w:w="60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750"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不敏感</w:t>
                  </w:r>
                </w:p>
              </w:tc>
              <w:tc>
                <w:tcPr>
                  <w:tcW w:w="3642"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上述地区之外的其他地区。</w:t>
                  </w:r>
                </w:p>
              </w:tc>
              <w:tc>
                <w:tcPr>
                  <w:tcW w:w="60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注：a“环境敏感区”是指《建设项目环境影响评价分类管理目录》中所界定的涉及地下水的环境敏感区。</w:t>
                  </w:r>
                </w:p>
              </w:tc>
            </w:tr>
          </w:tbl>
          <w:p>
            <w:pPr>
              <w:pStyle w:val="31"/>
              <w:widowControl w:val="0"/>
              <w:spacing w:before="0" w:beforeAutospacing="0" w:after="0" w:afterAutospacing="0" w:line="360" w:lineRule="auto"/>
              <w:ind w:firstLine="480"/>
              <w:jc w:val="both"/>
              <w:rPr>
                <w:rFonts w:cs="宋体"/>
                <w:color w:val="auto"/>
              </w:rPr>
            </w:pPr>
            <w:r>
              <w:rPr>
                <w:rFonts w:hint="eastAsia" w:cs="宋体"/>
                <w:color w:val="auto"/>
              </w:rPr>
              <w:t>评价工作等级的划分应依据建设项目行业分类和地下水环境敏感程度分级进行判定，建设项目地下水环境影响评价工作等级划分见表7-21。</w:t>
            </w:r>
          </w:p>
          <w:p>
            <w:pPr>
              <w:pStyle w:val="48"/>
              <w:ind w:firstLine="422"/>
              <w:rPr>
                <w:color w:val="auto"/>
              </w:rPr>
            </w:pPr>
            <w:r>
              <w:rPr>
                <w:color w:val="auto"/>
              </w:rPr>
              <w:t>表7-</w:t>
            </w:r>
            <w:r>
              <w:rPr>
                <w:rFonts w:hint="eastAsia"/>
                <w:color w:val="auto"/>
              </w:rPr>
              <w:t>21</w:t>
            </w:r>
            <w:r>
              <w:rPr>
                <w:color w:val="auto"/>
              </w:rPr>
              <w:t xml:space="preserve">  评价工作等级分级表</w:t>
            </w:r>
          </w:p>
          <w:tbl>
            <w:tblPr>
              <w:tblStyle w:val="36"/>
              <w:tblW w:w="4999"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740"/>
              <w:gridCol w:w="1442"/>
              <w:gridCol w:w="2092"/>
              <w:gridCol w:w="2093"/>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4" w:hRule="atLeast"/>
                <w:jc w:val="center"/>
              </w:trPr>
              <w:tc>
                <w:tcPr>
                  <w:tcW w:w="1637"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项目类别环境敏感程度</w:t>
                  </w:r>
                </w:p>
              </w:tc>
              <w:tc>
                <w:tcPr>
                  <w:tcW w:w="861"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Ⅰ类</w:t>
                  </w:r>
                </w:p>
              </w:tc>
              <w:tc>
                <w:tcPr>
                  <w:tcW w:w="12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Ⅱ类</w:t>
                  </w:r>
                </w:p>
              </w:tc>
              <w:tc>
                <w:tcPr>
                  <w:tcW w:w="12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Ⅲ类</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6" w:hRule="atLeast"/>
                <w:jc w:val="center"/>
              </w:trPr>
              <w:tc>
                <w:tcPr>
                  <w:tcW w:w="1637"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rFonts w:hint="eastAsia"/>
                      <w:color w:val="auto"/>
                    </w:rPr>
                    <w:t>敏感</w:t>
                  </w:r>
                </w:p>
              </w:tc>
              <w:tc>
                <w:tcPr>
                  <w:tcW w:w="861"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一</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一</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二</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88" w:hRule="atLeast"/>
                <w:jc w:val="center"/>
              </w:trPr>
              <w:tc>
                <w:tcPr>
                  <w:tcW w:w="1637" w:type="pct"/>
                  <w:tcBorders>
                    <w:top w:val="single" w:color="auto" w:sz="4" w:space="0"/>
                    <w:left w:val="single" w:color="auto" w:sz="4" w:space="0"/>
                    <w:bottom w:val="single" w:color="auto" w:sz="4" w:space="0"/>
                    <w:right w:val="single" w:color="auto" w:sz="4" w:space="0"/>
                  </w:tcBorders>
                </w:tcPr>
                <w:p>
                  <w:pPr>
                    <w:pStyle w:val="50"/>
                    <w:rPr>
                      <w:color w:val="auto"/>
                    </w:rPr>
                  </w:pPr>
                  <w:r>
                    <w:rPr>
                      <w:rFonts w:hint="eastAsia"/>
                      <w:color w:val="auto"/>
                    </w:rPr>
                    <w:t>较敏感</w:t>
                  </w:r>
                </w:p>
              </w:tc>
              <w:tc>
                <w:tcPr>
                  <w:tcW w:w="861"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一</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二</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三</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92" w:hRule="atLeast"/>
                <w:jc w:val="center"/>
              </w:trPr>
              <w:tc>
                <w:tcPr>
                  <w:tcW w:w="1637" w:type="pct"/>
                  <w:tcBorders>
                    <w:top w:val="single" w:color="auto" w:sz="4" w:space="0"/>
                    <w:left w:val="single" w:color="auto" w:sz="4" w:space="0"/>
                    <w:bottom w:val="single" w:color="auto" w:sz="4" w:space="0"/>
                    <w:right w:val="single" w:color="auto" w:sz="4" w:space="0"/>
                  </w:tcBorders>
                </w:tcPr>
                <w:p>
                  <w:pPr>
                    <w:pStyle w:val="50"/>
                    <w:rPr>
                      <w:color w:val="auto"/>
                    </w:rPr>
                  </w:pPr>
                  <w:r>
                    <w:rPr>
                      <w:rFonts w:hint="eastAsia"/>
                      <w:color w:val="auto"/>
                    </w:rPr>
                    <w:t>不敏感</w:t>
                  </w:r>
                </w:p>
              </w:tc>
              <w:tc>
                <w:tcPr>
                  <w:tcW w:w="861"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二</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三</w:t>
                  </w:r>
                </w:p>
              </w:tc>
              <w:tc>
                <w:tcPr>
                  <w:tcW w:w="1250" w:type="pct"/>
                  <w:tcBorders>
                    <w:top w:val="single" w:color="auto" w:sz="4" w:space="0"/>
                    <w:left w:val="nil"/>
                    <w:bottom w:val="single" w:color="auto" w:sz="4" w:space="0"/>
                    <w:right w:val="single" w:color="auto" w:sz="4" w:space="0"/>
                  </w:tcBorders>
                </w:tcPr>
                <w:p>
                  <w:pPr>
                    <w:pStyle w:val="50"/>
                    <w:rPr>
                      <w:color w:val="auto"/>
                    </w:rPr>
                  </w:pPr>
                  <w:r>
                    <w:rPr>
                      <w:rFonts w:hint="eastAsia"/>
                      <w:color w:val="auto"/>
                    </w:rPr>
                    <w:t>三</w:t>
                  </w:r>
                </w:p>
              </w:tc>
            </w:tr>
          </w:tbl>
          <w:p>
            <w:pPr>
              <w:ind w:firstLine="480"/>
              <w:jc w:val="left"/>
              <w:rPr>
                <w:rFonts w:hint="eastAsia"/>
                <w:color w:val="auto"/>
                <w:lang w:eastAsia="zh-CN"/>
              </w:rPr>
            </w:pPr>
            <w:r>
              <w:rPr>
                <w:rFonts w:hint="eastAsia"/>
                <w:color w:val="auto"/>
              </w:rPr>
              <w:t>根据《环境影响评价技术导则 地下水环境》（HJ 610-2016）附录A</w:t>
            </w:r>
            <w:r>
              <w:rPr>
                <w:color w:val="auto"/>
              </w:rPr>
              <w:t>中“</w:t>
            </w:r>
            <w:r>
              <w:rPr>
                <w:rFonts w:hint="eastAsia"/>
                <w:b/>
                <w:bCs/>
                <w:color w:val="auto"/>
              </w:rPr>
              <w:t>I</w:t>
            </w:r>
            <w:r>
              <w:rPr>
                <w:color w:val="auto"/>
              </w:rPr>
              <w:t>金属制品</w:t>
            </w:r>
            <w:r>
              <w:rPr>
                <w:rFonts w:hint="eastAsia"/>
                <w:color w:val="auto"/>
              </w:rPr>
              <w:t>，53</w:t>
            </w:r>
            <w:r>
              <w:rPr>
                <w:color w:val="auto"/>
              </w:rPr>
              <w:t>金属制品</w:t>
            </w:r>
            <w:r>
              <w:rPr>
                <w:rFonts w:hint="eastAsia"/>
                <w:color w:val="auto"/>
              </w:rPr>
              <w:t>加工制造中的</w:t>
            </w:r>
            <w:r>
              <w:rPr>
                <w:color w:val="auto"/>
              </w:rPr>
              <w:t>其他类，报告表属于IV类项目”。</w:t>
            </w:r>
            <w:r>
              <w:rPr>
                <w:rFonts w:hint="eastAsia" w:ascii="宋体" w:hAnsi="宋体" w:cs="宋体"/>
                <w:color w:val="auto"/>
              </w:rPr>
              <w:t>根据《环境影响评价技术导则</w:t>
            </w:r>
            <w:r>
              <w:rPr>
                <w:color w:val="auto"/>
              </w:rPr>
              <w:t xml:space="preserve">- </w:t>
            </w:r>
            <w:r>
              <w:rPr>
                <w:rFonts w:hint="eastAsia" w:ascii="宋体" w:hAnsi="宋体" w:cs="宋体"/>
                <w:color w:val="auto"/>
              </w:rPr>
              <w:t>地下水环境》（</w:t>
            </w:r>
            <w:r>
              <w:rPr>
                <w:color w:val="auto"/>
              </w:rPr>
              <w:t>HJ610-2016</w:t>
            </w:r>
            <w:r>
              <w:rPr>
                <w:rFonts w:hint="eastAsia" w:ascii="宋体" w:hAnsi="宋体" w:cs="宋体"/>
                <w:color w:val="auto"/>
              </w:rPr>
              <w:t>）规定的一般性原则，</w:t>
            </w:r>
            <w:r>
              <w:rPr>
                <w:color w:val="auto"/>
              </w:rPr>
              <w:t>Ⅳ</w:t>
            </w:r>
            <w:r>
              <w:rPr>
                <w:rFonts w:hint="eastAsia"/>
                <w:color w:val="auto"/>
              </w:rPr>
              <w:t>类建设项目不开展地下水环境影响评价</w:t>
            </w:r>
            <w:r>
              <w:rPr>
                <w:rFonts w:hint="eastAsia"/>
                <w:color w:val="auto"/>
                <w:lang w:eastAsia="zh-CN"/>
              </w:rPr>
              <w:t>。</w:t>
            </w:r>
          </w:p>
          <w:p>
            <w:pPr>
              <w:bidi w:val="0"/>
              <w:rPr>
                <w:rFonts w:hint="eastAsia" w:ascii="Times New Roman" w:hAnsi="Times New Roman" w:cs="Times New Roman"/>
                <w:color w:val="auto"/>
                <w:lang w:val="en-US" w:eastAsia="zh-CN"/>
              </w:rPr>
            </w:pPr>
            <w:r>
              <w:rPr>
                <w:rFonts w:hint="eastAsia"/>
                <w:color w:val="auto"/>
                <w:lang w:val="en-US" w:eastAsia="zh-CN"/>
              </w:rPr>
              <w:t>考虑本项目危险废物泄漏可能会对地下水环境产生污染，因此本项目要求危险废物暂存间进行重点防渗，</w:t>
            </w:r>
            <w:r>
              <w:rPr>
                <w:rFonts w:hint="default" w:ascii="Times New Roman" w:hAnsi="Times New Roman" w:cs="Times New Roman"/>
                <w:color w:val="auto"/>
                <w:lang w:val="en-US" w:eastAsia="zh-CN"/>
              </w:rPr>
              <w:t>按照《环境影响评价技术导则-地下水环境》（HJ610-2016）中重点防渗区的防渗要求进行防渗设计，防渗层的防渗性能应等效于厚度≥6m，渗透系数≤1.0×10</w:t>
            </w:r>
            <w:r>
              <w:rPr>
                <w:rFonts w:hint="default" w:ascii="Times New Roman" w:hAnsi="Times New Roman" w:cs="Times New Roman"/>
                <w:color w:val="auto"/>
                <w:vertAlign w:val="superscript"/>
                <w:lang w:val="en-US" w:eastAsia="zh-CN"/>
              </w:rPr>
              <w:t>-7</w:t>
            </w:r>
            <w:r>
              <w:rPr>
                <w:rFonts w:hint="default" w:ascii="Times New Roman" w:hAnsi="Times New Roman" w:cs="Times New Roman"/>
                <w:color w:val="auto"/>
                <w:lang w:val="en-US" w:eastAsia="zh-CN"/>
              </w:rPr>
              <w:t>cm/s的黏土层的防渗性能</w:t>
            </w:r>
            <w:r>
              <w:rPr>
                <w:rFonts w:hint="eastAsia" w:ascii="Times New Roman" w:hAnsi="Times New Roman" w:cs="Times New Roman"/>
                <w:color w:val="auto"/>
                <w:lang w:val="en-US" w:eastAsia="zh-CN"/>
              </w:rPr>
              <w:t>。</w:t>
            </w:r>
          </w:p>
          <w:p>
            <w:pPr>
              <w:ind w:firstLine="480"/>
              <w:jc w:val="left"/>
              <w:rPr>
                <w:color w:val="auto"/>
              </w:rPr>
            </w:pPr>
            <w:r>
              <w:rPr>
                <w:rFonts w:hint="eastAsia"/>
                <w:color w:val="auto"/>
                <w:lang w:val="en-US" w:eastAsia="zh-CN"/>
              </w:rPr>
              <w:t>通过采取防渗措施，项目对地下水影响较小</w:t>
            </w:r>
            <w:r>
              <w:rPr>
                <w:rFonts w:hint="eastAsia"/>
                <w:color w:val="auto"/>
              </w:rPr>
              <w:t>。</w:t>
            </w:r>
          </w:p>
          <w:p>
            <w:pPr>
              <w:ind w:firstLine="482"/>
              <w:rPr>
                <w:b/>
                <w:color w:val="auto"/>
              </w:rPr>
            </w:pPr>
            <w:r>
              <w:rPr>
                <w:rFonts w:hint="eastAsia"/>
                <w:b/>
                <w:color w:val="auto"/>
              </w:rPr>
              <w:t>4、土壤环境影响分析</w:t>
            </w:r>
          </w:p>
          <w:p>
            <w:pPr>
              <w:pStyle w:val="160"/>
              <w:widowControl/>
              <w:ind w:firstLine="480"/>
              <w:rPr>
                <w:color w:val="auto"/>
              </w:rPr>
            </w:pPr>
            <w:r>
              <w:rPr>
                <w:rFonts w:hint="eastAsia" w:ascii="宋体" w:hAnsi="宋体" w:cs="宋体"/>
                <w:color w:val="auto"/>
              </w:rPr>
              <w:t>本次评价根据《环境影响评价技术导则</w:t>
            </w:r>
            <w:r>
              <w:rPr>
                <w:color w:val="auto"/>
              </w:rPr>
              <w:t>-</w:t>
            </w:r>
            <w:r>
              <w:rPr>
                <w:rFonts w:hint="eastAsia" w:ascii="宋体" w:hAnsi="宋体" w:cs="宋体"/>
                <w:color w:val="auto"/>
              </w:rPr>
              <w:t>土壤环境》（</w:t>
            </w:r>
            <w:r>
              <w:rPr>
                <w:color w:val="auto"/>
              </w:rPr>
              <w:t>HJ964-2018</w:t>
            </w:r>
            <w:r>
              <w:rPr>
                <w:rFonts w:hint="eastAsia" w:ascii="宋体" w:hAnsi="宋体" w:cs="宋体"/>
                <w:color w:val="auto"/>
              </w:rPr>
              <w:t>）对项目土壤环境影响评价工作进行等级划分，并按所划定的工作等级开展评价工作。</w:t>
            </w:r>
          </w:p>
          <w:p>
            <w:pPr>
              <w:pStyle w:val="160"/>
              <w:widowControl/>
              <w:ind w:firstLine="480"/>
              <w:rPr>
                <w:color w:val="auto"/>
              </w:rPr>
            </w:pPr>
            <w:r>
              <w:rPr>
                <w:color w:val="auto"/>
              </w:rPr>
              <w:t>根据《环境影响评价技术导则 土壤环境》（HJ964-2018），将建设项目占地规模分为大型（≥10hm</w:t>
            </w:r>
            <w:r>
              <w:rPr>
                <w:color w:val="auto"/>
                <w:vertAlign w:val="superscript"/>
              </w:rPr>
              <w:t>2</w:t>
            </w:r>
            <w:r>
              <w:rPr>
                <w:color w:val="auto"/>
              </w:rPr>
              <w:t>）、中型（5~50hm</w:t>
            </w:r>
            <w:r>
              <w:rPr>
                <w:color w:val="auto"/>
                <w:vertAlign w:val="superscript"/>
              </w:rPr>
              <w:t>2</w:t>
            </w:r>
            <w:r>
              <w:rPr>
                <w:color w:val="auto"/>
              </w:rPr>
              <w:t>）、小型（≤5hm</w:t>
            </w:r>
            <w:r>
              <w:rPr>
                <w:color w:val="auto"/>
                <w:vertAlign w:val="superscript"/>
              </w:rPr>
              <w:t>2</w:t>
            </w:r>
            <w:r>
              <w:rPr>
                <w:color w:val="auto"/>
              </w:rPr>
              <w:t>），项目租用</w:t>
            </w:r>
            <w:r>
              <w:rPr>
                <w:rFonts w:hint="eastAsia"/>
                <w:color w:val="auto"/>
              </w:rPr>
              <w:t>昆明力线电缆制造有限公司</w:t>
            </w:r>
            <w:r>
              <w:rPr>
                <w:color w:val="auto"/>
              </w:rPr>
              <w:t>的</w:t>
            </w:r>
            <w:r>
              <w:rPr>
                <w:rFonts w:hint="eastAsia"/>
                <w:color w:val="auto"/>
              </w:rPr>
              <w:t>闲置</w:t>
            </w:r>
            <w:r>
              <w:rPr>
                <w:color w:val="auto"/>
              </w:rPr>
              <w:t>厂房</w:t>
            </w:r>
            <w:r>
              <w:rPr>
                <w:rFonts w:hint="eastAsia" w:ascii="宋体" w:hAnsi="宋体" w:cs="宋体"/>
                <w:color w:val="auto"/>
              </w:rPr>
              <w:t>，总占地面积</w:t>
            </w:r>
            <w:r>
              <w:rPr>
                <w:rFonts w:hint="eastAsia"/>
                <w:color w:val="auto"/>
              </w:rPr>
              <w:t>1500</w:t>
            </w:r>
            <w:r>
              <w:rPr>
                <w:color w:val="auto"/>
              </w:rPr>
              <w:t>m</w:t>
            </w:r>
            <w:r>
              <w:rPr>
                <w:color w:val="auto"/>
                <w:vertAlign w:val="superscript"/>
              </w:rPr>
              <w:t>2</w:t>
            </w:r>
            <w:r>
              <w:rPr>
                <w:rFonts w:hint="eastAsia" w:ascii="宋体" w:hAnsi="宋体" w:cs="宋体"/>
                <w:color w:val="auto"/>
              </w:rPr>
              <w:t>（</w:t>
            </w:r>
            <w:r>
              <w:rPr>
                <w:rFonts w:hint="eastAsia"/>
                <w:color w:val="auto"/>
              </w:rPr>
              <w:t>0.15</w:t>
            </w:r>
            <w:r>
              <w:rPr>
                <w:color w:val="auto"/>
              </w:rPr>
              <w:t>hm</w:t>
            </w:r>
            <w:r>
              <w:rPr>
                <w:color w:val="auto"/>
                <w:vertAlign w:val="superscript"/>
              </w:rPr>
              <w:t>2</w:t>
            </w:r>
            <w:r>
              <w:rPr>
                <w:rFonts w:hint="eastAsia" w:ascii="宋体" w:hAnsi="宋体" w:cs="宋体"/>
                <w:color w:val="auto"/>
              </w:rPr>
              <w:t>），属于小型项目（</w:t>
            </w:r>
            <w:r>
              <w:rPr>
                <w:color w:val="auto"/>
              </w:rPr>
              <w:t>≤5hm</w:t>
            </w:r>
            <w:r>
              <w:rPr>
                <w:color w:val="auto"/>
                <w:vertAlign w:val="superscript"/>
              </w:rPr>
              <w:t>2</w:t>
            </w:r>
            <w:r>
              <w:rPr>
                <w:rFonts w:hint="eastAsia" w:ascii="宋体" w:hAnsi="宋体" w:cs="宋体"/>
                <w:color w:val="auto"/>
              </w:rPr>
              <w:t>）。</w:t>
            </w:r>
          </w:p>
          <w:p>
            <w:pPr>
              <w:pStyle w:val="160"/>
              <w:widowControl/>
              <w:ind w:firstLine="480"/>
              <w:rPr>
                <w:color w:val="auto"/>
              </w:rPr>
            </w:pPr>
            <w:r>
              <w:rPr>
                <w:rFonts w:hint="eastAsia" w:ascii="宋体" w:hAnsi="宋体" w:cs="宋体"/>
                <w:color w:val="auto"/>
              </w:rPr>
              <w:t>建设项目所在地周边的土壤环境敏感程度可分为敏感、较敏感、不敏感三级（见表</w:t>
            </w:r>
            <w:r>
              <w:rPr>
                <w:color w:val="auto"/>
              </w:rPr>
              <w:t>7-</w:t>
            </w:r>
            <w:r>
              <w:rPr>
                <w:rFonts w:hint="eastAsia"/>
                <w:color w:val="auto"/>
              </w:rPr>
              <w:t>22</w:t>
            </w:r>
            <w:r>
              <w:rPr>
                <w:rFonts w:hint="eastAsia" w:ascii="宋体" w:hAnsi="宋体" w:cs="宋体"/>
                <w:color w:val="auto"/>
              </w:rPr>
              <w:t>）。</w:t>
            </w:r>
          </w:p>
          <w:p>
            <w:pPr>
              <w:pStyle w:val="48"/>
              <w:ind w:firstLine="422"/>
              <w:rPr>
                <w:color w:val="auto"/>
              </w:rPr>
            </w:pPr>
            <w:r>
              <w:rPr>
                <w:rFonts w:hint="eastAsia"/>
                <w:color w:val="auto"/>
              </w:rPr>
              <w:t>表</w:t>
            </w:r>
            <w:r>
              <w:rPr>
                <w:color w:val="auto"/>
              </w:rPr>
              <w:t>7-</w:t>
            </w:r>
            <w:r>
              <w:rPr>
                <w:rFonts w:hint="eastAsia"/>
                <w:color w:val="auto"/>
              </w:rPr>
              <w:t>22 土壤环境敏感程度分级</w:t>
            </w:r>
          </w:p>
          <w:tbl>
            <w:tblPr>
              <w:tblStyle w:val="3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00"/>
              <w:gridCol w:w="74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10" w:hRule="atLeast"/>
                <w:jc w:val="center"/>
              </w:trPr>
              <w:tc>
                <w:tcPr>
                  <w:tcW w:w="538" w:type="pct"/>
                  <w:tcBorders>
                    <w:top w:val="single" w:color="000000" w:sz="6" w:space="0"/>
                    <w:left w:val="single" w:color="000000" w:sz="6" w:space="0"/>
                    <w:bottom w:val="single" w:color="000000" w:sz="6" w:space="0"/>
                    <w:right w:val="single" w:color="000000" w:sz="6" w:space="0"/>
                  </w:tcBorders>
                  <w:vAlign w:val="center"/>
                </w:tcPr>
                <w:p>
                  <w:pPr>
                    <w:pStyle w:val="50"/>
                    <w:rPr>
                      <w:color w:val="auto"/>
                    </w:rPr>
                  </w:pPr>
                  <w:r>
                    <w:rPr>
                      <w:color w:val="auto"/>
                    </w:rPr>
                    <w:t>分级</w:t>
                  </w:r>
                </w:p>
              </w:tc>
              <w:tc>
                <w:tcPr>
                  <w:tcW w:w="4461" w:type="pct"/>
                  <w:tcBorders>
                    <w:top w:val="single" w:color="000000" w:sz="6" w:space="0"/>
                    <w:left w:val="nil"/>
                    <w:bottom w:val="single" w:color="000000" w:sz="6" w:space="0"/>
                    <w:right w:val="single" w:color="000000" w:sz="6" w:space="0"/>
                  </w:tcBorders>
                  <w:vAlign w:val="center"/>
                </w:tcPr>
                <w:p>
                  <w:pPr>
                    <w:pStyle w:val="50"/>
                    <w:rPr>
                      <w:color w:val="auto"/>
                    </w:rPr>
                  </w:pPr>
                  <w:r>
                    <w:rPr>
                      <w:color w:val="auto"/>
                    </w:rPr>
                    <w:t>判别依据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jc w:val="center"/>
              </w:trPr>
              <w:tc>
                <w:tcPr>
                  <w:tcW w:w="538" w:type="pct"/>
                  <w:tcBorders>
                    <w:top w:val="single" w:color="000000" w:sz="6" w:space="0"/>
                    <w:left w:val="single" w:color="000000" w:sz="6" w:space="0"/>
                    <w:bottom w:val="single" w:color="000000" w:sz="6" w:space="0"/>
                    <w:right w:val="single" w:color="000000" w:sz="6" w:space="0"/>
                  </w:tcBorders>
                  <w:vAlign w:val="center"/>
                </w:tcPr>
                <w:p>
                  <w:pPr>
                    <w:pStyle w:val="50"/>
                    <w:rPr>
                      <w:color w:val="auto"/>
                    </w:rPr>
                  </w:pPr>
                  <w:r>
                    <w:rPr>
                      <w:color w:val="auto"/>
                    </w:rPr>
                    <w:t>敏感</w:t>
                  </w:r>
                </w:p>
              </w:tc>
              <w:tc>
                <w:tcPr>
                  <w:tcW w:w="4461" w:type="pct"/>
                  <w:tcBorders>
                    <w:top w:val="single" w:color="000000" w:sz="6" w:space="0"/>
                    <w:left w:val="nil"/>
                    <w:bottom w:val="single" w:color="000000" w:sz="6" w:space="0"/>
                    <w:right w:val="single" w:color="000000" w:sz="6" w:space="0"/>
                  </w:tcBorders>
                  <w:vAlign w:val="center"/>
                </w:tcPr>
                <w:p>
                  <w:pPr>
                    <w:pStyle w:val="50"/>
                    <w:rPr>
                      <w:color w:val="auto"/>
                    </w:rPr>
                  </w:pPr>
                  <w:r>
                    <w:rPr>
                      <w:color w:val="auto"/>
                    </w:rPr>
                    <w:t>建设项目周边存在耕地、园地、牧草地、饮用水源地或居民区、学校、医院、养老院等土壤环境敏感目标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 w:hRule="atLeast"/>
                <w:jc w:val="center"/>
              </w:trPr>
              <w:tc>
                <w:tcPr>
                  <w:tcW w:w="538" w:type="pct"/>
                  <w:tcBorders>
                    <w:top w:val="single" w:color="000000" w:sz="6" w:space="0"/>
                    <w:left w:val="single" w:color="000000" w:sz="6" w:space="0"/>
                    <w:bottom w:val="single" w:color="000000" w:sz="6" w:space="0"/>
                    <w:right w:val="single" w:color="000000" w:sz="6" w:space="0"/>
                  </w:tcBorders>
                  <w:vAlign w:val="center"/>
                </w:tcPr>
                <w:p>
                  <w:pPr>
                    <w:pStyle w:val="50"/>
                    <w:rPr>
                      <w:color w:val="auto"/>
                    </w:rPr>
                  </w:pPr>
                  <w:r>
                    <w:rPr>
                      <w:color w:val="auto"/>
                    </w:rPr>
                    <w:t>较敏感</w:t>
                  </w:r>
                </w:p>
              </w:tc>
              <w:tc>
                <w:tcPr>
                  <w:tcW w:w="4461" w:type="pct"/>
                  <w:tcBorders>
                    <w:top w:val="single" w:color="000000" w:sz="6" w:space="0"/>
                    <w:left w:val="nil"/>
                    <w:bottom w:val="single" w:color="000000" w:sz="6" w:space="0"/>
                    <w:right w:val="single" w:color="000000" w:sz="6" w:space="0"/>
                  </w:tcBorders>
                  <w:vAlign w:val="center"/>
                </w:tcPr>
                <w:p>
                  <w:pPr>
                    <w:pStyle w:val="50"/>
                    <w:rPr>
                      <w:color w:val="auto"/>
                    </w:rPr>
                  </w:pPr>
                  <w:r>
                    <w:rPr>
                      <w:color w:val="auto"/>
                    </w:rPr>
                    <w:t>建设项目周边存在其他土壤环境敏感目标的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jc w:val="center"/>
              </w:trPr>
              <w:tc>
                <w:tcPr>
                  <w:tcW w:w="538" w:type="pct"/>
                  <w:tcBorders>
                    <w:top w:val="single" w:color="000000" w:sz="6" w:space="0"/>
                    <w:left w:val="single" w:color="000000" w:sz="6" w:space="0"/>
                    <w:bottom w:val="single" w:color="000000" w:sz="6" w:space="0"/>
                    <w:right w:val="single" w:color="000000" w:sz="6" w:space="0"/>
                  </w:tcBorders>
                  <w:vAlign w:val="center"/>
                </w:tcPr>
                <w:p>
                  <w:pPr>
                    <w:pStyle w:val="50"/>
                    <w:rPr>
                      <w:color w:val="auto"/>
                    </w:rPr>
                  </w:pPr>
                  <w:r>
                    <w:rPr>
                      <w:rFonts w:hint="eastAsia"/>
                      <w:color w:val="auto"/>
                    </w:rPr>
                    <w:t>不敏感</w:t>
                  </w:r>
                </w:p>
              </w:tc>
              <w:tc>
                <w:tcPr>
                  <w:tcW w:w="4461" w:type="pct"/>
                  <w:tcBorders>
                    <w:top w:val="single" w:color="000000" w:sz="6" w:space="0"/>
                    <w:left w:val="nil"/>
                    <w:bottom w:val="single" w:color="000000" w:sz="6" w:space="0"/>
                    <w:right w:val="single" w:color="000000" w:sz="6" w:space="0"/>
                  </w:tcBorders>
                  <w:vAlign w:val="center"/>
                </w:tcPr>
                <w:p>
                  <w:pPr>
                    <w:pStyle w:val="50"/>
                    <w:rPr>
                      <w:color w:val="auto"/>
                    </w:rPr>
                  </w:pPr>
                  <w:r>
                    <w:rPr>
                      <w:color w:val="auto"/>
                    </w:rPr>
                    <w:t>其他情况</w:t>
                  </w:r>
                </w:p>
              </w:tc>
            </w:tr>
          </w:tbl>
          <w:p>
            <w:pPr>
              <w:pStyle w:val="160"/>
              <w:widowControl/>
              <w:ind w:firstLine="480"/>
              <w:rPr>
                <w:color w:val="auto"/>
              </w:rPr>
            </w:pPr>
            <w:r>
              <w:rPr>
                <w:rFonts w:hint="eastAsia" w:ascii="宋体" w:hAnsi="宋体" w:cs="宋体"/>
                <w:color w:val="auto"/>
              </w:rPr>
              <w:t>本项目位于</w:t>
            </w:r>
            <w:r>
              <w:rPr>
                <w:rFonts w:hint="eastAsia"/>
                <w:color w:val="auto"/>
              </w:rPr>
              <w:t>富民工业园区大营—茨塘片区大营五金建材园，周边为园区工业用地，</w:t>
            </w:r>
            <w:r>
              <w:rPr>
                <w:rFonts w:hint="eastAsia" w:ascii="宋体" w:hAnsi="宋体" w:cs="宋体"/>
                <w:color w:val="auto"/>
              </w:rPr>
              <w:t>主要为机械制造、五金配件配套生产企业，土壤环境敏感程度为不敏感。</w:t>
            </w:r>
          </w:p>
          <w:p>
            <w:pPr>
              <w:ind w:firstLine="480"/>
              <w:rPr>
                <w:color w:val="auto"/>
              </w:rPr>
            </w:pPr>
            <w:r>
              <w:rPr>
                <w:rFonts w:hint="eastAsia" w:ascii="宋体" w:hAnsi="宋体" w:cs="宋体"/>
                <w:color w:val="auto"/>
              </w:rPr>
              <w:t>建设项目土壤环境影响评价工作等级划分见表</w:t>
            </w:r>
            <w:r>
              <w:rPr>
                <w:color w:val="auto"/>
              </w:rPr>
              <w:t>7-</w:t>
            </w:r>
            <w:r>
              <w:rPr>
                <w:rFonts w:hint="eastAsia"/>
                <w:color w:val="auto"/>
              </w:rPr>
              <w:t>23</w:t>
            </w:r>
            <w:r>
              <w:rPr>
                <w:rFonts w:hint="eastAsia" w:ascii="宋体" w:hAnsi="宋体" w:cs="宋体"/>
                <w:color w:val="auto"/>
              </w:rPr>
              <w:t>。</w:t>
            </w:r>
          </w:p>
          <w:p>
            <w:pPr>
              <w:pStyle w:val="48"/>
              <w:ind w:firstLine="422"/>
              <w:rPr>
                <w:color w:val="auto"/>
              </w:rPr>
            </w:pPr>
            <w:r>
              <w:rPr>
                <w:rFonts w:hint="eastAsia"/>
                <w:color w:val="auto"/>
              </w:rPr>
              <w:t>表</w:t>
            </w:r>
            <w:r>
              <w:rPr>
                <w:color w:val="auto"/>
              </w:rPr>
              <w:t>7-</w:t>
            </w:r>
            <w:r>
              <w:rPr>
                <w:rFonts w:hint="eastAsia"/>
                <w:color w:val="auto"/>
              </w:rPr>
              <w:t>23评价工作等级分级表</w:t>
            </w:r>
          </w:p>
          <w:tbl>
            <w:tblPr>
              <w:tblStyle w:val="36"/>
              <w:tblW w:w="4998"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46"/>
              <w:gridCol w:w="695"/>
              <w:gridCol w:w="696"/>
              <w:gridCol w:w="704"/>
              <w:gridCol w:w="699"/>
              <w:gridCol w:w="699"/>
              <w:gridCol w:w="706"/>
              <w:gridCol w:w="699"/>
              <w:gridCol w:w="699"/>
              <w:gridCol w:w="71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 w:hRule="atLeast"/>
              </w:trPr>
              <w:tc>
                <w:tcPr>
                  <w:tcW w:w="1224" w:type="pct"/>
                  <w:vMerge w:val="restart"/>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rPr>
                      <w:color w:val="auto"/>
                    </w:rPr>
                  </w:pPr>
                  <w:r>
                    <w:rPr>
                      <w:color w:val="auto"/>
                    </w:rPr>
                    <w:t>项目类别</w:t>
                  </w:r>
                </w:p>
                <w:p>
                  <w:pPr>
                    <w:pStyle w:val="50"/>
                    <w:rPr>
                      <w:color w:val="auto"/>
                    </w:rPr>
                  </w:pPr>
                  <w:r>
                    <w:rPr>
                      <w:color w:val="auto"/>
                    </w:rPr>
                    <w:t>环境敏感程度</w:t>
                  </w:r>
                </w:p>
              </w:tc>
              <w:tc>
                <w:tcPr>
                  <w:tcW w:w="1253" w:type="pct"/>
                  <w:gridSpan w:val="3"/>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Ⅰ</w:t>
                  </w:r>
                  <w:r>
                    <w:rPr>
                      <w:rFonts w:hint="eastAsia"/>
                      <w:color w:val="auto"/>
                    </w:rPr>
                    <w:t>类项目</w:t>
                  </w:r>
                </w:p>
              </w:tc>
              <w:tc>
                <w:tcPr>
                  <w:tcW w:w="1258" w:type="pct"/>
                  <w:gridSpan w:val="3"/>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Ⅱ</w:t>
                  </w:r>
                  <w:r>
                    <w:rPr>
                      <w:rFonts w:hint="eastAsia"/>
                      <w:color w:val="auto"/>
                    </w:rPr>
                    <w:t>类项目</w:t>
                  </w:r>
                </w:p>
              </w:tc>
              <w:tc>
                <w:tcPr>
                  <w:tcW w:w="1262" w:type="pct"/>
                  <w:gridSpan w:val="3"/>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Ⅲ</w:t>
                  </w:r>
                  <w:r>
                    <w:rPr>
                      <w:rFonts w:hint="eastAsia"/>
                      <w:color w:val="auto"/>
                    </w:rPr>
                    <w:t>类项目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2" w:hRule="atLeast"/>
              </w:trPr>
              <w:tc>
                <w:tcPr>
                  <w:tcW w:w="1224" w:type="pct"/>
                  <w:vMerge w:val="continue"/>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rPr>
                      <w:color w:val="auto"/>
                    </w:rPr>
                  </w:pP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大</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中</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小</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中</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小</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中</w:t>
                  </w:r>
                </w:p>
              </w:tc>
              <w:tc>
                <w:tcPr>
                  <w:tcW w:w="425"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 w:hRule="atLeast"/>
              </w:trPr>
              <w:tc>
                <w:tcPr>
                  <w:tcW w:w="1224" w:type="pct"/>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rPr>
                      <w:color w:val="auto"/>
                    </w:rPr>
                  </w:pPr>
                  <w:r>
                    <w:rPr>
                      <w:color w:val="auto"/>
                    </w:rPr>
                    <w:t>敏感</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25"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 w:hRule="atLeast"/>
              </w:trPr>
              <w:tc>
                <w:tcPr>
                  <w:tcW w:w="1224" w:type="pct"/>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rPr>
                      <w:color w:val="auto"/>
                    </w:rPr>
                  </w:pPr>
                  <w:r>
                    <w:rPr>
                      <w:color w:val="auto"/>
                    </w:rPr>
                    <w:t>较敏感</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25"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rFonts w:hint="eastAsia"/>
                      <w:color w:val="auto"/>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5" w:hRule="atLeast"/>
              </w:trPr>
              <w:tc>
                <w:tcPr>
                  <w:tcW w:w="1224" w:type="pct"/>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rPr>
                      <w:color w:val="auto"/>
                    </w:rPr>
                  </w:pPr>
                  <w:r>
                    <w:rPr>
                      <w:color w:val="auto"/>
                    </w:rPr>
                    <w:t>不敏感</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一级</w:t>
                  </w:r>
                </w:p>
              </w:tc>
              <w:tc>
                <w:tcPr>
                  <w:tcW w:w="416"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二级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20"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color w:val="auto"/>
                    </w:rPr>
                    <w:t>三级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rFonts w:hint="eastAsia"/>
                      <w:color w:val="auto"/>
                    </w:rPr>
                    <w:t>三级</w:t>
                  </w:r>
                </w:p>
              </w:tc>
              <w:tc>
                <w:tcPr>
                  <w:tcW w:w="418"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rFonts w:hint="eastAsia"/>
                      <w:color w:val="auto"/>
                    </w:rPr>
                    <w:t>-</w:t>
                  </w:r>
                </w:p>
              </w:tc>
              <w:tc>
                <w:tcPr>
                  <w:tcW w:w="425" w:type="pct"/>
                  <w:tcBorders>
                    <w:top w:val="single" w:color="000000" w:sz="6" w:space="0"/>
                    <w:left w:val="nil"/>
                    <w:bottom w:val="single" w:color="000000" w:sz="6" w:space="0"/>
                    <w:right w:val="single" w:color="000000" w:sz="6" w:space="0"/>
                  </w:tcBorders>
                  <w:shd w:val="clear" w:color="auto" w:fill="FFFFFF"/>
                  <w:vAlign w:val="center"/>
                </w:tcPr>
                <w:p>
                  <w:pPr>
                    <w:pStyle w:val="50"/>
                    <w:rPr>
                      <w:color w:val="auto"/>
                    </w:rPr>
                  </w:pPr>
                  <w:r>
                    <w:rPr>
                      <w:rFonts w:hint="eastAsia"/>
                      <w:color w:val="auto"/>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0" w:hRule="atLeast"/>
              </w:trPr>
              <w:tc>
                <w:tcPr>
                  <w:tcW w:w="5000" w:type="pct"/>
                  <w:gridSpan w:val="10"/>
                  <w:tcBorders>
                    <w:top w:val="single" w:color="000000" w:sz="6" w:space="0"/>
                    <w:left w:val="single" w:color="000000" w:sz="6" w:space="0"/>
                    <w:bottom w:val="single" w:color="000000" w:sz="6" w:space="0"/>
                    <w:right w:val="single" w:color="000000" w:sz="6" w:space="0"/>
                  </w:tcBorders>
                  <w:shd w:val="clear" w:color="auto" w:fill="FFFFFF"/>
                  <w:vAlign w:val="center"/>
                </w:tcPr>
                <w:p>
                  <w:pPr>
                    <w:pStyle w:val="50"/>
                    <w:jc w:val="left"/>
                    <w:rPr>
                      <w:color w:val="auto"/>
                    </w:rPr>
                  </w:pPr>
                  <w:r>
                    <w:rPr>
                      <w:color w:val="auto"/>
                    </w:rPr>
                    <w:t>注：“</w:t>
                  </w:r>
                  <w:r>
                    <w:rPr>
                      <w:rFonts w:hint="eastAsia"/>
                      <w:color w:val="auto"/>
                    </w:rPr>
                    <w:t>-</w:t>
                  </w:r>
                  <w:r>
                    <w:rPr>
                      <w:color w:val="auto"/>
                    </w:rPr>
                    <w:t>”</w:t>
                  </w:r>
                  <w:r>
                    <w:rPr>
                      <w:rFonts w:hint="eastAsia"/>
                      <w:color w:val="auto"/>
                    </w:rPr>
                    <w:t>表示可不开展土壤环境影响评价工作</w:t>
                  </w:r>
                </w:p>
              </w:tc>
            </w:tr>
          </w:tbl>
          <w:p>
            <w:pPr>
              <w:pStyle w:val="48"/>
              <w:ind w:firstLine="422" w:firstLineChars="0"/>
              <w:rPr>
                <w:color w:val="auto"/>
              </w:rPr>
            </w:pPr>
            <w:r>
              <w:rPr>
                <w:rFonts w:hint="eastAsia"/>
                <w:color w:val="auto"/>
              </w:rPr>
              <w:t>表7-24  土壤环境影响评价项目类别</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4"/>
              <w:gridCol w:w="2877"/>
              <w:gridCol w:w="877"/>
              <w:gridCol w:w="747"/>
              <w:gridCol w:w="731"/>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pct"/>
                  <w:vMerge w:val="restart"/>
                  <w:vAlign w:val="center"/>
                </w:tcPr>
                <w:p>
                  <w:pPr>
                    <w:spacing w:line="240" w:lineRule="auto"/>
                    <w:ind w:firstLine="0" w:firstLineChars="0"/>
                    <w:jc w:val="center"/>
                    <w:rPr>
                      <w:color w:val="auto"/>
                      <w:sz w:val="21"/>
                      <w:szCs w:val="21"/>
                    </w:rPr>
                  </w:pPr>
                  <w:r>
                    <w:rPr>
                      <w:rFonts w:hint="eastAsia"/>
                      <w:color w:val="auto"/>
                      <w:sz w:val="21"/>
                      <w:szCs w:val="21"/>
                    </w:rPr>
                    <w:t>行业类别</w:t>
                  </w:r>
                </w:p>
              </w:tc>
              <w:tc>
                <w:tcPr>
                  <w:tcW w:w="3128" w:type="pct"/>
                  <w:gridSpan w:val="4"/>
                  <w:vAlign w:val="center"/>
                </w:tcPr>
                <w:p>
                  <w:pPr>
                    <w:spacing w:line="240" w:lineRule="auto"/>
                    <w:ind w:firstLine="0" w:firstLineChars="0"/>
                    <w:jc w:val="center"/>
                    <w:rPr>
                      <w:color w:val="auto"/>
                      <w:sz w:val="21"/>
                      <w:szCs w:val="21"/>
                    </w:rPr>
                  </w:pPr>
                  <w:r>
                    <w:rPr>
                      <w:rFonts w:hint="eastAsia"/>
                      <w:color w:val="auto"/>
                      <w:sz w:val="21"/>
                      <w:szCs w:val="21"/>
                    </w:rPr>
                    <w:t>项目类别</w:t>
                  </w:r>
                </w:p>
              </w:tc>
              <w:tc>
                <w:tcPr>
                  <w:tcW w:w="888" w:type="pct"/>
                  <w:vMerge w:val="restart"/>
                  <w:vAlign w:val="center"/>
                </w:tcPr>
                <w:p>
                  <w:pPr>
                    <w:spacing w:line="240" w:lineRule="auto"/>
                    <w:ind w:firstLine="0" w:firstLineChars="0"/>
                    <w:jc w:val="center"/>
                    <w:rPr>
                      <w:color w:val="auto"/>
                      <w:sz w:val="21"/>
                      <w:szCs w:val="21"/>
                    </w:rPr>
                  </w:pPr>
                  <w:r>
                    <w:rPr>
                      <w:rFonts w:hint="eastAsia"/>
                      <w:color w:val="auto"/>
                      <w:sz w:val="21"/>
                      <w:szCs w:val="21"/>
                    </w:rPr>
                    <w:t>本项目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pct"/>
                  <w:vMerge w:val="continue"/>
                  <w:vAlign w:val="center"/>
                </w:tcPr>
                <w:p>
                  <w:pPr>
                    <w:spacing w:line="240" w:lineRule="auto"/>
                    <w:ind w:firstLine="0" w:firstLineChars="0"/>
                    <w:jc w:val="center"/>
                    <w:rPr>
                      <w:color w:val="auto"/>
                      <w:sz w:val="21"/>
                      <w:szCs w:val="21"/>
                    </w:rPr>
                  </w:pPr>
                </w:p>
              </w:tc>
              <w:tc>
                <w:tcPr>
                  <w:tcW w:w="1720" w:type="pct"/>
                  <w:vAlign w:val="center"/>
                </w:tcPr>
                <w:p>
                  <w:pPr>
                    <w:spacing w:line="240" w:lineRule="auto"/>
                    <w:ind w:firstLine="0" w:firstLineChars="0"/>
                    <w:jc w:val="center"/>
                    <w:rPr>
                      <w:color w:val="auto"/>
                      <w:sz w:val="21"/>
                      <w:szCs w:val="21"/>
                    </w:rPr>
                  </w:pPr>
                  <w:r>
                    <w:rPr>
                      <w:color w:val="auto"/>
                      <w:sz w:val="21"/>
                      <w:szCs w:val="21"/>
                    </w:rPr>
                    <w:t>Ⅰ类</w:t>
                  </w:r>
                </w:p>
              </w:tc>
              <w:tc>
                <w:tcPr>
                  <w:tcW w:w="524" w:type="pct"/>
                  <w:vAlign w:val="center"/>
                </w:tcPr>
                <w:p>
                  <w:pPr>
                    <w:spacing w:line="240" w:lineRule="auto"/>
                    <w:ind w:firstLine="0" w:firstLineChars="0"/>
                    <w:jc w:val="center"/>
                    <w:rPr>
                      <w:color w:val="auto"/>
                      <w:sz w:val="21"/>
                      <w:szCs w:val="21"/>
                    </w:rPr>
                  </w:pPr>
                  <w:r>
                    <w:rPr>
                      <w:color w:val="auto"/>
                      <w:sz w:val="21"/>
                      <w:szCs w:val="21"/>
                    </w:rPr>
                    <w:t>Ⅱ类</w:t>
                  </w:r>
                </w:p>
              </w:tc>
              <w:tc>
                <w:tcPr>
                  <w:tcW w:w="446" w:type="pct"/>
                  <w:vAlign w:val="center"/>
                </w:tcPr>
                <w:p>
                  <w:pPr>
                    <w:spacing w:line="240" w:lineRule="auto"/>
                    <w:ind w:firstLine="0" w:firstLineChars="0"/>
                    <w:jc w:val="center"/>
                    <w:rPr>
                      <w:color w:val="auto"/>
                      <w:sz w:val="21"/>
                      <w:szCs w:val="21"/>
                    </w:rPr>
                  </w:pPr>
                  <w:r>
                    <w:rPr>
                      <w:color w:val="auto"/>
                      <w:sz w:val="21"/>
                      <w:szCs w:val="21"/>
                    </w:rPr>
                    <w:t>Ⅲ类</w:t>
                  </w:r>
                </w:p>
              </w:tc>
              <w:tc>
                <w:tcPr>
                  <w:tcW w:w="437" w:type="pct"/>
                  <w:vAlign w:val="center"/>
                </w:tcPr>
                <w:p>
                  <w:pPr>
                    <w:spacing w:line="240" w:lineRule="auto"/>
                    <w:ind w:firstLine="0" w:firstLineChars="0"/>
                    <w:jc w:val="center"/>
                    <w:rPr>
                      <w:color w:val="auto"/>
                      <w:sz w:val="21"/>
                      <w:szCs w:val="21"/>
                    </w:rPr>
                  </w:pPr>
                  <w:r>
                    <w:rPr>
                      <w:color w:val="auto"/>
                      <w:sz w:val="21"/>
                      <w:szCs w:val="21"/>
                    </w:rPr>
                    <w:t>Ⅳ类</w:t>
                  </w:r>
                </w:p>
              </w:tc>
              <w:tc>
                <w:tcPr>
                  <w:tcW w:w="888" w:type="pct"/>
                  <w:vMerge w:val="continue"/>
                  <w:vAlign w:val="center"/>
                </w:tcPr>
                <w:p>
                  <w:pPr>
                    <w:spacing w:line="240" w:lineRule="auto"/>
                    <w:ind w:firstLine="0" w:firstLineChars="0"/>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pct"/>
                  <w:vAlign w:val="center"/>
                </w:tcPr>
                <w:p>
                  <w:pPr>
                    <w:spacing w:line="240" w:lineRule="auto"/>
                    <w:ind w:firstLine="0" w:firstLineChars="0"/>
                    <w:jc w:val="center"/>
                    <w:rPr>
                      <w:color w:val="auto"/>
                      <w:sz w:val="21"/>
                      <w:szCs w:val="21"/>
                    </w:rPr>
                  </w:pPr>
                  <w:r>
                    <w:rPr>
                      <w:color w:val="auto"/>
                      <w:sz w:val="21"/>
                      <w:szCs w:val="21"/>
                    </w:rPr>
                    <w:t>制造业</w:t>
                  </w:r>
                  <w:r>
                    <w:rPr>
                      <w:rFonts w:hint="eastAsia"/>
                      <w:color w:val="auto"/>
                      <w:sz w:val="21"/>
                      <w:szCs w:val="21"/>
                    </w:rPr>
                    <w:t>--设备制造、金属制造、汽车制造及其他用品制造</w:t>
                  </w:r>
                </w:p>
              </w:tc>
              <w:tc>
                <w:tcPr>
                  <w:tcW w:w="1720" w:type="pct"/>
                  <w:vAlign w:val="center"/>
                </w:tcPr>
                <w:p>
                  <w:pPr>
                    <w:spacing w:line="240" w:lineRule="auto"/>
                    <w:ind w:firstLine="0" w:firstLineChars="0"/>
                    <w:jc w:val="center"/>
                    <w:rPr>
                      <w:color w:val="auto"/>
                      <w:sz w:val="21"/>
                      <w:szCs w:val="21"/>
                    </w:rPr>
                  </w:pPr>
                  <w:r>
                    <w:rPr>
                      <w:color w:val="auto"/>
                      <w:sz w:val="21"/>
                      <w:szCs w:val="21"/>
                    </w:rPr>
                    <w:t>有电镀工艺的；金属制品表面处理及热处理加工的；使用有机涂层的（喷粉、喷塑和电泳除外）；有钝化工艺的热镀锌</w:t>
                  </w:r>
                </w:p>
              </w:tc>
              <w:tc>
                <w:tcPr>
                  <w:tcW w:w="524" w:type="pct"/>
                  <w:vAlign w:val="center"/>
                </w:tcPr>
                <w:p>
                  <w:pPr>
                    <w:spacing w:line="240" w:lineRule="auto"/>
                    <w:ind w:firstLine="0" w:firstLineChars="0"/>
                    <w:jc w:val="center"/>
                    <w:rPr>
                      <w:color w:val="auto"/>
                      <w:sz w:val="21"/>
                      <w:szCs w:val="21"/>
                    </w:rPr>
                  </w:pPr>
                  <w:r>
                    <w:rPr>
                      <w:color w:val="auto"/>
                      <w:sz w:val="21"/>
                      <w:szCs w:val="21"/>
                    </w:rPr>
                    <w:t>有化学处理工艺的</w:t>
                  </w:r>
                </w:p>
              </w:tc>
              <w:tc>
                <w:tcPr>
                  <w:tcW w:w="446" w:type="pct"/>
                  <w:vAlign w:val="center"/>
                </w:tcPr>
                <w:p>
                  <w:pPr>
                    <w:spacing w:line="240" w:lineRule="auto"/>
                    <w:ind w:firstLine="0" w:firstLineChars="0"/>
                    <w:jc w:val="center"/>
                    <w:rPr>
                      <w:color w:val="auto"/>
                      <w:sz w:val="21"/>
                      <w:szCs w:val="21"/>
                    </w:rPr>
                  </w:pPr>
                  <w:r>
                    <w:rPr>
                      <w:color w:val="auto"/>
                      <w:sz w:val="21"/>
                      <w:szCs w:val="21"/>
                    </w:rPr>
                    <w:t>其他</w:t>
                  </w:r>
                </w:p>
              </w:tc>
              <w:tc>
                <w:tcPr>
                  <w:tcW w:w="437" w:type="pct"/>
                  <w:vAlign w:val="center"/>
                </w:tcPr>
                <w:p>
                  <w:pPr>
                    <w:spacing w:line="240" w:lineRule="auto"/>
                    <w:ind w:firstLine="0" w:firstLineChars="0"/>
                    <w:jc w:val="center"/>
                    <w:rPr>
                      <w:color w:val="auto"/>
                      <w:sz w:val="21"/>
                      <w:szCs w:val="21"/>
                    </w:rPr>
                  </w:pPr>
                </w:p>
              </w:tc>
              <w:tc>
                <w:tcPr>
                  <w:tcW w:w="888" w:type="pct"/>
                  <w:vAlign w:val="center"/>
                </w:tcPr>
                <w:p>
                  <w:pPr>
                    <w:spacing w:line="240" w:lineRule="auto"/>
                    <w:ind w:firstLine="0" w:firstLineChars="0"/>
                    <w:jc w:val="center"/>
                    <w:rPr>
                      <w:color w:val="auto"/>
                      <w:sz w:val="21"/>
                      <w:szCs w:val="21"/>
                    </w:rPr>
                  </w:pPr>
                  <w:r>
                    <w:rPr>
                      <w:color w:val="auto"/>
                      <w:sz w:val="21"/>
                      <w:szCs w:val="21"/>
                    </w:rPr>
                    <w:t>金属结构制造</w:t>
                  </w:r>
                  <w:r>
                    <w:rPr>
                      <w:rFonts w:hint="eastAsia"/>
                      <w:color w:val="auto"/>
                      <w:sz w:val="21"/>
                      <w:szCs w:val="21"/>
                    </w:rPr>
                    <w:t>，工艺涉及喷塑及喷漆，为其他-</w:t>
                  </w:r>
                  <w:r>
                    <w:rPr>
                      <w:color w:val="auto"/>
                      <w:sz w:val="21"/>
                      <w:szCs w:val="21"/>
                    </w:rPr>
                    <w:t>Ⅲ</w:t>
                  </w:r>
                  <w:r>
                    <w:rPr>
                      <w:rFonts w:hint="eastAsia"/>
                      <w:color w:val="auto"/>
                      <w:sz w:val="21"/>
                      <w:szCs w:val="21"/>
                    </w:rPr>
                    <w:t>类。</w:t>
                  </w:r>
                </w:p>
              </w:tc>
            </w:tr>
          </w:tbl>
          <w:p>
            <w:pPr>
              <w:ind w:firstLine="480"/>
              <w:rPr>
                <w:color w:val="auto"/>
              </w:rPr>
            </w:pPr>
            <w:r>
              <w:rPr>
                <w:rFonts w:hint="eastAsia"/>
                <w:color w:val="auto"/>
              </w:rPr>
              <w:t>根据《环境影响评价技术导则 土壤环境》（HJ964-2018）附录A表A.1，本项目行业类别属于制造业--设备制造、金属制造、汽车制造及其他用品制造-其他类别，为</w:t>
            </w:r>
            <w:r>
              <w:rPr>
                <w:color w:val="auto"/>
              </w:rPr>
              <w:t>Ⅲ</w:t>
            </w:r>
            <w:r>
              <w:rPr>
                <w:rFonts w:hint="eastAsia"/>
                <w:color w:val="auto"/>
              </w:rPr>
              <w:t>类项目，本项目占地1500m</w:t>
            </w:r>
            <w:r>
              <w:rPr>
                <w:rFonts w:hint="eastAsia"/>
                <w:color w:val="auto"/>
                <w:vertAlign w:val="superscript"/>
              </w:rPr>
              <w:t>2</w:t>
            </w:r>
            <w:r>
              <w:rPr>
                <w:rFonts w:hint="eastAsia" w:ascii="宋体" w:hAnsi="宋体" w:cs="宋体"/>
                <w:color w:val="auto"/>
                <w:kern w:val="2"/>
              </w:rPr>
              <w:t>（</w:t>
            </w:r>
            <w:r>
              <w:rPr>
                <w:rFonts w:hint="eastAsia"/>
                <w:color w:val="auto"/>
                <w:kern w:val="2"/>
              </w:rPr>
              <w:t>0.15</w:t>
            </w:r>
            <w:r>
              <w:rPr>
                <w:color w:val="auto"/>
                <w:kern w:val="2"/>
              </w:rPr>
              <w:t>hm</w:t>
            </w:r>
            <w:r>
              <w:rPr>
                <w:color w:val="auto"/>
                <w:kern w:val="2"/>
                <w:vertAlign w:val="superscript"/>
              </w:rPr>
              <w:t>2</w:t>
            </w:r>
            <w:r>
              <w:rPr>
                <w:rFonts w:hint="eastAsia" w:ascii="宋体" w:hAnsi="宋体" w:cs="宋体"/>
                <w:color w:val="auto"/>
                <w:kern w:val="2"/>
              </w:rPr>
              <w:t>）</w:t>
            </w:r>
            <w:r>
              <w:rPr>
                <w:rFonts w:hint="eastAsia"/>
                <w:color w:val="auto"/>
              </w:rPr>
              <w:t>≤5hm</w:t>
            </w:r>
            <w:r>
              <w:rPr>
                <w:rFonts w:hint="eastAsia"/>
                <w:color w:val="auto"/>
                <w:vertAlign w:val="superscript"/>
              </w:rPr>
              <w:t>2</w:t>
            </w:r>
            <w:r>
              <w:rPr>
                <w:rFonts w:hint="eastAsia"/>
                <w:color w:val="auto"/>
              </w:rPr>
              <w:t>，占地规模为小型，项目区为富民工业园区大营—茨塘片区大营五金建材园，属于工业用地，周边无耕地、园地、牧草地、饮用水水源地等土壤环境敏感目标，故为不敏感，因此，本项目评价工作等级为“-”。故</w:t>
            </w:r>
            <w:r>
              <w:rPr>
                <w:rFonts w:hint="eastAsia" w:ascii="宋体" w:hAnsi="宋体" w:cs="宋体"/>
                <w:color w:val="auto"/>
              </w:rPr>
              <w:t>可不进行</w:t>
            </w:r>
            <w:r>
              <w:rPr>
                <w:color w:val="auto"/>
              </w:rPr>
              <w:t>土壤环境影响评价</w:t>
            </w:r>
            <w:r>
              <w:rPr>
                <w:rFonts w:hint="eastAsia"/>
                <w:color w:val="auto"/>
              </w:rPr>
              <w:t>。</w:t>
            </w:r>
          </w:p>
          <w:p>
            <w:pPr>
              <w:tabs>
                <w:tab w:val="left" w:pos="1050"/>
              </w:tabs>
              <w:ind w:firstLine="498"/>
              <w:contextualSpacing/>
              <w:rPr>
                <w:b/>
                <w:color w:val="auto"/>
                <w:spacing w:val="4"/>
                <w:szCs w:val="28"/>
              </w:rPr>
            </w:pPr>
            <w:r>
              <w:rPr>
                <w:rFonts w:hint="eastAsia"/>
                <w:b/>
                <w:color w:val="auto"/>
                <w:spacing w:val="4"/>
                <w:szCs w:val="28"/>
              </w:rPr>
              <w:t>5</w:t>
            </w:r>
            <w:r>
              <w:rPr>
                <w:b/>
                <w:color w:val="auto"/>
                <w:spacing w:val="4"/>
                <w:szCs w:val="28"/>
              </w:rPr>
              <w:t>、声环境影响分析</w:t>
            </w:r>
          </w:p>
          <w:p>
            <w:pPr>
              <w:ind w:firstLine="480"/>
              <w:contextualSpacing/>
              <w:rPr>
                <w:color w:val="auto"/>
              </w:rPr>
            </w:pPr>
            <w:r>
              <w:rPr>
                <w:color w:val="auto"/>
              </w:rPr>
              <w:t>项目</w:t>
            </w:r>
            <w:r>
              <w:rPr>
                <w:rFonts w:hint="eastAsia"/>
                <w:color w:val="auto"/>
                <w:lang w:eastAsia="zh-CN"/>
              </w:rPr>
              <w:t>产品</w:t>
            </w:r>
            <w:r>
              <w:rPr>
                <w:color w:val="auto"/>
              </w:rPr>
              <w:t>生产</w:t>
            </w:r>
            <w:r>
              <w:rPr>
                <w:rFonts w:hint="eastAsia"/>
                <w:color w:val="auto"/>
                <w:lang w:eastAsia="zh-CN"/>
              </w:rPr>
              <w:t>过程</w:t>
            </w:r>
            <w:r>
              <w:rPr>
                <w:color w:val="auto"/>
              </w:rPr>
              <w:t>有大的噪声源。产生的噪声主要来源是：运输车辆进出时产生的交通噪声、设备运行产生的噪声。由于项目使用设备较多，</w:t>
            </w:r>
            <w:r>
              <w:rPr>
                <w:bCs/>
                <w:color w:val="auto"/>
              </w:rPr>
              <w:t>本环评仅列举出使用过程中主要高噪声设备，</w:t>
            </w:r>
            <w:r>
              <w:rPr>
                <w:color w:val="auto"/>
              </w:rPr>
              <w:t>设备噪声源主要为：</w:t>
            </w:r>
            <w:r>
              <w:rPr>
                <w:rFonts w:hint="eastAsia"/>
                <w:color w:val="auto"/>
              </w:rPr>
              <w:t>剪板机、气体保护焊机、切割机、45°切管机、锯床、冲床、喷塑设备、空压机、喷枪</w:t>
            </w:r>
            <w:r>
              <w:rPr>
                <w:color w:val="auto"/>
              </w:rPr>
              <w:t>等，噪声源强约为</w:t>
            </w:r>
            <w:r>
              <w:rPr>
                <w:rFonts w:hint="eastAsia"/>
                <w:color w:val="auto"/>
                <w:lang w:val="en-US" w:eastAsia="zh-CN"/>
              </w:rPr>
              <w:t>70</w:t>
            </w:r>
            <w:r>
              <w:rPr>
                <w:color w:val="auto"/>
              </w:rPr>
              <w:t>～</w:t>
            </w:r>
            <w:r>
              <w:rPr>
                <w:rFonts w:hint="eastAsia"/>
                <w:color w:val="auto"/>
                <w:lang w:val="en-US" w:eastAsia="zh-CN"/>
              </w:rPr>
              <w:t>90</w:t>
            </w:r>
            <w:r>
              <w:rPr>
                <w:color w:val="auto"/>
              </w:rPr>
              <w:t>dB(A)</w:t>
            </w:r>
            <w:r>
              <w:rPr>
                <w:rFonts w:hint="eastAsia"/>
                <w:color w:val="auto"/>
              </w:rPr>
              <w:t>。</w:t>
            </w:r>
          </w:p>
          <w:p>
            <w:pPr>
              <w:ind w:firstLine="480"/>
              <w:rPr>
                <w:snapToGrid/>
                <w:color w:val="auto"/>
              </w:rPr>
            </w:pPr>
            <w:r>
              <w:rPr>
                <w:color w:val="auto"/>
              </w:rPr>
              <w:t>本项目考虑点声源到不同距离处经距离衰减后的噪声，计算出声源对项目周边敏感目标的贡献值，并对声源的贡献值进行分析，噪声预测模式为：</w:t>
            </w:r>
          </w:p>
          <w:p>
            <w:pPr>
              <w:ind w:firstLine="480"/>
              <w:rPr>
                <w:snapToGrid/>
                <w:color w:val="auto"/>
              </w:rPr>
            </w:pPr>
            <w:r>
              <w:rPr>
                <w:color w:val="auto"/>
              </w:rPr>
              <w:t>（1）相同噪声级叠加公式</w:t>
            </w:r>
          </w:p>
          <w:p>
            <w:pPr>
              <w:ind w:firstLine="0" w:firstLineChars="0"/>
              <w:contextualSpacing/>
              <w:jc w:val="center"/>
              <w:rPr>
                <w:color w:val="auto"/>
              </w:rPr>
            </w:pPr>
            <w:r>
              <w:rPr>
                <w:color w:val="auto"/>
              </w:rPr>
              <w:drawing>
                <wp:inline distT="0" distB="0" distL="114300" distR="114300">
                  <wp:extent cx="1487170" cy="588645"/>
                  <wp:effectExtent l="0" t="0" r="17780" b="1905"/>
                  <wp:docPr id="1" name="图片框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框 1030"/>
                          <pic:cNvPicPr>
                            <a:picLocks noChangeAspect="1"/>
                          </pic:cNvPicPr>
                        </pic:nvPicPr>
                        <pic:blipFill>
                          <a:blip r:embed="rId27">
                            <a:clrChange>
                              <a:clrFrom>
                                <a:srgbClr val="FFFFFF"/>
                              </a:clrFrom>
                              <a:clrTo>
                                <a:srgbClr val="FFFFFF">
                                  <a:alpha val="0"/>
                                </a:srgbClr>
                              </a:clrTo>
                            </a:clrChange>
                          </a:blip>
                          <a:stretch>
                            <a:fillRect/>
                          </a:stretch>
                        </pic:blipFill>
                        <pic:spPr>
                          <a:xfrm>
                            <a:off x="0" y="0"/>
                            <a:ext cx="1487170" cy="588645"/>
                          </a:xfrm>
                          <a:prstGeom prst="rect">
                            <a:avLst/>
                          </a:prstGeom>
                          <a:noFill/>
                          <a:ln>
                            <a:noFill/>
                          </a:ln>
                        </pic:spPr>
                      </pic:pic>
                    </a:graphicData>
                  </a:graphic>
                </wp:inline>
              </w:drawing>
            </w:r>
          </w:p>
          <w:p>
            <w:pPr>
              <w:ind w:firstLine="480"/>
              <w:contextualSpacing/>
              <w:rPr>
                <w:color w:val="auto"/>
              </w:rPr>
            </w:pPr>
            <w:r>
              <w:rPr>
                <w:color w:val="auto"/>
              </w:rPr>
              <w:t>式中：L——多个噪声源的合成级，dB（A）；</w:t>
            </w:r>
          </w:p>
          <w:p>
            <w:pPr>
              <w:ind w:firstLine="480"/>
              <w:contextualSpacing/>
              <w:rPr>
                <w:color w:val="auto"/>
              </w:rPr>
            </w:pPr>
            <w:r>
              <w:rPr>
                <w:color w:val="auto"/>
              </w:rPr>
              <w:t xml:space="preserve">      Li——某噪声源的噪声级，dB（A）；</w:t>
            </w:r>
          </w:p>
          <w:p>
            <w:pPr>
              <w:ind w:firstLine="480"/>
              <w:contextualSpacing/>
              <w:rPr>
                <w:color w:val="auto"/>
              </w:rPr>
            </w:pPr>
            <w:r>
              <w:rPr>
                <w:color w:val="auto"/>
              </w:rPr>
              <w:t>（2）声能衰减模式</w:t>
            </w:r>
          </w:p>
          <w:p>
            <w:pPr>
              <w:ind w:firstLine="0" w:firstLineChars="0"/>
              <w:contextualSpacing/>
              <w:jc w:val="center"/>
              <w:rPr>
                <w:color w:val="auto"/>
              </w:rPr>
            </w:pPr>
            <w:r>
              <w:rPr>
                <w:color w:val="auto"/>
                <w:position w:val="-14"/>
              </w:rPr>
              <w:object>
                <v:shape id="_x0000_i1030" o:spt="75" type="#_x0000_t75" style="height:23.75pt;width:110.7pt;" o:ole="t" filled="f" o:preferrelative="t" stroked="f" coordsize="21600,21600">
                  <v:path/>
                  <v:fill on="f" focussize="0,0"/>
                  <v:stroke on="f" joinstyle="miter"/>
                  <v:imagedata r:id="rId29" o:title=""/>
                  <o:lock v:ext="edit" aspectratio="t"/>
                  <w10:wrap type="none"/>
                  <w10:anchorlock/>
                </v:shape>
                <o:OLEObject Type="Embed" ProgID="Equation.3" ShapeID="_x0000_i1030" DrawAspect="Content" ObjectID="_1468075730" r:id="rId28">
                  <o:LockedField>false</o:LockedField>
                </o:OLEObject>
              </w:object>
            </w:r>
          </w:p>
          <w:p>
            <w:pPr>
              <w:tabs>
                <w:tab w:val="left" w:pos="0"/>
              </w:tabs>
              <w:ind w:firstLine="480"/>
              <w:contextualSpacing/>
              <w:rPr>
                <w:color w:val="auto"/>
              </w:rPr>
            </w:pPr>
            <w:r>
              <w:rPr>
                <w:color w:val="auto"/>
              </w:rPr>
              <w:t>式中：L</w:t>
            </w:r>
            <w:r>
              <w:rPr>
                <w:color w:val="auto"/>
                <w:vertAlign w:val="subscript"/>
              </w:rPr>
              <w:t>p</w:t>
            </w:r>
            <w:r>
              <w:rPr>
                <w:color w:val="auto"/>
              </w:rPr>
              <w:t>----距声源r处的A声压级，dB（A）；</w:t>
            </w:r>
          </w:p>
          <w:p>
            <w:pPr>
              <w:tabs>
                <w:tab w:val="left" w:pos="0"/>
              </w:tabs>
              <w:ind w:firstLine="1200" w:firstLineChars="500"/>
              <w:contextualSpacing/>
              <w:rPr>
                <w:color w:val="auto"/>
                <w:vertAlign w:val="subscript"/>
              </w:rPr>
            </w:pPr>
            <w:r>
              <w:rPr>
                <w:color w:val="auto"/>
              </w:rPr>
              <w:t>L</w:t>
            </w:r>
            <w:r>
              <w:rPr>
                <w:color w:val="auto"/>
                <w:vertAlign w:val="subscript"/>
              </w:rPr>
              <w:t>p0</w:t>
            </w:r>
            <w:r>
              <w:rPr>
                <w:color w:val="auto"/>
              </w:rPr>
              <w:t>----距声源r</w:t>
            </w:r>
            <w:r>
              <w:rPr>
                <w:color w:val="auto"/>
                <w:vertAlign w:val="subscript"/>
              </w:rPr>
              <w:t>0</w:t>
            </w:r>
            <w:r>
              <w:rPr>
                <w:color w:val="auto"/>
              </w:rPr>
              <w:t>处的A声压级，dB（A）；</w:t>
            </w:r>
          </w:p>
          <w:p>
            <w:pPr>
              <w:tabs>
                <w:tab w:val="left" w:pos="0"/>
              </w:tabs>
              <w:ind w:firstLine="1200" w:firstLineChars="500"/>
              <w:contextualSpacing/>
              <w:rPr>
                <w:color w:val="auto"/>
              </w:rPr>
            </w:pPr>
            <w:r>
              <w:rPr>
                <w:color w:val="auto"/>
              </w:rPr>
              <w:t>r----预测点与声源的距离，m；</w:t>
            </w:r>
          </w:p>
          <w:p>
            <w:pPr>
              <w:tabs>
                <w:tab w:val="left" w:pos="0"/>
              </w:tabs>
              <w:ind w:firstLine="1200" w:firstLineChars="500"/>
              <w:contextualSpacing/>
              <w:rPr>
                <w:color w:val="auto"/>
              </w:rPr>
            </w:pPr>
            <w:r>
              <w:rPr>
                <w:color w:val="auto"/>
              </w:rPr>
              <w:t>r</w:t>
            </w:r>
            <w:r>
              <w:rPr>
                <w:color w:val="auto"/>
                <w:vertAlign w:val="subscript"/>
              </w:rPr>
              <w:t>0</w:t>
            </w:r>
            <w:r>
              <w:rPr>
                <w:color w:val="auto"/>
              </w:rPr>
              <w:t>----监测设备噪声时的距离，m；</w:t>
            </w:r>
          </w:p>
          <w:p>
            <w:pPr>
              <w:ind w:firstLine="480"/>
              <w:contextualSpacing/>
              <w:rPr>
                <w:color w:val="auto"/>
              </w:rPr>
            </w:pPr>
            <w:r>
              <w:rPr>
                <w:rFonts w:hint="eastAsia"/>
                <w:color w:val="auto"/>
              </w:rPr>
              <w:t>本项目噪声衰减除几何发散衰减后的其他衰减（包括空气吸收衰减、屏障物和地面效应引起的衰减、其他附加衰减）取值的因素很多，项目加工设备均位于车间内，本报告主要考虑厂房隔声，厂区围墙墙体隔声和距离衰减影响，厂房隔声及厂区围墙墙体隔声衰减值取15dB(A)。</w:t>
            </w:r>
            <w:r>
              <w:rPr>
                <w:color w:val="auto"/>
              </w:rPr>
              <w:t>表7-</w:t>
            </w:r>
            <w:r>
              <w:rPr>
                <w:rFonts w:hint="eastAsia"/>
                <w:color w:val="auto"/>
              </w:rPr>
              <w:t>25</w:t>
            </w:r>
            <w:r>
              <w:rPr>
                <w:color w:val="auto"/>
              </w:rPr>
              <w:t>和表7-</w:t>
            </w:r>
            <w:r>
              <w:rPr>
                <w:rFonts w:hint="eastAsia"/>
                <w:color w:val="auto"/>
              </w:rPr>
              <w:t>26</w:t>
            </w:r>
            <w:r>
              <w:rPr>
                <w:color w:val="auto"/>
              </w:rPr>
              <w:t>为项目运营期主要噪声源强及其距厂界距离。</w:t>
            </w:r>
          </w:p>
          <w:p>
            <w:pPr>
              <w:pStyle w:val="48"/>
              <w:ind w:firstLine="422"/>
              <w:rPr>
                <w:color w:val="auto"/>
              </w:rPr>
            </w:pPr>
            <w:r>
              <w:rPr>
                <w:color w:val="auto"/>
              </w:rPr>
              <w:t>表7-</w:t>
            </w:r>
            <w:r>
              <w:rPr>
                <w:rFonts w:hint="eastAsia"/>
                <w:color w:val="auto"/>
              </w:rPr>
              <w:t xml:space="preserve">25 </w:t>
            </w:r>
            <w:r>
              <w:rPr>
                <w:color w:val="auto"/>
              </w:rPr>
              <w:t>项目主要噪声源强一览表</w:t>
            </w:r>
          </w:p>
          <w:tbl>
            <w:tblPr>
              <w:tblStyle w:val="36"/>
              <w:tblW w:w="49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
              <w:gridCol w:w="2052"/>
              <w:gridCol w:w="1528"/>
              <w:gridCol w:w="1792"/>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29" w:type="pct"/>
                  <w:vMerge w:val="restart"/>
                  <w:vAlign w:val="center"/>
                </w:tcPr>
                <w:p>
                  <w:pPr>
                    <w:pStyle w:val="50"/>
                    <w:rPr>
                      <w:color w:val="auto"/>
                    </w:rPr>
                  </w:pPr>
                  <w:r>
                    <w:rPr>
                      <w:rFonts w:hint="eastAsia"/>
                      <w:color w:val="auto"/>
                    </w:rPr>
                    <w:t>序号</w:t>
                  </w:r>
                </w:p>
              </w:tc>
              <w:tc>
                <w:tcPr>
                  <w:tcW w:w="1230" w:type="pct"/>
                  <w:vMerge w:val="restart"/>
                  <w:vAlign w:val="center"/>
                </w:tcPr>
                <w:p>
                  <w:pPr>
                    <w:pStyle w:val="50"/>
                    <w:rPr>
                      <w:color w:val="auto"/>
                    </w:rPr>
                  </w:pPr>
                  <w:r>
                    <w:rPr>
                      <w:rFonts w:hint="eastAsia"/>
                      <w:color w:val="auto"/>
                    </w:rPr>
                    <w:t>设备名称</w:t>
                  </w:r>
                </w:p>
              </w:tc>
              <w:tc>
                <w:tcPr>
                  <w:tcW w:w="916" w:type="pct"/>
                  <w:vMerge w:val="restart"/>
                  <w:vAlign w:val="center"/>
                </w:tcPr>
                <w:p>
                  <w:pPr>
                    <w:pStyle w:val="50"/>
                    <w:rPr>
                      <w:color w:val="auto"/>
                    </w:rPr>
                  </w:pPr>
                  <w:r>
                    <w:rPr>
                      <w:rFonts w:hint="eastAsia"/>
                      <w:color w:val="auto"/>
                    </w:rPr>
                    <w:t>数量（台/套）</w:t>
                  </w:r>
                </w:p>
              </w:tc>
              <w:tc>
                <w:tcPr>
                  <w:tcW w:w="1074" w:type="pct"/>
                  <w:vMerge w:val="restart"/>
                  <w:tcBorders>
                    <w:right w:val="single" w:color="auto" w:sz="2" w:space="0"/>
                  </w:tcBorders>
                  <w:vAlign w:val="center"/>
                </w:tcPr>
                <w:p>
                  <w:pPr>
                    <w:pStyle w:val="50"/>
                    <w:rPr>
                      <w:color w:val="auto"/>
                    </w:rPr>
                  </w:pPr>
                  <w:r>
                    <w:rPr>
                      <w:rFonts w:hint="eastAsia"/>
                      <w:color w:val="auto"/>
                    </w:rPr>
                    <w:t>源强dB(A)</w:t>
                  </w:r>
                </w:p>
              </w:tc>
              <w:tc>
                <w:tcPr>
                  <w:tcW w:w="1249" w:type="pct"/>
                  <w:vMerge w:val="restart"/>
                  <w:tcBorders>
                    <w:left w:val="single" w:color="auto" w:sz="2" w:space="0"/>
                  </w:tcBorders>
                  <w:vAlign w:val="center"/>
                </w:tcPr>
                <w:p>
                  <w:pPr>
                    <w:pStyle w:val="50"/>
                    <w:rPr>
                      <w:color w:val="auto"/>
                    </w:rPr>
                  </w:pPr>
                  <w:r>
                    <w:rPr>
                      <w:rFonts w:hint="eastAsia"/>
                      <w:color w:val="auto"/>
                    </w:rPr>
                    <w:t>降噪措施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29" w:type="pct"/>
                  <w:vMerge w:val="continue"/>
                  <w:vAlign w:val="center"/>
                </w:tcPr>
                <w:p>
                  <w:pPr>
                    <w:pStyle w:val="50"/>
                    <w:rPr>
                      <w:color w:val="auto"/>
                    </w:rPr>
                  </w:pPr>
                </w:p>
              </w:tc>
              <w:tc>
                <w:tcPr>
                  <w:tcW w:w="1230" w:type="pct"/>
                  <w:vMerge w:val="continue"/>
                  <w:vAlign w:val="center"/>
                </w:tcPr>
                <w:p>
                  <w:pPr>
                    <w:pStyle w:val="50"/>
                    <w:rPr>
                      <w:color w:val="auto"/>
                    </w:rPr>
                  </w:pPr>
                </w:p>
              </w:tc>
              <w:tc>
                <w:tcPr>
                  <w:tcW w:w="916" w:type="pct"/>
                  <w:vMerge w:val="continue"/>
                  <w:vAlign w:val="center"/>
                </w:tcPr>
                <w:p>
                  <w:pPr>
                    <w:pStyle w:val="50"/>
                    <w:rPr>
                      <w:color w:val="auto"/>
                    </w:rPr>
                  </w:pPr>
                </w:p>
              </w:tc>
              <w:tc>
                <w:tcPr>
                  <w:tcW w:w="1074" w:type="pct"/>
                  <w:vMerge w:val="continue"/>
                  <w:tcBorders>
                    <w:right w:val="single" w:color="auto" w:sz="2" w:space="0"/>
                  </w:tcBorders>
                  <w:vAlign w:val="center"/>
                </w:tcPr>
                <w:p>
                  <w:pPr>
                    <w:pStyle w:val="50"/>
                    <w:rPr>
                      <w:color w:val="auto"/>
                    </w:rPr>
                  </w:pP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vAlign w:val="center"/>
                </w:tcPr>
                <w:p>
                  <w:pPr>
                    <w:pStyle w:val="50"/>
                    <w:rPr>
                      <w:color w:val="auto"/>
                    </w:rPr>
                  </w:pPr>
                  <w:r>
                    <w:rPr>
                      <w:color w:val="auto"/>
                    </w:rPr>
                    <w:t>1</w:t>
                  </w:r>
                </w:p>
              </w:tc>
              <w:tc>
                <w:tcPr>
                  <w:tcW w:w="1230" w:type="pct"/>
                  <w:vAlign w:val="center"/>
                </w:tcPr>
                <w:p>
                  <w:pPr>
                    <w:pStyle w:val="50"/>
                    <w:rPr>
                      <w:color w:val="auto"/>
                    </w:rPr>
                  </w:pPr>
                  <w:r>
                    <w:rPr>
                      <w:rFonts w:hint="eastAsia"/>
                      <w:color w:val="auto"/>
                    </w:rPr>
                    <w:t>激光切割机</w:t>
                  </w:r>
                </w:p>
              </w:tc>
              <w:tc>
                <w:tcPr>
                  <w:tcW w:w="916" w:type="pct"/>
                  <w:vAlign w:val="center"/>
                </w:tcPr>
                <w:p>
                  <w:pPr>
                    <w:pStyle w:val="50"/>
                    <w:rPr>
                      <w:color w:val="auto"/>
                    </w:rPr>
                  </w:pPr>
                  <w:r>
                    <w:rPr>
                      <w:rFonts w:hint="eastAsia"/>
                      <w:color w:val="auto"/>
                    </w:rPr>
                    <w:t>1</w:t>
                  </w:r>
                </w:p>
              </w:tc>
              <w:tc>
                <w:tcPr>
                  <w:tcW w:w="1792" w:type="dxa"/>
                  <w:tcBorders>
                    <w:right w:val="single" w:color="auto" w:sz="2" w:space="0"/>
                  </w:tcBorders>
                  <w:vAlign w:val="center"/>
                </w:tcPr>
                <w:p>
                  <w:pPr>
                    <w:pStyle w:val="50"/>
                    <w:ind w:firstLine="0" w:firstLineChars="0"/>
                    <w:rPr>
                      <w:rFonts w:hint="default" w:eastAsia="宋体"/>
                      <w:color w:val="auto"/>
                      <w:lang w:val="en-US" w:eastAsia="zh-CN"/>
                    </w:rPr>
                  </w:pPr>
                  <w:r>
                    <w:rPr>
                      <w:rFonts w:hint="eastAsia"/>
                      <w:color w:val="auto"/>
                      <w:lang w:val="en-US" w:eastAsia="zh-CN"/>
                    </w:rPr>
                    <w:t>80</w:t>
                  </w:r>
                </w:p>
              </w:tc>
              <w:tc>
                <w:tcPr>
                  <w:tcW w:w="1249" w:type="pct"/>
                  <w:vMerge w:val="restart"/>
                  <w:tcBorders>
                    <w:left w:val="single" w:color="auto" w:sz="2" w:space="0"/>
                  </w:tcBorders>
                  <w:vAlign w:val="center"/>
                </w:tcPr>
                <w:p>
                  <w:pPr>
                    <w:pStyle w:val="50"/>
                    <w:rPr>
                      <w:color w:val="auto"/>
                    </w:rPr>
                  </w:pPr>
                </w:p>
                <w:p>
                  <w:pPr>
                    <w:pStyle w:val="50"/>
                    <w:rPr>
                      <w:color w:val="auto"/>
                    </w:rPr>
                  </w:pPr>
                </w:p>
                <w:p>
                  <w:pPr>
                    <w:pStyle w:val="50"/>
                    <w:rPr>
                      <w:color w:val="auto"/>
                    </w:rPr>
                  </w:pPr>
                </w:p>
                <w:p>
                  <w:pPr>
                    <w:pStyle w:val="50"/>
                    <w:rPr>
                      <w:color w:val="auto"/>
                    </w:rPr>
                  </w:pPr>
                </w:p>
                <w:p>
                  <w:pPr>
                    <w:pStyle w:val="50"/>
                    <w:jc w:val="both"/>
                    <w:rPr>
                      <w:color w:val="auto"/>
                    </w:rPr>
                  </w:pPr>
                </w:p>
                <w:p>
                  <w:pPr>
                    <w:pStyle w:val="50"/>
                    <w:jc w:val="both"/>
                    <w:rPr>
                      <w:color w:val="auto"/>
                    </w:rPr>
                  </w:pPr>
                </w:p>
                <w:p>
                  <w:pPr>
                    <w:pStyle w:val="50"/>
                    <w:jc w:val="both"/>
                    <w:rPr>
                      <w:color w:val="auto"/>
                    </w:rPr>
                  </w:pPr>
                </w:p>
                <w:p>
                  <w:pPr>
                    <w:pStyle w:val="50"/>
                    <w:rPr>
                      <w:color w:val="auto"/>
                    </w:rPr>
                  </w:pPr>
                  <w:r>
                    <w:rPr>
                      <w:rFonts w:hint="eastAsia"/>
                      <w:color w:val="auto"/>
                    </w:rPr>
                    <w:t>合理布设、厂房隔声、设备基础减震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vAlign w:val="center"/>
                </w:tcPr>
                <w:p>
                  <w:pPr>
                    <w:pStyle w:val="50"/>
                    <w:rPr>
                      <w:color w:val="auto"/>
                    </w:rPr>
                  </w:pPr>
                  <w:r>
                    <w:rPr>
                      <w:color w:val="auto"/>
                    </w:rPr>
                    <w:t>2</w:t>
                  </w:r>
                </w:p>
              </w:tc>
              <w:tc>
                <w:tcPr>
                  <w:tcW w:w="1230" w:type="pct"/>
                  <w:vAlign w:val="center"/>
                </w:tcPr>
                <w:p>
                  <w:pPr>
                    <w:pStyle w:val="50"/>
                    <w:rPr>
                      <w:color w:val="auto"/>
                    </w:rPr>
                  </w:pPr>
                  <w:r>
                    <w:rPr>
                      <w:rFonts w:hint="eastAsia"/>
                      <w:color w:val="auto"/>
                    </w:rPr>
                    <w:t>大旋风涂装流水线</w:t>
                  </w:r>
                </w:p>
              </w:tc>
              <w:tc>
                <w:tcPr>
                  <w:tcW w:w="916" w:type="pct"/>
                  <w:vAlign w:val="center"/>
                </w:tcPr>
                <w:p>
                  <w:pPr>
                    <w:pStyle w:val="50"/>
                    <w:rPr>
                      <w:color w:val="auto"/>
                    </w:rPr>
                  </w:pPr>
                  <w:r>
                    <w:rPr>
                      <w:rFonts w:hint="eastAsia"/>
                      <w:color w:val="auto"/>
                    </w:rPr>
                    <w:t>1</w:t>
                  </w:r>
                </w:p>
              </w:tc>
              <w:tc>
                <w:tcPr>
                  <w:tcW w:w="1792" w:type="dxa"/>
                  <w:tcBorders>
                    <w:right w:val="single" w:color="auto" w:sz="2" w:space="0"/>
                  </w:tcBorders>
                  <w:vAlign w:val="center"/>
                </w:tcPr>
                <w:p>
                  <w:pPr>
                    <w:pStyle w:val="50"/>
                    <w:ind w:firstLine="0" w:firstLineChars="0"/>
                    <w:rPr>
                      <w:rFonts w:hint="default"/>
                      <w:color w:val="auto"/>
                      <w:lang w:val="en-US"/>
                    </w:rPr>
                  </w:pPr>
                  <w:r>
                    <w:rPr>
                      <w:rFonts w:hint="eastAsia"/>
                      <w:color w:val="auto"/>
                    </w:rPr>
                    <w:t>90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vAlign w:val="center"/>
                </w:tcPr>
                <w:p>
                  <w:pPr>
                    <w:pStyle w:val="50"/>
                    <w:rPr>
                      <w:color w:val="auto"/>
                    </w:rPr>
                  </w:pPr>
                  <w:r>
                    <w:rPr>
                      <w:color w:val="auto"/>
                    </w:rPr>
                    <w:t>3</w:t>
                  </w:r>
                </w:p>
              </w:tc>
              <w:tc>
                <w:tcPr>
                  <w:tcW w:w="1230" w:type="pct"/>
                  <w:vAlign w:val="center"/>
                </w:tcPr>
                <w:p>
                  <w:pPr>
                    <w:pStyle w:val="50"/>
                    <w:rPr>
                      <w:color w:val="auto"/>
                    </w:rPr>
                  </w:pPr>
                  <w:r>
                    <w:rPr>
                      <w:rFonts w:hint="eastAsia"/>
                      <w:color w:val="auto"/>
                    </w:rPr>
                    <w:t>激光水冷机</w:t>
                  </w:r>
                </w:p>
              </w:tc>
              <w:tc>
                <w:tcPr>
                  <w:tcW w:w="916" w:type="pct"/>
                  <w:vAlign w:val="center"/>
                </w:tcPr>
                <w:p>
                  <w:pPr>
                    <w:pStyle w:val="50"/>
                    <w:rPr>
                      <w:color w:val="auto"/>
                    </w:rPr>
                  </w:pPr>
                  <w:r>
                    <w:rPr>
                      <w:rFonts w:hint="eastAsia"/>
                      <w:color w:val="auto"/>
                    </w:rPr>
                    <w:t>1</w:t>
                  </w:r>
                </w:p>
              </w:tc>
              <w:tc>
                <w:tcPr>
                  <w:tcW w:w="1792" w:type="dxa"/>
                  <w:tcBorders>
                    <w:right w:val="single" w:color="auto" w:sz="2" w:space="0"/>
                  </w:tcBorders>
                  <w:vAlign w:val="center"/>
                </w:tcPr>
                <w:p>
                  <w:pPr>
                    <w:pStyle w:val="50"/>
                    <w:ind w:firstLine="0" w:firstLineChars="0"/>
                    <w:rPr>
                      <w:rFonts w:hint="default"/>
                      <w:color w:val="auto"/>
                      <w:lang w:val="en-US"/>
                    </w:rPr>
                  </w:pPr>
                  <w:r>
                    <w:rPr>
                      <w:rFonts w:hint="eastAsia"/>
                      <w:color w:val="auto"/>
                    </w:rPr>
                    <w:t>80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vAlign w:val="center"/>
                </w:tcPr>
                <w:p>
                  <w:pPr>
                    <w:pStyle w:val="50"/>
                    <w:rPr>
                      <w:color w:val="auto"/>
                    </w:rPr>
                  </w:pPr>
                  <w:r>
                    <w:rPr>
                      <w:color w:val="auto"/>
                    </w:rPr>
                    <w:t>4</w:t>
                  </w:r>
                </w:p>
              </w:tc>
              <w:tc>
                <w:tcPr>
                  <w:tcW w:w="1230" w:type="pct"/>
                  <w:vAlign w:val="center"/>
                </w:tcPr>
                <w:p>
                  <w:pPr>
                    <w:pStyle w:val="50"/>
                    <w:rPr>
                      <w:color w:val="auto"/>
                    </w:rPr>
                  </w:pPr>
                  <w:r>
                    <w:rPr>
                      <w:rFonts w:hint="eastAsia"/>
                      <w:color w:val="auto"/>
                    </w:rPr>
                    <w:t>激光空压机</w:t>
                  </w:r>
                </w:p>
              </w:tc>
              <w:tc>
                <w:tcPr>
                  <w:tcW w:w="916" w:type="pct"/>
                  <w:vAlign w:val="center"/>
                </w:tcPr>
                <w:p>
                  <w:pPr>
                    <w:pStyle w:val="50"/>
                    <w:rPr>
                      <w:color w:val="auto"/>
                    </w:rPr>
                  </w:pPr>
                  <w:r>
                    <w:rPr>
                      <w:rFonts w:hint="eastAsia"/>
                      <w:color w:val="auto"/>
                    </w:rPr>
                    <w:t>1</w:t>
                  </w:r>
                </w:p>
              </w:tc>
              <w:tc>
                <w:tcPr>
                  <w:tcW w:w="1792" w:type="dxa"/>
                  <w:tcBorders>
                    <w:right w:val="single" w:color="auto" w:sz="2" w:space="0"/>
                  </w:tcBorders>
                  <w:vAlign w:val="center"/>
                </w:tcPr>
                <w:p>
                  <w:pPr>
                    <w:pStyle w:val="50"/>
                    <w:ind w:firstLine="0" w:firstLineChars="0"/>
                    <w:rPr>
                      <w:rFonts w:hint="default"/>
                      <w:color w:val="auto"/>
                      <w:lang w:val="en-US"/>
                    </w:rPr>
                  </w:pPr>
                  <w:r>
                    <w:rPr>
                      <w:rFonts w:hint="eastAsia"/>
                      <w:color w:val="auto"/>
                    </w:rPr>
                    <w:t>90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color w:val="auto"/>
                    </w:rPr>
                    <w:t>5</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激光空气过滤机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color w:val="auto"/>
                    </w:rPr>
                    <w:t>6</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数控折弯机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color w:val="auto"/>
                    </w:rPr>
                    <w:t>7</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剪板机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color w:val="auto"/>
                    </w:rPr>
                    <w:t>8</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冲床（80吨）</w:t>
                  </w:r>
                </w:p>
              </w:tc>
              <w:tc>
                <w:tcPr>
                  <w:tcW w:w="916" w:type="pct"/>
                  <w:tcBorders>
                    <w:top w:val="single" w:color="auto" w:sz="2" w:space="0"/>
                    <w:right w:val="single" w:color="auto" w:sz="2" w:space="0"/>
                  </w:tcBorders>
                  <w:vAlign w:val="center"/>
                </w:tcPr>
                <w:p>
                  <w:pPr>
                    <w:pStyle w:val="50"/>
                    <w:rPr>
                      <w:color w:val="auto"/>
                    </w:rPr>
                  </w:pPr>
                  <w:r>
                    <w:rPr>
                      <w:rFonts w:hint="eastAsia"/>
                      <w:color w:val="auto"/>
                    </w:rPr>
                    <w:t>2</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9</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步冲机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10</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冲床（40吨）</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11</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冲床（16吨)</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eastAsia="宋体"/>
                      <w:color w:val="auto"/>
                      <w:lang w:val="en-US" w:eastAsia="zh-CN"/>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12</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冲床（25吨）</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eastAsia="宋体"/>
                      <w:color w:val="auto"/>
                      <w:lang w:val="en-US" w:eastAsia="zh-CN"/>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13</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气保电焊机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6</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14</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折弯机（100吨）</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90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15</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液压切角机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16</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点焊机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2</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17</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摇臂钻床</w:t>
                  </w:r>
                </w:p>
              </w:tc>
              <w:tc>
                <w:tcPr>
                  <w:tcW w:w="916" w:type="pct"/>
                  <w:tcBorders>
                    <w:top w:val="single" w:color="auto" w:sz="2" w:space="0"/>
                    <w:right w:val="single" w:color="auto" w:sz="2" w:space="0"/>
                  </w:tcBorders>
                  <w:vAlign w:val="center"/>
                </w:tcPr>
                <w:p>
                  <w:pPr>
                    <w:pStyle w:val="50"/>
                    <w:rPr>
                      <w:color w:val="auto"/>
                    </w:rPr>
                  </w:pPr>
                  <w:r>
                    <w:rPr>
                      <w:rFonts w:hint="eastAsia"/>
                      <w:color w:val="auto"/>
                    </w:rPr>
                    <w:t>2</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18</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铜牌折弯机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3</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19</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空压机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1</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90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20</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冷冻干燥机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2</w:t>
                  </w:r>
                </w:p>
              </w:tc>
              <w:tc>
                <w:tcPr>
                  <w:tcW w:w="1792" w:type="dxa"/>
                  <w:tcBorders>
                    <w:top w:val="single" w:color="auto" w:sz="2" w:space="0"/>
                    <w:right w:val="single" w:color="auto" w:sz="2" w:space="0"/>
                  </w:tcBorders>
                  <w:vAlign w:val="center"/>
                </w:tcPr>
                <w:p>
                  <w:pPr>
                    <w:pStyle w:val="50"/>
                    <w:ind w:firstLine="0" w:firstLineChars="0"/>
                    <w:rPr>
                      <w:rFonts w:hint="default"/>
                      <w:color w:val="auto"/>
                      <w:lang w:val="en-US"/>
                    </w:rPr>
                  </w:pPr>
                  <w:r>
                    <w:rPr>
                      <w:rFonts w:hint="eastAsia"/>
                      <w:color w:val="auto"/>
                    </w:rPr>
                    <w:t>8</w:t>
                  </w:r>
                  <w:r>
                    <w:rPr>
                      <w:color w:val="auto"/>
                    </w:rPr>
                    <w:t>5</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9" w:type="pct"/>
                  <w:tcBorders>
                    <w:top w:val="single" w:color="auto" w:sz="2" w:space="0"/>
                  </w:tcBorders>
                  <w:vAlign w:val="center"/>
                </w:tcPr>
                <w:p>
                  <w:pPr>
                    <w:pStyle w:val="50"/>
                    <w:rPr>
                      <w:color w:val="auto"/>
                    </w:rPr>
                  </w:pPr>
                  <w:r>
                    <w:rPr>
                      <w:rFonts w:hint="eastAsia"/>
                      <w:color w:val="auto"/>
                    </w:rPr>
                    <w:t>21</w:t>
                  </w:r>
                </w:p>
              </w:tc>
              <w:tc>
                <w:tcPr>
                  <w:tcW w:w="1230" w:type="pct"/>
                  <w:tcBorders>
                    <w:top w:val="single" w:color="auto" w:sz="2" w:space="0"/>
                    <w:right w:val="single" w:color="auto" w:sz="2" w:space="0"/>
                  </w:tcBorders>
                  <w:vAlign w:val="center"/>
                </w:tcPr>
                <w:p>
                  <w:pPr>
                    <w:pStyle w:val="50"/>
                    <w:rPr>
                      <w:color w:val="auto"/>
                    </w:rPr>
                  </w:pPr>
                  <w:r>
                    <w:rPr>
                      <w:rFonts w:hint="eastAsia"/>
                      <w:color w:val="auto"/>
                    </w:rPr>
                    <w:t>风机</w:t>
                  </w:r>
                </w:p>
              </w:tc>
              <w:tc>
                <w:tcPr>
                  <w:tcW w:w="916" w:type="pct"/>
                  <w:tcBorders>
                    <w:top w:val="single" w:color="auto" w:sz="2" w:space="0"/>
                    <w:right w:val="single" w:color="auto" w:sz="2" w:space="0"/>
                  </w:tcBorders>
                  <w:vAlign w:val="center"/>
                </w:tcPr>
                <w:p>
                  <w:pPr>
                    <w:pStyle w:val="50"/>
                    <w:rPr>
                      <w:color w:val="auto"/>
                    </w:rPr>
                  </w:pPr>
                  <w:r>
                    <w:rPr>
                      <w:rFonts w:hint="eastAsia"/>
                      <w:color w:val="auto"/>
                    </w:rPr>
                    <w:t>2</w:t>
                  </w:r>
                </w:p>
              </w:tc>
              <w:tc>
                <w:tcPr>
                  <w:tcW w:w="1792" w:type="dxa"/>
                  <w:tcBorders>
                    <w:top w:val="single" w:color="auto" w:sz="2" w:space="0"/>
                    <w:right w:val="single" w:color="auto" w:sz="2" w:space="0"/>
                  </w:tcBorders>
                  <w:vAlign w:val="center"/>
                </w:tcPr>
                <w:p>
                  <w:pPr>
                    <w:pStyle w:val="50"/>
                    <w:ind w:firstLine="0" w:firstLineChars="0"/>
                    <w:rPr>
                      <w:rFonts w:hint="default" w:eastAsia="宋体"/>
                      <w:color w:val="auto"/>
                      <w:lang w:val="en-US" w:eastAsia="zh-CN"/>
                    </w:rPr>
                  </w:pPr>
                  <w:r>
                    <w:rPr>
                      <w:rFonts w:hint="eastAsia"/>
                      <w:color w:val="auto"/>
                    </w:rPr>
                    <w:t>90</w:t>
                  </w:r>
                </w:p>
              </w:tc>
              <w:tc>
                <w:tcPr>
                  <w:tcW w:w="1249" w:type="pct"/>
                  <w:vMerge w:val="continue"/>
                  <w:tcBorders>
                    <w:left w:val="single" w:color="auto" w:sz="2"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3750" w:type="pct"/>
                  <w:gridSpan w:val="4"/>
                  <w:tcBorders>
                    <w:top w:val="single" w:color="auto" w:sz="2" w:space="0"/>
                    <w:right w:val="single" w:color="auto" w:sz="2" w:space="0"/>
                  </w:tcBorders>
                  <w:vAlign w:val="center"/>
                </w:tcPr>
                <w:p>
                  <w:pPr>
                    <w:pStyle w:val="50"/>
                    <w:rPr>
                      <w:color w:val="auto"/>
                    </w:rPr>
                  </w:pPr>
                  <w:r>
                    <w:rPr>
                      <w:rFonts w:hint="eastAsia"/>
                      <w:color w:val="auto"/>
                    </w:rPr>
                    <w:t>叠加值</w:t>
                  </w:r>
                </w:p>
              </w:tc>
              <w:tc>
                <w:tcPr>
                  <w:tcW w:w="1249" w:type="pct"/>
                  <w:tcBorders>
                    <w:top w:val="single" w:color="auto" w:sz="2" w:space="0"/>
                    <w:left w:val="single" w:color="auto" w:sz="2" w:space="0"/>
                  </w:tcBorders>
                  <w:vAlign w:val="center"/>
                </w:tcPr>
                <w:p>
                  <w:pPr>
                    <w:pStyle w:val="50"/>
                    <w:rPr>
                      <w:color w:val="auto"/>
                    </w:rPr>
                  </w:pPr>
                  <w:r>
                    <w:rPr>
                      <w:rFonts w:hint="eastAsia"/>
                      <w:color w:val="auto"/>
                    </w:rPr>
                    <w:t>100.7</w:t>
                  </w:r>
                </w:p>
              </w:tc>
            </w:tr>
          </w:tbl>
          <w:p>
            <w:pPr>
              <w:pStyle w:val="48"/>
              <w:ind w:firstLine="422"/>
              <w:rPr>
                <w:color w:val="auto"/>
              </w:rPr>
            </w:pPr>
            <w:r>
              <w:rPr>
                <w:color w:val="auto"/>
              </w:rPr>
              <w:t>表7-</w:t>
            </w:r>
            <w:r>
              <w:rPr>
                <w:rFonts w:hint="eastAsia"/>
                <w:color w:val="auto"/>
              </w:rPr>
              <w:t>2</w:t>
            </w:r>
            <w:r>
              <w:rPr>
                <w:rFonts w:hint="eastAsia"/>
                <w:color w:val="auto"/>
                <w:lang w:val="en-US" w:eastAsia="zh-CN"/>
              </w:rPr>
              <w:t>6</w:t>
            </w:r>
            <w:r>
              <w:rPr>
                <w:rFonts w:hint="eastAsia"/>
                <w:color w:val="auto"/>
              </w:rPr>
              <w:t xml:space="preserve">  </w:t>
            </w:r>
            <w:r>
              <w:rPr>
                <w:color w:val="auto"/>
              </w:rPr>
              <w:t>项目噪声源到各厂界的距离</w:t>
            </w:r>
          </w:p>
          <w:tbl>
            <w:tblPr>
              <w:tblStyle w:val="36"/>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923"/>
              <w:gridCol w:w="1095"/>
              <w:gridCol w:w="1117"/>
              <w:gridCol w:w="916"/>
              <w:gridCol w:w="864"/>
              <w:gridCol w:w="906"/>
              <w:gridCol w:w="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vMerge w:val="restart"/>
                  <w:noWrap/>
                  <w:vAlign w:val="center"/>
                </w:tcPr>
                <w:p>
                  <w:pPr>
                    <w:pStyle w:val="50"/>
                    <w:rPr>
                      <w:color w:val="auto"/>
                      <w:kern w:val="2"/>
                    </w:rPr>
                  </w:pPr>
                  <w:r>
                    <w:rPr>
                      <w:rFonts w:hint="eastAsia"/>
                      <w:color w:val="auto"/>
                      <w:kern w:val="2"/>
                    </w:rPr>
                    <w:t>序号</w:t>
                  </w:r>
                </w:p>
              </w:tc>
              <w:tc>
                <w:tcPr>
                  <w:tcW w:w="1923" w:type="dxa"/>
                  <w:vMerge w:val="restart"/>
                  <w:noWrap/>
                  <w:vAlign w:val="center"/>
                </w:tcPr>
                <w:p>
                  <w:pPr>
                    <w:pStyle w:val="50"/>
                    <w:rPr>
                      <w:color w:val="auto"/>
                      <w:kern w:val="2"/>
                    </w:rPr>
                  </w:pPr>
                  <w:r>
                    <w:rPr>
                      <w:rFonts w:hint="eastAsia"/>
                      <w:color w:val="auto"/>
                      <w:kern w:val="2"/>
                    </w:rPr>
                    <w:t>机械名称</w:t>
                  </w:r>
                </w:p>
              </w:tc>
              <w:tc>
                <w:tcPr>
                  <w:tcW w:w="1095" w:type="dxa"/>
                  <w:vMerge w:val="restart"/>
                  <w:noWrap/>
                  <w:vAlign w:val="center"/>
                </w:tcPr>
                <w:p>
                  <w:pPr>
                    <w:pStyle w:val="50"/>
                    <w:rPr>
                      <w:color w:val="auto"/>
                      <w:kern w:val="2"/>
                    </w:rPr>
                  </w:pPr>
                  <w:r>
                    <w:rPr>
                      <w:rFonts w:hint="eastAsia"/>
                      <w:color w:val="auto"/>
                      <w:kern w:val="2"/>
                    </w:rPr>
                    <w:t>处理措施</w:t>
                  </w:r>
                </w:p>
              </w:tc>
              <w:tc>
                <w:tcPr>
                  <w:tcW w:w="1117" w:type="dxa"/>
                  <w:vMerge w:val="restart"/>
                  <w:noWrap/>
                  <w:vAlign w:val="center"/>
                </w:tcPr>
                <w:p>
                  <w:pPr>
                    <w:pStyle w:val="50"/>
                    <w:rPr>
                      <w:color w:val="auto"/>
                      <w:kern w:val="2"/>
                    </w:rPr>
                  </w:pPr>
                  <w:r>
                    <w:rPr>
                      <w:rFonts w:hint="eastAsia"/>
                      <w:color w:val="auto"/>
                      <w:kern w:val="2"/>
                    </w:rPr>
                    <w:t>治理后源强dB（A）</w:t>
                  </w:r>
                </w:p>
              </w:tc>
              <w:tc>
                <w:tcPr>
                  <w:tcW w:w="3547" w:type="dxa"/>
                  <w:gridSpan w:val="4"/>
                  <w:noWrap/>
                  <w:vAlign w:val="center"/>
                </w:tcPr>
                <w:p>
                  <w:pPr>
                    <w:pStyle w:val="50"/>
                    <w:rPr>
                      <w:color w:val="auto"/>
                      <w:kern w:val="2"/>
                    </w:rPr>
                  </w:pPr>
                  <w:r>
                    <w:rPr>
                      <w:rFonts w:hint="eastAsia"/>
                      <w:color w:val="auto"/>
                      <w:kern w:val="2"/>
                    </w:rPr>
                    <w:t>距厂界最近距离（m）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vMerge w:val="continue"/>
                  <w:noWrap/>
                  <w:vAlign w:val="center"/>
                </w:tcPr>
                <w:p>
                  <w:pPr>
                    <w:pStyle w:val="50"/>
                    <w:rPr>
                      <w:color w:val="auto"/>
                      <w:kern w:val="2"/>
                    </w:rPr>
                  </w:pPr>
                </w:p>
              </w:tc>
              <w:tc>
                <w:tcPr>
                  <w:tcW w:w="1923" w:type="dxa"/>
                  <w:vMerge w:val="continue"/>
                  <w:noWrap/>
                  <w:vAlign w:val="center"/>
                </w:tcPr>
                <w:p>
                  <w:pPr>
                    <w:pStyle w:val="50"/>
                    <w:rPr>
                      <w:color w:val="auto"/>
                      <w:kern w:val="2"/>
                    </w:rPr>
                  </w:pPr>
                </w:p>
              </w:tc>
              <w:tc>
                <w:tcPr>
                  <w:tcW w:w="1095" w:type="dxa"/>
                  <w:vMerge w:val="continue"/>
                  <w:noWrap/>
                  <w:vAlign w:val="center"/>
                </w:tcPr>
                <w:p>
                  <w:pPr>
                    <w:pStyle w:val="50"/>
                    <w:rPr>
                      <w:color w:val="auto"/>
                      <w:kern w:val="2"/>
                    </w:rPr>
                  </w:pPr>
                </w:p>
              </w:tc>
              <w:tc>
                <w:tcPr>
                  <w:tcW w:w="1117" w:type="dxa"/>
                  <w:vMerge w:val="continue"/>
                  <w:noWrap/>
                  <w:vAlign w:val="center"/>
                </w:tcPr>
                <w:p>
                  <w:pPr>
                    <w:pStyle w:val="50"/>
                    <w:rPr>
                      <w:color w:val="auto"/>
                      <w:kern w:val="2"/>
                    </w:rPr>
                  </w:pPr>
                </w:p>
              </w:tc>
              <w:tc>
                <w:tcPr>
                  <w:tcW w:w="916" w:type="dxa"/>
                  <w:noWrap/>
                  <w:vAlign w:val="center"/>
                </w:tcPr>
                <w:p>
                  <w:pPr>
                    <w:pStyle w:val="50"/>
                    <w:rPr>
                      <w:color w:val="auto"/>
                      <w:kern w:val="2"/>
                    </w:rPr>
                  </w:pPr>
                  <w:r>
                    <w:rPr>
                      <w:rFonts w:hint="eastAsia"/>
                      <w:color w:val="auto"/>
                      <w:kern w:val="2"/>
                    </w:rPr>
                    <w:t>东</w:t>
                  </w:r>
                </w:p>
              </w:tc>
              <w:tc>
                <w:tcPr>
                  <w:tcW w:w="864" w:type="dxa"/>
                  <w:noWrap/>
                  <w:vAlign w:val="center"/>
                </w:tcPr>
                <w:p>
                  <w:pPr>
                    <w:pStyle w:val="50"/>
                    <w:rPr>
                      <w:color w:val="auto"/>
                      <w:kern w:val="2"/>
                    </w:rPr>
                  </w:pPr>
                  <w:r>
                    <w:rPr>
                      <w:rFonts w:hint="eastAsia"/>
                      <w:color w:val="auto"/>
                      <w:kern w:val="2"/>
                    </w:rPr>
                    <w:t>南</w:t>
                  </w:r>
                </w:p>
              </w:tc>
              <w:tc>
                <w:tcPr>
                  <w:tcW w:w="906" w:type="dxa"/>
                  <w:noWrap/>
                  <w:vAlign w:val="center"/>
                </w:tcPr>
                <w:p>
                  <w:pPr>
                    <w:pStyle w:val="50"/>
                    <w:rPr>
                      <w:color w:val="auto"/>
                      <w:kern w:val="2"/>
                    </w:rPr>
                  </w:pPr>
                  <w:r>
                    <w:rPr>
                      <w:rFonts w:hint="eastAsia"/>
                      <w:color w:val="auto"/>
                      <w:kern w:val="2"/>
                    </w:rPr>
                    <w:t>西</w:t>
                  </w:r>
                </w:p>
              </w:tc>
              <w:tc>
                <w:tcPr>
                  <w:tcW w:w="861" w:type="dxa"/>
                  <w:noWrap/>
                  <w:vAlign w:val="center"/>
                </w:tcPr>
                <w:p>
                  <w:pPr>
                    <w:pStyle w:val="50"/>
                    <w:rPr>
                      <w:color w:val="auto"/>
                      <w:kern w:val="2"/>
                    </w:rPr>
                  </w:pPr>
                  <w:r>
                    <w:rPr>
                      <w:rFonts w:hint="eastAsia"/>
                      <w:color w:val="auto"/>
                      <w:kern w:val="2"/>
                    </w:rPr>
                    <w:t>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1</w:t>
                  </w:r>
                </w:p>
              </w:tc>
              <w:tc>
                <w:tcPr>
                  <w:tcW w:w="1923" w:type="dxa"/>
                  <w:noWrap/>
                  <w:vAlign w:val="center"/>
                </w:tcPr>
                <w:p>
                  <w:pPr>
                    <w:pStyle w:val="50"/>
                    <w:rPr>
                      <w:color w:val="auto"/>
                    </w:rPr>
                  </w:pPr>
                  <w:r>
                    <w:rPr>
                      <w:rFonts w:hint="eastAsia"/>
                      <w:color w:val="auto"/>
                    </w:rPr>
                    <w:t>激光切割机</w:t>
                  </w:r>
                </w:p>
              </w:tc>
              <w:tc>
                <w:tcPr>
                  <w:tcW w:w="1095" w:type="dxa"/>
                  <w:vMerge w:val="restart"/>
                  <w:noWrap/>
                  <w:vAlign w:val="center"/>
                </w:tcPr>
                <w:p>
                  <w:pPr>
                    <w:pStyle w:val="50"/>
                    <w:rPr>
                      <w:color w:val="auto"/>
                    </w:rPr>
                  </w:pPr>
                  <w:r>
                    <w:rPr>
                      <w:rFonts w:hint="eastAsia"/>
                      <w:color w:val="auto"/>
                    </w:rPr>
                    <w:t>合理布局，选用低噪声设备，加装设备减振垫；建筑隔声15dB(A)</w:t>
                  </w: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27.15</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2</w:t>
                  </w:r>
                </w:p>
              </w:tc>
              <w:tc>
                <w:tcPr>
                  <w:tcW w:w="1923" w:type="dxa"/>
                  <w:noWrap/>
                  <w:vAlign w:val="center"/>
                </w:tcPr>
                <w:p>
                  <w:pPr>
                    <w:pStyle w:val="50"/>
                    <w:rPr>
                      <w:color w:val="auto"/>
                    </w:rPr>
                  </w:pPr>
                  <w:r>
                    <w:rPr>
                      <w:rFonts w:hint="eastAsia"/>
                      <w:color w:val="auto"/>
                    </w:rPr>
                    <w:t>大旋风涂装流水线</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23</w:t>
                  </w:r>
                  <w:r>
                    <w:rPr>
                      <w:rFonts w:hint="eastAsia" w:cs="Times New Roman"/>
                      <w:i w:val="0"/>
                      <w:snapToGrid w:val="0"/>
                      <w:color w:val="auto"/>
                      <w:kern w:val="2"/>
                      <w:sz w:val="21"/>
                      <w:szCs w:val="21"/>
                      <w:u w:val="none"/>
                      <w:lang w:val="en-US" w:eastAsia="zh-CN" w:bidi="ar"/>
                    </w:rPr>
                    <w:t>.0</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3</w:t>
                  </w:r>
                </w:p>
              </w:tc>
              <w:tc>
                <w:tcPr>
                  <w:tcW w:w="1923" w:type="dxa"/>
                  <w:noWrap/>
                  <w:vAlign w:val="center"/>
                </w:tcPr>
                <w:p>
                  <w:pPr>
                    <w:pStyle w:val="50"/>
                    <w:rPr>
                      <w:color w:val="auto"/>
                    </w:rPr>
                  </w:pPr>
                  <w:r>
                    <w:rPr>
                      <w:rFonts w:hint="eastAsia"/>
                      <w:color w:val="auto"/>
                    </w:rPr>
                    <w:t>激光水冷机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23.75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26.02</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16.25</w:t>
                  </w:r>
                </w:p>
              </w:tc>
              <w:tc>
                <w:tcPr>
                  <w:tcW w:w="861" w:type="dxa"/>
                  <w:noWrap/>
                  <w:vAlign w:val="center"/>
                </w:tcPr>
                <w:p>
                  <w:pPr>
                    <w:pStyle w:val="50"/>
                    <w:rPr>
                      <w:color w:val="auto"/>
                      <w:kern w:val="2"/>
                    </w:rPr>
                  </w:pPr>
                  <w:r>
                    <w:rPr>
                      <w:rFonts w:hint="eastAsia"/>
                      <w:color w:val="auto"/>
                      <w:kern w:val="2"/>
                    </w:rPr>
                    <w:t>11.48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4</w:t>
                  </w:r>
                </w:p>
              </w:tc>
              <w:tc>
                <w:tcPr>
                  <w:tcW w:w="1923" w:type="dxa"/>
                  <w:noWrap/>
                  <w:vAlign w:val="center"/>
                </w:tcPr>
                <w:p>
                  <w:pPr>
                    <w:pStyle w:val="50"/>
                    <w:rPr>
                      <w:color w:val="auto"/>
                    </w:rPr>
                  </w:pPr>
                  <w:r>
                    <w:rPr>
                      <w:rFonts w:hint="eastAsia"/>
                      <w:color w:val="auto"/>
                    </w:rPr>
                    <w:t>激光空压机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916" w:type="dxa"/>
                  <w:noWrap/>
                  <w:vAlign w:val="center"/>
                </w:tcPr>
                <w:p>
                  <w:pPr>
                    <w:pStyle w:val="50"/>
                    <w:rPr>
                      <w:color w:val="auto"/>
                      <w:kern w:val="2"/>
                    </w:rPr>
                  </w:pPr>
                  <w:r>
                    <w:rPr>
                      <w:rFonts w:hint="eastAsia"/>
                      <w:color w:val="auto"/>
                      <w:kern w:val="2"/>
                    </w:rPr>
                    <w:t>20.6</w:t>
                  </w:r>
                </w:p>
              </w:tc>
              <w:tc>
                <w:tcPr>
                  <w:tcW w:w="864" w:type="dxa"/>
                  <w:noWrap/>
                  <w:vAlign w:val="center"/>
                </w:tcPr>
                <w:p>
                  <w:pPr>
                    <w:pStyle w:val="50"/>
                    <w:keepNext w:val="0"/>
                    <w:keepLines w:val="0"/>
                    <w:widowControl/>
                    <w:suppressLineNumbers w:val="0"/>
                    <w:ind w:firstLine="0" w:firstLineChars="0"/>
                    <w:jc w:val="left"/>
                    <w:textAlignment w:val="auto"/>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21</w:t>
                  </w:r>
                  <w:r>
                    <w:rPr>
                      <w:rFonts w:hint="eastAsia" w:cs="Times New Roman"/>
                      <w:i w:val="0"/>
                      <w:snapToGrid w:val="0"/>
                      <w:color w:val="auto"/>
                      <w:kern w:val="2"/>
                      <w:sz w:val="21"/>
                      <w:szCs w:val="21"/>
                      <w:u w:val="none"/>
                      <w:lang w:val="en-US" w:eastAsia="zh-CN" w:bidi="ar"/>
                    </w:rPr>
                    <w:t>.0</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19.4</w:t>
                  </w:r>
                </w:p>
              </w:tc>
              <w:tc>
                <w:tcPr>
                  <w:tcW w:w="861" w:type="dxa"/>
                  <w:noWrap/>
                  <w:vAlign w:val="center"/>
                </w:tcPr>
                <w:p>
                  <w:pPr>
                    <w:pStyle w:val="50"/>
                    <w:rPr>
                      <w:rFonts w:hint="default" w:eastAsia="宋体"/>
                      <w:color w:val="auto"/>
                      <w:kern w:val="2"/>
                      <w:lang w:eastAsia="zh-CN"/>
                    </w:rPr>
                  </w:pPr>
                  <w:r>
                    <w:rPr>
                      <w:rFonts w:hint="default"/>
                      <w:color w:val="auto"/>
                      <w:kern w:val="2"/>
                      <w:lang w:eastAsia="zh-CN"/>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5</w:t>
                  </w:r>
                </w:p>
              </w:tc>
              <w:tc>
                <w:tcPr>
                  <w:tcW w:w="1923" w:type="dxa"/>
                  <w:noWrap/>
                  <w:vAlign w:val="center"/>
                </w:tcPr>
                <w:p>
                  <w:pPr>
                    <w:pStyle w:val="50"/>
                    <w:rPr>
                      <w:color w:val="auto"/>
                    </w:rPr>
                  </w:pPr>
                  <w:r>
                    <w:rPr>
                      <w:rFonts w:hint="eastAsia"/>
                      <w:color w:val="auto"/>
                    </w:rPr>
                    <w:t>激光空气过滤机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16.48</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15.58</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23.52</w:t>
                  </w:r>
                </w:p>
              </w:tc>
              <w:tc>
                <w:tcPr>
                  <w:tcW w:w="861" w:type="dxa"/>
                  <w:noWrap/>
                  <w:vAlign w:val="center"/>
                </w:tcPr>
                <w:p>
                  <w:pPr>
                    <w:pStyle w:val="50"/>
                    <w:rPr>
                      <w:color w:val="auto"/>
                      <w:kern w:val="2"/>
                    </w:rPr>
                  </w:pPr>
                  <w:r>
                    <w:rPr>
                      <w:rFonts w:hint="eastAsia"/>
                      <w:color w:val="auto"/>
                      <w:kern w:val="2"/>
                    </w:rPr>
                    <w:t>21.92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6</w:t>
                  </w:r>
                </w:p>
              </w:tc>
              <w:tc>
                <w:tcPr>
                  <w:tcW w:w="1923" w:type="dxa"/>
                  <w:noWrap/>
                  <w:vAlign w:val="center"/>
                </w:tcPr>
                <w:p>
                  <w:pPr>
                    <w:pStyle w:val="50"/>
                    <w:rPr>
                      <w:color w:val="auto"/>
                    </w:rPr>
                  </w:pPr>
                  <w:r>
                    <w:rPr>
                      <w:rFonts w:hint="eastAsia"/>
                      <w:color w:val="auto"/>
                    </w:rPr>
                    <w:t>数控折弯机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20.2</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21.55</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19.8</w:t>
                  </w:r>
                </w:p>
              </w:tc>
              <w:tc>
                <w:tcPr>
                  <w:tcW w:w="861" w:type="dxa"/>
                  <w:noWrap/>
                  <w:vAlign w:val="center"/>
                </w:tcPr>
                <w:p>
                  <w:pPr>
                    <w:pStyle w:val="50"/>
                    <w:rPr>
                      <w:color w:val="auto"/>
                      <w:kern w:val="2"/>
                    </w:rPr>
                  </w:pPr>
                  <w:r>
                    <w:rPr>
                      <w:rFonts w:hint="eastAsia"/>
                      <w:color w:val="auto"/>
                      <w:kern w:val="2"/>
                    </w:rPr>
                    <w:t>15.95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7</w:t>
                  </w:r>
                </w:p>
              </w:tc>
              <w:tc>
                <w:tcPr>
                  <w:tcW w:w="1923" w:type="dxa"/>
                  <w:noWrap/>
                  <w:vAlign w:val="center"/>
                </w:tcPr>
                <w:p>
                  <w:pPr>
                    <w:pStyle w:val="50"/>
                    <w:rPr>
                      <w:color w:val="auto"/>
                    </w:rPr>
                  </w:pPr>
                  <w:r>
                    <w:rPr>
                      <w:rFonts w:hint="eastAsia"/>
                      <w:color w:val="auto"/>
                    </w:rPr>
                    <w:t>剪板机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18.5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19.8</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21.5</w:t>
                  </w:r>
                </w:p>
              </w:tc>
              <w:tc>
                <w:tcPr>
                  <w:tcW w:w="861" w:type="dxa"/>
                  <w:noWrap/>
                  <w:vAlign w:val="center"/>
                </w:tcPr>
                <w:p>
                  <w:pPr>
                    <w:pStyle w:val="50"/>
                    <w:rPr>
                      <w:color w:val="auto"/>
                      <w:kern w:val="2"/>
                    </w:rPr>
                  </w:pPr>
                  <w:r>
                    <w:rPr>
                      <w:rFonts w:hint="eastAsia"/>
                      <w:color w:val="auto"/>
                      <w:kern w:val="2"/>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14" w:type="dxa"/>
                  <w:noWrap/>
                  <w:vAlign w:val="center"/>
                </w:tcPr>
                <w:p>
                  <w:pPr>
                    <w:pStyle w:val="50"/>
                    <w:rPr>
                      <w:color w:val="auto"/>
                      <w:kern w:val="2"/>
                    </w:rPr>
                  </w:pPr>
                  <w:r>
                    <w:rPr>
                      <w:color w:val="auto"/>
                    </w:rPr>
                    <w:t>8</w:t>
                  </w:r>
                </w:p>
              </w:tc>
              <w:tc>
                <w:tcPr>
                  <w:tcW w:w="1923" w:type="dxa"/>
                  <w:noWrap/>
                  <w:vAlign w:val="center"/>
                </w:tcPr>
                <w:p>
                  <w:pPr>
                    <w:pStyle w:val="50"/>
                    <w:rPr>
                      <w:color w:val="auto"/>
                    </w:rPr>
                  </w:pPr>
                  <w:r>
                    <w:rPr>
                      <w:rFonts w:hint="eastAsia"/>
                      <w:color w:val="auto"/>
                    </w:rPr>
                    <w:t>冲床（80吨）</w:t>
                  </w:r>
                </w:p>
              </w:tc>
              <w:tc>
                <w:tcPr>
                  <w:tcW w:w="1095" w:type="dxa"/>
                  <w:vMerge w:val="continue"/>
                  <w:noWrap/>
                  <w:vAlign w:val="center"/>
                </w:tcPr>
                <w:p>
                  <w:pPr>
                    <w:pStyle w:val="50"/>
                    <w:rPr>
                      <w:color w:val="auto"/>
                    </w:rPr>
                  </w:pPr>
                </w:p>
              </w:tc>
              <w:tc>
                <w:tcPr>
                  <w:tcW w:w="1117" w:type="dxa"/>
                  <w:noWrap/>
                  <w:vAlign w:val="center"/>
                </w:tcPr>
                <w:p>
                  <w:pPr>
                    <w:pStyle w:val="50"/>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21.5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19.02</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18.5</w:t>
                  </w:r>
                </w:p>
              </w:tc>
              <w:tc>
                <w:tcPr>
                  <w:tcW w:w="861" w:type="dxa"/>
                  <w:noWrap/>
                  <w:vAlign w:val="center"/>
                </w:tcPr>
                <w:p>
                  <w:pPr>
                    <w:pStyle w:val="50"/>
                    <w:rPr>
                      <w:color w:val="auto"/>
                      <w:kern w:val="2"/>
                    </w:rPr>
                  </w:pPr>
                  <w:r>
                    <w:rPr>
                      <w:rFonts w:hint="eastAsia"/>
                      <w:color w:val="auto"/>
                      <w:kern w:val="2"/>
                    </w:rPr>
                    <w:t>18.48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9</w:t>
                  </w:r>
                </w:p>
              </w:tc>
              <w:tc>
                <w:tcPr>
                  <w:tcW w:w="1923" w:type="dxa"/>
                  <w:noWrap/>
                  <w:vAlign w:val="center"/>
                </w:tcPr>
                <w:p>
                  <w:pPr>
                    <w:pStyle w:val="50"/>
                    <w:rPr>
                      <w:color w:val="auto"/>
                    </w:rPr>
                  </w:pPr>
                  <w:r>
                    <w:rPr>
                      <w:rFonts w:hint="eastAsia"/>
                      <w:color w:val="auto"/>
                    </w:rPr>
                    <w:t>步冲机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22.26</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7.75</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17.74</w:t>
                  </w:r>
                </w:p>
              </w:tc>
              <w:tc>
                <w:tcPr>
                  <w:tcW w:w="861" w:type="dxa"/>
                  <w:noWrap/>
                  <w:vAlign w:val="center"/>
                </w:tcPr>
                <w:p>
                  <w:pPr>
                    <w:pStyle w:val="50"/>
                    <w:rPr>
                      <w:color w:val="auto"/>
                      <w:kern w:val="2"/>
                    </w:rPr>
                  </w:pPr>
                  <w:r>
                    <w:rPr>
                      <w:rFonts w:hint="eastAsia"/>
                      <w:color w:val="auto"/>
                      <w:kern w:val="2"/>
                    </w:rPr>
                    <w:t>29.75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10</w:t>
                  </w:r>
                </w:p>
              </w:tc>
              <w:tc>
                <w:tcPr>
                  <w:tcW w:w="1923" w:type="dxa"/>
                  <w:noWrap/>
                  <w:vAlign w:val="center"/>
                </w:tcPr>
                <w:p>
                  <w:pPr>
                    <w:pStyle w:val="50"/>
                    <w:rPr>
                      <w:color w:val="auto"/>
                    </w:rPr>
                  </w:pPr>
                  <w:r>
                    <w:rPr>
                      <w:rFonts w:hint="eastAsia"/>
                      <w:color w:val="auto"/>
                    </w:rPr>
                    <w:t>冲床（40吨）</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27.15</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11</w:t>
                  </w:r>
                </w:p>
              </w:tc>
              <w:tc>
                <w:tcPr>
                  <w:tcW w:w="1923" w:type="dxa"/>
                  <w:noWrap/>
                  <w:vAlign w:val="center"/>
                </w:tcPr>
                <w:p>
                  <w:pPr>
                    <w:pStyle w:val="50"/>
                    <w:rPr>
                      <w:color w:val="auto"/>
                    </w:rPr>
                  </w:pPr>
                  <w:r>
                    <w:rPr>
                      <w:rFonts w:hint="eastAsia"/>
                      <w:color w:val="auto"/>
                    </w:rPr>
                    <w:t>冲床（16吨)</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23</w:t>
                  </w:r>
                  <w:r>
                    <w:rPr>
                      <w:rFonts w:hint="eastAsia" w:cs="Times New Roman"/>
                      <w:i w:val="0"/>
                      <w:snapToGrid w:val="0"/>
                      <w:color w:val="auto"/>
                      <w:kern w:val="2"/>
                      <w:sz w:val="21"/>
                      <w:szCs w:val="21"/>
                      <w:u w:val="none"/>
                      <w:lang w:val="en-US" w:eastAsia="zh-CN" w:bidi="ar"/>
                    </w:rPr>
                    <w:t>.0</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12</w:t>
                  </w:r>
                </w:p>
              </w:tc>
              <w:tc>
                <w:tcPr>
                  <w:tcW w:w="1923" w:type="dxa"/>
                  <w:noWrap/>
                  <w:vAlign w:val="center"/>
                </w:tcPr>
                <w:p>
                  <w:pPr>
                    <w:pStyle w:val="50"/>
                    <w:rPr>
                      <w:color w:val="auto"/>
                    </w:rPr>
                  </w:pPr>
                  <w:r>
                    <w:rPr>
                      <w:rFonts w:hint="eastAsia"/>
                      <w:color w:val="auto"/>
                    </w:rPr>
                    <w:t>冲床（25吨）</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23.75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26.02</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16.25</w:t>
                  </w:r>
                </w:p>
              </w:tc>
              <w:tc>
                <w:tcPr>
                  <w:tcW w:w="861" w:type="dxa"/>
                  <w:noWrap/>
                  <w:vAlign w:val="center"/>
                </w:tcPr>
                <w:p>
                  <w:pPr>
                    <w:pStyle w:val="50"/>
                    <w:rPr>
                      <w:color w:val="auto"/>
                      <w:kern w:val="2"/>
                    </w:rPr>
                  </w:pPr>
                  <w:r>
                    <w:rPr>
                      <w:rFonts w:hint="eastAsia"/>
                      <w:color w:val="auto"/>
                      <w:kern w:val="2"/>
                    </w:rPr>
                    <w:t>11.48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13</w:t>
                  </w:r>
                </w:p>
              </w:tc>
              <w:tc>
                <w:tcPr>
                  <w:tcW w:w="1923" w:type="dxa"/>
                  <w:noWrap/>
                  <w:vAlign w:val="center"/>
                </w:tcPr>
                <w:p>
                  <w:pPr>
                    <w:pStyle w:val="50"/>
                    <w:rPr>
                      <w:color w:val="auto"/>
                    </w:rPr>
                  </w:pPr>
                  <w:r>
                    <w:rPr>
                      <w:rFonts w:hint="eastAsia"/>
                      <w:color w:val="auto"/>
                    </w:rPr>
                    <w:t>气保电焊机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20.6</w:t>
                  </w:r>
                </w:p>
              </w:tc>
              <w:tc>
                <w:tcPr>
                  <w:tcW w:w="864" w:type="dxa"/>
                  <w:noWrap/>
                  <w:vAlign w:val="center"/>
                </w:tcPr>
                <w:p>
                  <w:pPr>
                    <w:pStyle w:val="50"/>
                    <w:keepNext w:val="0"/>
                    <w:keepLines w:val="0"/>
                    <w:widowControl/>
                    <w:suppressLineNumbers w:val="0"/>
                    <w:ind w:firstLine="0" w:firstLineChars="0"/>
                    <w:jc w:val="left"/>
                    <w:textAlignment w:val="auto"/>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21</w:t>
                  </w:r>
                  <w:r>
                    <w:rPr>
                      <w:rFonts w:hint="eastAsia" w:cs="Times New Roman"/>
                      <w:i w:val="0"/>
                      <w:snapToGrid w:val="0"/>
                      <w:color w:val="auto"/>
                      <w:kern w:val="2"/>
                      <w:sz w:val="21"/>
                      <w:szCs w:val="21"/>
                      <w:u w:val="none"/>
                      <w:lang w:val="en-US" w:eastAsia="zh-CN" w:bidi="ar"/>
                    </w:rPr>
                    <w:t>.0</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19.4</w:t>
                  </w:r>
                </w:p>
              </w:tc>
              <w:tc>
                <w:tcPr>
                  <w:tcW w:w="861" w:type="dxa"/>
                  <w:noWrap/>
                  <w:vAlign w:val="center"/>
                </w:tcPr>
                <w:p>
                  <w:pPr>
                    <w:pStyle w:val="50"/>
                    <w:rPr>
                      <w:rFonts w:hint="default" w:eastAsia="宋体"/>
                      <w:color w:val="auto"/>
                      <w:kern w:val="2"/>
                      <w:lang w:eastAsia="zh-CN"/>
                    </w:rPr>
                  </w:pPr>
                  <w:r>
                    <w:rPr>
                      <w:rFonts w:hint="default"/>
                      <w:color w:val="auto"/>
                      <w:kern w:val="2"/>
                      <w:lang w:eastAsia="zh-CN"/>
                    </w:rPr>
                    <w:t>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14</w:t>
                  </w:r>
                </w:p>
              </w:tc>
              <w:tc>
                <w:tcPr>
                  <w:tcW w:w="1923" w:type="dxa"/>
                  <w:noWrap/>
                  <w:vAlign w:val="center"/>
                </w:tcPr>
                <w:p>
                  <w:pPr>
                    <w:pStyle w:val="50"/>
                    <w:rPr>
                      <w:color w:val="auto"/>
                    </w:rPr>
                  </w:pPr>
                  <w:r>
                    <w:rPr>
                      <w:rFonts w:hint="eastAsia"/>
                      <w:color w:val="auto"/>
                    </w:rPr>
                    <w:t>折弯机（100吨）</w:t>
                  </w:r>
                </w:p>
              </w:tc>
              <w:tc>
                <w:tcPr>
                  <w:tcW w:w="1095" w:type="dxa"/>
                  <w:vMerge w:val="continue"/>
                  <w:noWrap/>
                  <w:vAlign w:val="center"/>
                </w:tcPr>
                <w:p>
                  <w:pPr>
                    <w:pStyle w:val="50"/>
                    <w:rPr>
                      <w:color w:val="auto"/>
                    </w:rPr>
                  </w:pPr>
                </w:p>
              </w:tc>
              <w:tc>
                <w:tcPr>
                  <w:tcW w:w="1117" w:type="dxa"/>
                  <w:noWrap/>
                  <w:vAlign w:val="center"/>
                </w:tcPr>
                <w:p>
                  <w:pPr>
                    <w:pStyle w:val="50"/>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916" w:type="dxa"/>
                  <w:noWrap/>
                  <w:vAlign w:val="center"/>
                </w:tcPr>
                <w:p>
                  <w:pPr>
                    <w:pStyle w:val="50"/>
                    <w:rPr>
                      <w:color w:val="auto"/>
                      <w:kern w:val="2"/>
                    </w:rPr>
                  </w:pPr>
                  <w:r>
                    <w:rPr>
                      <w:rFonts w:hint="eastAsia"/>
                      <w:color w:val="auto"/>
                      <w:kern w:val="2"/>
                    </w:rPr>
                    <w:t>16.48</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15.58</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23.52</w:t>
                  </w:r>
                </w:p>
              </w:tc>
              <w:tc>
                <w:tcPr>
                  <w:tcW w:w="861" w:type="dxa"/>
                  <w:noWrap/>
                  <w:vAlign w:val="center"/>
                </w:tcPr>
                <w:p>
                  <w:pPr>
                    <w:pStyle w:val="50"/>
                    <w:rPr>
                      <w:color w:val="auto"/>
                      <w:kern w:val="2"/>
                    </w:rPr>
                  </w:pPr>
                  <w:r>
                    <w:rPr>
                      <w:rFonts w:hint="eastAsia"/>
                      <w:color w:val="auto"/>
                      <w:kern w:val="2"/>
                    </w:rPr>
                    <w:t>21.92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15</w:t>
                  </w:r>
                </w:p>
              </w:tc>
              <w:tc>
                <w:tcPr>
                  <w:tcW w:w="1923" w:type="dxa"/>
                  <w:noWrap/>
                  <w:vAlign w:val="center"/>
                </w:tcPr>
                <w:p>
                  <w:pPr>
                    <w:pStyle w:val="50"/>
                    <w:rPr>
                      <w:color w:val="auto"/>
                    </w:rPr>
                  </w:pPr>
                  <w:r>
                    <w:rPr>
                      <w:rFonts w:hint="eastAsia"/>
                      <w:color w:val="auto"/>
                    </w:rPr>
                    <w:t>液压切角机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20.2</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21.55</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19.8</w:t>
                  </w:r>
                </w:p>
              </w:tc>
              <w:tc>
                <w:tcPr>
                  <w:tcW w:w="861" w:type="dxa"/>
                  <w:noWrap/>
                  <w:vAlign w:val="center"/>
                </w:tcPr>
                <w:p>
                  <w:pPr>
                    <w:pStyle w:val="50"/>
                    <w:rPr>
                      <w:color w:val="auto"/>
                      <w:kern w:val="2"/>
                    </w:rPr>
                  </w:pPr>
                  <w:r>
                    <w:rPr>
                      <w:rFonts w:hint="eastAsia"/>
                      <w:color w:val="auto"/>
                      <w:kern w:val="2"/>
                    </w:rPr>
                    <w:t>15.95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16</w:t>
                  </w:r>
                </w:p>
              </w:tc>
              <w:tc>
                <w:tcPr>
                  <w:tcW w:w="1923" w:type="dxa"/>
                  <w:noWrap/>
                  <w:vAlign w:val="center"/>
                </w:tcPr>
                <w:p>
                  <w:pPr>
                    <w:pStyle w:val="50"/>
                    <w:rPr>
                      <w:color w:val="auto"/>
                    </w:rPr>
                  </w:pPr>
                  <w:r>
                    <w:rPr>
                      <w:rFonts w:hint="eastAsia"/>
                      <w:color w:val="auto"/>
                    </w:rPr>
                    <w:t>点焊机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916" w:type="dxa"/>
                  <w:noWrap/>
                  <w:vAlign w:val="center"/>
                </w:tcPr>
                <w:p>
                  <w:pPr>
                    <w:pStyle w:val="50"/>
                    <w:rPr>
                      <w:color w:val="auto"/>
                      <w:kern w:val="2"/>
                    </w:rPr>
                  </w:pPr>
                  <w:r>
                    <w:rPr>
                      <w:rFonts w:hint="eastAsia"/>
                      <w:color w:val="auto"/>
                      <w:kern w:val="2"/>
                    </w:rPr>
                    <w:t>18.5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19.8</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21.5</w:t>
                  </w:r>
                </w:p>
              </w:tc>
              <w:tc>
                <w:tcPr>
                  <w:tcW w:w="861" w:type="dxa"/>
                  <w:noWrap/>
                  <w:vAlign w:val="center"/>
                </w:tcPr>
                <w:p>
                  <w:pPr>
                    <w:pStyle w:val="50"/>
                    <w:rPr>
                      <w:color w:val="auto"/>
                      <w:kern w:val="2"/>
                    </w:rPr>
                  </w:pPr>
                  <w:r>
                    <w:rPr>
                      <w:rFonts w:hint="eastAsia"/>
                      <w:color w:val="auto"/>
                      <w:kern w:val="2"/>
                    </w:rPr>
                    <w:t>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17</w:t>
                  </w:r>
                </w:p>
              </w:tc>
              <w:tc>
                <w:tcPr>
                  <w:tcW w:w="1923" w:type="dxa"/>
                  <w:noWrap/>
                  <w:vAlign w:val="center"/>
                </w:tcPr>
                <w:p>
                  <w:pPr>
                    <w:pStyle w:val="50"/>
                    <w:rPr>
                      <w:color w:val="auto"/>
                    </w:rPr>
                  </w:pPr>
                  <w:r>
                    <w:rPr>
                      <w:rFonts w:hint="eastAsia"/>
                      <w:color w:val="auto"/>
                    </w:rPr>
                    <w:t>摇臂钻床</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21.5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19.02</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18.5</w:t>
                  </w:r>
                </w:p>
              </w:tc>
              <w:tc>
                <w:tcPr>
                  <w:tcW w:w="861" w:type="dxa"/>
                  <w:noWrap/>
                  <w:vAlign w:val="center"/>
                </w:tcPr>
                <w:p>
                  <w:pPr>
                    <w:pStyle w:val="50"/>
                    <w:rPr>
                      <w:color w:val="auto"/>
                      <w:kern w:val="2"/>
                    </w:rPr>
                  </w:pPr>
                  <w:r>
                    <w:rPr>
                      <w:rFonts w:hint="eastAsia"/>
                      <w:color w:val="auto"/>
                      <w:kern w:val="2"/>
                    </w:rPr>
                    <w:t>18.48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18</w:t>
                  </w:r>
                </w:p>
              </w:tc>
              <w:tc>
                <w:tcPr>
                  <w:tcW w:w="1923" w:type="dxa"/>
                  <w:noWrap/>
                  <w:vAlign w:val="center"/>
                </w:tcPr>
                <w:p>
                  <w:pPr>
                    <w:pStyle w:val="50"/>
                    <w:rPr>
                      <w:color w:val="auto"/>
                    </w:rPr>
                  </w:pPr>
                  <w:r>
                    <w:rPr>
                      <w:rFonts w:hint="eastAsia"/>
                      <w:color w:val="auto"/>
                    </w:rPr>
                    <w:t>铜牌折弯机</w:t>
                  </w:r>
                </w:p>
              </w:tc>
              <w:tc>
                <w:tcPr>
                  <w:tcW w:w="1095" w:type="dxa"/>
                  <w:vMerge w:val="continue"/>
                  <w:noWrap/>
                  <w:vAlign w:val="center"/>
                </w:tcPr>
                <w:p>
                  <w:pPr>
                    <w:pStyle w:val="50"/>
                    <w:rPr>
                      <w:color w:val="auto"/>
                    </w:rPr>
                  </w:pPr>
                </w:p>
              </w:tc>
              <w:tc>
                <w:tcPr>
                  <w:tcW w:w="1117" w:type="dxa"/>
                  <w:noWrap/>
                  <w:vAlign w:val="center"/>
                </w:tcPr>
                <w:p>
                  <w:pPr>
                    <w:pStyle w:val="50"/>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22.26</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7.75</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17.74</w:t>
                  </w:r>
                </w:p>
              </w:tc>
              <w:tc>
                <w:tcPr>
                  <w:tcW w:w="861" w:type="dxa"/>
                  <w:noWrap/>
                  <w:vAlign w:val="center"/>
                </w:tcPr>
                <w:p>
                  <w:pPr>
                    <w:pStyle w:val="50"/>
                    <w:rPr>
                      <w:color w:val="auto"/>
                      <w:kern w:val="2"/>
                    </w:rPr>
                  </w:pPr>
                  <w:r>
                    <w:rPr>
                      <w:rFonts w:hint="eastAsia"/>
                      <w:color w:val="auto"/>
                      <w:kern w:val="2"/>
                    </w:rPr>
                    <w:t>29.75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19</w:t>
                  </w:r>
                </w:p>
              </w:tc>
              <w:tc>
                <w:tcPr>
                  <w:tcW w:w="1923" w:type="dxa"/>
                  <w:noWrap/>
                  <w:vAlign w:val="center"/>
                </w:tcPr>
                <w:p>
                  <w:pPr>
                    <w:pStyle w:val="50"/>
                    <w:rPr>
                      <w:color w:val="auto"/>
                    </w:rPr>
                  </w:pPr>
                  <w:r>
                    <w:rPr>
                      <w:rFonts w:hint="eastAsia"/>
                      <w:color w:val="auto"/>
                    </w:rPr>
                    <w:t>空压机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27.15</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20</w:t>
                  </w:r>
                </w:p>
              </w:tc>
              <w:tc>
                <w:tcPr>
                  <w:tcW w:w="1923" w:type="dxa"/>
                  <w:noWrap/>
                  <w:vAlign w:val="center"/>
                </w:tcPr>
                <w:p>
                  <w:pPr>
                    <w:pStyle w:val="50"/>
                    <w:rPr>
                      <w:color w:val="auto"/>
                    </w:rPr>
                  </w:pPr>
                  <w:r>
                    <w:rPr>
                      <w:rFonts w:hint="eastAsia"/>
                      <w:color w:val="auto"/>
                    </w:rPr>
                    <w:t>冷冻干燥机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916" w:type="dxa"/>
                  <w:noWrap/>
                  <w:vAlign w:val="center"/>
                </w:tcPr>
                <w:p>
                  <w:pPr>
                    <w:pStyle w:val="50"/>
                    <w:rPr>
                      <w:color w:val="auto"/>
                      <w:kern w:val="2"/>
                    </w:rPr>
                  </w:pPr>
                  <w:r>
                    <w:rPr>
                      <w:rFonts w:hint="eastAsia"/>
                      <w:color w:val="auto"/>
                      <w:kern w:val="2"/>
                    </w:rPr>
                    <w:t>23.5</w:t>
                  </w:r>
                </w:p>
              </w:tc>
              <w:tc>
                <w:tcPr>
                  <w:tcW w:w="864" w:type="dxa"/>
                  <w:noWrap/>
                  <w:vAlign w:val="center"/>
                </w:tcPr>
                <w:p>
                  <w:pPr>
                    <w:pStyle w:val="50"/>
                    <w:keepNext w:val="0"/>
                    <w:keepLines w:val="0"/>
                    <w:widowControl/>
                    <w:suppressLineNumbers w:val="0"/>
                    <w:ind w:firstLine="0" w:firstLineChars="0"/>
                    <w:jc w:val="left"/>
                    <w:textAlignment w:val="auto"/>
                    <w:rPr>
                      <w:rFonts w:hint="default"/>
                      <w:color w:val="auto"/>
                      <w:kern w:val="2"/>
                      <w:lang w:val="en-US"/>
                    </w:rPr>
                  </w:pPr>
                  <w:r>
                    <w:rPr>
                      <w:rFonts w:hint="default" w:ascii="Times New Roman" w:hAnsi="Times New Roman" w:eastAsia="宋体" w:cs="Times New Roman"/>
                      <w:i w:val="0"/>
                      <w:snapToGrid w:val="0"/>
                      <w:color w:val="auto"/>
                      <w:kern w:val="2"/>
                      <w:sz w:val="21"/>
                      <w:szCs w:val="21"/>
                      <w:u w:val="none"/>
                      <w:lang w:val="en-US" w:eastAsia="zh-CN" w:bidi="ar"/>
                    </w:rPr>
                    <w:t>23</w:t>
                  </w:r>
                  <w:r>
                    <w:rPr>
                      <w:rFonts w:hint="eastAsia" w:cs="Times New Roman"/>
                      <w:i w:val="0"/>
                      <w:snapToGrid w:val="0"/>
                      <w:color w:val="auto"/>
                      <w:kern w:val="2"/>
                      <w:sz w:val="21"/>
                      <w:szCs w:val="21"/>
                      <w:u w:val="none"/>
                      <w:lang w:val="en-US" w:eastAsia="zh-CN" w:bidi="ar"/>
                    </w:rPr>
                    <w:t>.0</w:t>
                  </w:r>
                </w:p>
              </w:tc>
              <w:tc>
                <w:tcPr>
                  <w:tcW w:w="906" w:type="dxa"/>
                  <w:noWrap/>
                  <w:vAlign w:val="center"/>
                </w:tcPr>
                <w:p>
                  <w:pPr>
                    <w:pStyle w:val="50"/>
                    <w:keepNext w:val="0"/>
                    <w:keepLines w:val="0"/>
                    <w:widowControl/>
                    <w:suppressLineNumbers w:val="0"/>
                    <w:ind w:firstLine="0" w:firstLineChars="0"/>
                    <w:jc w:val="left"/>
                    <w:textAlignment w:val="auto"/>
                    <w:rPr>
                      <w:rFonts w:hint="default" w:eastAsia="宋体"/>
                      <w:color w:val="auto"/>
                      <w:kern w:val="2"/>
                      <w:lang w:eastAsia="zh-CN"/>
                    </w:rPr>
                  </w:pPr>
                  <w:r>
                    <w:rPr>
                      <w:rFonts w:hint="default" w:ascii="Times New Roman" w:hAnsi="Times New Roman" w:eastAsia="宋体" w:cs="Times New Roman"/>
                      <w:i w:val="0"/>
                      <w:snapToGrid w:val="0"/>
                      <w:color w:val="auto"/>
                      <w:kern w:val="2"/>
                      <w:sz w:val="21"/>
                      <w:szCs w:val="21"/>
                      <w:u w:val="none"/>
                      <w:lang w:val="en-US" w:eastAsia="zh-CN" w:bidi="ar"/>
                    </w:rPr>
                    <w:t>16.5</w:t>
                  </w:r>
                </w:p>
              </w:tc>
              <w:tc>
                <w:tcPr>
                  <w:tcW w:w="861" w:type="dxa"/>
                  <w:noWrap/>
                  <w:vAlign w:val="center"/>
                </w:tcPr>
                <w:p>
                  <w:pPr>
                    <w:pStyle w:val="50"/>
                    <w:rPr>
                      <w:color w:val="auto"/>
                      <w:kern w:val="2"/>
                    </w:rPr>
                  </w:pPr>
                  <w:r>
                    <w:rPr>
                      <w:rFonts w:hint="eastAsia"/>
                      <w:color w:val="auto"/>
                      <w:kern w:val="2"/>
                    </w:rPr>
                    <w:t>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614" w:type="dxa"/>
                  <w:noWrap/>
                  <w:vAlign w:val="center"/>
                </w:tcPr>
                <w:p>
                  <w:pPr>
                    <w:pStyle w:val="50"/>
                    <w:rPr>
                      <w:color w:val="auto"/>
                      <w:kern w:val="2"/>
                    </w:rPr>
                  </w:pPr>
                  <w:r>
                    <w:rPr>
                      <w:rFonts w:hint="eastAsia"/>
                      <w:color w:val="auto"/>
                    </w:rPr>
                    <w:t>21</w:t>
                  </w:r>
                </w:p>
              </w:tc>
              <w:tc>
                <w:tcPr>
                  <w:tcW w:w="1923" w:type="dxa"/>
                  <w:noWrap/>
                  <w:vAlign w:val="center"/>
                </w:tcPr>
                <w:p>
                  <w:pPr>
                    <w:pStyle w:val="50"/>
                    <w:rPr>
                      <w:color w:val="auto"/>
                    </w:rPr>
                  </w:pPr>
                  <w:r>
                    <w:rPr>
                      <w:rFonts w:hint="eastAsia"/>
                      <w:color w:val="auto"/>
                    </w:rPr>
                    <w:t>风机</w:t>
                  </w:r>
                </w:p>
              </w:tc>
              <w:tc>
                <w:tcPr>
                  <w:tcW w:w="1095" w:type="dxa"/>
                  <w:vMerge w:val="continue"/>
                  <w:noWrap/>
                  <w:vAlign w:val="center"/>
                </w:tcPr>
                <w:p>
                  <w:pPr>
                    <w:pStyle w:val="50"/>
                    <w:rPr>
                      <w:color w:val="auto"/>
                    </w:rPr>
                  </w:pPr>
                </w:p>
              </w:tc>
              <w:tc>
                <w:tcPr>
                  <w:tcW w:w="1117" w:type="dxa"/>
                  <w:noWrap/>
                  <w:vAlign w:val="center"/>
                </w:tcPr>
                <w:p>
                  <w:pPr>
                    <w:pStyle w:val="50"/>
                    <w:rPr>
                      <w:rFonts w:hint="default" w:eastAsia="宋体"/>
                      <w:color w:val="auto"/>
                      <w:kern w:val="2"/>
                      <w:lang w:val="en-US" w:eastAsia="zh-CN"/>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916" w:type="dxa"/>
                  <w:noWrap/>
                  <w:vAlign w:val="center"/>
                </w:tcPr>
                <w:p>
                  <w:pPr>
                    <w:pStyle w:val="50"/>
                    <w:rPr>
                      <w:color w:val="auto"/>
                      <w:kern w:val="2"/>
                    </w:rPr>
                  </w:pPr>
                  <w:r>
                    <w:rPr>
                      <w:rFonts w:hint="eastAsia"/>
                      <w:color w:val="auto"/>
                      <w:kern w:val="2"/>
                    </w:rPr>
                    <w:t>23.75</w:t>
                  </w:r>
                </w:p>
              </w:tc>
              <w:tc>
                <w:tcPr>
                  <w:tcW w:w="864"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26.02</w:t>
                  </w:r>
                </w:p>
              </w:tc>
              <w:tc>
                <w:tcPr>
                  <w:tcW w:w="906" w:type="dxa"/>
                  <w:noWrap/>
                  <w:vAlign w:val="center"/>
                </w:tcPr>
                <w:p>
                  <w:pPr>
                    <w:pStyle w:val="50"/>
                    <w:keepNext w:val="0"/>
                    <w:keepLines w:val="0"/>
                    <w:widowControl/>
                    <w:suppressLineNumbers w:val="0"/>
                    <w:ind w:firstLine="0" w:firstLineChars="0"/>
                    <w:jc w:val="left"/>
                    <w:textAlignment w:val="auto"/>
                    <w:rPr>
                      <w:color w:val="auto"/>
                      <w:kern w:val="2"/>
                    </w:rPr>
                  </w:pPr>
                  <w:r>
                    <w:rPr>
                      <w:rFonts w:hint="default" w:ascii="Times New Roman" w:hAnsi="Times New Roman" w:eastAsia="宋体" w:cs="Times New Roman"/>
                      <w:i w:val="0"/>
                      <w:snapToGrid w:val="0"/>
                      <w:color w:val="auto"/>
                      <w:kern w:val="2"/>
                      <w:sz w:val="21"/>
                      <w:szCs w:val="21"/>
                      <w:u w:val="none"/>
                      <w:lang w:val="en-US" w:eastAsia="zh-CN" w:bidi="ar"/>
                    </w:rPr>
                    <w:t>16.25</w:t>
                  </w:r>
                </w:p>
              </w:tc>
              <w:tc>
                <w:tcPr>
                  <w:tcW w:w="861" w:type="dxa"/>
                  <w:noWrap/>
                  <w:vAlign w:val="center"/>
                </w:tcPr>
                <w:p>
                  <w:pPr>
                    <w:pStyle w:val="50"/>
                    <w:rPr>
                      <w:color w:val="auto"/>
                      <w:kern w:val="2"/>
                    </w:rPr>
                  </w:pPr>
                  <w:r>
                    <w:rPr>
                      <w:rFonts w:hint="eastAsia"/>
                      <w:color w:val="auto"/>
                      <w:kern w:val="2"/>
                    </w:rPr>
                    <w:t>11.48</w:t>
                  </w:r>
                </w:p>
              </w:tc>
            </w:tr>
          </w:tbl>
          <w:p>
            <w:pPr>
              <w:pStyle w:val="48"/>
              <w:ind w:firstLine="422"/>
              <w:rPr>
                <w:color w:val="auto"/>
              </w:rPr>
            </w:pPr>
            <w:r>
              <w:rPr>
                <w:color w:val="auto"/>
              </w:rPr>
              <w:t>表7-</w:t>
            </w:r>
            <w:r>
              <w:rPr>
                <w:rFonts w:hint="eastAsia"/>
                <w:color w:val="auto"/>
              </w:rPr>
              <w:t>2</w:t>
            </w:r>
            <w:r>
              <w:rPr>
                <w:rFonts w:hint="eastAsia"/>
                <w:color w:val="auto"/>
                <w:lang w:val="en-US" w:eastAsia="zh-CN"/>
              </w:rPr>
              <w:t>7</w:t>
            </w:r>
            <w:r>
              <w:rPr>
                <w:rFonts w:hint="eastAsia"/>
                <w:color w:val="auto"/>
              </w:rPr>
              <w:t xml:space="preserve"> </w:t>
            </w:r>
            <w:r>
              <w:rPr>
                <w:color w:val="auto"/>
              </w:rPr>
              <w:t xml:space="preserve"> 项目机械设备噪声对厂界的贡献值 dB （A）</w:t>
            </w:r>
          </w:p>
          <w:tbl>
            <w:tblPr>
              <w:tblStyle w:val="37"/>
              <w:tblW w:w="8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926"/>
              <w:gridCol w:w="1309"/>
              <w:gridCol w:w="1173"/>
              <w:gridCol w:w="1186"/>
              <w:gridCol w:w="1050"/>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vMerge w:val="restart"/>
                  <w:noWrap/>
                  <w:vAlign w:val="center"/>
                </w:tcPr>
                <w:p>
                  <w:pPr>
                    <w:pStyle w:val="50"/>
                    <w:jc w:val="center"/>
                    <w:rPr>
                      <w:color w:val="auto"/>
                      <w:kern w:val="2"/>
                    </w:rPr>
                  </w:pPr>
                  <w:r>
                    <w:rPr>
                      <w:rFonts w:hint="eastAsia"/>
                      <w:color w:val="auto"/>
                      <w:kern w:val="2"/>
                    </w:rPr>
                    <w:t>序号</w:t>
                  </w:r>
                </w:p>
              </w:tc>
              <w:tc>
                <w:tcPr>
                  <w:tcW w:w="1926" w:type="dxa"/>
                  <w:vMerge w:val="restart"/>
                  <w:noWrap/>
                  <w:vAlign w:val="center"/>
                </w:tcPr>
                <w:p>
                  <w:pPr>
                    <w:pStyle w:val="50"/>
                    <w:jc w:val="center"/>
                    <w:rPr>
                      <w:color w:val="auto"/>
                      <w:kern w:val="2"/>
                    </w:rPr>
                  </w:pPr>
                  <w:r>
                    <w:rPr>
                      <w:rFonts w:hint="eastAsia"/>
                      <w:color w:val="auto"/>
                      <w:kern w:val="2"/>
                    </w:rPr>
                    <w:t>机械名称</w:t>
                  </w:r>
                </w:p>
              </w:tc>
              <w:tc>
                <w:tcPr>
                  <w:tcW w:w="1309" w:type="dxa"/>
                  <w:vMerge w:val="restart"/>
                  <w:noWrap/>
                  <w:vAlign w:val="center"/>
                </w:tcPr>
                <w:p>
                  <w:pPr>
                    <w:pStyle w:val="50"/>
                    <w:jc w:val="center"/>
                    <w:rPr>
                      <w:color w:val="auto"/>
                      <w:kern w:val="2"/>
                    </w:rPr>
                  </w:pPr>
                  <w:r>
                    <w:rPr>
                      <w:rFonts w:hint="eastAsia"/>
                      <w:color w:val="auto"/>
                      <w:kern w:val="2"/>
                    </w:rPr>
                    <w:t>噪声源强dB（A）</w:t>
                  </w:r>
                </w:p>
              </w:tc>
              <w:tc>
                <w:tcPr>
                  <w:tcW w:w="4477" w:type="dxa"/>
                  <w:gridSpan w:val="4"/>
                  <w:noWrap/>
                  <w:vAlign w:val="center"/>
                </w:tcPr>
                <w:p>
                  <w:pPr>
                    <w:pStyle w:val="50"/>
                    <w:rPr>
                      <w:color w:val="auto"/>
                      <w:kern w:val="2"/>
                    </w:rPr>
                  </w:pPr>
                  <w:r>
                    <w:rPr>
                      <w:rFonts w:hint="eastAsia"/>
                      <w:color w:val="auto"/>
                      <w:kern w:val="2"/>
                    </w:rPr>
                    <w:t>到厂界的贡献值dB（A）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7" w:type="dxa"/>
                  <w:vMerge w:val="continue"/>
                  <w:noWrap/>
                  <w:vAlign w:val="center"/>
                </w:tcPr>
                <w:p>
                  <w:pPr>
                    <w:pStyle w:val="50"/>
                    <w:jc w:val="left"/>
                    <w:rPr>
                      <w:color w:val="auto"/>
                      <w:kern w:val="2"/>
                    </w:rPr>
                  </w:pPr>
                </w:p>
              </w:tc>
              <w:tc>
                <w:tcPr>
                  <w:tcW w:w="1926" w:type="dxa"/>
                  <w:vMerge w:val="continue"/>
                  <w:noWrap/>
                  <w:vAlign w:val="center"/>
                </w:tcPr>
                <w:p>
                  <w:pPr>
                    <w:pStyle w:val="50"/>
                    <w:jc w:val="left"/>
                    <w:rPr>
                      <w:color w:val="auto"/>
                      <w:kern w:val="2"/>
                    </w:rPr>
                  </w:pPr>
                </w:p>
              </w:tc>
              <w:tc>
                <w:tcPr>
                  <w:tcW w:w="1309" w:type="dxa"/>
                  <w:vMerge w:val="continue"/>
                  <w:noWrap/>
                  <w:vAlign w:val="center"/>
                </w:tcPr>
                <w:p>
                  <w:pPr>
                    <w:pStyle w:val="50"/>
                    <w:jc w:val="left"/>
                    <w:rPr>
                      <w:color w:val="auto"/>
                      <w:kern w:val="2"/>
                    </w:rPr>
                  </w:pPr>
                </w:p>
              </w:tc>
              <w:tc>
                <w:tcPr>
                  <w:tcW w:w="1173" w:type="dxa"/>
                  <w:noWrap/>
                  <w:vAlign w:val="center"/>
                </w:tcPr>
                <w:p>
                  <w:pPr>
                    <w:pStyle w:val="50"/>
                    <w:rPr>
                      <w:color w:val="auto"/>
                      <w:kern w:val="2"/>
                    </w:rPr>
                  </w:pPr>
                  <w:r>
                    <w:rPr>
                      <w:rFonts w:hint="eastAsia"/>
                      <w:color w:val="auto"/>
                      <w:kern w:val="2"/>
                    </w:rPr>
                    <w:t>东</w:t>
                  </w:r>
                </w:p>
              </w:tc>
              <w:tc>
                <w:tcPr>
                  <w:tcW w:w="1186" w:type="dxa"/>
                  <w:noWrap/>
                  <w:vAlign w:val="center"/>
                </w:tcPr>
                <w:p>
                  <w:pPr>
                    <w:pStyle w:val="50"/>
                    <w:rPr>
                      <w:color w:val="auto"/>
                      <w:kern w:val="2"/>
                    </w:rPr>
                  </w:pPr>
                  <w:r>
                    <w:rPr>
                      <w:rFonts w:hint="eastAsia"/>
                      <w:color w:val="auto"/>
                      <w:kern w:val="2"/>
                    </w:rPr>
                    <w:t>南</w:t>
                  </w:r>
                </w:p>
              </w:tc>
              <w:tc>
                <w:tcPr>
                  <w:tcW w:w="1050" w:type="dxa"/>
                  <w:noWrap/>
                  <w:vAlign w:val="center"/>
                </w:tcPr>
                <w:p>
                  <w:pPr>
                    <w:pStyle w:val="50"/>
                    <w:rPr>
                      <w:color w:val="auto"/>
                      <w:kern w:val="2"/>
                    </w:rPr>
                  </w:pPr>
                  <w:r>
                    <w:rPr>
                      <w:rFonts w:hint="eastAsia"/>
                      <w:color w:val="auto"/>
                      <w:kern w:val="2"/>
                    </w:rPr>
                    <w:t>西</w:t>
                  </w:r>
                </w:p>
              </w:tc>
              <w:tc>
                <w:tcPr>
                  <w:tcW w:w="1068" w:type="dxa"/>
                  <w:noWrap/>
                  <w:vAlign w:val="center"/>
                </w:tcPr>
                <w:p>
                  <w:pPr>
                    <w:pStyle w:val="50"/>
                    <w:rPr>
                      <w:color w:val="auto"/>
                      <w:kern w:val="2"/>
                    </w:rPr>
                  </w:pPr>
                  <w:r>
                    <w:rPr>
                      <w:rFonts w:hint="eastAsia"/>
                      <w:color w:val="auto"/>
                      <w:kern w:val="2"/>
                    </w:rPr>
                    <w:t>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1</w:t>
                  </w:r>
                </w:p>
              </w:tc>
              <w:tc>
                <w:tcPr>
                  <w:tcW w:w="1926" w:type="dxa"/>
                  <w:noWrap/>
                  <w:vAlign w:val="center"/>
                </w:tcPr>
                <w:p>
                  <w:pPr>
                    <w:pStyle w:val="50"/>
                    <w:rPr>
                      <w:color w:val="auto"/>
                      <w:kern w:val="2"/>
                    </w:rPr>
                  </w:pPr>
                  <w:r>
                    <w:rPr>
                      <w:rFonts w:hint="eastAsia"/>
                      <w:color w:val="auto"/>
                    </w:rPr>
                    <w:t>激光切割机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36.56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35.30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39.63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667" w:type="dxa"/>
                  <w:noWrap/>
                  <w:vAlign w:val="center"/>
                </w:tcPr>
                <w:p>
                  <w:pPr>
                    <w:pStyle w:val="50"/>
                    <w:rPr>
                      <w:color w:val="auto"/>
                      <w:kern w:val="2"/>
                    </w:rPr>
                  </w:pPr>
                  <w:r>
                    <w:rPr>
                      <w:color w:val="auto"/>
                    </w:rPr>
                    <w:t>2</w:t>
                  </w:r>
                </w:p>
              </w:tc>
              <w:tc>
                <w:tcPr>
                  <w:tcW w:w="1926" w:type="dxa"/>
                  <w:noWrap/>
                  <w:vAlign w:val="center"/>
                </w:tcPr>
                <w:p>
                  <w:pPr>
                    <w:pStyle w:val="50"/>
                    <w:rPr>
                      <w:color w:val="auto"/>
                      <w:kern w:val="2"/>
                    </w:rPr>
                  </w:pPr>
                  <w:r>
                    <w:rPr>
                      <w:rFonts w:hint="eastAsia"/>
                      <w:color w:val="auto"/>
                    </w:rPr>
                    <w:t>大旋风涂装流水线</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46.56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46.74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50.75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3</w:t>
                  </w:r>
                </w:p>
              </w:tc>
              <w:tc>
                <w:tcPr>
                  <w:tcW w:w="1926" w:type="dxa"/>
                  <w:noWrap/>
                  <w:vAlign w:val="center"/>
                </w:tcPr>
                <w:p>
                  <w:pPr>
                    <w:pStyle w:val="50"/>
                    <w:rPr>
                      <w:color w:val="auto"/>
                      <w:kern w:val="2"/>
                    </w:rPr>
                  </w:pPr>
                  <w:r>
                    <w:rPr>
                      <w:rFonts w:hint="eastAsia"/>
                      <w:color w:val="auto"/>
                    </w:rPr>
                    <w:t>激光水冷机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36.47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35.67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39.76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4</w:t>
                  </w:r>
                </w:p>
              </w:tc>
              <w:tc>
                <w:tcPr>
                  <w:tcW w:w="1926" w:type="dxa"/>
                  <w:noWrap/>
                  <w:vAlign w:val="center"/>
                </w:tcPr>
                <w:p>
                  <w:pPr>
                    <w:pStyle w:val="50"/>
                    <w:rPr>
                      <w:color w:val="auto"/>
                      <w:kern w:val="2"/>
                    </w:rPr>
                  </w:pPr>
                  <w:r>
                    <w:rPr>
                      <w:rFonts w:hint="eastAsia"/>
                      <w:color w:val="auto"/>
                    </w:rPr>
                    <w:t>激光空压机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47.70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47.54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48.22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667" w:type="dxa"/>
                  <w:noWrap/>
                  <w:vAlign w:val="center"/>
                </w:tcPr>
                <w:p>
                  <w:pPr>
                    <w:pStyle w:val="50"/>
                    <w:rPr>
                      <w:color w:val="auto"/>
                      <w:kern w:val="2"/>
                    </w:rPr>
                  </w:pPr>
                  <w:r>
                    <w:rPr>
                      <w:color w:val="auto"/>
                    </w:rPr>
                    <w:t>5</w:t>
                  </w:r>
                </w:p>
              </w:tc>
              <w:tc>
                <w:tcPr>
                  <w:tcW w:w="1926" w:type="dxa"/>
                  <w:noWrap/>
                  <w:vAlign w:val="center"/>
                </w:tcPr>
                <w:p>
                  <w:pPr>
                    <w:pStyle w:val="50"/>
                    <w:rPr>
                      <w:color w:val="auto"/>
                      <w:kern w:val="2"/>
                    </w:rPr>
                  </w:pPr>
                  <w:r>
                    <w:rPr>
                      <w:rFonts w:hint="eastAsia"/>
                      <w:color w:val="auto"/>
                    </w:rPr>
                    <w:t>激光空气过滤机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44.64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45.13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41.55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6</w:t>
                  </w:r>
                </w:p>
              </w:tc>
              <w:tc>
                <w:tcPr>
                  <w:tcW w:w="1926" w:type="dxa"/>
                  <w:noWrap/>
                  <w:vAlign w:val="center"/>
                </w:tcPr>
                <w:p>
                  <w:pPr>
                    <w:pStyle w:val="50"/>
                    <w:rPr>
                      <w:color w:val="auto"/>
                      <w:kern w:val="2"/>
                    </w:rPr>
                  </w:pPr>
                  <w:r>
                    <w:rPr>
                      <w:rFonts w:hint="eastAsia"/>
                      <w:color w:val="auto"/>
                    </w:rPr>
                    <w:t>数控折弯机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42.87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42.31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43.05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7</w:t>
                  </w:r>
                </w:p>
              </w:tc>
              <w:tc>
                <w:tcPr>
                  <w:tcW w:w="1926" w:type="dxa"/>
                  <w:noWrap/>
                  <w:vAlign w:val="center"/>
                </w:tcPr>
                <w:p>
                  <w:pPr>
                    <w:pStyle w:val="50"/>
                    <w:rPr>
                      <w:color w:val="auto"/>
                      <w:kern w:val="2"/>
                    </w:rPr>
                  </w:pPr>
                  <w:r>
                    <w:rPr>
                      <w:rFonts w:hint="eastAsia"/>
                      <w:color w:val="auto"/>
                    </w:rPr>
                    <w:t>剪板机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38.64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38.05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37.33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39.02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color w:val="auto"/>
                    </w:rPr>
                    <w:t>8</w:t>
                  </w:r>
                </w:p>
              </w:tc>
              <w:tc>
                <w:tcPr>
                  <w:tcW w:w="1926" w:type="dxa"/>
                  <w:noWrap/>
                  <w:vAlign w:val="center"/>
                </w:tcPr>
                <w:p>
                  <w:pPr>
                    <w:pStyle w:val="50"/>
                    <w:rPr>
                      <w:color w:val="auto"/>
                      <w:kern w:val="2"/>
                    </w:rPr>
                  </w:pPr>
                  <w:r>
                    <w:rPr>
                      <w:rFonts w:hint="eastAsia"/>
                      <w:color w:val="auto"/>
                    </w:rPr>
                    <w:t>冲床（80吨）</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42.33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43.40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43.64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9</w:t>
                  </w:r>
                </w:p>
              </w:tc>
              <w:tc>
                <w:tcPr>
                  <w:tcW w:w="1926" w:type="dxa"/>
                  <w:noWrap/>
                  <w:vAlign w:val="center"/>
                </w:tcPr>
                <w:p>
                  <w:pPr>
                    <w:pStyle w:val="50"/>
                    <w:rPr>
                      <w:color w:val="auto"/>
                      <w:kern w:val="2"/>
                    </w:rPr>
                  </w:pPr>
                  <w:r>
                    <w:rPr>
                      <w:rFonts w:hint="eastAsia"/>
                      <w:color w:val="auto"/>
                    </w:rPr>
                    <w:t>步冲机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47.03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56.19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49.00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10</w:t>
                  </w:r>
                </w:p>
              </w:tc>
              <w:tc>
                <w:tcPr>
                  <w:tcW w:w="1926" w:type="dxa"/>
                  <w:noWrap/>
                  <w:vAlign w:val="center"/>
                </w:tcPr>
                <w:p>
                  <w:pPr>
                    <w:pStyle w:val="50"/>
                    <w:rPr>
                      <w:color w:val="auto"/>
                      <w:kern w:val="2"/>
                    </w:rPr>
                  </w:pPr>
                  <w:r>
                    <w:rPr>
                      <w:rFonts w:hint="eastAsia"/>
                      <w:color w:val="auto"/>
                    </w:rPr>
                    <w:t>冲床（40吨）</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46.56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45.30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53.68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11</w:t>
                  </w:r>
                </w:p>
              </w:tc>
              <w:tc>
                <w:tcPr>
                  <w:tcW w:w="1926" w:type="dxa"/>
                  <w:noWrap/>
                  <w:vAlign w:val="center"/>
                </w:tcPr>
                <w:p>
                  <w:pPr>
                    <w:pStyle w:val="50"/>
                    <w:rPr>
                      <w:color w:val="auto"/>
                      <w:kern w:val="2"/>
                    </w:rPr>
                  </w:pPr>
                  <w:r>
                    <w:rPr>
                      <w:rFonts w:hint="eastAsia"/>
                      <w:color w:val="auto"/>
                    </w:rPr>
                    <w:t>冲床（16吨)</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46.56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46.74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50.75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12</w:t>
                  </w:r>
                </w:p>
              </w:tc>
              <w:tc>
                <w:tcPr>
                  <w:tcW w:w="1926" w:type="dxa"/>
                  <w:noWrap/>
                  <w:vAlign w:val="center"/>
                </w:tcPr>
                <w:p>
                  <w:pPr>
                    <w:pStyle w:val="50"/>
                    <w:rPr>
                      <w:color w:val="auto"/>
                      <w:kern w:val="2"/>
                    </w:rPr>
                  </w:pPr>
                  <w:r>
                    <w:rPr>
                      <w:rFonts w:hint="eastAsia"/>
                      <w:color w:val="auto"/>
                    </w:rPr>
                    <w:t>冲床（25吨）</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41.47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40.67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44.76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13</w:t>
                  </w:r>
                </w:p>
              </w:tc>
              <w:tc>
                <w:tcPr>
                  <w:tcW w:w="1926" w:type="dxa"/>
                  <w:noWrap/>
                  <w:vAlign w:val="center"/>
                </w:tcPr>
                <w:p>
                  <w:pPr>
                    <w:pStyle w:val="50"/>
                    <w:rPr>
                      <w:color w:val="auto"/>
                      <w:kern w:val="2"/>
                    </w:rPr>
                  </w:pPr>
                  <w:r>
                    <w:rPr>
                      <w:rFonts w:hint="eastAsia"/>
                      <w:color w:val="auto"/>
                    </w:rPr>
                    <w:t>气保电焊机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42.70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42.54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43.22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44.63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667" w:type="dxa"/>
                  <w:noWrap/>
                  <w:vAlign w:val="center"/>
                </w:tcPr>
                <w:p>
                  <w:pPr>
                    <w:pStyle w:val="50"/>
                    <w:rPr>
                      <w:color w:val="auto"/>
                      <w:kern w:val="2"/>
                    </w:rPr>
                  </w:pPr>
                  <w:r>
                    <w:rPr>
                      <w:rFonts w:hint="eastAsia"/>
                      <w:color w:val="auto"/>
                    </w:rPr>
                    <w:t>14</w:t>
                  </w:r>
                </w:p>
              </w:tc>
              <w:tc>
                <w:tcPr>
                  <w:tcW w:w="1926" w:type="dxa"/>
                  <w:noWrap/>
                  <w:vAlign w:val="center"/>
                </w:tcPr>
                <w:p>
                  <w:pPr>
                    <w:pStyle w:val="50"/>
                    <w:rPr>
                      <w:color w:val="auto"/>
                      <w:kern w:val="2"/>
                    </w:rPr>
                  </w:pPr>
                  <w:r>
                    <w:rPr>
                      <w:rFonts w:hint="eastAsia"/>
                      <w:color w:val="auto"/>
                    </w:rPr>
                    <w:t>折弯机（100吨）</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54.64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55.13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51.55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52.16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15</w:t>
                  </w:r>
                </w:p>
              </w:tc>
              <w:tc>
                <w:tcPr>
                  <w:tcW w:w="1926" w:type="dxa"/>
                  <w:noWrap/>
                  <w:vAlign w:val="center"/>
                </w:tcPr>
                <w:p>
                  <w:pPr>
                    <w:pStyle w:val="50"/>
                    <w:rPr>
                      <w:color w:val="auto"/>
                      <w:kern w:val="2"/>
                    </w:rPr>
                  </w:pPr>
                  <w:r>
                    <w:rPr>
                      <w:rFonts w:hint="eastAsia"/>
                      <w:color w:val="auto"/>
                    </w:rPr>
                    <w:t>液压切角机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42.87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42.31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43.05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44.92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16</w:t>
                  </w:r>
                </w:p>
              </w:tc>
              <w:tc>
                <w:tcPr>
                  <w:tcW w:w="1926" w:type="dxa"/>
                  <w:noWrap/>
                  <w:vAlign w:val="center"/>
                </w:tcPr>
                <w:p>
                  <w:pPr>
                    <w:pStyle w:val="50"/>
                    <w:rPr>
                      <w:color w:val="auto"/>
                      <w:kern w:val="2"/>
                    </w:rPr>
                  </w:pPr>
                  <w:r>
                    <w:rPr>
                      <w:rFonts w:hint="eastAsia"/>
                      <w:color w:val="auto"/>
                    </w:rPr>
                    <w:t>点焊机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65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38.64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38.05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37.33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39.02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17</w:t>
                  </w:r>
                </w:p>
              </w:tc>
              <w:tc>
                <w:tcPr>
                  <w:tcW w:w="1926" w:type="dxa"/>
                  <w:noWrap/>
                  <w:vAlign w:val="center"/>
                </w:tcPr>
                <w:p>
                  <w:pPr>
                    <w:pStyle w:val="50"/>
                    <w:rPr>
                      <w:color w:val="auto"/>
                      <w:kern w:val="2"/>
                    </w:rPr>
                  </w:pPr>
                  <w:r>
                    <w:rPr>
                      <w:rFonts w:hint="eastAsia"/>
                      <w:color w:val="auto"/>
                    </w:rPr>
                    <w:t>摇臂钻床</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47.33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48.40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48.64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48.65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18</w:t>
                  </w:r>
                </w:p>
              </w:tc>
              <w:tc>
                <w:tcPr>
                  <w:tcW w:w="1926" w:type="dxa"/>
                  <w:noWrap/>
                  <w:vAlign w:val="center"/>
                </w:tcPr>
                <w:p>
                  <w:pPr>
                    <w:pStyle w:val="50"/>
                    <w:rPr>
                      <w:color w:val="auto"/>
                      <w:kern w:val="2"/>
                    </w:rPr>
                  </w:pPr>
                  <w:r>
                    <w:rPr>
                      <w:rFonts w:hint="eastAsia"/>
                      <w:color w:val="auto"/>
                    </w:rPr>
                    <w:t>铜牌折弯机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47.03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56.19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49.00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44.51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19</w:t>
                  </w:r>
                </w:p>
              </w:tc>
              <w:tc>
                <w:tcPr>
                  <w:tcW w:w="1926" w:type="dxa"/>
                  <w:noWrap/>
                  <w:vAlign w:val="center"/>
                </w:tcPr>
                <w:p>
                  <w:pPr>
                    <w:pStyle w:val="50"/>
                    <w:rPr>
                      <w:color w:val="auto"/>
                      <w:kern w:val="2"/>
                    </w:rPr>
                  </w:pPr>
                  <w:r>
                    <w:rPr>
                      <w:rFonts w:hint="eastAsia"/>
                      <w:color w:val="auto"/>
                    </w:rPr>
                    <w:t>空压机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51.56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50.30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54.63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58.68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20</w:t>
                  </w:r>
                </w:p>
              </w:tc>
              <w:tc>
                <w:tcPr>
                  <w:tcW w:w="1926" w:type="dxa"/>
                  <w:noWrap/>
                  <w:vAlign w:val="center"/>
                </w:tcPr>
                <w:p>
                  <w:pPr>
                    <w:pStyle w:val="50"/>
                    <w:rPr>
                      <w:color w:val="auto"/>
                      <w:kern w:val="2"/>
                    </w:rPr>
                  </w:pPr>
                  <w:r>
                    <w:rPr>
                      <w:rFonts w:hint="eastAsia"/>
                      <w:color w:val="auto"/>
                    </w:rPr>
                    <w:t>冷冻干燥机</w:t>
                  </w:r>
                </w:p>
              </w:tc>
              <w:tc>
                <w:tcPr>
                  <w:tcW w:w="1309" w:type="dxa"/>
                  <w:noWrap/>
                  <w:vAlign w:val="center"/>
                </w:tcPr>
                <w:p>
                  <w:pPr>
                    <w:pStyle w:val="50"/>
                    <w:ind w:firstLine="0" w:firstLineChars="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70</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41.56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41.74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44.63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45.75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67" w:type="dxa"/>
                  <w:noWrap/>
                  <w:vAlign w:val="center"/>
                </w:tcPr>
                <w:p>
                  <w:pPr>
                    <w:pStyle w:val="50"/>
                    <w:rPr>
                      <w:color w:val="auto"/>
                      <w:kern w:val="2"/>
                    </w:rPr>
                  </w:pPr>
                  <w:r>
                    <w:rPr>
                      <w:rFonts w:hint="eastAsia"/>
                      <w:color w:val="auto"/>
                    </w:rPr>
                    <w:t>21</w:t>
                  </w:r>
                </w:p>
              </w:tc>
              <w:tc>
                <w:tcPr>
                  <w:tcW w:w="1926" w:type="dxa"/>
                  <w:noWrap/>
                  <w:vAlign w:val="center"/>
                </w:tcPr>
                <w:p>
                  <w:pPr>
                    <w:pStyle w:val="50"/>
                    <w:rPr>
                      <w:color w:val="auto"/>
                      <w:kern w:val="2"/>
                    </w:rPr>
                  </w:pPr>
                  <w:r>
                    <w:rPr>
                      <w:rFonts w:hint="eastAsia"/>
                      <w:color w:val="auto"/>
                    </w:rPr>
                    <w:t>风机</w:t>
                  </w:r>
                </w:p>
              </w:tc>
              <w:tc>
                <w:tcPr>
                  <w:tcW w:w="1309" w:type="dxa"/>
                  <w:noWrap/>
                  <w:vAlign w:val="center"/>
                </w:tcPr>
                <w:p>
                  <w:pPr>
                    <w:pStyle w:val="50"/>
                    <w:ind w:firstLine="0" w:firstLineChars="0"/>
                    <w:rPr>
                      <w:rFonts w:hint="default" w:eastAsia="宋体"/>
                      <w:color w:val="auto"/>
                      <w:kern w:val="2"/>
                      <w:u w:val="none"/>
                      <w:lang w:val="en-US" w:eastAsia="zh-CN" w:bidi="ar"/>
                    </w:rPr>
                  </w:pPr>
                  <w:r>
                    <w:rPr>
                      <w:rFonts w:hint="default" w:ascii="Times New Roman" w:hAnsi="Times New Roman" w:eastAsia="宋体" w:cs="Times New Roman"/>
                      <w:i w:val="0"/>
                      <w:snapToGrid w:val="0"/>
                      <w:color w:val="auto"/>
                      <w:kern w:val="2"/>
                      <w:sz w:val="21"/>
                      <w:szCs w:val="21"/>
                      <w:u w:val="none"/>
                      <w:lang w:val="en-US" w:eastAsia="zh-CN" w:bidi="ar"/>
                    </w:rPr>
                    <w:t>75</w:t>
                  </w:r>
                </w:p>
              </w:tc>
              <w:tc>
                <w:tcPr>
                  <w:tcW w:w="1173"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51.47 </w:t>
                  </w:r>
                </w:p>
              </w:tc>
              <w:tc>
                <w:tcPr>
                  <w:tcW w:w="1186"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50.67 </w:t>
                  </w:r>
                </w:p>
              </w:tc>
              <w:tc>
                <w:tcPr>
                  <w:tcW w:w="1050"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54.76 </w:t>
                  </w:r>
                </w:p>
              </w:tc>
              <w:tc>
                <w:tcPr>
                  <w:tcW w:w="1068" w:type="dxa"/>
                  <w:noWrap/>
                  <w:vAlign w:val="center"/>
                </w:tcPr>
                <w:p>
                  <w:pPr>
                    <w:pStyle w:val="50"/>
                    <w:rPr>
                      <w:color w:val="auto"/>
                      <w:kern w:val="2"/>
                      <w:u w:val="none"/>
                      <w:lang w:bidi="ar"/>
                    </w:rPr>
                  </w:pPr>
                  <w:r>
                    <w:rPr>
                      <w:rFonts w:hint="default" w:ascii="Times New Roman" w:hAnsi="Times New Roman" w:eastAsia="宋体" w:cs="Times New Roman"/>
                      <w:i w:val="0"/>
                      <w:snapToGrid w:val="0"/>
                      <w:color w:val="auto"/>
                      <w:kern w:val="2"/>
                      <w:sz w:val="21"/>
                      <w:szCs w:val="21"/>
                      <w:u w:val="none"/>
                      <w:lang w:val="en-US" w:eastAsia="zh-CN" w:bidi="ar"/>
                    </w:rPr>
                    <w:t xml:space="preserve">57.78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3902" w:type="dxa"/>
                  <w:gridSpan w:val="3"/>
                  <w:noWrap/>
                  <w:vAlign w:val="center"/>
                </w:tcPr>
                <w:p>
                  <w:pPr>
                    <w:pStyle w:val="50"/>
                    <w:rPr>
                      <w:color w:val="auto"/>
                      <w:kern w:val="2"/>
                    </w:rPr>
                  </w:pPr>
                  <w:r>
                    <w:rPr>
                      <w:rFonts w:hint="eastAsia"/>
                      <w:color w:val="auto"/>
                      <w:kern w:val="2"/>
                    </w:rPr>
                    <w:t>贡献值（多台设备叠加后）</w:t>
                  </w:r>
                </w:p>
              </w:tc>
              <w:tc>
                <w:tcPr>
                  <w:tcW w:w="1173" w:type="dxa"/>
                  <w:noWrap/>
                  <w:vAlign w:val="center"/>
                </w:tcPr>
                <w:p>
                  <w:pPr>
                    <w:pStyle w:val="50"/>
                    <w:rPr>
                      <w:color w:val="auto"/>
                      <w:kern w:val="2"/>
                    </w:rPr>
                  </w:pPr>
                  <w:r>
                    <w:rPr>
                      <w:color w:val="auto"/>
                      <w:kern w:val="2"/>
                    </w:rPr>
                    <w:t>56.93</w:t>
                  </w:r>
                </w:p>
              </w:tc>
              <w:tc>
                <w:tcPr>
                  <w:tcW w:w="1186" w:type="dxa"/>
                  <w:noWrap/>
                  <w:vAlign w:val="center"/>
                </w:tcPr>
                <w:p>
                  <w:pPr>
                    <w:pStyle w:val="50"/>
                    <w:rPr>
                      <w:color w:val="auto"/>
                      <w:kern w:val="2"/>
                    </w:rPr>
                  </w:pPr>
                  <w:r>
                    <w:rPr>
                      <w:color w:val="auto"/>
                      <w:kern w:val="2"/>
                    </w:rPr>
                    <w:t>56.11</w:t>
                  </w:r>
                </w:p>
              </w:tc>
              <w:tc>
                <w:tcPr>
                  <w:tcW w:w="1050" w:type="dxa"/>
                  <w:noWrap/>
                  <w:vAlign w:val="center"/>
                </w:tcPr>
                <w:p>
                  <w:pPr>
                    <w:pStyle w:val="50"/>
                    <w:rPr>
                      <w:color w:val="auto"/>
                      <w:kern w:val="2"/>
                    </w:rPr>
                  </w:pPr>
                  <w:r>
                    <w:rPr>
                      <w:color w:val="auto"/>
                      <w:kern w:val="2"/>
                    </w:rPr>
                    <w:t>60.69</w:t>
                  </w:r>
                </w:p>
              </w:tc>
              <w:tc>
                <w:tcPr>
                  <w:tcW w:w="1068" w:type="dxa"/>
                  <w:noWrap/>
                  <w:vAlign w:val="center"/>
                </w:tcPr>
                <w:p>
                  <w:pPr>
                    <w:pStyle w:val="50"/>
                    <w:rPr>
                      <w:color w:val="auto"/>
                      <w:kern w:val="2"/>
                    </w:rPr>
                  </w:pPr>
                  <w:r>
                    <w:rPr>
                      <w:color w:val="auto"/>
                      <w:kern w:val="2"/>
                    </w:rPr>
                    <w:t>60.72</w:t>
                  </w:r>
                </w:p>
              </w:tc>
            </w:tr>
          </w:tbl>
          <w:p>
            <w:pPr>
              <w:ind w:firstLine="480"/>
              <w:rPr>
                <w:b/>
                <w:color w:val="auto"/>
              </w:rPr>
            </w:pPr>
            <w:r>
              <w:rPr>
                <w:color w:val="auto"/>
              </w:rPr>
              <w:t>（</w:t>
            </w:r>
            <w:r>
              <w:rPr>
                <w:rFonts w:hint="eastAsia"/>
                <w:color w:val="auto"/>
              </w:rPr>
              <w:t>3</w:t>
            </w:r>
            <w:r>
              <w:rPr>
                <w:color w:val="auto"/>
              </w:rPr>
              <w:t>）</w:t>
            </w:r>
            <w:r>
              <w:rPr>
                <w:rFonts w:ascii="宋体" w:hAnsi="宋体" w:cs="宋体"/>
                <w:b/>
                <w:bCs/>
                <w:color w:val="auto"/>
              </w:rPr>
              <w:t>厂</w:t>
            </w:r>
            <w:r>
              <w:rPr>
                <w:b/>
                <w:bCs/>
                <w:color w:val="auto"/>
              </w:rPr>
              <w:t>界噪声影响预测结果及分析</w:t>
            </w:r>
          </w:p>
          <w:p>
            <w:pPr>
              <w:ind w:firstLine="480"/>
              <w:rPr>
                <w:rFonts w:ascii="宋体" w:hAnsi="宋体" w:cs="宋体"/>
                <w:color w:val="auto"/>
              </w:rPr>
            </w:pPr>
            <w:r>
              <w:rPr>
                <w:rFonts w:hint="eastAsia"/>
                <w:color w:val="auto"/>
              </w:rPr>
              <w:t>根据噪声衰减模式公式，可以预测出厂界噪声贡献值，具体见下表7-22：</w:t>
            </w:r>
          </w:p>
          <w:p>
            <w:pPr>
              <w:pStyle w:val="48"/>
              <w:ind w:firstLine="422"/>
              <w:rPr>
                <w:color w:val="auto"/>
              </w:rPr>
            </w:pPr>
            <w:r>
              <w:rPr>
                <w:color w:val="auto"/>
              </w:rPr>
              <w:t>表7-</w:t>
            </w:r>
            <w:r>
              <w:rPr>
                <w:rFonts w:hint="eastAsia"/>
                <w:color w:val="auto"/>
              </w:rPr>
              <w:t>2</w:t>
            </w:r>
            <w:r>
              <w:rPr>
                <w:rFonts w:hint="eastAsia"/>
                <w:color w:val="auto"/>
                <w:lang w:val="en-US" w:eastAsia="zh-CN"/>
              </w:rPr>
              <w:t>8</w:t>
            </w:r>
            <w:r>
              <w:rPr>
                <w:rFonts w:hint="eastAsia"/>
                <w:color w:val="auto"/>
              </w:rPr>
              <w:t xml:space="preserve"> </w:t>
            </w:r>
            <w:r>
              <w:rPr>
                <w:color w:val="auto"/>
              </w:rPr>
              <w:t xml:space="preserve"> 主要噪声源厂界贡献值（dB(A)）</w:t>
            </w:r>
          </w:p>
          <w:tbl>
            <w:tblPr>
              <w:tblStyle w:val="36"/>
              <w:tblW w:w="8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213"/>
              <w:gridCol w:w="1309"/>
              <w:gridCol w:w="1746"/>
              <w:gridCol w:w="1391"/>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1" w:hRule="atLeast"/>
                <w:jc w:val="center"/>
              </w:trPr>
              <w:tc>
                <w:tcPr>
                  <w:tcW w:w="769" w:type="pct"/>
                  <w:noWrap/>
                  <w:vAlign w:val="center"/>
                </w:tcPr>
                <w:p>
                  <w:pPr>
                    <w:pStyle w:val="50"/>
                    <w:rPr>
                      <w:color w:val="auto"/>
                      <w:kern w:val="2"/>
                    </w:rPr>
                  </w:pPr>
                  <w:r>
                    <w:rPr>
                      <w:rFonts w:hint="eastAsia"/>
                      <w:color w:val="auto"/>
                      <w:kern w:val="2"/>
                    </w:rPr>
                    <w:t>距中心距离</w:t>
                  </w:r>
                </w:p>
              </w:tc>
              <w:tc>
                <w:tcPr>
                  <w:tcW w:w="722" w:type="pct"/>
                  <w:noWrap/>
                  <w:vAlign w:val="center"/>
                </w:tcPr>
                <w:p>
                  <w:pPr>
                    <w:pStyle w:val="50"/>
                    <w:rPr>
                      <w:color w:val="auto"/>
                      <w:kern w:val="2"/>
                    </w:rPr>
                  </w:pPr>
                  <w:r>
                    <w:rPr>
                      <w:rFonts w:hint="eastAsia"/>
                      <w:color w:val="auto"/>
                      <w:kern w:val="2"/>
                    </w:rPr>
                    <w:t>贡献值</w:t>
                  </w:r>
                </w:p>
              </w:tc>
              <w:tc>
                <w:tcPr>
                  <w:tcW w:w="779" w:type="pct"/>
                  <w:noWrap/>
                  <w:vAlign w:val="center"/>
                </w:tcPr>
                <w:p>
                  <w:pPr>
                    <w:pStyle w:val="50"/>
                    <w:rPr>
                      <w:rFonts w:hint="eastAsia" w:eastAsia="宋体"/>
                      <w:color w:val="auto"/>
                      <w:kern w:val="2"/>
                      <w:lang w:eastAsia="zh-CN"/>
                    </w:rPr>
                  </w:pPr>
                  <w:r>
                    <w:rPr>
                      <w:rFonts w:hint="eastAsia"/>
                      <w:color w:val="auto"/>
                      <w:kern w:val="2"/>
                      <w:lang w:eastAsia="zh-CN"/>
                    </w:rPr>
                    <w:t>背景值</w:t>
                  </w:r>
                </w:p>
              </w:tc>
              <w:tc>
                <w:tcPr>
                  <w:tcW w:w="1039" w:type="pct"/>
                  <w:noWrap/>
                  <w:vAlign w:val="center"/>
                </w:tcPr>
                <w:p>
                  <w:pPr>
                    <w:pStyle w:val="50"/>
                    <w:rPr>
                      <w:rFonts w:hint="eastAsia" w:eastAsia="宋体"/>
                      <w:color w:val="auto"/>
                      <w:kern w:val="2"/>
                      <w:lang w:eastAsia="zh-CN"/>
                    </w:rPr>
                  </w:pPr>
                  <w:r>
                    <w:rPr>
                      <w:rFonts w:hint="default" w:ascii="Times New Roman" w:hAnsi="Times New Roman" w:cs="Times New Roman"/>
                      <w:color w:val="auto"/>
                      <w:lang w:val="en-US" w:eastAsia="zh-CN"/>
                    </w:rPr>
                    <w:t>最终预测值</w:t>
                  </w:r>
                </w:p>
              </w:tc>
              <w:tc>
                <w:tcPr>
                  <w:tcW w:w="828" w:type="pct"/>
                  <w:noWrap/>
                  <w:vAlign w:val="center"/>
                </w:tcPr>
                <w:p>
                  <w:pPr>
                    <w:pStyle w:val="50"/>
                    <w:rPr>
                      <w:rFonts w:hint="eastAsia" w:eastAsia="宋体"/>
                      <w:color w:val="auto"/>
                      <w:kern w:val="2"/>
                      <w:lang w:eastAsia="zh-CN"/>
                    </w:rPr>
                  </w:pPr>
                  <w:r>
                    <w:rPr>
                      <w:rFonts w:hint="eastAsia"/>
                      <w:color w:val="auto"/>
                      <w:kern w:val="2"/>
                      <w:lang w:eastAsia="zh-CN"/>
                    </w:rPr>
                    <w:t>标准值</w:t>
                  </w:r>
                </w:p>
              </w:tc>
              <w:tc>
                <w:tcPr>
                  <w:tcW w:w="860" w:type="pct"/>
                  <w:noWrap/>
                  <w:vAlign w:val="center"/>
                </w:tcPr>
                <w:p>
                  <w:pPr>
                    <w:pStyle w:val="50"/>
                    <w:ind w:firstLine="0" w:firstLineChars="0"/>
                    <w:rPr>
                      <w:color w:val="auto"/>
                      <w:kern w:val="2"/>
                    </w:rPr>
                  </w:pPr>
                  <w:r>
                    <w:rPr>
                      <w:rFonts w:hint="eastAsia"/>
                      <w:color w:val="auto"/>
                      <w:kern w:val="2"/>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69" w:type="pct"/>
                  <w:noWrap/>
                  <w:vAlign w:val="center"/>
                </w:tcPr>
                <w:p>
                  <w:pPr>
                    <w:pStyle w:val="50"/>
                    <w:rPr>
                      <w:color w:val="auto"/>
                      <w:kern w:val="2"/>
                    </w:rPr>
                  </w:pPr>
                  <w:r>
                    <w:rPr>
                      <w:rFonts w:hint="eastAsia"/>
                      <w:color w:val="auto"/>
                      <w:kern w:val="2"/>
                    </w:rPr>
                    <w:t>厂界东面</w:t>
                  </w:r>
                </w:p>
              </w:tc>
              <w:tc>
                <w:tcPr>
                  <w:tcW w:w="722" w:type="pct"/>
                  <w:noWrap/>
                  <w:vAlign w:val="center"/>
                </w:tcPr>
                <w:p>
                  <w:pPr>
                    <w:pStyle w:val="50"/>
                    <w:rPr>
                      <w:color w:val="auto"/>
                      <w:kern w:val="2"/>
                    </w:rPr>
                  </w:pPr>
                  <w:r>
                    <w:rPr>
                      <w:rFonts w:hint="eastAsia"/>
                      <w:color w:val="auto"/>
                      <w:kern w:val="2"/>
                    </w:rPr>
                    <w:t>56.93</w:t>
                  </w:r>
                </w:p>
              </w:tc>
              <w:tc>
                <w:tcPr>
                  <w:tcW w:w="779" w:type="pct"/>
                  <w:noWrap/>
                  <w:vAlign w:val="center"/>
                </w:tcPr>
                <w:p>
                  <w:pPr>
                    <w:pStyle w:val="50"/>
                    <w:rPr>
                      <w:rFonts w:hint="eastAsia" w:eastAsia="宋体"/>
                      <w:color w:val="auto"/>
                      <w:kern w:val="2"/>
                      <w:lang w:val="en-US" w:eastAsia="zh-CN"/>
                    </w:rPr>
                  </w:pPr>
                  <w:r>
                    <w:rPr>
                      <w:rFonts w:hint="eastAsia"/>
                      <w:color w:val="auto"/>
                      <w:kern w:val="2"/>
                      <w:lang w:val="en-US" w:eastAsia="zh-CN"/>
                    </w:rPr>
                    <w:t>56</w:t>
                  </w:r>
                </w:p>
              </w:tc>
              <w:tc>
                <w:tcPr>
                  <w:tcW w:w="1746" w:type="dxa"/>
                  <w:noWrap/>
                  <w:vAlign w:val="center"/>
                </w:tcPr>
                <w:p>
                  <w:pPr>
                    <w:pStyle w:val="50"/>
                    <w:rPr>
                      <w:rFonts w:hint="eastAsia" w:eastAsia="宋体"/>
                      <w:color w:val="auto"/>
                      <w:kern w:val="2"/>
                      <w:lang w:val="en-US" w:eastAsia="zh-CN"/>
                    </w:rPr>
                  </w:pPr>
                  <w:r>
                    <w:rPr>
                      <w:rFonts w:hint="eastAsia" w:ascii="Times New Roman" w:hAnsi="Times New Roman" w:eastAsia="宋体" w:cs="Times New Roman"/>
                      <w:i w:val="0"/>
                      <w:snapToGrid w:val="0"/>
                      <w:color w:val="auto"/>
                      <w:kern w:val="2"/>
                      <w:sz w:val="21"/>
                      <w:szCs w:val="21"/>
                      <w:u w:val="none"/>
                      <w:lang w:val="en-US" w:eastAsia="zh-CN" w:bidi="ar"/>
                    </w:rPr>
                    <w:t xml:space="preserve">59.50 </w:t>
                  </w:r>
                </w:p>
              </w:tc>
              <w:tc>
                <w:tcPr>
                  <w:tcW w:w="828" w:type="pct"/>
                  <w:noWrap/>
                  <w:vAlign w:val="center"/>
                </w:tcPr>
                <w:p>
                  <w:pPr>
                    <w:pStyle w:val="50"/>
                    <w:rPr>
                      <w:rFonts w:hint="eastAsia" w:eastAsia="宋体"/>
                      <w:color w:val="auto"/>
                      <w:kern w:val="2"/>
                      <w:lang w:val="en-US" w:eastAsia="zh-CN"/>
                    </w:rPr>
                  </w:pPr>
                  <w:r>
                    <w:rPr>
                      <w:rFonts w:hint="eastAsia"/>
                      <w:color w:val="auto"/>
                      <w:kern w:val="2"/>
                      <w:lang w:val="en-US" w:eastAsia="zh-CN"/>
                    </w:rPr>
                    <w:t>65</w:t>
                  </w:r>
                </w:p>
              </w:tc>
              <w:tc>
                <w:tcPr>
                  <w:tcW w:w="860" w:type="pct"/>
                  <w:noWrap/>
                  <w:vAlign w:val="center"/>
                </w:tcPr>
                <w:p>
                  <w:pPr>
                    <w:pStyle w:val="50"/>
                    <w:ind w:firstLine="0" w:firstLineChars="0"/>
                    <w:rPr>
                      <w:color w:val="auto"/>
                      <w:kern w:val="2"/>
                    </w:rPr>
                  </w:pPr>
                  <w:r>
                    <w:rPr>
                      <w:rFonts w:hint="eastAsia"/>
                      <w:color w:val="auto"/>
                      <w:kern w:val="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69" w:type="pct"/>
                  <w:noWrap/>
                  <w:vAlign w:val="center"/>
                </w:tcPr>
                <w:p>
                  <w:pPr>
                    <w:pStyle w:val="50"/>
                    <w:rPr>
                      <w:color w:val="auto"/>
                      <w:kern w:val="2"/>
                    </w:rPr>
                  </w:pPr>
                  <w:r>
                    <w:rPr>
                      <w:rFonts w:hint="eastAsia"/>
                      <w:color w:val="auto"/>
                      <w:kern w:val="2"/>
                    </w:rPr>
                    <w:t>厂界西面</w:t>
                  </w:r>
                </w:p>
              </w:tc>
              <w:tc>
                <w:tcPr>
                  <w:tcW w:w="722" w:type="pct"/>
                  <w:noWrap/>
                  <w:vAlign w:val="center"/>
                </w:tcPr>
                <w:p>
                  <w:pPr>
                    <w:pStyle w:val="50"/>
                    <w:rPr>
                      <w:color w:val="auto"/>
                      <w:kern w:val="2"/>
                    </w:rPr>
                  </w:pPr>
                  <w:r>
                    <w:rPr>
                      <w:rFonts w:hint="eastAsia"/>
                      <w:color w:val="auto"/>
                      <w:kern w:val="2"/>
                    </w:rPr>
                    <w:t>60.69</w:t>
                  </w:r>
                </w:p>
              </w:tc>
              <w:tc>
                <w:tcPr>
                  <w:tcW w:w="779" w:type="pct"/>
                  <w:noWrap/>
                  <w:vAlign w:val="center"/>
                </w:tcPr>
                <w:p>
                  <w:pPr>
                    <w:pStyle w:val="50"/>
                    <w:rPr>
                      <w:rFonts w:hint="eastAsia" w:eastAsia="宋体"/>
                      <w:color w:val="auto"/>
                      <w:kern w:val="2"/>
                      <w:lang w:val="en-US" w:eastAsia="zh-CN"/>
                    </w:rPr>
                  </w:pPr>
                  <w:r>
                    <w:rPr>
                      <w:rFonts w:hint="eastAsia"/>
                      <w:color w:val="auto"/>
                      <w:kern w:val="2"/>
                      <w:lang w:val="en-US" w:eastAsia="zh-CN"/>
                    </w:rPr>
                    <w:t>59</w:t>
                  </w:r>
                </w:p>
              </w:tc>
              <w:tc>
                <w:tcPr>
                  <w:tcW w:w="1746" w:type="dxa"/>
                  <w:noWrap/>
                  <w:vAlign w:val="center"/>
                </w:tcPr>
                <w:p>
                  <w:pPr>
                    <w:pStyle w:val="50"/>
                    <w:rPr>
                      <w:rFonts w:hint="eastAsia"/>
                      <w:color w:val="auto"/>
                      <w:kern w:val="2"/>
                    </w:rPr>
                  </w:pPr>
                  <w:r>
                    <w:rPr>
                      <w:rFonts w:hint="eastAsia" w:ascii="Times New Roman" w:hAnsi="Times New Roman" w:eastAsia="宋体" w:cs="Times New Roman"/>
                      <w:i w:val="0"/>
                      <w:snapToGrid w:val="0"/>
                      <w:color w:val="auto"/>
                      <w:kern w:val="2"/>
                      <w:sz w:val="21"/>
                      <w:szCs w:val="21"/>
                      <w:u w:val="none"/>
                      <w:lang w:val="en-US" w:eastAsia="zh-CN" w:bidi="ar"/>
                    </w:rPr>
                    <w:t xml:space="preserve">62.94 </w:t>
                  </w:r>
                </w:p>
              </w:tc>
              <w:tc>
                <w:tcPr>
                  <w:tcW w:w="828" w:type="pct"/>
                  <w:noWrap/>
                  <w:vAlign w:val="center"/>
                </w:tcPr>
                <w:p>
                  <w:pPr>
                    <w:pStyle w:val="50"/>
                    <w:rPr>
                      <w:color w:val="auto"/>
                      <w:kern w:val="2"/>
                    </w:rPr>
                  </w:pPr>
                  <w:r>
                    <w:rPr>
                      <w:rFonts w:hint="eastAsia"/>
                      <w:color w:val="auto"/>
                      <w:kern w:val="2"/>
                      <w:lang w:val="en-US" w:eastAsia="zh-CN"/>
                    </w:rPr>
                    <w:t>65</w:t>
                  </w:r>
                </w:p>
              </w:tc>
              <w:tc>
                <w:tcPr>
                  <w:tcW w:w="860" w:type="pct"/>
                  <w:noWrap/>
                  <w:vAlign w:val="center"/>
                </w:tcPr>
                <w:p>
                  <w:pPr>
                    <w:pStyle w:val="50"/>
                    <w:ind w:firstLine="0" w:firstLineChars="0"/>
                    <w:rPr>
                      <w:color w:val="auto"/>
                      <w:kern w:val="2"/>
                    </w:rPr>
                  </w:pPr>
                  <w:r>
                    <w:rPr>
                      <w:rFonts w:hint="eastAsia"/>
                      <w:color w:val="auto"/>
                      <w:kern w:val="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69" w:type="pct"/>
                  <w:noWrap/>
                  <w:vAlign w:val="center"/>
                </w:tcPr>
                <w:p>
                  <w:pPr>
                    <w:pStyle w:val="50"/>
                    <w:rPr>
                      <w:color w:val="auto"/>
                      <w:kern w:val="2"/>
                    </w:rPr>
                  </w:pPr>
                  <w:r>
                    <w:rPr>
                      <w:rFonts w:hint="eastAsia"/>
                      <w:color w:val="auto"/>
                      <w:kern w:val="2"/>
                    </w:rPr>
                    <w:t>厂界南面</w:t>
                  </w:r>
                </w:p>
              </w:tc>
              <w:tc>
                <w:tcPr>
                  <w:tcW w:w="722" w:type="pct"/>
                  <w:noWrap/>
                  <w:vAlign w:val="center"/>
                </w:tcPr>
                <w:p>
                  <w:pPr>
                    <w:pStyle w:val="50"/>
                    <w:rPr>
                      <w:color w:val="auto"/>
                      <w:kern w:val="2"/>
                    </w:rPr>
                  </w:pPr>
                  <w:r>
                    <w:rPr>
                      <w:rFonts w:hint="eastAsia"/>
                      <w:color w:val="auto"/>
                      <w:kern w:val="2"/>
                    </w:rPr>
                    <w:t>56.11</w:t>
                  </w:r>
                </w:p>
              </w:tc>
              <w:tc>
                <w:tcPr>
                  <w:tcW w:w="779" w:type="pct"/>
                  <w:noWrap/>
                  <w:vAlign w:val="center"/>
                </w:tcPr>
                <w:p>
                  <w:pPr>
                    <w:pStyle w:val="50"/>
                    <w:rPr>
                      <w:rFonts w:hint="eastAsia" w:eastAsia="宋体"/>
                      <w:color w:val="auto"/>
                      <w:kern w:val="2"/>
                      <w:lang w:val="en-US" w:eastAsia="zh-CN"/>
                    </w:rPr>
                  </w:pPr>
                  <w:r>
                    <w:rPr>
                      <w:rFonts w:hint="eastAsia"/>
                      <w:color w:val="auto"/>
                      <w:kern w:val="2"/>
                      <w:lang w:val="en-US" w:eastAsia="zh-CN"/>
                    </w:rPr>
                    <w:t>59</w:t>
                  </w:r>
                </w:p>
              </w:tc>
              <w:tc>
                <w:tcPr>
                  <w:tcW w:w="1746" w:type="dxa"/>
                  <w:noWrap/>
                  <w:vAlign w:val="center"/>
                </w:tcPr>
                <w:p>
                  <w:pPr>
                    <w:pStyle w:val="50"/>
                    <w:rPr>
                      <w:rFonts w:hint="eastAsia" w:eastAsia="宋体"/>
                      <w:color w:val="auto"/>
                      <w:kern w:val="2"/>
                      <w:lang w:val="en-US" w:eastAsia="zh-CN"/>
                    </w:rPr>
                  </w:pPr>
                  <w:r>
                    <w:rPr>
                      <w:rFonts w:hint="eastAsia" w:ascii="Times New Roman" w:hAnsi="Times New Roman" w:eastAsia="宋体" w:cs="Times New Roman"/>
                      <w:i w:val="0"/>
                      <w:snapToGrid w:val="0"/>
                      <w:color w:val="auto"/>
                      <w:kern w:val="2"/>
                      <w:sz w:val="21"/>
                      <w:szCs w:val="21"/>
                      <w:u w:val="none"/>
                      <w:lang w:val="en-US" w:eastAsia="zh-CN" w:bidi="ar"/>
                    </w:rPr>
                    <w:t xml:space="preserve">60.80 </w:t>
                  </w:r>
                </w:p>
              </w:tc>
              <w:tc>
                <w:tcPr>
                  <w:tcW w:w="828" w:type="pct"/>
                  <w:noWrap/>
                  <w:vAlign w:val="center"/>
                </w:tcPr>
                <w:p>
                  <w:pPr>
                    <w:pStyle w:val="50"/>
                    <w:rPr>
                      <w:color w:val="auto"/>
                      <w:kern w:val="2"/>
                    </w:rPr>
                  </w:pPr>
                  <w:r>
                    <w:rPr>
                      <w:rFonts w:hint="eastAsia"/>
                      <w:color w:val="auto"/>
                      <w:kern w:val="2"/>
                      <w:lang w:val="en-US" w:eastAsia="zh-CN"/>
                    </w:rPr>
                    <w:t>65</w:t>
                  </w:r>
                </w:p>
              </w:tc>
              <w:tc>
                <w:tcPr>
                  <w:tcW w:w="860" w:type="pct"/>
                  <w:noWrap/>
                  <w:vAlign w:val="center"/>
                </w:tcPr>
                <w:p>
                  <w:pPr>
                    <w:pStyle w:val="50"/>
                    <w:ind w:firstLine="0" w:firstLineChars="0"/>
                    <w:rPr>
                      <w:color w:val="auto"/>
                      <w:kern w:val="2"/>
                    </w:rPr>
                  </w:pPr>
                  <w:r>
                    <w:rPr>
                      <w:rFonts w:hint="eastAsia"/>
                      <w:color w:val="auto"/>
                      <w:kern w:val="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769" w:type="pct"/>
                  <w:noWrap/>
                  <w:vAlign w:val="center"/>
                </w:tcPr>
                <w:p>
                  <w:pPr>
                    <w:pStyle w:val="50"/>
                    <w:rPr>
                      <w:color w:val="auto"/>
                      <w:kern w:val="2"/>
                    </w:rPr>
                  </w:pPr>
                  <w:r>
                    <w:rPr>
                      <w:rFonts w:hint="eastAsia"/>
                      <w:color w:val="auto"/>
                      <w:kern w:val="2"/>
                    </w:rPr>
                    <w:t>厂界北面</w:t>
                  </w:r>
                </w:p>
              </w:tc>
              <w:tc>
                <w:tcPr>
                  <w:tcW w:w="722" w:type="pct"/>
                  <w:noWrap/>
                  <w:vAlign w:val="center"/>
                </w:tcPr>
                <w:p>
                  <w:pPr>
                    <w:pStyle w:val="50"/>
                    <w:rPr>
                      <w:color w:val="auto"/>
                      <w:kern w:val="2"/>
                    </w:rPr>
                  </w:pPr>
                  <w:r>
                    <w:rPr>
                      <w:rFonts w:hint="eastAsia"/>
                      <w:color w:val="auto"/>
                      <w:kern w:val="2"/>
                    </w:rPr>
                    <w:t>60.72</w:t>
                  </w:r>
                </w:p>
              </w:tc>
              <w:tc>
                <w:tcPr>
                  <w:tcW w:w="779" w:type="pct"/>
                  <w:noWrap/>
                  <w:vAlign w:val="center"/>
                </w:tcPr>
                <w:p>
                  <w:pPr>
                    <w:pStyle w:val="50"/>
                    <w:rPr>
                      <w:rFonts w:hint="eastAsia" w:eastAsia="宋体"/>
                      <w:color w:val="auto"/>
                      <w:kern w:val="2"/>
                      <w:lang w:val="en-US" w:eastAsia="zh-CN"/>
                    </w:rPr>
                  </w:pPr>
                  <w:r>
                    <w:rPr>
                      <w:rFonts w:hint="eastAsia"/>
                      <w:color w:val="auto"/>
                      <w:kern w:val="2"/>
                      <w:lang w:val="en-US" w:eastAsia="zh-CN"/>
                    </w:rPr>
                    <w:t>59</w:t>
                  </w:r>
                </w:p>
              </w:tc>
              <w:tc>
                <w:tcPr>
                  <w:tcW w:w="1746" w:type="dxa"/>
                  <w:noWrap/>
                  <w:vAlign w:val="center"/>
                </w:tcPr>
                <w:p>
                  <w:pPr>
                    <w:pStyle w:val="50"/>
                    <w:rPr>
                      <w:rFonts w:hint="eastAsia" w:eastAsia="宋体"/>
                      <w:color w:val="auto"/>
                      <w:kern w:val="2"/>
                      <w:lang w:val="en-US" w:eastAsia="zh-CN"/>
                    </w:rPr>
                  </w:pPr>
                  <w:r>
                    <w:rPr>
                      <w:rFonts w:hint="eastAsia" w:ascii="Times New Roman" w:hAnsi="Times New Roman" w:eastAsia="宋体" w:cs="Times New Roman"/>
                      <w:i w:val="0"/>
                      <w:snapToGrid w:val="0"/>
                      <w:color w:val="auto"/>
                      <w:kern w:val="2"/>
                      <w:sz w:val="21"/>
                      <w:szCs w:val="21"/>
                      <w:u w:val="none"/>
                      <w:lang w:val="en-US" w:eastAsia="zh-CN" w:bidi="ar"/>
                    </w:rPr>
                    <w:t xml:space="preserve">62.95 </w:t>
                  </w:r>
                </w:p>
              </w:tc>
              <w:tc>
                <w:tcPr>
                  <w:tcW w:w="828" w:type="pct"/>
                  <w:noWrap/>
                  <w:vAlign w:val="center"/>
                </w:tcPr>
                <w:p>
                  <w:pPr>
                    <w:pStyle w:val="50"/>
                    <w:rPr>
                      <w:color w:val="auto"/>
                      <w:kern w:val="2"/>
                    </w:rPr>
                  </w:pPr>
                  <w:r>
                    <w:rPr>
                      <w:rFonts w:hint="eastAsia"/>
                      <w:color w:val="auto"/>
                      <w:kern w:val="2"/>
                      <w:lang w:val="en-US" w:eastAsia="zh-CN"/>
                    </w:rPr>
                    <w:t>65</w:t>
                  </w:r>
                </w:p>
              </w:tc>
              <w:tc>
                <w:tcPr>
                  <w:tcW w:w="860" w:type="pct"/>
                  <w:noWrap/>
                  <w:vAlign w:val="center"/>
                </w:tcPr>
                <w:p>
                  <w:pPr>
                    <w:pStyle w:val="50"/>
                    <w:ind w:firstLine="0" w:firstLineChars="0"/>
                    <w:rPr>
                      <w:color w:val="auto"/>
                      <w:kern w:val="2"/>
                    </w:rPr>
                  </w:pPr>
                  <w:r>
                    <w:rPr>
                      <w:rFonts w:hint="eastAsia"/>
                      <w:color w:val="auto"/>
                      <w:kern w:val="2"/>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00" w:type="pct"/>
                  <w:gridSpan w:val="6"/>
                  <w:noWrap/>
                  <w:vAlign w:val="center"/>
                </w:tcPr>
                <w:p>
                  <w:pPr>
                    <w:pStyle w:val="50"/>
                    <w:jc w:val="left"/>
                    <w:rPr>
                      <w:rFonts w:hint="eastAsia" w:eastAsia="宋体"/>
                      <w:color w:val="auto"/>
                      <w:kern w:val="2"/>
                      <w:lang w:eastAsia="zh-CN"/>
                    </w:rPr>
                  </w:pPr>
                  <w:r>
                    <w:rPr>
                      <w:rFonts w:hint="eastAsia"/>
                      <w:color w:val="auto"/>
                      <w:kern w:val="2"/>
                      <w:lang w:eastAsia="zh-CN"/>
                    </w:rPr>
                    <w:t>注：项目</w:t>
                  </w:r>
                  <w:r>
                    <w:rPr>
                      <w:rFonts w:hint="eastAsia"/>
                      <w:color w:val="auto"/>
                      <w:lang w:eastAsia="zh-CN"/>
                    </w:rPr>
                    <w:t>南北</w:t>
                  </w:r>
                  <w:r>
                    <w:rPr>
                      <w:rFonts w:hint="eastAsia"/>
                      <w:color w:val="auto"/>
                    </w:rPr>
                    <w:t>两侧不具备噪声</w:t>
                  </w:r>
                  <w:r>
                    <w:rPr>
                      <w:rFonts w:hint="eastAsia"/>
                      <w:color w:val="auto"/>
                      <w:lang w:eastAsia="zh-CN"/>
                    </w:rPr>
                    <w:t>现状</w:t>
                  </w:r>
                  <w:r>
                    <w:rPr>
                      <w:rFonts w:hint="eastAsia"/>
                      <w:color w:val="auto"/>
                    </w:rPr>
                    <w:t>监测条件，</w:t>
                  </w:r>
                  <w:r>
                    <w:rPr>
                      <w:rFonts w:hint="eastAsia"/>
                      <w:color w:val="auto"/>
                      <w:lang w:eastAsia="zh-CN"/>
                    </w:rPr>
                    <w:t>叠加背景值以东西两侧</w:t>
                  </w:r>
                  <w:r>
                    <w:rPr>
                      <w:rFonts w:hint="eastAsia"/>
                      <w:color w:val="auto"/>
                    </w:rPr>
                    <w:t>噪声</w:t>
                  </w:r>
                  <w:r>
                    <w:rPr>
                      <w:rFonts w:hint="eastAsia"/>
                      <w:color w:val="auto"/>
                      <w:lang w:eastAsia="zh-CN"/>
                    </w:rPr>
                    <w:t>现状</w:t>
                  </w:r>
                  <w:r>
                    <w:rPr>
                      <w:rFonts w:hint="eastAsia"/>
                      <w:color w:val="auto"/>
                    </w:rPr>
                    <w:t>监测</w:t>
                  </w:r>
                  <w:r>
                    <w:rPr>
                      <w:rFonts w:hint="eastAsia"/>
                      <w:color w:val="auto"/>
                      <w:lang w:eastAsia="zh-CN"/>
                    </w:rPr>
                    <w:t>最大值为背景值。</w:t>
                  </w:r>
                </w:p>
              </w:tc>
            </w:tr>
          </w:tbl>
          <w:p>
            <w:pPr>
              <w:ind w:firstLine="480" w:firstLineChars="0"/>
              <w:contextualSpacing/>
              <w:jc w:val="left"/>
              <w:rPr>
                <w:rFonts w:hAnsi="宋体"/>
                <w:color w:val="auto"/>
              </w:rPr>
            </w:pPr>
            <w:r>
              <w:rPr>
                <w:rFonts w:hint="eastAsia" w:ascii="宋体" w:hAnsi="宋体" w:cs="宋体"/>
                <w:color w:val="auto"/>
              </w:rPr>
              <w:t>本项目夜</w:t>
            </w:r>
            <w:r>
              <w:rPr>
                <w:rFonts w:hint="default" w:ascii="Times New Roman" w:hAnsi="Times New Roman" w:cs="Times New Roman"/>
                <w:color w:val="auto"/>
              </w:rPr>
              <w:t>间不生产，</w:t>
            </w:r>
            <w:r>
              <w:rPr>
                <w:rFonts w:hint="default" w:ascii="Times New Roman" w:hAnsi="Times New Roman" w:cs="Times New Roman"/>
                <w:b w:val="0"/>
                <w:bCs w:val="0"/>
                <w:color w:val="auto"/>
                <w:sz w:val="24"/>
                <w:szCs w:val="24"/>
              </w:rPr>
              <w:t>因此仅对昼间噪声进行预测。</w:t>
            </w:r>
            <w:r>
              <w:rPr>
                <w:color w:val="auto"/>
              </w:rPr>
              <w:t>根据计算结果，</w:t>
            </w:r>
            <w:r>
              <w:rPr>
                <w:rFonts w:hint="default" w:ascii="Times New Roman" w:hAnsi="Times New Roman" w:cs="Times New Roman"/>
                <w:color w:val="auto"/>
              </w:rPr>
              <w:t>在厂房隔声、围墙阻挡、空气吸收、距离衰减情况下，</w:t>
            </w:r>
            <w:r>
              <w:rPr>
                <w:color w:val="auto"/>
              </w:rPr>
              <w:t>项目运营期</w:t>
            </w:r>
            <w:r>
              <w:rPr>
                <w:rFonts w:hint="default"/>
                <w:color w:val="auto"/>
              </w:rPr>
              <w:t>东、西</w:t>
            </w:r>
            <w:r>
              <w:rPr>
                <w:color w:val="auto"/>
              </w:rPr>
              <w:t>、</w:t>
            </w:r>
            <w:r>
              <w:rPr>
                <w:rFonts w:hint="default"/>
                <w:color w:val="auto"/>
              </w:rPr>
              <w:t>南</w:t>
            </w:r>
            <w:r>
              <w:rPr>
                <w:rFonts w:hint="eastAsia"/>
                <w:color w:val="auto"/>
              </w:rPr>
              <w:t>、</w:t>
            </w:r>
            <w:r>
              <w:rPr>
                <w:color w:val="auto"/>
              </w:rPr>
              <w:t>北</w:t>
            </w:r>
            <w:r>
              <w:rPr>
                <w:rFonts w:hint="eastAsia"/>
                <w:color w:val="auto"/>
              </w:rPr>
              <w:t>厂界满足</w:t>
            </w:r>
            <w:r>
              <w:rPr>
                <w:color w:val="auto"/>
              </w:rPr>
              <w:t>《声环境质量标准》（GB3096—2008）</w:t>
            </w:r>
            <w:r>
              <w:rPr>
                <w:rFonts w:hint="eastAsia"/>
                <w:color w:val="auto"/>
              </w:rPr>
              <w:t>3</w:t>
            </w:r>
            <w:r>
              <w:rPr>
                <w:color w:val="auto"/>
              </w:rPr>
              <w:t>类标准</w:t>
            </w:r>
            <w:r>
              <w:rPr>
                <w:rFonts w:hint="eastAsia"/>
                <w:color w:val="auto"/>
              </w:rPr>
              <w:t>限值</w:t>
            </w:r>
            <w:r>
              <w:rPr>
                <w:color w:val="auto"/>
              </w:rPr>
              <w:t>（昼间≤65</w:t>
            </w:r>
            <w:r>
              <w:rPr>
                <w:rFonts w:hint="eastAsia"/>
                <w:color w:val="auto"/>
                <w:kern w:val="2"/>
              </w:rPr>
              <w:t>dB（A）</w:t>
            </w:r>
            <w:r>
              <w:rPr>
                <w:color w:val="auto"/>
              </w:rPr>
              <w:t>；夜间≤55</w:t>
            </w:r>
            <w:r>
              <w:rPr>
                <w:rFonts w:hint="eastAsia"/>
                <w:color w:val="auto"/>
                <w:kern w:val="2"/>
              </w:rPr>
              <w:t>dB（A）</w:t>
            </w:r>
            <w:r>
              <w:rPr>
                <w:color w:val="auto"/>
              </w:rPr>
              <w:t>）</w:t>
            </w:r>
            <w:r>
              <w:rPr>
                <w:rFonts w:hint="eastAsia"/>
                <w:color w:val="auto"/>
              </w:rPr>
              <w:t>要求</w:t>
            </w:r>
            <w:r>
              <w:rPr>
                <w:rFonts w:hint="eastAsia" w:hAnsi="宋体"/>
                <w:color w:val="auto"/>
              </w:rPr>
              <w:t>。</w:t>
            </w:r>
          </w:p>
          <w:p>
            <w:pPr>
              <w:ind w:firstLine="480"/>
              <w:rPr>
                <w:color w:val="auto"/>
              </w:rPr>
            </w:pPr>
            <w:r>
              <w:rPr>
                <w:rFonts w:hAnsi="宋体"/>
                <w:color w:val="auto"/>
              </w:rPr>
              <w:t>综上</w:t>
            </w:r>
            <w:r>
              <w:rPr>
                <w:rFonts w:hint="eastAsia" w:hAnsi="宋体"/>
                <w:color w:val="auto"/>
              </w:rPr>
              <w:t>分析</w:t>
            </w:r>
            <w:r>
              <w:rPr>
                <w:color w:val="auto"/>
              </w:rPr>
              <w:t>，本项目实施后，用地范围内的噪声污染源在项目建成后噪声可做到达标排放，不会对该区域声环境质量造成大的影响</w:t>
            </w:r>
            <w:r>
              <w:rPr>
                <w:rFonts w:hint="eastAsia"/>
                <w:color w:val="auto"/>
              </w:rPr>
              <w:t>。</w:t>
            </w:r>
          </w:p>
          <w:p>
            <w:pPr>
              <w:ind w:firstLine="480"/>
              <w:rPr>
                <w:color w:val="auto"/>
              </w:rPr>
            </w:pPr>
            <w:r>
              <w:rPr>
                <w:rFonts w:hint="eastAsia"/>
                <w:color w:val="auto"/>
              </w:rPr>
              <w:t>为避免本项运营期产生的噪声对周边环境的影响，本次环评提出如下措施：</w:t>
            </w:r>
          </w:p>
          <w:p>
            <w:pPr>
              <w:ind w:firstLine="480"/>
              <w:rPr>
                <w:color w:val="auto"/>
              </w:rPr>
            </w:pPr>
            <w:r>
              <w:rPr>
                <w:rFonts w:hint="eastAsia"/>
                <w:color w:val="auto"/>
              </w:rPr>
              <w:t>A、设备选型式应选用低噪声密闭型设备，各设备在安装之前均设置减震基础，基座加固处理，避免设备直接与地面接触，从而减弱震动传递，降低噪声，空压机应设置独立的隔声机房；</w:t>
            </w:r>
          </w:p>
          <w:p>
            <w:pPr>
              <w:ind w:firstLine="480"/>
              <w:rPr>
                <w:color w:val="auto"/>
              </w:rPr>
            </w:pPr>
            <w:r>
              <w:rPr>
                <w:rFonts w:hint="eastAsia"/>
                <w:color w:val="auto"/>
              </w:rPr>
              <w:t>B、合理布局，通过墙体隔离及隔音、消声和减振措施，有效降低噪声及振动污染，避免对外环境的影响，杜绝扰民纠纷的发生；</w:t>
            </w:r>
          </w:p>
          <w:p>
            <w:pPr>
              <w:ind w:firstLine="480"/>
              <w:rPr>
                <w:color w:val="auto"/>
              </w:rPr>
            </w:pPr>
            <w:r>
              <w:rPr>
                <w:rFonts w:hint="eastAsia"/>
                <w:color w:val="auto"/>
              </w:rPr>
              <w:t>C、加强管理，车辆进出项目区时限速、禁鸣，减汽车噪声对厂区内外声环境的影响；</w:t>
            </w:r>
          </w:p>
          <w:p>
            <w:pPr>
              <w:ind w:firstLine="480"/>
              <w:rPr>
                <w:color w:val="auto"/>
              </w:rPr>
            </w:pPr>
            <w:r>
              <w:rPr>
                <w:rFonts w:hint="eastAsia"/>
                <w:color w:val="auto"/>
              </w:rPr>
              <w:t>综上所述，在采取厂房隔声、选用低噪设备，并采取减振设施以及墙体隔声措施后厂界处可达《工业企业厂界环境噪声排放标准》(GB12348-2008)3类标准。项目投入使用不会改变项目所处区域声环境质量，对周围声环境的影响不大</w:t>
            </w:r>
            <w:r>
              <w:rPr>
                <w:color w:val="auto"/>
              </w:rPr>
              <w:t>。</w:t>
            </w:r>
          </w:p>
          <w:p>
            <w:pPr>
              <w:ind w:firstLine="498"/>
              <w:contextualSpacing/>
              <w:rPr>
                <w:b/>
                <w:snapToGrid/>
                <w:color w:val="auto"/>
                <w:spacing w:val="4"/>
                <w:sz w:val="22"/>
              </w:rPr>
            </w:pPr>
            <w:r>
              <w:rPr>
                <w:rFonts w:hint="eastAsia"/>
                <w:b/>
                <w:color w:val="auto"/>
                <w:spacing w:val="4"/>
                <w:szCs w:val="28"/>
              </w:rPr>
              <w:t>6</w:t>
            </w:r>
            <w:r>
              <w:rPr>
                <w:b/>
                <w:color w:val="auto"/>
                <w:spacing w:val="4"/>
                <w:szCs w:val="28"/>
              </w:rPr>
              <w:t>、固体废物环境</w:t>
            </w:r>
            <w:r>
              <w:rPr>
                <w:rFonts w:hint="eastAsia"/>
                <w:b/>
                <w:color w:val="auto"/>
                <w:spacing w:val="4"/>
                <w:szCs w:val="28"/>
              </w:rPr>
              <w:t>影响</w:t>
            </w:r>
            <w:r>
              <w:rPr>
                <w:b/>
                <w:color w:val="auto"/>
                <w:spacing w:val="4"/>
                <w:szCs w:val="28"/>
              </w:rPr>
              <w:t>分析</w:t>
            </w:r>
          </w:p>
          <w:p>
            <w:pPr>
              <w:ind w:firstLine="480"/>
              <w:rPr>
                <w:color w:val="auto"/>
              </w:rPr>
            </w:pPr>
            <w:r>
              <w:rPr>
                <w:rFonts w:hint="eastAsia"/>
                <w:color w:val="auto"/>
              </w:rPr>
              <w:t>根据工程分析，项目运营期固废产生及治理措施情况见下表。</w:t>
            </w:r>
          </w:p>
          <w:p>
            <w:pPr>
              <w:pStyle w:val="48"/>
              <w:ind w:firstLine="422"/>
              <w:rPr>
                <w:color w:val="auto"/>
              </w:rPr>
            </w:pPr>
            <w:r>
              <w:rPr>
                <w:color w:val="auto"/>
              </w:rPr>
              <w:t>表</w:t>
            </w:r>
            <w:r>
              <w:rPr>
                <w:rFonts w:hint="eastAsia"/>
                <w:color w:val="auto"/>
              </w:rPr>
              <w:t>7-2</w:t>
            </w:r>
            <w:r>
              <w:rPr>
                <w:rFonts w:hint="eastAsia"/>
                <w:color w:val="auto"/>
                <w:lang w:val="en-US" w:eastAsia="zh-CN"/>
              </w:rPr>
              <w:t>9</w:t>
            </w:r>
            <w:r>
              <w:rPr>
                <w:rFonts w:hint="eastAsia"/>
                <w:color w:val="auto"/>
              </w:rPr>
              <w:t xml:space="preserve"> </w:t>
            </w:r>
            <w:r>
              <w:rPr>
                <w:color w:val="auto"/>
              </w:rPr>
              <w:t>运营期固废处置情况一览表</w:t>
            </w:r>
          </w:p>
          <w:tbl>
            <w:tblPr>
              <w:tblStyle w:val="36"/>
              <w:tblW w:w="8357" w:type="dxa"/>
              <w:tblInd w:w="-3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ayout w:type="fixed"/>
              <w:tblCellMar>
                <w:top w:w="0" w:type="dxa"/>
                <w:left w:w="0" w:type="dxa"/>
                <w:bottom w:w="0" w:type="dxa"/>
                <w:right w:w="0" w:type="dxa"/>
              </w:tblCellMar>
            </w:tblPr>
            <w:tblGrid>
              <w:gridCol w:w="1360"/>
              <w:gridCol w:w="1163"/>
              <w:gridCol w:w="1350"/>
              <w:gridCol w:w="900"/>
              <w:gridCol w:w="1112"/>
              <w:gridCol w:w="2472"/>
            </w:tblGrid>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80" w:hRule="atLeast"/>
              </w:trPr>
              <w:tc>
                <w:tcPr>
                  <w:tcW w:w="813" w:type="pct"/>
                  <w:tcBorders>
                    <w:tl2br w:val="nil"/>
                    <w:tr2bl w:val="nil"/>
                  </w:tcBorders>
                  <w:vAlign w:val="center"/>
                </w:tcPr>
                <w:p>
                  <w:pPr>
                    <w:pStyle w:val="50"/>
                    <w:rPr>
                      <w:color w:val="auto"/>
                    </w:rPr>
                  </w:pPr>
                  <w:r>
                    <w:rPr>
                      <w:rFonts w:hint="eastAsia"/>
                      <w:color w:val="auto"/>
                    </w:rPr>
                    <w:t>污染物</w:t>
                  </w:r>
                </w:p>
              </w:tc>
              <w:tc>
                <w:tcPr>
                  <w:tcW w:w="695" w:type="pct"/>
                  <w:tcBorders>
                    <w:tl2br w:val="nil"/>
                    <w:tr2bl w:val="nil"/>
                  </w:tcBorders>
                  <w:vAlign w:val="center"/>
                </w:tcPr>
                <w:p>
                  <w:pPr>
                    <w:pStyle w:val="50"/>
                    <w:rPr>
                      <w:color w:val="auto"/>
                    </w:rPr>
                  </w:pPr>
                  <w:r>
                    <w:rPr>
                      <w:rFonts w:hint="eastAsia"/>
                      <w:color w:val="auto"/>
                    </w:rPr>
                    <w:t>产生工序</w:t>
                  </w:r>
                </w:p>
              </w:tc>
              <w:tc>
                <w:tcPr>
                  <w:tcW w:w="807" w:type="pct"/>
                  <w:tcBorders>
                    <w:tl2br w:val="nil"/>
                    <w:tr2bl w:val="nil"/>
                  </w:tcBorders>
                  <w:vAlign w:val="center"/>
                </w:tcPr>
                <w:p>
                  <w:pPr>
                    <w:pStyle w:val="50"/>
                    <w:rPr>
                      <w:color w:val="auto"/>
                    </w:rPr>
                  </w:pPr>
                  <w:r>
                    <w:rPr>
                      <w:rFonts w:hint="eastAsia"/>
                      <w:color w:val="auto"/>
                    </w:rPr>
                    <w:t>主要成分</w:t>
                  </w:r>
                </w:p>
              </w:tc>
              <w:tc>
                <w:tcPr>
                  <w:tcW w:w="538" w:type="pct"/>
                  <w:tcBorders>
                    <w:tl2br w:val="nil"/>
                    <w:tr2bl w:val="nil"/>
                  </w:tcBorders>
                  <w:vAlign w:val="center"/>
                </w:tcPr>
                <w:p>
                  <w:pPr>
                    <w:pStyle w:val="50"/>
                    <w:rPr>
                      <w:color w:val="auto"/>
                    </w:rPr>
                  </w:pPr>
                  <w:r>
                    <w:rPr>
                      <w:rFonts w:hint="eastAsia"/>
                      <w:color w:val="auto"/>
                    </w:rPr>
                    <w:t>性质</w:t>
                  </w:r>
                </w:p>
              </w:tc>
              <w:tc>
                <w:tcPr>
                  <w:tcW w:w="665" w:type="pct"/>
                  <w:tcBorders>
                    <w:tl2br w:val="nil"/>
                    <w:tr2bl w:val="nil"/>
                  </w:tcBorders>
                  <w:vAlign w:val="center"/>
                </w:tcPr>
                <w:p>
                  <w:pPr>
                    <w:pStyle w:val="50"/>
                    <w:rPr>
                      <w:color w:val="auto"/>
                    </w:rPr>
                  </w:pPr>
                  <w:r>
                    <w:rPr>
                      <w:rFonts w:hint="eastAsia"/>
                      <w:color w:val="auto"/>
                    </w:rPr>
                    <w:t>产生量</w:t>
                  </w:r>
                </w:p>
                <w:p>
                  <w:pPr>
                    <w:pStyle w:val="50"/>
                    <w:rPr>
                      <w:color w:val="auto"/>
                    </w:rPr>
                  </w:pPr>
                  <w:r>
                    <w:rPr>
                      <w:rFonts w:hint="eastAsia"/>
                      <w:color w:val="auto"/>
                    </w:rPr>
                    <w:t>(t/a)</w:t>
                  </w:r>
                </w:p>
              </w:tc>
              <w:tc>
                <w:tcPr>
                  <w:tcW w:w="1478" w:type="pct"/>
                  <w:tcBorders>
                    <w:tl2br w:val="nil"/>
                    <w:tr2bl w:val="nil"/>
                  </w:tcBorders>
                  <w:vAlign w:val="center"/>
                </w:tcPr>
                <w:p>
                  <w:pPr>
                    <w:pStyle w:val="50"/>
                    <w:rPr>
                      <w:color w:val="auto"/>
                    </w:rPr>
                  </w:pPr>
                  <w:r>
                    <w:rPr>
                      <w:rFonts w:hint="eastAsia"/>
                      <w:color w:val="auto"/>
                    </w:rPr>
                    <w:t>处理处悝方式</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64" w:hRule="atLeast"/>
              </w:trPr>
              <w:tc>
                <w:tcPr>
                  <w:tcW w:w="813" w:type="pct"/>
                  <w:tcBorders>
                    <w:tl2br w:val="nil"/>
                    <w:tr2bl w:val="nil"/>
                  </w:tcBorders>
                  <w:vAlign w:val="center"/>
                </w:tcPr>
                <w:p>
                  <w:pPr>
                    <w:pStyle w:val="50"/>
                    <w:rPr>
                      <w:color w:val="auto"/>
                    </w:rPr>
                  </w:pPr>
                  <w:r>
                    <w:rPr>
                      <w:rFonts w:hint="eastAsia"/>
                      <w:color w:val="auto"/>
                    </w:rPr>
                    <w:t>生活垃圾</w:t>
                  </w:r>
                </w:p>
              </w:tc>
              <w:tc>
                <w:tcPr>
                  <w:tcW w:w="695" w:type="pct"/>
                  <w:tcBorders>
                    <w:tl2br w:val="nil"/>
                    <w:tr2bl w:val="nil"/>
                  </w:tcBorders>
                  <w:vAlign w:val="center"/>
                </w:tcPr>
                <w:p>
                  <w:pPr>
                    <w:pStyle w:val="50"/>
                    <w:rPr>
                      <w:color w:val="auto"/>
                    </w:rPr>
                  </w:pPr>
                  <w:r>
                    <w:rPr>
                      <w:rFonts w:hint="eastAsia"/>
                      <w:color w:val="auto"/>
                    </w:rPr>
                    <w:t>员工生活</w:t>
                  </w:r>
                </w:p>
              </w:tc>
              <w:tc>
                <w:tcPr>
                  <w:tcW w:w="807" w:type="pct"/>
                  <w:tcBorders>
                    <w:tl2br w:val="nil"/>
                    <w:tr2bl w:val="nil"/>
                  </w:tcBorders>
                  <w:vAlign w:val="center"/>
                </w:tcPr>
                <w:p>
                  <w:pPr>
                    <w:pStyle w:val="50"/>
                    <w:rPr>
                      <w:color w:val="auto"/>
                    </w:rPr>
                  </w:pPr>
                  <w:r>
                    <w:rPr>
                      <w:rFonts w:hint="eastAsia"/>
                      <w:color w:val="auto"/>
                    </w:rPr>
                    <w:t>/</w:t>
                  </w:r>
                </w:p>
              </w:tc>
              <w:tc>
                <w:tcPr>
                  <w:tcW w:w="538" w:type="pct"/>
                  <w:vMerge w:val="restart"/>
                  <w:tcBorders>
                    <w:tl2br w:val="nil"/>
                    <w:tr2bl w:val="nil"/>
                  </w:tcBorders>
                  <w:vAlign w:val="center"/>
                </w:tcPr>
                <w:p>
                  <w:pPr>
                    <w:pStyle w:val="50"/>
                    <w:rPr>
                      <w:color w:val="auto"/>
                    </w:rPr>
                  </w:pPr>
                  <w:r>
                    <w:rPr>
                      <w:rFonts w:hint="eastAsia"/>
                      <w:color w:val="auto"/>
                    </w:rPr>
                    <w:t>一般工业固废</w:t>
                  </w:r>
                </w:p>
              </w:tc>
              <w:tc>
                <w:tcPr>
                  <w:tcW w:w="665" w:type="pct"/>
                  <w:tcBorders>
                    <w:tl2br w:val="nil"/>
                    <w:tr2bl w:val="nil"/>
                  </w:tcBorders>
                  <w:vAlign w:val="center"/>
                </w:tcPr>
                <w:p>
                  <w:pPr>
                    <w:pStyle w:val="50"/>
                    <w:rPr>
                      <w:color w:val="auto"/>
                    </w:rPr>
                  </w:pPr>
                  <w:r>
                    <w:rPr>
                      <w:rFonts w:hint="eastAsia"/>
                      <w:color w:val="auto"/>
                    </w:rPr>
                    <w:t>0.3</w:t>
                  </w:r>
                </w:p>
              </w:tc>
              <w:tc>
                <w:tcPr>
                  <w:tcW w:w="1478" w:type="pct"/>
                  <w:tcBorders>
                    <w:tl2br w:val="nil"/>
                    <w:tr2bl w:val="nil"/>
                  </w:tcBorders>
                  <w:vAlign w:val="center"/>
                </w:tcPr>
                <w:p>
                  <w:pPr>
                    <w:pStyle w:val="50"/>
                    <w:rPr>
                      <w:color w:val="auto"/>
                    </w:rPr>
                  </w:pPr>
                  <w:r>
                    <w:rPr>
                      <w:rFonts w:hint="eastAsia"/>
                      <w:color w:val="auto"/>
                    </w:rPr>
                    <w:t>委托环卫部门清运</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239" w:hRule="atLeast"/>
              </w:trPr>
              <w:tc>
                <w:tcPr>
                  <w:tcW w:w="813" w:type="pct"/>
                  <w:tcBorders>
                    <w:tl2br w:val="nil"/>
                    <w:tr2bl w:val="nil"/>
                  </w:tcBorders>
                  <w:vAlign w:val="center"/>
                </w:tcPr>
                <w:p>
                  <w:pPr>
                    <w:pStyle w:val="50"/>
                    <w:rPr>
                      <w:color w:val="auto"/>
                    </w:rPr>
                  </w:pPr>
                  <w:r>
                    <w:rPr>
                      <w:rFonts w:hint="eastAsia"/>
                      <w:color w:val="auto"/>
                    </w:rPr>
                    <w:t>废金属边角料</w:t>
                  </w:r>
                </w:p>
              </w:tc>
              <w:tc>
                <w:tcPr>
                  <w:tcW w:w="695" w:type="pct"/>
                  <w:tcBorders>
                    <w:tl2br w:val="nil"/>
                    <w:tr2bl w:val="nil"/>
                  </w:tcBorders>
                  <w:vAlign w:val="center"/>
                </w:tcPr>
                <w:p>
                  <w:pPr>
                    <w:pStyle w:val="50"/>
                    <w:rPr>
                      <w:color w:val="auto"/>
                    </w:rPr>
                  </w:pPr>
                  <w:r>
                    <w:rPr>
                      <w:rFonts w:hint="eastAsia"/>
                      <w:color w:val="auto"/>
                    </w:rPr>
                    <w:t>切割、打孔</w:t>
                  </w:r>
                </w:p>
              </w:tc>
              <w:tc>
                <w:tcPr>
                  <w:tcW w:w="807" w:type="pct"/>
                  <w:tcBorders>
                    <w:tl2br w:val="nil"/>
                    <w:tr2bl w:val="nil"/>
                  </w:tcBorders>
                  <w:vAlign w:val="center"/>
                </w:tcPr>
                <w:p>
                  <w:pPr>
                    <w:pStyle w:val="50"/>
                    <w:rPr>
                      <w:color w:val="auto"/>
                    </w:rPr>
                  </w:pPr>
                  <w:r>
                    <w:rPr>
                      <w:rFonts w:hint="eastAsia"/>
                      <w:color w:val="auto"/>
                    </w:rPr>
                    <w:t>铁、不锈钢</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0.99</w:t>
                  </w:r>
                </w:p>
              </w:tc>
              <w:tc>
                <w:tcPr>
                  <w:tcW w:w="1478"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90" w:hRule="atLeast"/>
              </w:trPr>
              <w:tc>
                <w:tcPr>
                  <w:tcW w:w="813" w:type="pct"/>
                  <w:tcBorders>
                    <w:tl2br w:val="nil"/>
                    <w:tr2bl w:val="nil"/>
                  </w:tcBorders>
                  <w:vAlign w:val="center"/>
                </w:tcPr>
                <w:p>
                  <w:pPr>
                    <w:pStyle w:val="50"/>
                    <w:rPr>
                      <w:color w:val="auto"/>
                    </w:rPr>
                  </w:pPr>
                  <w:r>
                    <w:rPr>
                      <w:rFonts w:hint="eastAsia"/>
                      <w:color w:val="auto"/>
                    </w:rPr>
                    <w:t>焊渣</w:t>
                  </w:r>
                </w:p>
              </w:tc>
              <w:tc>
                <w:tcPr>
                  <w:tcW w:w="695" w:type="pct"/>
                  <w:tcBorders>
                    <w:tl2br w:val="nil"/>
                    <w:tr2bl w:val="nil"/>
                  </w:tcBorders>
                  <w:vAlign w:val="center"/>
                </w:tcPr>
                <w:p>
                  <w:pPr>
                    <w:pStyle w:val="50"/>
                    <w:rPr>
                      <w:color w:val="auto"/>
                    </w:rPr>
                  </w:pPr>
                  <w:r>
                    <w:rPr>
                      <w:rFonts w:hint="eastAsia"/>
                      <w:color w:val="auto"/>
                    </w:rPr>
                    <w:t>焊接</w:t>
                  </w:r>
                </w:p>
              </w:tc>
              <w:tc>
                <w:tcPr>
                  <w:tcW w:w="807" w:type="pct"/>
                  <w:tcBorders>
                    <w:tl2br w:val="nil"/>
                    <w:tr2bl w:val="nil"/>
                  </w:tcBorders>
                  <w:vAlign w:val="center"/>
                </w:tcPr>
                <w:p>
                  <w:pPr>
                    <w:pStyle w:val="50"/>
                    <w:rPr>
                      <w:color w:val="auto"/>
                    </w:rPr>
                  </w:pPr>
                  <w:r>
                    <w:rPr>
                      <w:rFonts w:hint="eastAsia"/>
                      <w:color w:val="auto"/>
                    </w:rPr>
                    <w:t>铁、不锈钢</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0.04</w:t>
                  </w:r>
                </w:p>
              </w:tc>
              <w:tc>
                <w:tcPr>
                  <w:tcW w:w="1478"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324" w:hRule="atLeast"/>
              </w:trPr>
              <w:tc>
                <w:tcPr>
                  <w:tcW w:w="813" w:type="pct"/>
                  <w:tcBorders>
                    <w:tl2br w:val="nil"/>
                    <w:tr2bl w:val="nil"/>
                  </w:tcBorders>
                  <w:vAlign w:val="center"/>
                </w:tcPr>
                <w:p>
                  <w:pPr>
                    <w:pStyle w:val="50"/>
                    <w:rPr>
                      <w:color w:val="auto"/>
                    </w:rPr>
                  </w:pPr>
                  <w:r>
                    <w:rPr>
                      <w:rFonts w:hint="eastAsia"/>
                      <w:color w:val="auto"/>
                    </w:rPr>
                    <w:t>收尘系统回收塑粉</w:t>
                  </w:r>
                </w:p>
              </w:tc>
              <w:tc>
                <w:tcPr>
                  <w:tcW w:w="695" w:type="pct"/>
                  <w:tcBorders>
                    <w:tl2br w:val="nil"/>
                    <w:tr2bl w:val="nil"/>
                  </w:tcBorders>
                  <w:vAlign w:val="center"/>
                </w:tcPr>
                <w:p>
                  <w:pPr>
                    <w:pStyle w:val="50"/>
                    <w:rPr>
                      <w:color w:val="auto"/>
                    </w:rPr>
                  </w:pPr>
                  <w:r>
                    <w:rPr>
                      <w:rFonts w:hint="eastAsia"/>
                      <w:color w:val="auto"/>
                    </w:rPr>
                    <w:t>喷塑</w:t>
                  </w:r>
                </w:p>
              </w:tc>
              <w:tc>
                <w:tcPr>
                  <w:tcW w:w="807" w:type="pct"/>
                  <w:tcBorders>
                    <w:tl2br w:val="nil"/>
                    <w:tr2bl w:val="nil"/>
                  </w:tcBorders>
                  <w:vAlign w:val="center"/>
                </w:tcPr>
                <w:p>
                  <w:pPr>
                    <w:pStyle w:val="50"/>
                    <w:rPr>
                      <w:color w:val="auto"/>
                    </w:rPr>
                  </w:pPr>
                  <w:r>
                    <w:rPr>
                      <w:rFonts w:hint="eastAsia"/>
                      <w:color w:val="auto"/>
                    </w:rPr>
                    <w:t>环氧树脂、聚酯树脂</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2.47</w:t>
                  </w:r>
                </w:p>
              </w:tc>
              <w:tc>
                <w:tcPr>
                  <w:tcW w:w="1478" w:type="pct"/>
                  <w:tcBorders>
                    <w:tl2br w:val="nil"/>
                    <w:tr2bl w:val="nil"/>
                  </w:tcBorders>
                  <w:vAlign w:val="center"/>
                </w:tcPr>
                <w:p>
                  <w:pPr>
                    <w:pStyle w:val="50"/>
                    <w:rPr>
                      <w:color w:val="auto"/>
                    </w:rPr>
                  </w:pPr>
                  <w:r>
                    <w:rPr>
                      <w:rFonts w:hint="eastAsia"/>
                      <w:color w:val="auto"/>
                    </w:rPr>
                    <w:t>回用于喷塑工艺</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168" w:hRule="atLeast"/>
              </w:trPr>
              <w:tc>
                <w:tcPr>
                  <w:tcW w:w="813" w:type="pct"/>
                  <w:tcBorders>
                    <w:tl2br w:val="nil"/>
                    <w:tr2bl w:val="nil"/>
                  </w:tcBorders>
                  <w:vAlign w:val="center"/>
                </w:tcPr>
                <w:p>
                  <w:pPr>
                    <w:pStyle w:val="50"/>
                    <w:rPr>
                      <w:color w:val="auto"/>
                    </w:rPr>
                  </w:pPr>
                  <w:r>
                    <w:rPr>
                      <w:rFonts w:hint="eastAsia"/>
                      <w:color w:val="auto"/>
                    </w:rPr>
                    <w:t>废包装材料</w:t>
                  </w:r>
                </w:p>
              </w:tc>
              <w:tc>
                <w:tcPr>
                  <w:tcW w:w="695" w:type="pct"/>
                  <w:tcBorders>
                    <w:tl2br w:val="nil"/>
                    <w:tr2bl w:val="nil"/>
                  </w:tcBorders>
                  <w:vAlign w:val="center"/>
                </w:tcPr>
                <w:p>
                  <w:pPr>
                    <w:pStyle w:val="50"/>
                    <w:rPr>
                      <w:color w:val="auto"/>
                    </w:rPr>
                  </w:pPr>
                  <w:r>
                    <w:rPr>
                      <w:rFonts w:hint="eastAsia"/>
                      <w:color w:val="auto"/>
                    </w:rPr>
                    <w:t>物料包装</w:t>
                  </w:r>
                </w:p>
              </w:tc>
              <w:tc>
                <w:tcPr>
                  <w:tcW w:w="807" w:type="pct"/>
                  <w:tcBorders>
                    <w:tl2br w:val="nil"/>
                    <w:tr2bl w:val="nil"/>
                  </w:tcBorders>
                  <w:vAlign w:val="center"/>
                </w:tcPr>
                <w:p>
                  <w:pPr>
                    <w:pStyle w:val="50"/>
                    <w:rPr>
                      <w:color w:val="auto"/>
                    </w:rPr>
                  </w:pPr>
                  <w:r>
                    <w:rPr>
                      <w:rFonts w:hint="eastAsia"/>
                      <w:color w:val="auto"/>
                    </w:rPr>
                    <w:t>纸、塑料</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0.34</w:t>
                  </w:r>
                </w:p>
              </w:tc>
              <w:tc>
                <w:tcPr>
                  <w:tcW w:w="1478" w:type="pct"/>
                  <w:tcBorders>
                    <w:tl2br w:val="nil"/>
                    <w:tr2bl w:val="nil"/>
                  </w:tcBorders>
                  <w:vAlign w:val="center"/>
                </w:tcPr>
                <w:p>
                  <w:pPr>
                    <w:pStyle w:val="50"/>
                    <w:rPr>
                      <w:color w:val="auto"/>
                    </w:rPr>
                  </w:pPr>
                  <w:r>
                    <w:rPr>
                      <w:rFonts w:hint="eastAsia"/>
                      <w:color w:val="auto"/>
                    </w:rPr>
                    <w:t>统一收集后外售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90" w:hRule="atLeast"/>
              </w:trPr>
              <w:tc>
                <w:tcPr>
                  <w:tcW w:w="813" w:type="pct"/>
                  <w:tcBorders>
                    <w:tl2br w:val="nil"/>
                    <w:tr2bl w:val="nil"/>
                  </w:tcBorders>
                  <w:vAlign w:val="center"/>
                </w:tcPr>
                <w:p>
                  <w:pPr>
                    <w:pStyle w:val="50"/>
                    <w:rPr>
                      <w:color w:val="auto"/>
                    </w:rPr>
                  </w:pPr>
                  <w:r>
                    <w:rPr>
                      <w:rFonts w:hint="eastAsia"/>
                      <w:color w:val="auto"/>
                    </w:rPr>
                    <w:t>废润滑油</w:t>
                  </w:r>
                </w:p>
              </w:tc>
              <w:tc>
                <w:tcPr>
                  <w:tcW w:w="695" w:type="pct"/>
                  <w:tcBorders>
                    <w:tl2br w:val="nil"/>
                    <w:tr2bl w:val="nil"/>
                  </w:tcBorders>
                  <w:vAlign w:val="center"/>
                </w:tcPr>
                <w:p>
                  <w:pPr>
                    <w:pStyle w:val="50"/>
                    <w:rPr>
                      <w:color w:val="auto"/>
                    </w:rPr>
                  </w:pPr>
                  <w:r>
                    <w:rPr>
                      <w:rFonts w:hint="eastAsia"/>
                      <w:color w:val="auto"/>
                    </w:rPr>
                    <w:t>机加工</w:t>
                  </w:r>
                </w:p>
              </w:tc>
              <w:tc>
                <w:tcPr>
                  <w:tcW w:w="807" w:type="pct"/>
                  <w:tcBorders>
                    <w:tl2br w:val="nil"/>
                    <w:tr2bl w:val="nil"/>
                  </w:tcBorders>
                  <w:vAlign w:val="center"/>
                </w:tcPr>
                <w:p>
                  <w:pPr>
                    <w:pStyle w:val="50"/>
                    <w:rPr>
                      <w:color w:val="auto"/>
                    </w:rPr>
                  </w:pPr>
                  <w:r>
                    <w:rPr>
                      <w:rFonts w:hint="eastAsia"/>
                      <w:color w:val="auto"/>
                    </w:rPr>
                    <w:t>油类</w:t>
                  </w:r>
                </w:p>
              </w:tc>
              <w:tc>
                <w:tcPr>
                  <w:tcW w:w="538" w:type="pct"/>
                  <w:vMerge w:val="restart"/>
                  <w:tcBorders>
                    <w:tl2br w:val="nil"/>
                    <w:tr2bl w:val="nil"/>
                  </w:tcBorders>
                  <w:vAlign w:val="center"/>
                </w:tcPr>
                <w:p>
                  <w:pPr>
                    <w:pStyle w:val="50"/>
                    <w:rPr>
                      <w:color w:val="auto"/>
                    </w:rPr>
                  </w:pPr>
                  <w:r>
                    <w:rPr>
                      <w:rFonts w:hint="eastAsia"/>
                      <w:color w:val="auto"/>
                    </w:rPr>
                    <w:t>危险废物</w:t>
                  </w:r>
                </w:p>
              </w:tc>
              <w:tc>
                <w:tcPr>
                  <w:tcW w:w="665" w:type="pct"/>
                  <w:tcBorders>
                    <w:tl2br w:val="nil"/>
                    <w:tr2bl w:val="nil"/>
                  </w:tcBorders>
                  <w:vAlign w:val="center"/>
                </w:tcPr>
                <w:p>
                  <w:pPr>
                    <w:pStyle w:val="50"/>
                    <w:rPr>
                      <w:color w:val="auto"/>
                    </w:rPr>
                  </w:pPr>
                  <w:r>
                    <w:rPr>
                      <w:rFonts w:hint="eastAsia"/>
                      <w:color w:val="auto"/>
                    </w:rPr>
                    <w:t>0.2</w:t>
                  </w:r>
                </w:p>
              </w:tc>
              <w:tc>
                <w:tcPr>
                  <w:tcW w:w="1478" w:type="pct"/>
                  <w:tcBorders>
                    <w:tl2br w:val="nil"/>
                    <w:tr2bl w:val="nil"/>
                  </w:tcBorders>
                  <w:vAlign w:val="center"/>
                </w:tcPr>
                <w:p>
                  <w:pPr>
                    <w:pStyle w:val="50"/>
                    <w:rPr>
                      <w:color w:val="auto"/>
                    </w:rPr>
                  </w:pPr>
                  <w:r>
                    <w:rPr>
                      <w:rFonts w:hint="eastAsia"/>
                      <w:color w:val="auto"/>
                    </w:rPr>
                    <w:t>委托有资质单位安全处置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189" w:hRule="atLeast"/>
              </w:trPr>
              <w:tc>
                <w:tcPr>
                  <w:tcW w:w="813" w:type="pct"/>
                  <w:tcBorders>
                    <w:tl2br w:val="nil"/>
                    <w:tr2bl w:val="nil"/>
                  </w:tcBorders>
                  <w:vAlign w:val="center"/>
                </w:tcPr>
                <w:p>
                  <w:pPr>
                    <w:pStyle w:val="50"/>
                    <w:rPr>
                      <w:color w:val="auto"/>
                    </w:rPr>
                  </w:pPr>
                  <w:r>
                    <w:rPr>
                      <w:rFonts w:hint="eastAsia"/>
                      <w:color w:val="auto"/>
                    </w:rPr>
                    <w:t>废油桶</w:t>
                  </w:r>
                </w:p>
              </w:tc>
              <w:tc>
                <w:tcPr>
                  <w:tcW w:w="695" w:type="pct"/>
                  <w:tcBorders>
                    <w:tl2br w:val="nil"/>
                    <w:tr2bl w:val="nil"/>
                  </w:tcBorders>
                  <w:vAlign w:val="center"/>
                </w:tcPr>
                <w:p>
                  <w:pPr>
                    <w:pStyle w:val="50"/>
                    <w:rPr>
                      <w:color w:val="auto"/>
                    </w:rPr>
                  </w:pPr>
                  <w:r>
                    <w:rPr>
                      <w:rFonts w:hint="eastAsia"/>
                      <w:color w:val="auto"/>
                    </w:rPr>
                    <w:t>机加工</w:t>
                  </w:r>
                </w:p>
              </w:tc>
              <w:tc>
                <w:tcPr>
                  <w:tcW w:w="807" w:type="pct"/>
                  <w:tcBorders>
                    <w:tl2br w:val="nil"/>
                    <w:tr2bl w:val="nil"/>
                  </w:tcBorders>
                  <w:vAlign w:val="center"/>
                </w:tcPr>
                <w:p>
                  <w:pPr>
                    <w:pStyle w:val="50"/>
                    <w:rPr>
                      <w:color w:val="auto"/>
                    </w:rPr>
                  </w:pPr>
                  <w:r>
                    <w:rPr>
                      <w:rFonts w:hint="eastAsia"/>
                      <w:color w:val="auto"/>
                    </w:rPr>
                    <w:t>包装桶</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0.02</w:t>
                  </w:r>
                </w:p>
              </w:tc>
              <w:tc>
                <w:tcPr>
                  <w:tcW w:w="1478" w:type="pct"/>
                  <w:tcBorders>
                    <w:tl2br w:val="nil"/>
                    <w:tr2bl w:val="nil"/>
                  </w:tcBorders>
                  <w:vAlign w:val="center"/>
                </w:tcPr>
                <w:p>
                  <w:pPr>
                    <w:pStyle w:val="50"/>
                    <w:rPr>
                      <w:color w:val="auto"/>
                    </w:rPr>
                  </w:pPr>
                  <w:r>
                    <w:rPr>
                      <w:rFonts w:hint="eastAsia"/>
                      <w:color w:val="auto"/>
                    </w:rPr>
                    <w:t>委托有资质单位安全处置</w:t>
                  </w:r>
                </w:p>
              </w:tc>
            </w:tr>
            <w:tr>
              <w:tblPrEx>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0" w:type="dxa"/>
                  <w:bottom w:w="0" w:type="dxa"/>
                  <w:right w:w="0" w:type="dxa"/>
                </w:tblCellMar>
              </w:tblPrEx>
              <w:trPr>
                <w:trHeight w:val="357" w:hRule="atLeast"/>
              </w:trPr>
              <w:tc>
                <w:tcPr>
                  <w:tcW w:w="813" w:type="pct"/>
                  <w:tcBorders>
                    <w:tl2br w:val="nil"/>
                    <w:tr2bl w:val="nil"/>
                  </w:tcBorders>
                  <w:vAlign w:val="center"/>
                </w:tcPr>
                <w:p>
                  <w:pPr>
                    <w:pStyle w:val="50"/>
                    <w:rPr>
                      <w:color w:val="auto"/>
                    </w:rPr>
                  </w:pPr>
                  <w:r>
                    <w:rPr>
                      <w:rFonts w:hint="eastAsia"/>
                      <w:color w:val="auto"/>
                    </w:rPr>
                    <w:t>废活性炭</w:t>
                  </w:r>
                </w:p>
              </w:tc>
              <w:tc>
                <w:tcPr>
                  <w:tcW w:w="695" w:type="pct"/>
                  <w:tcBorders>
                    <w:tl2br w:val="nil"/>
                    <w:tr2bl w:val="nil"/>
                  </w:tcBorders>
                  <w:vAlign w:val="center"/>
                </w:tcPr>
                <w:p>
                  <w:pPr>
                    <w:pStyle w:val="50"/>
                    <w:rPr>
                      <w:color w:val="auto"/>
                    </w:rPr>
                  </w:pPr>
                  <w:r>
                    <w:rPr>
                      <w:rFonts w:hint="eastAsia"/>
                      <w:color w:val="auto"/>
                    </w:rPr>
                    <w:t>废气处理</w:t>
                  </w:r>
                </w:p>
              </w:tc>
              <w:tc>
                <w:tcPr>
                  <w:tcW w:w="807" w:type="pct"/>
                  <w:tcBorders>
                    <w:tl2br w:val="nil"/>
                    <w:tr2bl w:val="nil"/>
                  </w:tcBorders>
                  <w:vAlign w:val="center"/>
                </w:tcPr>
                <w:p>
                  <w:pPr>
                    <w:pStyle w:val="50"/>
                    <w:rPr>
                      <w:color w:val="auto"/>
                    </w:rPr>
                  </w:pPr>
                  <w:r>
                    <w:rPr>
                      <w:rFonts w:hint="eastAsia"/>
                      <w:color w:val="auto"/>
                    </w:rPr>
                    <w:t>活性炭</w:t>
                  </w:r>
                </w:p>
              </w:tc>
              <w:tc>
                <w:tcPr>
                  <w:tcW w:w="538" w:type="pct"/>
                  <w:vMerge w:val="continue"/>
                  <w:tcBorders>
                    <w:tl2br w:val="nil"/>
                    <w:tr2bl w:val="nil"/>
                  </w:tcBorders>
                  <w:vAlign w:val="center"/>
                </w:tcPr>
                <w:p>
                  <w:pPr>
                    <w:pStyle w:val="50"/>
                    <w:rPr>
                      <w:color w:val="auto"/>
                    </w:rPr>
                  </w:pPr>
                </w:p>
              </w:tc>
              <w:tc>
                <w:tcPr>
                  <w:tcW w:w="665" w:type="pct"/>
                  <w:tcBorders>
                    <w:tl2br w:val="nil"/>
                    <w:tr2bl w:val="nil"/>
                  </w:tcBorders>
                  <w:vAlign w:val="center"/>
                </w:tcPr>
                <w:p>
                  <w:pPr>
                    <w:pStyle w:val="50"/>
                    <w:rPr>
                      <w:color w:val="auto"/>
                    </w:rPr>
                  </w:pPr>
                  <w:r>
                    <w:rPr>
                      <w:rFonts w:hint="eastAsia"/>
                      <w:color w:val="auto"/>
                    </w:rPr>
                    <w:t>0.27</w:t>
                  </w:r>
                </w:p>
              </w:tc>
              <w:tc>
                <w:tcPr>
                  <w:tcW w:w="1478" w:type="pct"/>
                  <w:tcBorders>
                    <w:tl2br w:val="nil"/>
                    <w:tr2bl w:val="nil"/>
                  </w:tcBorders>
                  <w:vAlign w:val="center"/>
                </w:tcPr>
                <w:p>
                  <w:pPr>
                    <w:pStyle w:val="50"/>
                    <w:rPr>
                      <w:color w:val="auto"/>
                    </w:rPr>
                  </w:pPr>
                  <w:r>
                    <w:rPr>
                      <w:rFonts w:hint="eastAsia"/>
                      <w:color w:val="auto"/>
                    </w:rPr>
                    <w:t>委托有资质单位安全处置</w:t>
                  </w:r>
                </w:p>
              </w:tc>
            </w:tr>
          </w:tbl>
          <w:p>
            <w:pPr>
              <w:ind w:firstLine="480"/>
              <w:rPr>
                <w:color w:val="auto"/>
              </w:rPr>
            </w:pPr>
            <w:r>
              <w:rPr>
                <w:rFonts w:hint="eastAsia"/>
                <w:color w:val="auto"/>
              </w:rPr>
              <w:t>①一般工业固废处置影响分析</w:t>
            </w:r>
          </w:p>
          <w:p>
            <w:pPr>
              <w:ind w:firstLine="480"/>
              <w:rPr>
                <w:color w:val="auto"/>
              </w:rPr>
            </w:pPr>
            <w:r>
              <w:rPr>
                <w:rFonts w:hint="eastAsia"/>
                <w:color w:val="auto"/>
              </w:rPr>
              <w:t>本项目涉及的一般工业固体废物为：机加工生产过程中产生的废金属边角料；焊接工序产生的废焊料和焊渣；喷塑过程中的收尘系统回收塑粉；焊丝、塑粉包装产生的废包装材料及生活垃圾。</w:t>
            </w:r>
          </w:p>
          <w:p>
            <w:pPr>
              <w:ind w:firstLine="480"/>
              <w:rPr>
                <w:snapToGrid/>
                <w:color w:val="auto"/>
              </w:rPr>
            </w:pPr>
            <w:r>
              <w:rPr>
                <w:rFonts w:hint="eastAsia"/>
                <w:color w:val="auto"/>
              </w:rPr>
              <w:t>项目拟采取的固体废物处置措施如下：</w:t>
            </w:r>
          </w:p>
          <w:p>
            <w:pPr>
              <w:ind w:firstLine="480"/>
              <w:rPr>
                <w:snapToGrid/>
                <w:color w:val="auto"/>
              </w:rPr>
            </w:pPr>
            <w:r>
              <w:rPr>
                <w:rFonts w:hint="eastAsia"/>
                <w:color w:val="auto"/>
              </w:rPr>
              <w:t>项目拟在项目厂房东南侧设置6m</w:t>
            </w:r>
            <w:r>
              <w:rPr>
                <w:rFonts w:hint="eastAsia"/>
                <w:color w:val="auto"/>
                <w:vertAlign w:val="superscript"/>
              </w:rPr>
              <w:t>2</w:t>
            </w:r>
            <w:r>
              <w:rPr>
                <w:rFonts w:hint="eastAsia"/>
                <w:color w:val="auto"/>
              </w:rPr>
              <w:t>的一般工业固废暂存间，定期收集外售给废旧物资回收站。项目年产生量不大，设置6m</w:t>
            </w:r>
            <w:r>
              <w:rPr>
                <w:rFonts w:hint="eastAsia"/>
                <w:color w:val="auto"/>
                <w:vertAlign w:val="superscript"/>
              </w:rPr>
              <w:t>2</w:t>
            </w:r>
            <w:r>
              <w:rPr>
                <w:rFonts w:hint="eastAsia"/>
                <w:color w:val="auto"/>
              </w:rPr>
              <w:t>一般工业固废暂存间可以满足堆存需要。</w:t>
            </w:r>
          </w:p>
          <w:p>
            <w:pPr>
              <w:ind w:firstLine="480"/>
              <w:rPr>
                <w:snapToGrid/>
                <w:color w:val="auto"/>
              </w:rPr>
            </w:pPr>
            <w:r>
              <w:rPr>
                <w:rFonts w:hint="eastAsia"/>
                <w:color w:val="auto"/>
              </w:rPr>
              <w:t>综上所述，采取相应整改措施后，本项目一般固废可得到妥善处置。</w:t>
            </w:r>
          </w:p>
          <w:p>
            <w:pPr>
              <w:ind w:firstLine="480"/>
              <w:rPr>
                <w:snapToGrid/>
                <w:color w:val="auto"/>
              </w:rPr>
            </w:pPr>
            <w:r>
              <w:rPr>
                <w:rFonts w:hint="eastAsia"/>
                <w:color w:val="auto"/>
              </w:rPr>
              <w:t>②危险废物处置影响分析</w:t>
            </w:r>
          </w:p>
          <w:p>
            <w:pPr>
              <w:ind w:firstLine="480"/>
              <w:rPr>
                <w:snapToGrid/>
                <w:color w:val="auto"/>
              </w:rPr>
            </w:pPr>
            <w:r>
              <w:rPr>
                <w:rFonts w:hint="eastAsia"/>
                <w:color w:val="auto"/>
              </w:rPr>
              <w:t>设备保养及维护、机修环节产生的废润滑油、废油桶等；废气处理产生的废活性炭。</w:t>
            </w:r>
          </w:p>
          <w:p>
            <w:pPr>
              <w:ind w:firstLine="480"/>
              <w:rPr>
                <w:snapToGrid/>
                <w:color w:val="auto"/>
              </w:rPr>
            </w:pPr>
            <w:r>
              <w:rPr>
                <w:rFonts w:hint="eastAsia"/>
                <w:color w:val="auto"/>
              </w:rPr>
              <w:t>项目拟在项目区厂房南侧设置1个5m</w:t>
            </w:r>
            <w:r>
              <w:rPr>
                <w:rFonts w:hint="eastAsia"/>
                <w:color w:val="auto"/>
                <w:vertAlign w:val="superscript"/>
              </w:rPr>
              <w:t>2</w:t>
            </w:r>
            <w:r>
              <w:rPr>
                <w:rFonts w:hint="eastAsia"/>
                <w:color w:val="auto"/>
              </w:rPr>
              <w:t>的危险废物暂存间，贮存能力2t/a，危废暂存间的设置要求按照GB18597-2001《危险废物贮存污染控制标准》和HJ2025-2012《危险废物收集 贮存 运输技术规范》对危险废物的要求，统一收集，规范贮存。委托有资质单位定期处置。</w:t>
            </w:r>
          </w:p>
          <w:p>
            <w:pPr>
              <w:ind w:firstLine="480"/>
              <w:rPr>
                <w:snapToGrid/>
                <w:color w:val="auto"/>
              </w:rPr>
            </w:pPr>
            <w:r>
              <w:rPr>
                <w:rFonts w:hint="eastAsia"/>
                <w:color w:val="auto"/>
              </w:rPr>
              <w:t>①地面与裙脚要用坚固、防渗的材料建造，建筑材料必须与危险相容，不同类型危废分区存放，并粘贴相应标签；</w:t>
            </w:r>
          </w:p>
          <w:p>
            <w:pPr>
              <w:ind w:firstLine="480"/>
              <w:rPr>
                <w:snapToGrid/>
                <w:color w:val="auto"/>
              </w:rPr>
            </w:pPr>
            <w:r>
              <w:rPr>
                <w:rFonts w:hint="eastAsia"/>
                <w:color w:val="auto"/>
              </w:rPr>
              <w:t>②设施内要有安全照明设施、观察窗口及应急防护设施；</w:t>
            </w:r>
          </w:p>
          <w:p>
            <w:pPr>
              <w:ind w:firstLine="480"/>
              <w:rPr>
                <w:snapToGrid/>
                <w:color w:val="auto"/>
              </w:rPr>
            </w:pPr>
            <w:r>
              <w:rPr>
                <w:rFonts w:hint="eastAsia"/>
                <w:color w:val="auto"/>
              </w:rPr>
              <w:t>③基础必须防渗，防渗层为的2mm高密度聚乙烯或至少2mm厚的其它人工材料，渗透系数≤10-10cm/s；</w:t>
            </w:r>
          </w:p>
          <w:p>
            <w:pPr>
              <w:ind w:firstLine="480"/>
              <w:rPr>
                <w:snapToGrid/>
                <w:color w:val="auto"/>
              </w:rPr>
            </w:pPr>
            <w:r>
              <w:rPr>
                <w:rFonts w:hint="eastAsia"/>
                <w:color w:val="auto"/>
              </w:rPr>
              <w:t>④危废间要防风、防雨、防晒；</w:t>
            </w:r>
          </w:p>
          <w:p>
            <w:pPr>
              <w:ind w:firstLine="480"/>
              <w:rPr>
                <w:snapToGrid/>
                <w:color w:val="auto"/>
              </w:rPr>
            </w:pPr>
            <w:r>
              <w:rPr>
                <w:rFonts w:hint="eastAsia"/>
                <w:color w:val="auto"/>
              </w:rPr>
              <w:t>⑤危废暂存间必须按GB15562.2的规定设置警示标志设置明显的警示标志。</w:t>
            </w:r>
          </w:p>
          <w:p>
            <w:pPr>
              <w:ind w:firstLine="480"/>
              <w:rPr>
                <w:snapToGrid/>
                <w:color w:val="auto"/>
              </w:rPr>
            </w:pPr>
            <w:r>
              <w:rPr>
                <w:rFonts w:hint="eastAsia"/>
                <w:color w:val="auto"/>
              </w:rPr>
              <w:t>⑥建立危险废物贮存台账，危险废物出入库必须详细登记。</w:t>
            </w:r>
          </w:p>
          <w:p>
            <w:pPr>
              <w:ind w:firstLine="480"/>
              <w:rPr>
                <w:snapToGrid/>
                <w:color w:val="auto"/>
              </w:rPr>
            </w:pPr>
            <w:r>
              <w:rPr>
                <w:rFonts w:hint="eastAsia"/>
                <w:color w:val="auto"/>
              </w:rPr>
              <w:t>⑦危险废物入库时必须进行检查，确保同预定接收的危险废物一致,同时要求暂存间需安装门锁且有专人管理，禁止无关人员进入。</w:t>
            </w:r>
          </w:p>
          <w:p>
            <w:pPr>
              <w:ind w:firstLine="480"/>
              <w:rPr>
                <w:snapToGrid/>
                <w:color w:val="auto"/>
              </w:rPr>
            </w:pPr>
            <w:r>
              <w:rPr>
                <w:rFonts w:hint="eastAsia"/>
                <w:color w:val="auto"/>
              </w:rPr>
              <w:t>⑧危险废物转运时，危险废物处理单位（甲方）到建设单位（乙方）危险废物贮存间转运危险废物，转运操作流程为：由乙方指定的工作人员将危险废物由贮存间送到甲方转运车旁，与甲方交接及办理转运手续，并将包装合格的危险废物装车，由甲方负责危险废物的最终处置。在危险废物交接过程中，甲乙双方应对危险废物数量、重量、种类进行确认，并认真填写危险废物转移联单、凭证，由甲方于次月统一上报当地环保部门，以便相关部门跟踪管理与监督。</w:t>
            </w:r>
          </w:p>
          <w:p>
            <w:pPr>
              <w:ind w:firstLine="480"/>
              <w:rPr>
                <w:snapToGrid/>
                <w:color w:val="auto"/>
              </w:rPr>
            </w:pPr>
            <w:r>
              <w:rPr>
                <w:rFonts w:hint="eastAsia"/>
                <w:color w:val="auto"/>
              </w:rPr>
              <w:t>⑨危险废物转运必须实施国家环境保护总局令第5号《危险废物转移联单管理办法》，即如实填写危险废物转移联单中产生单位栏目，并加盖公章，经交付危险废物运输单位核实验收签字后，将联单第一联副联自留存档，将联单第二联交移出地环境保护行政主管部门，联单第一联正联及其余各联交付运输单位随危险废物转移运行，联单保存期限为五年。</w:t>
            </w:r>
          </w:p>
          <w:p>
            <w:pPr>
              <w:ind w:firstLine="480"/>
              <w:rPr>
                <w:snapToGrid/>
                <w:color w:val="auto"/>
              </w:rPr>
            </w:pPr>
            <w:r>
              <w:rPr>
                <w:rFonts w:hint="eastAsia"/>
                <w:color w:val="auto"/>
              </w:rPr>
              <w:t>综上所述，项目所产生的固体废弃物能够得到合理、有效的处置，各固体废弃物去向明确，处置率达到 100%，对环境的影响较小。</w:t>
            </w:r>
          </w:p>
          <w:p>
            <w:pPr>
              <w:ind w:firstLine="498"/>
              <w:contextualSpacing/>
              <w:rPr>
                <w:b/>
                <w:color w:val="auto"/>
                <w:spacing w:val="4"/>
                <w:szCs w:val="28"/>
              </w:rPr>
            </w:pPr>
            <w:r>
              <w:rPr>
                <w:b/>
                <w:color w:val="auto"/>
                <w:spacing w:val="4"/>
                <w:szCs w:val="28"/>
              </w:rPr>
              <w:t>7</w:t>
            </w:r>
            <w:r>
              <w:rPr>
                <w:rFonts w:hint="eastAsia"/>
                <w:b/>
                <w:color w:val="auto"/>
                <w:spacing w:val="4"/>
                <w:szCs w:val="28"/>
              </w:rPr>
              <w:t>、</w:t>
            </w:r>
            <w:r>
              <w:rPr>
                <w:b/>
                <w:color w:val="auto"/>
                <w:spacing w:val="4"/>
                <w:szCs w:val="28"/>
              </w:rPr>
              <w:t>环境</w:t>
            </w:r>
            <w:r>
              <w:rPr>
                <w:rFonts w:hint="eastAsia"/>
                <w:b/>
                <w:color w:val="auto"/>
                <w:spacing w:val="4"/>
                <w:szCs w:val="28"/>
              </w:rPr>
              <w:t>风险</w:t>
            </w:r>
            <w:r>
              <w:rPr>
                <w:b/>
                <w:color w:val="auto"/>
                <w:spacing w:val="4"/>
                <w:szCs w:val="28"/>
              </w:rPr>
              <w:t>分析</w:t>
            </w:r>
          </w:p>
          <w:p>
            <w:pPr>
              <w:ind w:firstLine="470" w:firstLineChars="196"/>
              <w:rPr>
                <w:bCs/>
                <w:color w:val="auto"/>
                <w:lang w:val="zh-CN"/>
              </w:rPr>
            </w:pPr>
            <w:r>
              <w:rPr>
                <w:bCs/>
                <w:color w:val="auto"/>
                <w:lang w:val="zh-CN"/>
              </w:rPr>
              <w:t>针对本项目工程特点，对本项目可能发生的事故风险进行环境影响分析，提出防范及应急措施，力求将环境风险降到最低。</w:t>
            </w:r>
          </w:p>
          <w:p>
            <w:pPr>
              <w:ind w:firstLine="472" w:firstLineChars="196"/>
              <w:rPr>
                <w:b/>
                <w:color w:val="auto"/>
              </w:rPr>
            </w:pPr>
            <w:r>
              <w:rPr>
                <w:rFonts w:hint="eastAsia"/>
                <w:b/>
                <w:color w:val="auto"/>
              </w:rPr>
              <w:t>7.1评价依据</w:t>
            </w:r>
          </w:p>
          <w:p>
            <w:pPr>
              <w:tabs>
                <w:tab w:val="left" w:pos="-108"/>
              </w:tabs>
              <w:ind w:firstLine="472" w:firstLineChars="196"/>
              <w:rPr>
                <w:b/>
                <w:color w:val="auto"/>
              </w:rPr>
            </w:pPr>
            <w:r>
              <w:rPr>
                <w:rFonts w:hint="eastAsia"/>
                <w:b/>
                <w:color w:val="auto"/>
              </w:rPr>
              <w:t>7</w:t>
            </w:r>
            <w:r>
              <w:rPr>
                <w:b/>
                <w:color w:val="auto"/>
              </w:rPr>
              <w:t>.1.1风险调查</w:t>
            </w:r>
          </w:p>
          <w:p>
            <w:pPr>
              <w:ind w:firstLine="470" w:firstLineChars="196"/>
              <w:rPr>
                <w:bCs/>
                <w:color w:val="auto"/>
                <w:lang w:val="zh-CN"/>
              </w:rPr>
            </w:pPr>
            <w:r>
              <w:rPr>
                <w:bCs/>
                <w:color w:val="auto"/>
                <w:lang w:val="zh-CN"/>
              </w:rPr>
              <w:t>依据《建设项目环境风险评价技术导则》（HJ169-2018）的要求，对项目区可能涉及的风险物质区域，主要从表7-</w:t>
            </w:r>
            <w:r>
              <w:rPr>
                <w:rFonts w:hint="eastAsia"/>
                <w:bCs/>
                <w:color w:val="auto"/>
                <w:lang w:val="en-US" w:eastAsia="zh-CN"/>
              </w:rPr>
              <w:t>30</w:t>
            </w:r>
            <w:r>
              <w:rPr>
                <w:bCs/>
                <w:color w:val="auto"/>
                <w:lang w:val="zh-CN"/>
              </w:rPr>
              <w:t>中所列各个方面进行环境风险源基本情况调查。</w:t>
            </w:r>
          </w:p>
          <w:p>
            <w:pPr>
              <w:pStyle w:val="48"/>
              <w:keepNext/>
              <w:keepLines/>
              <w:ind w:firstLine="422"/>
              <w:rPr>
                <w:color w:val="auto"/>
              </w:rPr>
            </w:pPr>
            <w:r>
              <w:rPr>
                <w:rFonts w:hint="eastAsia"/>
                <w:color w:val="auto"/>
              </w:rPr>
              <w:t>表7-</w:t>
            </w:r>
            <w:r>
              <w:rPr>
                <w:rFonts w:hint="eastAsia"/>
                <w:color w:val="auto"/>
                <w:lang w:val="en-US" w:eastAsia="zh-CN"/>
              </w:rPr>
              <w:t>30</w:t>
            </w:r>
            <w:r>
              <w:rPr>
                <w:rFonts w:hint="eastAsia"/>
                <w:color w:val="auto"/>
              </w:rPr>
              <w:t xml:space="preserve"> 环境风险源基本调查一览表</w:t>
            </w:r>
          </w:p>
          <w:tbl>
            <w:tblPr>
              <w:tblStyle w:val="36"/>
              <w:tblW w:w="83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8"/>
              <w:gridCol w:w="662"/>
              <w:gridCol w:w="1313"/>
              <w:gridCol w:w="2182"/>
              <w:gridCol w:w="35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88" w:type="dxa"/>
                  <w:noWrap/>
                  <w:vAlign w:val="center"/>
                </w:tcPr>
                <w:p>
                  <w:pPr>
                    <w:pStyle w:val="50"/>
                    <w:rPr>
                      <w:color w:val="auto"/>
                      <w:kern w:val="2"/>
                    </w:rPr>
                  </w:pPr>
                  <w:r>
                    <w:rPr>
                      <w:color w:val="auto"/>
                      <w:kern w:val="2"/>
                    </w:rPr>
                    <w:t>序号</w:t>
                  </w:r>
                </w:p>
              </w:tc>
              <w:tc>
                <w:tcPr>
                  <w:tcW w:w="1975" w:type="dxa"/>
                  <w:gridSpan w:val="2"/>
                  <w:noWrap/>
                  <w:vAlign w:val="center"/>
                </w:tcPr>
                <w:p>
                  <w:pPr>
                    <w:pStyle w:val="50"/>
                    <w:rPr>
                      <w:color w:val="auto"/>
                      <w:kern w:val="2"/>
                    </w:rPr>
                  </w:pPr>
                  <w:r>
                    <w:rPr>
                      <w:color w:val="auto"/>
                      <w:kern w:val="2"/>
                    </w:rPr>
                    <w:t>调查对象</w:t>
                  </w:r>
                </w:p>
              </w:tc>
              <w:tc>
                <w:tcPr>
                  <w:tcW w:w="2182" w:type="dxa"/>
                  <w:noWrap/>
                  <w:vAlign w:val="center"/>
                </w:tcPr>
                <w:p>
                  <w:pPr>
                    <w:pStyle w:val="50"/>
                    <w:rPr>
                      <w:color w:val="auto"/>
                      <w:kern w:val="2"/>
                    </w:rPr>
                  </w:pPr>
                  <w:r>
                    <w:rPr>
                      <w:color w:val="auto"/>
                      <w:kern w:val="2"/>
                    </w:rPr>
                    <w:t>调查内容</w:t>
                  </w:r>
                </w:p>
              </w:tc>
              <w:tc>
                <w:tcPr>
                  <w:tcW w:w="3512" w:type="dxa"/>
                  <w:noWrap/>
                  <w:vAlign w:val="center"/>
                </w:tcPr>
                <w:p>
                  <w:pPr>
                    <w:pStyle w:val="50"/>
                    <w:rPr>
                      <w:color w:val="auto"/>
                      <w:kern w:val="2"/>
                    </w:rPr>
                  </w:pPr>
                  <w:r>
                    <w:rPr>
                      <w:color w:val="auto"/>
                      <w:kern w:val="2"/>
                    </w:rPr>
                    <w:t>调查结果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jc w:val="center"/>
              </w:trPr>
              <w:tc>
                <w:tcPr>
                  <w:tcW w:w="688" w:type="dxa"/>
                  <w:vMerge w:val="restart"/>
                  <w:noWrap/>
                  <w:vAlign w:val="center"/>
                </w:tcPr>
                <w:p>
                  <w:pPr>
                    <w:pStyle w:val="50"/>
                    <w:rPr>
                      <w:color w:val="auto"/>
                      <w:kern w:val="2"/>
                    </w:rPr>
                  </w:pPr>
                  <w:r>
                    <w:rPr>
                      <w:color w:val="auto"/>
                      <w:kern w:val="2"/>
                    </w:rPr>
                    <w:t>1</w:t>
                  </w:r>
                </w:p>
              </w:tc>
              <w:tc>
                <w:tcPr>
                  <w:tcW w:w="662" w:type="dxa"/>
                  <w:vMerge w:val="restart"/>
                  <w:noWrap/>
                  <w:vAlign w:val="center"/>
                </w:tcPr>
                <w:p>
                  <w:pPr>
                    <w:pStyle w:val="50"/>
                    <w:rPr>
                      <w:color w:val="auto"/>
                      <w:kern w:val="2"/>
                    </w:rPr>
                  </w:pPr>
                  <w:r>
                    <w:rPr>
                      <w:color w:val="auto"/>
                      <w:kern w:val="2"/>
                    </w:rPr>
                    <w:t>风险物质</w:t>
                  </w:r>
                </w:p>
              </w:tc>
              <w:tc>
                <w:tcPr>
                  <w:tcW w:w="1313" w:type="dxa"/>
                  <w:noWrap/>
                  <w:vAlign w:val="center"/>
                </w:tcPr>
                <w:p>
                  <w:pPr>
                    <w:pStyle w:val="50"/>
                    <w:rPr>
                      <w:color w:val="auto"/>
                      <w:kern w:val="2"/>
                    </w:rPr>
                  </w:pPr>
                  <w:r>
                    <w:rPr>
                      <w:color w:val="auto"/>
                      <w:kern w:val="2"/>
                    </w:rPr>
                    <w:t>危险物质</w:t>
                  </w:r>
                </w:p>
              </w:tc>
              <w:tc>
                <w:tcPr>
                  <w:tcW w:w="2182" w:type="dxa"/>
                  <w:vMerge w:val="restart"/>
                  <w:noWrap/>
                  <w:vAlign w:val="center"/>
                </w:tcPr>
                <w:p>
                  <w:pPr>
                    <w:pStyle w:val="50"/>
                    <w:rPr>
                      <w:color w:val="auto"/>
                      <w:kern w:val="2"/>
                    </w:rPr>
                  </w:pPr>
                  <w:r>
                    <w:rPr>
                      <w:color w:val="auto"/>
                      <w:kern w:val="2"/>
                    </w:rPr>
                    <w:t>主要针对生产过程中使用的各类风险物质名称及使用量、贮存量进行统计分析</w:t>
                  </w:r>
                </w:p>
              </w:tc>
              <w:tc>
                <w:tcPr>
                  <w:tcW w:w="3512" w:type="dxa"/>
                  <w:vMerge w:val="restart"/>
                  <w:noWrap/>
                  <w:vAlign w:val="center"/>
                </w:tcPr>
                <w:p>
                  <w:pPr>
                    <w:pStyle w:val="50"/>
                    <w:rPr>
                      <w:rFonts w:hint="default" w:eastAsia="宋体"/>
                      <w:color w:val="auto"/>
                      <w:kern w:val="2"/>
                      <w:lang w:val="en-US" w:eastAsia="zh-CN"/>
                    </w:rPr>
                  </w:pPr>
                  <w:r>
                    <w:rPr>
                      <w:rFonts w:hint="eastAsia"/>
                      <w:color w:val="auto"/>
                      <w:kern w:val="2"/>
                      <w:lang w:eastAsia="zh-CN"/>
                    </w:rPr>
                    <w:t>乙炔、</w:t>
                  </w:r>
                  <w:r>
                    <w:rPr>
                      <w:rFonts w:hint="eastAsia"/>
                      <w:color w:val="auto"/>
                      <w:kern w:val="2"/>
                      <w:lang w:val="en-US" w:eastAsia="zh-CN"/>
                    </w:rPr>
                    <w:t>天然气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jc w:val="center"/>
              </w:trPr>
              <w:tc>
                <w:tcPr>
                  <w:tcW w:w="688" w:type="dxa"/>
                  <w:vMerge w:val="continue"/>
                  <w:noWrap/>
                  <w:vAlign w:val="center"/>
                </w:tcPr>
                <w:p>
                  <w:pPr>
                    <w:pStyle w:val="50"/>
                    <w:rPr>
                      <w:color w:val="auto"/>
                      <w:kern w:val="2"/>
                    </w:rPr>
                  </w:pPr>
                </w:p>
              </w:tc>
              <w:tc>
                <w:tcPr>
                  <w:tcW w:w="662" w:type="dxa"/>
                  <w:vMerge w:val="continue"/>
                  <w:noWrap/>
                  <w:vAlign w:val="center"/>
                </w:tcPr>
                <w:p>
                  <w:pPr>
                    <w:pStyle w:val="50"/>
                    <w:rPr>
                      <w:color w:val="auto"/>
                      <w:kern w:val="2"/>
                    </w:rPr>
                  </w:pPr>
                </w:p>
              </w:tc>
              <w:tc>
                <w:tcPr>
                  <w:tcW w:w="1313" w:type="dxa"/>
                  <w:noWrap/>
                  <w:vAlign w:val="center"/>
                </w:tcPr>
                <w:p>
                  <w:pPr>
                    <w:pStyle w:val="50"/>
                    <w:rPr>
                      <w:color w:val="auto"/>
                      <w:kern w:val="2"/>
                    </w:rPr>
                  </w:pPr>
                  <w:r>
                    <w:rPr>
                      <w:color w:val="auto"/>
                      <w:kern w:val="2"/>
                    </w:rPr>
                    <w:t>其他危险物质</w:t>
                  </w:r>
                </w:p>
              </w:tc>
              <w:tc>
                <w:tcPr>
                  <w:tcW w:w="2182" w:type="dxa"/>
                  <w:vMerge w:val="continue"/>
                  <w:noWrap/>
                  <w:vAlign w:val="center"/>
                </w:tcPr>
                <w:p>
                  <w:pPr>
                    <w:pStyle w:val="50"/>
                    <w:rPr>
                      <w:color w:val="auto"/>
                      <w:kern w:val="2"/>
                    </w:rPr>
                  </w:pPr>
                </w:p>
              </w:tc>
              <w:tc>
                <w:tcPr>
                  <w:tcW w:w="3512" w:type="dxa"/>
                  <w:vMerge w:val="continue"/>
                  <w:noWrap/>
                  <w:vAlign w:val="center"/>
                </w:tcPr>
                <w:p>
                  <w:pPr>
                    <w:pStyle w:val="50"/>
                    <w:rPr>
                      <w:color w:val="auto"/>
                      <w:kern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jc w:val="center"/>
              </w:trPr>
              <w:tc>
                <w:tcPr>
                  <w:tcW w:w="688" w:type="dxa"/>
                  <w:vMerge w:val="restart"/>
                  <w:noWrap/>
                  <w:vAlign w:val="center"/>
                </w:tcPr>
                <w:p>
                  <w:pPr>
                    <w:pStyle w:val="50"/>
                    <w:rPr>
                      <w:color w:val="auto"/>
                      <w:kern w:val="2"/>
                    </w:rPr>
                  </w:pPr>
                  <w:r>
                    <w:rPr>
                      <w:color w:val="auto"/>
                      <w:kern w:val="2"/>
                    </w:rPr>
                    <w:t>2</w:t>
                  </w:r>
                </w:p>
              </w:tc>
              <w:tc>
                <w:tcPr>
                  <w:tcW w:w="662" w:type="dxa"/>
                  <w:vMerge w:val="restart"/>
                  <w:noWrap/>
                  <w:vAlign w:val="center"/>
                </w:tcPr>
                <w:p>
                  <w:pPr>
                    <w:pStyle w:val="50"/>
                    <w:rPr>
                      <w:color w:val="auto"/>
                      <w:kern w:val="2"/>
                    </w:rPr>
                  </w:pPr>
                  <w:r>
                    <w:rPr>
                      <w:color w:val="auto"/>
                      <w:kern w:val="2"/>
                    </w:rPr>
                    <w:t>生产系统</w:t>
                  </w:r>
                </w:p>
              </w:tc>
              <w:tc>
                <w:tcPr>
                  <w:tcW w:w="1313" w:type="dxa"/>
                  <w:noWrap/>
                  <w:vAlign w:val="center"/>
                </w:tcPr>
                <w:p>
                  <w:pPr>
                    <w:pStyle w:val="50"/>
                    <w:rPr>
                      <w:color w:val="auto"/>
                      <w:kern w:val="2"/>
                    </w:rPr>
                  </w:pPr>
                  <w:r>
                    <w:rPr>
                      <w:color w:val="auto"/>
                      <w:kern w:val="2"/>
                    </w:rPr>
                    <w:t>生产工艺</w:t>
                  </w:r>
                </w:p>
              </w:tc>
              <w:tc>
                <w:tcPr>
                  <w:tcW w:w="2182" w:type="dxa"/>
                  <w:vMerge w:val="restart"/>
                  <w:noWrap/>
                  <w:vAlign w:val="center"/>
                </w:tcPr>
                <w:p>
                  <w:pPr>
                    <w:pStyle w:val="50"/>
                    <w:rPr>
                      <w:color w:val="auto"/>
                      <w:kern w:val="2"/>
                    </w:rPr>
                  </w:pPr>
                  <w:r>
                    <w:rPr>
                      <w:color w:val="auto"/>
                      <w:kern w:val="2"/>
                    </w:rPr>
                    <w:t>重点对生产工艺流程的各阶段进行研究，分析哪些设备、设施可能成为环境风险源</w:t>
                  </w:r>
                </w:p>
              </w:tc>
              <w:tc>
                <w:tcPr>
                  <w:tcW w:w="3512" w:type="dxa"/>
                  <w:vMerge w:val="restart"/>
                  <w:noWrap/>
                  <w:vAlign w:val="center"/>
                </w:tcPr>
                <w:p>
                  <w:pPr>
                    <w:pStyle w:val="50"/>
                    <w:rPr>
                      <w:color w:val="auto"/>
                      <w:kern w:val="2"/>
                    </w:rPr>
                  </w:pPr>
                  <w:r>
                    <w:rPr>
                      <w:color w:val="auto"/>
                      <w:kern w:val="2"/>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688" w:type="dxa"/>
                  <w:vMerge w:val="continue"/>
                  <w:noWrap/>
                  <w:vAlign w:val="center"/>
                </w:tcPr>
                <w:p>
                  <w:pPr>
                    <w:pStyle w:val="50"/>
                    <w:rPr>
                      <w:color w:val="auto"/>
                      <w:kern w:val="2"/>
                    </w:rPr>
                  </w:pPr>
                </w:p>
              </w:tc>
              <w:tc>
                <w:tcPr>
                  <w:tcW w:w="662" w:type="dxa"/>
                  <w:vMerge w:val="continue"/>
                  <w:noWrap/>
                  <w:vAlign w:val="center"/>
                </w:tcPr>
                <w:p>
                  <w:pPr>
                    <w:pStyle w:val="50"/>
                    <w:rPr>
                      <w:color w:val="auto"/>
                      <w:kern w:val="2"/>
                    </w:rPr>
                  </w:pPr>
                </w:p>
              </w:tc>
              <w:tc>
                <w:tcPr>
                  <w:tcW w:w="1313" w:type="dxa"/>
                  <w:noWrap/>
                  <w:vAlign w:val="center"/>
                </w:tcPr>
                <w:p>
                  <w:pPr>
                    <w:pStyle w:val="50"/>
                    <w:rPr>
                      <w:color w:val="auto"/>
                      <w:kern w:val="2"/>
                    </w:rPr>
                  </w:pPr>
                  <w:r>
                    <w:rPr>
                      <w:color w:val="auto"/>
                      <w:kern w:val="2"/>
                    </w:rPr>
                    <w:t>生产设施</w:t>
                  </w:r>
                </w:p>
              </w:tc>
              <w:tc>
                <w:tcPr>
                  <w:tcW w:w="2182" w:type="dxa"/>
                  <w:vMerge w:val="continue"/>
                  <w:noWrap/>
                  <w:vAlign w:val="center"/>
                </w:tcPr>
                <w:p>
                  <w:pPr>
                    <w:pStyle w:val="50"/>
                    <w:rPr>
                      <w:color w:val="auto"/>
                      <w:kern w:val="2"/>
                    </w:rPr>
                  </w:pPr>
                </w:p>
              </w:tc>
              <w:tc>
                <w:tcPr>
                  <w:tcW w:w="3512" w:type="dxa"/>
                  <w:vMerge w:val="continue"/>
                  <w:noWrap/>
                  <w:vAlign w:val="center"/>
                </w:tcPr>
                <w:p>
                  <w:pPr>
                    <w:pStyle w:val="50"/>
                    <w:rPr>
                      <w:color w:val="auto"/>
                      <w:kern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 w:hRule="atLeast"/>
                <w:jc w:val="center"/>
              </w:trPr>
              <w:tc>
                <w:tcPr>
                  <w:tcW w:w="688" w:type="dxa"/>
                  <w:vMerge w:val="restart"/>
                  <w:noWrap/>
                  <w:vAlign w:val="center"/>
                </w:tcPr>
                <w:p>
                  <w:pPr>
                    <w:pStyle w:val="50"/>
                    <w:rPr>
                      <w:color w:val="auto"/>
                      <w:kern w:val="2"/>
                    </w:rPr>
                  </w:pPr>
                </w:p>
                <w:p>
                  <w:pPr>
                    <w:pStyle w:val="50"/>
                    <w:rPr>
                      <w:color w:val="auto"/>
                      <w:kern w:val="2"/>
                    </w:rPr>
                  </w:pPr>
                  <w:r>
                    <w:rPr>
                      <w:color w:val="auto"/>
                      <w:kern w:val="2"/>
                    </w:rPr>
                    <w:t>3</w:t>
                  </w:r>
                </w:p>
              </w:tc>
              <w:tc>
                <w:tcPr>
                  <w:tcW w:w="662" w:type="dxa"/>
                  <w:vMerge w:val="restart"/>
                  <w:noWrap/>
                  <w:vAlign w:val="center"/>
                </w:tcPr>
                <w:p>
                  <w:pPr>
                    <w:pStyle w:val="50"/>
                    <w:rPr>
                      <w:color w:val="auto"/>
                      <w:kern w:val="2"/>
                    </w:rPr>
                  </w:pPr>
                </w:p>
                <w:p>
                  <w:pPr>
                    <w:pStyle w:val="50"/>
                    <w:rPr>
                      <w:color w:val="auto"/>
                      <w:kern w:val="2"/>
                    </w:rPr>
                  </w:pPr>
                  <w:r>
                    <w:rPr>
                      <w:color w:val="auto"/>
                      <w:kern w:val="2"/>
                    </w:rPr>
                    <w:t>污染物及环保设施</w:t>
                  </w:r>
                </w:p>
              </w:tc>
              <w:tc>
                <w:tcPr>
                  <w:tcW w:w="1313" w:type="dxa"/>
                  <w:noWrap/>
                  <w:vAlign w:val="center"/>
                </w:tcPr>
                <w:p>
                  <w:pPr>
                    <w:pStyle w:val="50"/>
                    <w:rPr>
                      <w:color w:val="auto"/>
                      <w:kern w:val="2"/>
                    </w:rPr>
                  </w:pPr>
                  <w:r>
                    <w:rPr>
                      <w:color w:val="auto"/>
                      <w:kern w:val="2"/>
                    </w:rPr>
                    <w:t>废水</w:t>
                  </w:r>
                </w:p>
              </w:tc>
              <w:tc>
                <w:tcPr>
                  <w:tcW w:w="2182" w:type="dxa"/>
                  <w:vMerge w:val="restart"/>
                  <w:noWrap/>
                  <w:vAlign w:val="center"/>
                </w:tcPr>
                <w:p>
                  <w:pPr>
                    <w:pStyle w:val="50"/>
                    <w:rPr>
                      <w:color w:val="auto"/>
                      <w:kern w:val="2"/>
                    </w:rPr>
                  </w:pPr>
                  <w:r>
                    <w:rPr>
                      <w:color w:val="auto"/>
                      <w:kern w:val="2"/>
                    </w:rPr>
                    <w:t>对项目排放污染物的种类、产生量以及治理工艺进行分析</w:t>
                  </w:r>
                </w:p>
              </w:tc>
              <w:tc>
                <w:tcPr>
                  <w:tcW w:w="3512" w:type="dxa"/>
                  <w:noWrap/>
                  <w:vAlign w:val="center"/>
                </w:tcPr>
                <w:p>
                  <w:pPr>
                    <w:pStyle w:val="50"/>
                    <w:rPr>
                      <w:color w:val="auto"/>
                      <w:kern w:val="2"/>
                    </w:rPr>
                  </w:pPr>
                  <w:r>
                    <w:rPr>
                      <w:color w:val="auto"/>
                      <w:kern w:val="2"/>
                    </w:rPr>
                    <w:t>无生产废水，冲厕废水依托昆明力线电缆制造有限公司已建设的化粪池及一体化污水处理设备处理达标后回用于绿化及道路清扫，不外排。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688" w:type="dxa"/>
                  <w:vMerge w:val="continue"/>
                  <w:noWrap/>
                  <w:vAlign w:val="center"/>
                </w:tcPr>
                <w:p>
                  <w:pPr>
                    <w:pStyle w:val="50"/>
                    <w:rPr>
                      <w:color w:val="auto"/>
                      <w:kern w:val="2"/>
                    </w:rPr>
                  </w:pPr>
                </w:p>
              </w:tc>
              <w:tc>
                <w:tcPr>
                  <w:tcW w:w="662" w:type="dxa"/>
                  <w:vMerge w:val="continue"/>
                  <w:noWrap/>
                  <w:vAlign w:val="center"/>
                </w:tcPr>
                <w:p>
                  <w:pPr>
                    <w:pStyle w:val="50"/>
                    <w:rPr>
                      <w:color w:val="auto"/>
                      <w:kern w:val="2"/>
                    </w:rPr>
                  </w:pPr>
                </w:p>
              </w:tc>
              <w:tc>
                <w:tcPr>
                  <w:tcW w:w="1313" w:type="dxa"/>
                  <w:noWrap/>
                  <w:vAlign w:val="center"/>
                </w:tcPr>
                <w:p>
                  <w:pPr>
                    <w:pStyle w:val="50"/>
                    <w:rPr>
                      <w:color w:val="auto"/>
                      <w:kern w:val="2"/>
                    </w:rPr>
                  </w:pPr>
                  <w:r>
                    <w:rPr>
                      <w:color w:val="auto"/>
                      <w:kern w:val="2"/>
                    </w:rPr>
                    <w:t>废气</w:t>
                  </w:r>
                </w:p>
              </w:tc>
              <w:tc>
                <w:tcPr>
                  <w:tcW w:w="2182" w:type="dxa"/>
                  <w:vMerge w:val="continue"/>
                  <w:noWrap/>
                  <w:vAlign w:val="center"/>
                </w:tcPr>
                <w:p>
                  <w:pPr>
                    <w:pStyle w:val="50"/>
                    <w:rPr>
                      <w:color w:val="auto"/>
                      <w:kern w:val="2"/>
                    </w:rPr>
                  </w:pPr>
                </w:p>
              </w:tc>
              <w:tc>
                <w:tcPr>
                  <w:tcW w:w="3512" w:type="dxa"/>
                  <w:noWrap/>
                  <w:vAlign w:val="center"/>
                </w:tcPr>
                <w:p>
                  <w:pPr>
                    <w:pStyle w:val="50"/>
                    <w:rPr>
                      <w:rFonts w:hint="eastAsia" w:eastAsia="宋体"/>
                      <w:color w:val="auto"/>
                      <w:kern w:val="2"/>
                      <w:lang w:eastAsia="zh-CN"/>
                    </w:rPr>
                  </w:pPr>
                  <w:r>
                    <w:rPr>
                      <w:color w:val="auto"/>
                      <w:kern w:val="2"/>
                    </w:rPr>
                    <w:t>废气为</w:t>
                  </w:r>
                  <w:r>
                    <w:rPr>
                      <w:rFonts w:hint="eastAsia"/>
                      <w:color w:val="auto"/>
                      <w:kern w:val="2"/>
                    </w:rPr>
                    <w:t>非甲烷总烃</w:t>
                  </w:r>
                  <w:r>
                    <w:rPr>
                      <w:color w:val="auto"/>
                      <w:kern w:val="2"/>
                    </w:rPr>
                    <w:t>、TSP达标排放</w:t>
                  </w:r>
                  <w:r>
                    <w:rPr>
                      <w:rFonts w:hint="eastAsia"/>
                      <w:color w:val="auto"/>
                      <w:kern w:val="2"/>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1" w:hRule="atLeast"/>
                <w:jc w:val="center"/>
              </w:trPr>
              <w:tc>
                <w:tcPr>
                  <w:tcW w:w="688" w:type="dxa"/>
                  <w:vMerge w:val="continue"/>
                  <w:noWrap/>
                  <w:vAlign w:val="center"/>
                </w:tcPr>
                <w:p>
                  <w:pPr>
                    <w:pStyle w:val="50"/>
                    <w:rPr>
                      <w:color w:val="auto"/>
                      <w:kern w:val="2"/>
                    </w:rPr>
                  </w:pPr>
                </w:p>
              </w:tc>
              <w:tc>
                <w:tcPr>
                  <w:tcW w:w="662" w:type="dxa"/>
                  <w:vMerge w:val="continue"/>
                  <w:noWrap/>
                  <w:vAlign w:val="center"/>
                </w:tcPr>
                <w:p>
                  <w:pPr>
                    <w:pStyle w:val="50"/>
                    <w:rPr>
                      <w:color w:val="auto"/>
                      <w:kern w:val="2"/>
                    </w:rPr>
                  </w:pPr>
                </w:p>
              </w:tc>
              <w:tc>
                <w:tcPr>
                  <w:tcW w:w="1313" w:type="dxa"/>
                  <w:noWrap/>
                  <w:vAlign w:val="center"/>
                </w:tcPr>
                <w:p>
                  <w:pPr>
                    <w:pStyle w:val="50"/>
                    <w:rPr>
                      <w:color w:val="auto"/>
                      <w:kern w:val="2"/>
                    </w:rPr>
                  </w:pPr>
                  <w:r>
                    <w:rPr>
                      <w:color w:val="auto"/>
                      <w:kern w:val="2"/>
                    </w:rPr>
                    <w:t>固废</w:t>
                  </w:r>
                </w:p>
              </w:tc>
              <w:tc>
                <w:tcPr>
                  <w:tcW w:w="2182" w:type="dxa"/>
                  <w:vMerge w:val="continue"/>
                  <w:noWrap/>
                  <w:vAlign w:val="center"/>
                </w:tcPr>
                <w:p>
                  <w:pPr>
                    <w:pStyle w:val="50"/>
                    <w:rPr>
                      <w:color w:val="auto"/>
                      <w:kern w:val="2"/>
                    </w:rPr>
                  </w:pPr>
                </w:p>
              </w:tc>
              <w:tc>
                <w:tcPr>
                  <w:tcW w:w="3512" w:type="dxa"/>
                  <w:noWrap/>
                  <w:vAlign w:val="center"/>
                </w:tcPr>
                <w:p>
                  <w:pPr>
                    <w:pStyle w:val="50"/>
                    <w:rPr>
                      <w:color w:val="auto"/>
                      <w:kern w:val="2"/>
                    </w:rPr>
                  </w:pPr>
                  <w:r>
                    <w:rPr>
                      <w:color w:val="auto"/>
                      <w:kern w:val="2"/>
                    </w:rPr>
                    <w:t>主要为生活垃圾、废边角料、包装固废，危险固废主要为废活性炭、设备保养及维护、机修环节产生的废润滑油、废油桶、含油棉布手套等。</w:t>
                  </w:r>
                </w:p>
              </w:tc>
            </w:tr>
          </w:tbl>
          <w:p>
            <w:pPr>
              <w:ind w:firstLine="480"/>
              <w:rPr>
                <w:color w:val="auto"/>
              </w:rPr>
            </w:pPr>
            <w:r>
              <w:rPr>
                <w:bCs/>
                <w:color w:val="auto"/>
                <w:lang w:val="zh-CN"/>
              </w:rPr>
              <w:t>根据调查，同时对照《建设项目环境风险评价技术导则》（HJ169-2018）表B.1，本项目涉及风险物质为</w:t>
            </w:r>
            <w:r>
              <w:rPr>
                <w:rFonts w:hint="eastAsia"/>
                <w:color w:val="auto"/>
                <w:lang w:eastAsia="zh-CN"/>
              </w:rPr>
              <w:t>乙炔、</w:t>
            </w:r>
            <w:r>
              <w:rPr>
                <w:rFonts w:hint="eastAsia"/>
                <w:color w:val="auto"/>
                <w:lang w:val="en-US" w:eastAsia="zh-CN"/>
              </w:rPr>
              <w:t>天然气（甲烷、乙烷）</w:t>
            </w:r>
            <w:r>
              <w:rPr>
                <w:bCs/>
                <w:color w:val="auto"/>
                <w:lang w:val="zh-CN"/>
              </w:rPr>
              <w:t>。废气污染物</w:t>
            </w:r>
            <w:r>
              <w:rPr>
                <w:rFonts w:hint="eastAsia"/>
                <w:color w:val="auto"/>
                <w:lang w:val="en-US" w:eastAsia="zh-CN"/>
              </w:rPr>
              <w:t>VOCs</w:t>
            </w:r>
            <w:r>
              <w:rPr>
                <w:bCs/>
                <w:color w:val="auto"/>
                <w:lang w:val="zh-CN"/>
              </w:rPr>
              <w:t>、TSP。</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.1.2风险潜势初判</w:t>
            </w:r>
          </w:p>
          <w:p>
            <w:pPr>
              <w:keepNext/>
              <w:keepLines/>
              <w:ind w:firstLine="482"/>
              <w:rPr>
                <w:b/>
                <w:bCs/>
                <w:color w:val="auto"/>
              </w:rPr>
            </w:pPr>
            <w:r>
              <w:rPr>
                <w:rFonts w:hint="eastAsia"/>
                <w:b/>
                <w:bCs/>
                <w:color w:val="auto"/>
              </w:rPr>
              <w:t>1、危险性物质及工艺系统危险性（P）的分级</w:t>
            </w:r>
          </w:p>
          <w:p>
            <w:pPr>
              <w:ind w:firstLine="470" w:firstLineChars="196"/>
              <w:rPr>
                <w:bCs/>
                <w:color w:val="auto"/>
                <w:lang w:val="zh-CN"/>
              </w:rPr>
            </w:pPr>
            <w:r>
              <w:rPr>
                <w:bCs/>
                <w:color w:val="auto"/>
                <w:lang w:val="zh-CN"/>
              </w:rPr>
              <w:t>⑴危险物质数量与临界量比值（Q）</w:t>
            </w:r>
          </w:p>
          <w:p>
            <w:pPr>
              <w:ind w:firstLine="470" w:firstLineChars="196"/>
              <w:rPr>
                <w:bCs/>
                <w:color w:val="auto"/>
                <w:lang w:val="zh-CN"/>
              </w:rPr>
            </w:pPr>
            <w:r>
              <w:rPr>
                <w:bCs/>
                <w:color w:val="auto"/>
                <w:lang w:val="zh-CN"/>
              </w:rPr>
              <w:t>根据《建设项目环境风险评价技术导则》（HJ 169-2018）附录C，项目危险物质及工艺系统危险性（P）由危险物质数量与临界量比值（Q）和行业及生产工艺（M）确定。</w:t>
            </w:r>
          </w:p>
          <w:p>
            <w:pPr>
              <w:ind w:firstLine="470" w:firstLineChars="196"/>
              <w:rPr>
                <w:bCs/>
                <w:color w:val="auto"/>
                <w:lang w:val="zh-CN"/>
              </w:rPr>
            </w:pPr>
            <w:r>
              <w:rPr>
                <w:bCs/>
                <w:color w:val="auto"/>
                <w:lang w:val="zh-CN"/>
              </w:rPr>
              <w:t>本项目涉及多种危险物质，按下式进行计算Q值：</w:t>
            </w:r>
          </w:p>
          <w:p>
            <w:pPr>
              <w:ind w:firstLine="470" w:firstLineChars="196"/>
              <w:jc w:val="left"/>
              <w:rPr>
                <w:bCs/>
                <w:color w:val="auto"/>
                <w:lang w:val="zh-CN"/>
              </w:rPr>
            </w:pPr>
            <w:r>
              <w:rPr>
                <w:bCs/>
                <w:color w:val="auto"/>
                <w:lang w:val="zh-CN"/>
              </w:rPr>
              <w:t>Q=q1/Q1+q2/Q2+…+qn/Qn</w:t>
            </w:r>
          </w:p>
          <w:p>
            <w:pPr>
              <w:ind w:firstLine="470" w:firstLineChars="196"/>
              <w:rPr>
                <w:bCs/>
                <w:color w:val="auto"/>
                <w:lang w:val="zh-CN"/>
              </w:rPr>
            </w:pPr>
            <w:r>
              <w:rPr>
                <w:bCs/>
                <w:color w:val="auto"/>
                <w:lang w:val="zh-CN"/>
              </w:rPr>
              <w:t>式中：q1，q2，…，qn——每种危险物质的最大存在总量，t；</w:t>
            </w:r>
          </w:p>
          <w:p>
            <w:pPr>
              <w:ind w:firstLine="470" w:firstLineChars="196"/>
              <w:rPr>
                <w:bCs/>
                <w:color w:val="auto"/>
                <w:lang w:val="zh-CN"/>
              </w:rPr>
            </w:pPr>
            <w:r>
              <w:rPr>
                <w:bCs/>
                <w:color w:val="auto"/>
                <w:lang w:val="zh-CN"/>
              </w:rPr>
              <w:t>Q1，Q2，…，Qn——每种危险物质的临界量，t。</w:t>
            </w:r>
          </w:p>
          <w:p>
            <w:pPr>
              <w:ind w:firstLine="470" w:firstLineChars="196"/>
              <w:rPr>
                <w:bCs/>
                <w:color w:val="auto"/>
                <w:lang w:val="zh-CN"/>
              </w:rPr>
            </w:pPr>
            <w:r>
              <w:rPr>
                <w:bCs/>
                <w:color w:val="auto"/>
                <w:lang w:val="zh-CN"/>
              </w:rPr>
              <w:t>当Q＜1时，该项目环境风险潜势为</w:t>
            </w:r>
            <w:r>
              <w:rPr>
                <w:bCs/>
                <w:color w:val="auto"/>
                <w:lang w:val="zh-CN"/>
              </w:rPr>
              <w:fldChar w:fldCharType="begin"/>
            </w:r>
            <w:r>
              <w:rPr>
                <w:bCs/>
                <w:color w:val="auto"/>
                <w:lang w:val="zh-CN"/>
              </w:rPr>
              <w:instrText xml:space="preserve"> = 1 \* ROMAN \* MERGEFORMAT </w:instrText>
            </w:r>
            <w:r>
              <w:rPr>
                <w:bCs/>
                <w:color w:val="auto"/>
                <w:lang w:val="zh-CN"/>
              </w:rPr>
              <w:fldChar w:fldCharType="separate"/>
            </w:r>
            <w:r>
              <w:rPr>
                <w:bCs/>
                <w:color w:val="auto"/>
                <w:lang w:val="zh-CN"/>
              </w:rPr>
              <w:t>I</w:t>
            </w:r>
            <w:r>
              <w:rPr>
                <w:bCs/>
                <w:color w:val="auto"/>
                <w:lang w:val="zh-CN"/>
              </w:rPr>
              <w:fldChar w:fldCharType="end"/>
            </w:r>
            <w:r>
              <w:rPr>
                <w:bCs/>
                <w:color w:val="auto"/>
                <w:lang w:val="zh-CN"/>
              </w:rPr>
              <w:t>。</w:t>
            </w:r>
          </w:p>
          <w:p>
            <w:pPr>
              <w:ind w:firstLine="470" w:firstLineChars="196"/>
              <w:rPr>
                <w:bCs/>
                <w:color w:val="auto"/>
                <w:lang w:val="zh-CN"/>
              </w:rPr>
            </w:pPr>
            <w:r>
              <w:rPr>
                <w:bCs/>
                <w:color w:val="auto"/>
                <w:lang w:val="zh-CN"/>
              </w:rPr>
              <w:t>当Q≥1时，将Q值划分为：（1）1≤Q＜10；（2）10≤Q＜100；（3）Q≥100。</w:t>
            </w:r>
          </w:p>
          <w:p>
            <w:pPr>
              <w:ind w:firstLine="470" w:firstLineChars="196"/>
              <w:rPr>
                <w:bCs/>
                <w:color w:val="auto"/>
                <w:lang w:val="zh-CN"/>
              </w:rPr>
            </w:pPr>
            <w:r>
              <w:rPr>
                <w:bCs/>
                <w:color w:val="auto"/>
                <w:lang w:val="zh-CN"/>
              </w:rPr>
              <w:t>根据《建设项目环境风险评价技术导则》（HJ 169-2018）附录B可知，项目生产、使用、储存过程中涉及的</w:t>
            </w:r>
            <w:r>
              <w:rPr>
                <w:rFonts w:hint="eastAsia"/>
                <w:bCs/>
                <w:color w:val="auto"/>
              </w:rPr>
              <w:t>风险</w:t>
            </w:r>
            <w:r>
              <w:rPr>
                <w:bCs/>
                <w:color w:val="auto"/>
                <w:lang w:val="zh-CN"/>
              </w:rPr>
              <w:t>物质为</w:t>
            </w:r>
            <w:r>
              <w:rPr>
                <w:rFonts w:hint="eastAsia"/>
                <w:color w:val="auto"/>
                <w:kern w:val="2"/>
                <w:lang w:eastAsia="zh-CN"/>
              </w:rPr>
              <w:t>乙炔</w:t>
            </w:r>
            <w:r>
              <w:rPr>
                <w:rFonts w:hint="eastAsia"/>
                <w:color w:val="auto"/>
                <w:kern w:val="2"/>
                <w:lang w:val="en-US" w:eastAsia="zh-CN"/>
              </w:rPr>
              <w:t>和天然气</w:t>
            </w:r>
            <w:r>
              <w:rPr>
                <w:bCs/>
                <w:color w:val="auto"/>
                <w:lang w:val="zh-CN"/>
              </w:rPr>
              <w:t>。物质临界量根据《建设项目环境风险评价技术导则》（HJ 169-2018）附录B，表B.2，“其他危险物质临界量推荐值”确定。</w:t>
            </w:r>
          </w:p>
          <w:p>
            <w:pPr>
              <w:ind w:firstLine="470" w:firstLineChars="196"/>
              <w:rPr>
                <w:bCs/>
                <w:color w:val="auto"/>
                <w:lang w:val="zh-CN"/>
              </w:rPr>
            </w:pPr>
            <w:r>
              <w:rPr>
                <w:bCs/>
                <w:color w:val="auto"/>
                <w:lang w:val="zh-CN"/>
              </w:rPr>
              <w:t>要求临界量及其Q值见表7-</w:t>
            </w:r>
            <w:r>
              <w:rPr>
                <w:rFonts w:hint="eastAsia"/>
                <w:bCs/>
                <w:color w:val="auto"/>
                <w:lang w:val="en-US" w:eastAsia="zh-CN"/>
              </w:rPr>
              <w:t>31</w:t>
            </w:r>
            <w:r>
              <w:rPr>
                <w:bCs/>
                <w:color w:val="auto"/>
                <w:lang w:val="zh-CN"/>
              </w:rPr>
              <w:t>所示。</w:t>
            </w:r>
          </w:p>
          <w:p>
            <w:pPr>
              <w:pStyle w:val="48"/>
              <w:keepNext/>
              <w:keepLines/>
              <w:ind w:firstLine="422"/>
              <w:rPr>
                <w:color w:val="auto"/>
              </w:rPr>
            </w:pPr>
            <w:r>
              <w:rPr>
                <w:rFonts w:hint="eastAsia"/>
                <w:color w:val="auto"/>
              </w:rPr>
              <w:t>表7-</w:t>
            </w:r>
            <w:r>
              <w:rPr>
                <w:rFonts w:hint="eastAsia"/>
                <w:color w:val="auto"/>
                <w:lang w:val="en-US" w:eastAsia="zh-CN"/>
              </w:rPr>
              <w:t>31</w:t>
            </w:r>
            <w:r>
              <w:rPr>
                <w:rFonts w:hint="eastAsia"/>
                <w:color w:val="auto"/>
              </w:rPr>
              <w:t xml:space="preserve"> 环境风险物质数量、临界量及其比值(Q)</w:t>
            </w:r>
          </w:p>
          <w:tbl>
            <w:tblPr>
              <w:tblStyle w:val="36"/>
              <w:tblW w:w="83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1794"/>
              <w:gridCol w:w="1331"/>
              <w:gridCol w:w="1457"/>
              <w:gridCol w:w="1193"/>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29" w:type="dxa"/>
                  <w:noWrap/>
                  <w:vAlign w:val="center"/>
                </w:tcPr>
                <w:p>
                  <w:pPr>
                    <w:pStyle w:val="50"/>
                    <w:rPr>
                      <w:color w:val="auto"/>
                      <w:kern w:val="2"/>
                    </w:rPr>
                  </w:pPr>
                  <w:r>
                    <w:rPr>
                      <w:color w:val="auto"/>
                      <w:kern w:val="2"/>
                    </w:rPr>
                    <w:t>序号</w:t>
                  </w:r>
                </w:p>
              </w:tc>
              <w:tc>
                <w:tcPr>
                  <w:tcW w:w="1794" w:type="dxa"/>
                  <w:noWrap/>
                  <w:vAlign w:val="center"/>
                </w:tcPr>
                <w:p>
                  <w:pPr>
                    <w:pStyle w:val="50"/>
                    <w:rPr>
                      <w:color w:val="auto"/>
                      <w:kern w:val="2"/>
                    </w:rPr>
                  </w:pPr>
                  <w:r>
                    <w:rPr>
                      <w:color w:val="auto"/>
                      <w:kern w:val="2"/>
                    </w:rPr>
                    <w:t>物质名称</w:t>
                  </w:r>
                </w:p>
              </w:tc>
              <w:tc>
                <w:tcPr>
                  <w:tcW w:w="1331" w:type="dxa"/>
                  <w:noWrap/>
                  <w:vAlign w:val="center"/>
                </w:tcPr>
                <w:p>
                  <w:pPr>
                    <w:pStyle w:val="50"/>
                    <w:rPr>
                      <w:color w:val="auto"/>
                      <w:kern w:val="2"/>
                    </w:rPr>
                  </w:pPr>
                  <w:r>
                    <w:rPr>
                      <w:color w:val="auto"/>
                      <w:kern w:val="2"/>
                    </w:rPr>
                    <w:t>储存量（t）</w:t>
                  </w:r>
                </w:p>
              </w:tc>
              <w:tc>
                <w:tcPr>
                  <w:tcW w:w="1457" w:type="dxa"/>
                  <w:noWrap/>
                  <w:vAlign w:val="center"/>
                </w:tcPr>
                <w:p>
                  <w:pPr>
                    <w:pStyle w:val="50"/>
                    <w:rPr>
                      <w:color w:val="auto"/>
                      <w:kern w:val="2"/>
                    </w:rPr>
                  </w:pPr>
                  <w:r>
                    <w:rPr>
                      <w:color w:val="auto"/>
                      <w:kern w:val="2"/>
                    </w:rPr>
                    <w:t>临界量（t）</w:t>
                  </w:r>
                </w:p>
              </w:tc>
              <w:tc>
                <w:tcPr>
                  <w:tcW w:w="1193" w:type="dxa"/>
                  <w:noWrap/>
                  <w:vAlign w:val="center"/>
                </w:tcPr>
                <w:p>
                  <w:pPr>
                    <w:pStyle w:val="50"/>
                    <w:rPr>
                      <w:color w:val="auto"/>
                      <w:kern w:val="2"/>
                    </w:rPr>
                  </w:pPr>
                  <w:r>
                    <w:rPr>
                      <w:color w:val="auto"/>
                      <w:kern w:val="2"/>
                    </w:rPr>
                    <w:t>Q值</w:t>
                  </w:r>
                </w:p>
              </w:tc>
              <w:tc>
                <w:tcPr>
                  <w:tcW w:w="1872" w:type="dxa"/>
                  <w:noWrap/>
                  <w:vAlign w:val="center"/>
                </w:tcPr>
                <w:p>
                  <w:pPr>
                    <w:pStyle w:val="50"/>
                    <w:rPr>
                      <w:color w:val="auto"/>
                      <w:kern w:val="2"/>
                    </w:rPr>
                  </w:pPr>
                  <w:r>
                    <w:rPr>
                      <w:color w:val="auto"/>
                      <w:kern w:val="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29" w:type="dxa"/>
                  <w:noWrap/>
                  <w:vAlign w:val="center"/>
                </w:tcPr>
                <w:p>
                  <w:pPr>
                    <w:pStyle w:val="50"/>
                    <w:rPr>
                      <w:rFonts w:hint="eastAsia" w:eastAsia="宋体"/>
                      <w:color w:val="auto"/>
                      <w:kern w:val="2"/>
                      <w:lang w:eastAsia="zh-CN"/>
                    </w:rPr>
                  </w:pPr>
                  <w:r>
                    <w:rPr>
                      <w:rFonts w:hint="eastAsia"/>
                      <w:color w:val="auto"/>
                      <w:kern w:val="2"/>
                      <w:lang w:val="en-US" w:eastAsia="zh-CN"/>
                    </w:rPr>
                    <w:t>1</w:t>
                  </w:r>
                </w:p>
              </w:tc>
              <w:tc>
                <w:tcPr>
                  <w:tcW w:w="1794" w:type="dxa"/>
                  <w:noWrap/>
                  <w:vAlign w:val="center"/>
                </w:tcPr>
                <w:p>
                  <w:pPr>
                    <w:pStyle w:val="50"/>
                    <w:rPr>
                      <w:color w:val="auto"/>
                      <w:kern w:val="2"/>
                    </w:rPr>
                  </w:pPr>
                  <w:r>
                    <w:rPr>
                      <w:rFonts w:hint="eastAsia"/>
                      <w:color w:val="auto"/>
                      <w:kern w:val="2"/>
                      <w:lang w:eastAsia="zh-CN"/>
                    </w:rPr>
                    <w:t>乙炔</w:t>
                  </w:r>
                </w:p>
              </w:tc>
              <w:tc>
                <w:tcPr>
                  <w:tcW w:w="1331" w:type="dxa"/>
                  <w:noWrap/>
                  <w:vAlign w:val="center"/>
                </w:tcPr>
                <w:p>
                  <w:pPr>
                    <w:pStyle w:val="50"/>
                    <w:rPr>
                      <w:color w:val="auto"/>
                      <w:kern w:val="2"/>
                    </w:rPr>
                  </w:pPr>
                  <w:r>
                    <w:rPr>
                      <w:rFonts w:hint="eastAsia"/>
                      <w:color w:val="auto"/>
                      <w:kern w:val="2"/>
                    </w:rPr>
                    <w:t>0.1</w:t>
                  </w:r>
                </w:p>
              </w:tc>
              <w:tc>
                <w:tcPr>
                  <w:tcW w:w="1457" w:type="dxa"/>
                  <w:noWrap/>
                  <w:vAlign w:val="center"/>
                </w:tcPr>
                <w:p>
                  <w:pPr>
                    <w:pStyle w:val="50"/>
                    <w:rPr>
                      <w:rFonts w:hint="default" w:eastAsia="宋体"/>
                      <w:color w:val="auto"/>
                      <w:kern w:val="2"/>
                      <w:lang w:val="en-US" w:eastAsia="zh-CN"/>
                    </w:rPr>
                  </w:pPr>
                  <w:r>
                    <w:rPr>
                      <w:rFonts w:hint="eastAsia"/>
                      <w:color w:val="auto"/>
                      <w:kern w:val="2"/>
                      <w:lang w:val="en-US" w:eastAsia="zh-CN"/>
                    </w:rPr>
                    <w:t>10</w:t>
                  </w:r>
                </w:p>
              </w:tc>
              <w:tc>
                <w:tcPr>
                  <w:tcW w:w="1193" w:type="dxa"/>
                  <w:noWrap/>
                  <w:vAlign w:val="center"/>
                </w:tcPr>
                <w:p>
                  <w:pPr>
                    <w:pStyle w:val="50"/>
                    <w:rPr>
                      <w:rFonts w:hint="eastAsia" w:eastAsia="宋体"/>
                      <w:color w:val="auto"/>
                      <w:kern w:val="2"/>
                      <w:lang w:eastAsia="zh-CN"/>
                    </w:rPr>
                  </w:pPr>
                  <w:r>
                    <w:rPr>
                      <w:rFonts w:hint="eastAsia"/>
                      <w:color w:val="auto"/>
                      <w:kern w:val="2"/>
                    </w:rPr>
                    <w:t>0.0</w:t>
                  </w:r>
                  <w:r>
                    <w:rPr>
                      <w:rFonts w:hint="eastAsia"/>
                      <w:color w:val="auto"/>
                      <w:kern w:val="2"/>
                      <w:lang w:val="en-US" w:eastAsia="zh-CN"/>
                    </w:rPr>
                    <w:t>1</w:t>
                  </w:r>
                </w:p>
              </w:tc>
              <w:tc>
                <w:tcPr>
                  <w:tcW w:w="1872" w:type="dxa"/>
                  <w:noWrap/>
                  <w:vAlign w:val="center"/>
                </w:tcPr>
                <w:p>
                  <w:pPr>
                    <w:pStyle w:val="50"/>
                    <w:jc w:val="center"/>
                    <w:rPr>
                      <w:color w:val="auto"/>
                      <w:kern w:val="2"/>
                    </w:rPr>
                  </w:pPr>
                  <w:r>
                    <w:rPr>
                      <w:color w:val="auto"/>
                      <w:kern w:val="2"/>
                    </w:rPr>
                    <w:t>存在</w:t>
                  </w:r>
                  <w:r>
                    <w:rPr>
                      <w:rFonts w:hint="eastAsia"/>
                      <w:color w:val="auto"/>
                      <w:kern w:val="2"/>
                      <w:lang w:eastAsia="zh-CN"/>
                    </w:rPr>
                    <w:t>于车间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729" w:type="dxa"/>
                  <w:noWrap/>
                  <w:vAlign w:val="center"/>
                </w:tcPr>
                <w:p>
                  <w:pPr>
                    <w:pStyle w:val="50"/>
                    <w:rPr>
                      <w:rFonts w:hint="default"/>
                      <w:color w:val="auto"/>
                      <w:kern w:val="2"/>
                      <w:lang w:val="en-US" w:eastAsia="zh-CN"/>
                    </w:rPr>
                  </w:pPr>
                  <w:r>
                    <w:rPr>
                      <w:rFonts w:hint="eastAsia"/>
                      <w:color w:val="auto"/>
                      <w:kern w:val="2"/>
                      <w:lang w:val="en-US" w:eastAsia="zh-CN"/>
                    </w:rPr>
                    <w:t>2</w:t>
                  </w:r>
                </w:p>
              </w:tc>
              <w:tc>
                <w:tcPr>
                  <w:tcW w:w="1794" w:type="dxa"/>
                  <w:noWrap/>
                  <w:vAlign w:val="center"/>
                </w:tcPr>
                <w:p>
                  <w:pPr>
                    <w:pStyle w:val="50"/>
                    <w:rPr>
                      <w:rFonts w:hint="default"/>
                      <w:color w:val="auto"/>
                      <w:kern w:val="2"/>
                      <w:lang w:val="en-US" w:eastAsia="zh-CN"/>
                    </w:rPr>
                  </w:pPr>
                  <w:r>
                    <w:rPr>
                      <w:rFonts w:hint="eastAsia"/>
                      <w:color w:val="auto"/>
                      <w:kern w:val="2"/>
                      <w:lang w:val="en-US" w:eastAsia="zh-CN"/>
                    </w:rPr>
                    <w:t>液化天然气</w:t>
                  </w:r>
                </w:p>
              </w:tc>
              <w:tc>
                <w:tcPr>
                  <w:tcW w:w="1331" w:type="dxa"/>
                  <w:noWrap/>
                  <w:vAlign w:val="center"/>
                </w:tcPr>
                <w:p>
                  <w:pPr>
                    <w:pStyle w:val="50"/>
                    <w:rPr>
                      <w:rFonts w:hint="default" w:eastAsia="宋体"/>
                      <w:color w:val="auto"/>
                      <w:kern w:val="2"/>
                      <w:lang w:val="en-US" w:eastAsia="zh-CN"/>
                    </w:rPr>
                  </w:pPr>
                  <w:r>
                    <w:rPr>
                      <w:rFonts w:hint="eastAsia"/>
                      <w:color w:val="auto"/>
                      <w:kern w:val="2"/>
                      <w:lang w:val="en-US" w:eastAsia="zh-CN"/>
                    </w:rPr>
                    <w:t>0.2</w:t>
                  </w:r>
                </w:p>
              </w:tc>
              <w:tc>
                <w:tcPr>
                  <w:tcW w:w="1457" w:type="dxa"/>
                  <w:noWrap/>
                  <w:vAlign w:val="center"/>
                </w:tcPr>
                <w:p>
                  <w:pPr>
                    <w:pStyle w:val="50"/>
                    <w:rPr>
                      <w:rFonts w:hint="default"/>
                      <w:color w:val="auto"/>
                      <w:kern w:val="2"/>
                      <w:lang w:val="en-US" w:eastAsia="zh-CN"/>
                    </w:rPr>
                  </w:pPr>
                  <w:r>
                    <w:rPr>
                      <w:rFonts w:hint="eastAsia"/>
                      <w:color w:val="auto"/>
                      <w:kern w:val="2"/>
                      <w:lang w:val="en-US" w:eastAsia="zh-CN"/>
                    </w:rPr>
                    <w:t>10</w:t>
                  </w:r>
                </w:p>
              </w:tc>
              <w:tc>
                <w:tcPr>
                  <w:tcW w:w="1193" w:type="dxa"/>
                  <w:noWrap/>
                  <w:vAlign w:val="center"/>
                </w:tcPr>
                <w:p>
                  <w:pPr>
                    <w:pStyle w:val="50"/>
                    <w:rPr>
                      <w:rFonts w:hint="default" w:eastAsia="宋体"/>
                      <w:color w:val="auto"/>
                      <w:kern w:val="2"/>
                      <w:lang w:val="en-US" w:eastAsia="zh-CN"/>
                    </w:rPr>
                  </w:pPr>
                  <w:r>
                    <w:rPr>
                      <w:rFonts w:hint="eastAsia"/>
                      <w:color w:val="auto"/>
                      <w:kern w:val="2"/>
                      <w:lang w:val="en-US" w:eastAsia="zh-CN"/>
                    </w:rPr>
                    <w:t>0.02</w:t>
                  </w:r>
                </w:p>
              </w:tc>
              <w:tc>
                <w:tcPr>
                  <w:tcW w:w="1872" w:type="dxa"/>
                  <w:noWrap/>
                  <w:vAlign w:val="center"/>
                </w:tcPr>
                <w:p>
                  <w:pPr>
                    <w:pStyle w:val="50"/>
                    <w:jc w:val="center"/>
                    <w:rPr>
                      <w:rFonts w:hint="eastAsia" w:eastAsia="宋体"/>
                      <w:color w:val="auto"/>
                      <w:kern w:val="2"/>
                      <w:lang w:val="en-US" w:eastAsia="zh-CN"/>
                    </w:rPr>
                  </w:pPr>
                  <w:r>
                    <w:rPr>
                      <w:rFonts w:hint="eastAsia"/>
                      <w:color w:val="auto"/>
                      <w:kern w:val="2"/>
                      <w:lang w:val="en-US" w:eastAsia="zh-CN"/>
                    </w:rPr>
                    <w:t>储罐区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311" w:type="dxa"/>
                  <w:gridSpan w:val="4"/>
                  <w:noWrap/>
                  <w:vAlign w:val="center"/>
                </w:tcPr>
                <w:p>
                  <w:pPr>
                    <w:pStyle w:val="50"/>
                    <w:rPr>
                      <w:color w:val="auto"/>
                      <w:kern w:val="2"/>
                    </w:rPr>
                  </w:pPr>
                  <w:r>
                    <w:rPr>
                      <w:color w:val="auto"/>
                      <w:kern w:val="2"/>
                    </w:rPr>
                    <w:t>合计</w:t>
                  </w:r>
                </w:p>
              </w:tc>
              <w:tc>
                <w:tcPr>
                  <w:tcW w:w="1193" w:type="dxa"/>
                  <w:noWrap/>
                  <w:vAlign w:val="center"/>
                </w:tcPr>
                <w:p>
                  <w:pPr>
                    <w:pStyle w:val="50"/>
                    <w:rPr>
                      <w:rFonts w:hint="default" w:eastAsia="宋体"/>
                      <w:color w:val="auto"/>
                      <w:kern w:val="2"/>
                      <w:lang w:val="en-US" w:eastAsia="zh-CN"/>
                    </w:rPr>
                  </w:pPr>
                  <w:r>
                    <w:rPr>
                      <w:rFonts w:hint="eastAsia"/>
                      <w:color w:val="auto"/>
                      <w:kern w:val="2"/>
                      <w:lang w:val="en-US" w:eastAsia="zh-CN"/>
                    </w:rPr>
                    <w:t>0.03</w:t>
                  </w:r>
                </w:p>
              </w:tc>
              <w:tc>
                <w:tcPr>
                  <w:tcW w:w="1872" w:type="dxa"/>
                  <w:noWrap/>
                  <w:vAlign w:val="center"/>
                </w:tcPr>
                <w:p>
                  <w:pPr>
                    <w:pStyle w:val="50"/>
                    <w:rPr>
                      <w:color w:val="auto"/>
                      <w:kern w:val="2"/>
                    </w:rPr>
                  </w:pPr>
                  <w:r>
                    <w:rPr>
                      <w:rFonts w:hint="eastAsia"/>
                      <w:color w:val="auto"/>
                      <w:kern w:val="2"/>
                    </w:rPr>
                    <w:t xml:space="preserve">      /</w:t>
                  </w:r>
                  <w:r>
                    <w:rPr>
                      <w:color w:val="auto"/>
                      <w:kern w:val="2"/>
                    </w:rPr>
                    <w:tab/>
                  </w:r>
                  <w:r>
                    <w:rPr>
                      <w:color w:val="auto"/>
                      <w:kern w:val="2"/>
                    </w:rPr>
                    <w:t>/</w:t>
                  </w:r>
                </w:p>
              </w:tc>
            </w:tr>
          </w:tbl>
          <w:p>
            <w:pPr>
              <w:ind w:firstLine="470" w:firstLineChars="196"/>
              <w:rPr>
                <w:bCs/>
                <w:color w:val="auto"/>
                <w:lang w:val="zh-CN"/>
              </w:rPr>
            </w:pPr>
            <w:r>
              <w:rPr>
                <w:bCs/>
                <w:color w:val="auto"/>
                <w:lang w:val="zh-CN"/>
              </w:rPr>
              <w:t>本项目Q值为</w:t>
            </w:r>
            <w:r>
              <w:rPr>
                <w:rFonts w:hint="eastAsia"/>
                <w:bCs/>
                <w:color w:val="auto"/>
                <w:lang w:eastAsia="zh-CN"/>
              </w:rPr>
              <w:t>0.01</w:t>
            </w:r>
            <w:r>
              <w:rPr>
                <w:bCs/>
                <w:color w:val="auto"/>
                <w:lang w:val="zh-CN"/>
              </w:rPr>
              <w:t>，Q＜1。本项目为简单分析。</w:t>
            </w:r>
          </w:p>
          <w:p>
            <w:pPr>
              <w:ind w:firstLine="470" w:firstLineChars="196"/>
              <w:rPr>
                <w:bCs/>
                <w:color w:val="auto"/>
                <w:lang w:val="zh-CN"/>
              </w:rPr>
            </w:pPr>
            <w:r>
              <w:rPr>
                <w:bCs/>
                <w:color w:val="auto"/>
                <w:lang w:val="zh-CN"/>
              </w:rPr>
              <w:t>⑵行业及生产工艺（M）</w:t>
            </w:r>
          </w:p>
          <w:p>
            <w:pPr>
              <w:ind w:firstLine="470" w:firstLineChars="196"/>
              <w:rPr>
                <w:bCs/>
                <w:color w:val="auto"/>
                <w:lang w:val="zh-CN"/>
              </w:rPr>
            </w:pPr>
            <w:r>
              <w:rPr>
                <w:bCs/>
                <w:color w:val="auto"/>
                <w:lang w:val="zh-CN"/>
              </w:rPr>
              <w:t>根据项目所属行业及生产工艺特点。根据附表7-2</w:t>
            </w:r>
            <w:r>
              <w:rPr>
                <w:rFonts w:hint="eastAsia"/>
                <w:bCs/>
                <w:color w:val="auto"/>
              </w:rPr>
              <w:t>7</w:t>
            </w:r>
            <w:r>
              <w:rPr>
                <w:bCs/>
                <w:color w:val="auto"/>
                <w:lang w:val="zh-CN"/>
              </w:rPr>
              <w:t>行业及生产工艺（M），M&gt;20，10&lt;M≤20，5&lt;M≤10，M=5，分别用M1、M2、M3、M4表示。</w:t>
            </w:r>
          </w:p>
          <w:p>
            <w:pPr>
              <w:pStyle w:val="48"/>
              <w:keepNext/>
              <w:keepLines/>
              <w:ind w:firstLine="422"/>
              <w:rPr>
                <w:color w:val="auto"/>
              </w:rPr>
            </w:pPr>
            <w:r>
              <w:rPr>
                <w:rFonts w:hint="eastAsia"/>
                <w:color w:val="auto"/>
              </w:rPr>
              <w:t>表7-</w:t>
            </w:r>
            <w:r>
              <w:rPr>
                <w:rFonts w:hint="eastAsia"/>
                <w:color w:val="auto"/>
                <w:lang w:val="en-US" w:eastAsia="zh-CN"/>
              </w:rPr>
              <w:t xml:space="preserve">32 </w:t>
            </w:r>
            <w:r>
              <w:rPr>
                <w:rFonts w:hint="eastAsia"/>
                <w:color w:val="auto"/>
              </w:rPr>
              <w:t>行业及生产工艺</w:t>
            </w:r>
          </w:p>
          <w:tbl>
            <w:tblPr>
              <w:tblStyle w:val="36"/>
              <w:tblW w:w="4997"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5401"/>
              <w:gridCol w:w="994"/>
              <w:gridCol w:w="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exact"/>
              </w:trPr>
              <w:tc>
                <w:tcPr>
                  <w:tcW w:w="696" w:type="pct"/>
                  <w:noWrap/>
                  <w:vAlign w:val="center"/>
                </w:tcPr>
                <w:p>
                  <w:pPr>
                    <w:pStyle w:val="50"/>
                    <w:rPr>
                      <w:color w:val="auto"/>
                      <w:kern w:val="2"/>
                    </w:rPr>
                  </w:pPr>
                  <w:r>
                    <w:rPr>
                      <w:color w:val="auto"/>
                      <w:kern w:val="2"/>
                    </w:rPr>
                    <w:t>行业</w:t>
                  </w:r>
                </w:p>
              </w:tc>
              <w:tc>
                <w:tcPr>
                  <w:tcW w:w="3227" w:type="pct"/>
                  <w:noWrap/>
                  <w:vAlign w:val="center"/>
                </w:tcPr>
                <w:p>
                  <w:pPr>
                    <w:pStyle w:val="50"/>
                    <w:rPr>
                      <w:color w:val="auto"/>
                      <w:kern w:val="2"/>
                    </w:rPr>
                  </w:pPr>
                  <w:r>
                    <w:rPr>
                      <w:color w:val="auto"/>
                      <w:kern w:val="2"/>
                    </w:rPr>
                    <w:t>评估依据</w:t>
                  </w:r>
                </w:p>
              </w:tc>
              <w:tc>
                <w:tcPr>
                  <w:tcW w:w="594" w:type="pct"/>
                  <w:noWrap/>
                  <w:vAlign w:val="center"/>
                </w:tcPr>
                <w:p>
                  <w:pPr>
                    <w:pStyle w:val="50"/>
                    <w:rPr>
                      <w:color w:val="auto"/>
                      <w:kern w:val="2"/>
                    </w:rPr>
                  </w:pPr>
                  <w:r>
                    <w:rPr>
                      <w:color w:val="auto"/>
                      <w:kern w:val="2"/>
                    </w:rPr>
                    <w:t>分值</w:t>
                  </w:r>
                </w:p>
              </w:tc>
              <w:tc>
                <w:tcPr>
                  <w:tcW w:w="481" w:type="pct"/>
                  <w:noWrap/>
                  <w:vAlign w:val="center"/>
                </w:tcPr>
                <w:p>
                  <w:pPr>
                    <w:pStyle w:val="50"/>
                    <w:rPr>
                      <w:color w:val="auto"/>
                      <w:kern w:val="2"/>
                    </w:rPr>
                  </w:pPr>
                  <w:r>
                    <w:rPr>
                      <w:color w:val="auto"/>
                      <w:kern w:val="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exact"/>
              </w:trPr>
              <w:tc>
                <w:tcPr>
                  <w:tcW w:w="696" w:type="pct"/>
                  <w:vMerge w:val="restart"/>
                  <w:noWrap/>
                  <w:vAlign w:val="center"/>
                </w:tcPr>
                <w:p>
                  <w:pPr>
                    <w:pStyle w:val="50"/>
                    <w:rPr>
                      <w:color w:val="auto"/>
                      <w:kern w:val="2"/>
                    </w:rPr>
                  </w:pPr>
                  <w:r>
                    <w:rPr>
                      <w:color w:val="auto"/>
                      <w:kern w:val="2"/>
                    </w:rPr>
                    <w:t>石化、化工医药、轻工化纤、有色冶炼等</w:t>
                  </w:r>
                </w:p>
              </w:tc>
              <w:tc>
                <w:tcPr>
                  <w:tcW w:w="3227" w:type="pct"/>
                  <w:noWrap/>
                  <w:vAlign w:val="center"/>
                </w:tcPr>
                <w:p>
                  <w:pPr>
                    <w:pStyle w:val="50"/>
                    <w:rPr>
                      <w:color w:val="auto"/>
                      <w:kern w:val="2"/>
                    </w:rPr>
                  </w:pPr>
                  <w:r>
                    <w:rPr>
                      <w:color w:val="auto"/>
                      <w:kern w:val="2"/>
                    </w:rPr>
                    <w:t>涉及光气及光气化工艺、电解工艺（氯碱）、氯化工艺、硝化工艺、合成氨工艺、裂解（裂化）工艺、氟化工艺、加氢工艺、重氮化工艺、氧化工艺、过氧化工艺、胺基化工艺、磺化工艺、聚合工艺、烷基化工艺、新型煤化工工艺、电石生产工艺、偶氮化工艺</w:t>
                  </w:r>
                </w:p>
              </w:tc>
              <w:tc>
                <w:tcPr>
                  <w:tcW w:w="594" w:type="pct"/>
                  <w:noWrap/>
                  <w:vAlign w:val="center"/>
                </w:tcPr>
                <w:p>
                  <w:pPr>
                    <w:pStyle w:val="50"/>
                    <w:rPr>
                      <w:color w:val="auto"/>
                      <w:kern w:val="2"/>
                    </w:rPr>
                  </w:pPr>
                  <w:r>
                    <w:rPr>
                      <w:color w:val="auto"/>
                      <w:kern w:val="2"/>
                    </w:rPr>
                    <w:t>10/每套</w:t>
                  </w:r>
                </w:p>
              </w:tc>
              <w:tc>
                <w:tcPr>
                  <w:tcW w:w="481" w:type="pct"/>
                  <w:noWrap/>
                  <w:vAlign w:val="center"/>
                </w:tcPr>
                <w:p>
                  <w:pPr>
                    <w:pStyle w:val="50"/>
                    <w:rPr>
                      <w:color w:val="auto"/>
                      <w:kern w:val="2"/>
                    </w:rPr>
                  </w:pPr>
                  <w:r>
                    <w:rPr>
                      <w:color w:val="auto"/>
                      <w:kern w:val="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exact"/>
              </w:trPr>
              <w:tc>
                <w:tcPr>
                  <w:tcW w:w="696" w:type="pct"/>
                  <w:vMerge w:val="continue"/>
                  <w:noWrap/>
                  <w:vAlign w:val="center"/>
                </w:tcPr>
                <w:p>
                  <w:pPr>
                    <w:pStyle w:val="50"/>
                    <w:rPr>
                      <w:color w:val="auto"/>
                      <w:kern w:val="2"/>
                    </w:rPr>
                  </w:pPr>
                </w:p>
              </w:tc>
              <w:tc>
                <w:tcPr>
                  <w:tcW w:w="3227" w:type="pct"/>
                  <w:noWrap/>
                  <w:vAlign w:val="center"/>
                </w:tcPr>
                <w:p>
                  <w:pPr>
                    <w:pStyle w:val="50"/>
                    <w:rPr>
                      <w:color w:val="auto"/>
                      <w:kern w:val="2"/>
                    </w:rPr>
                  </w:pPr>
                  <w:r>
                    <w:rPr>
                      <w:color w:val="auto"/>
                      <w:kern w:val="2"/>
                    </w:rPr>
                    <w:t>无机酸制酸工艺、焦化工艺</w:t>
                  </w:r>
                </w:p>
              </w:tc>
              <w:tc>
                <w:tcPr>
                  <w:tcW w:w="594" w:type="pct"/>
                  <w:noWrap/>
                  <w:vAlign w:val="center"/>
                </w:tcPr>
                <w:p>
                  <w:pPr>
                    <w:pStyle w:val="50"/>
                    <w:rPr>
                      <w:color w:val="auto"/>
                      <w:kern w:val="2"/>
                    </w:rPr>
                  </w:pPr>
                  <w:r>
                    <w:rPr>
                      <w:color w:val="auto"/>
                      <w:kern w:val="2"/>
                    </w:rPr>
                    <w:t>5/每套</w:t>
                  </w:r>
                </w:p>
              </w:tc>
              <w:tc>
                <w:tcPr>
                  <w:tcW w:w="481" w:type="pct"/>
                  <w:noWrap/>
                  <w:vAlign w:val="center"/>
                </w:tcPr>
                <w:p>
                  <w:pPr>
                    <w:pStyle w:val="50"/>
                    <w:rPr>
                      <w:color w:val="auto"/>
                      <w:kern w:val="2"/>
                    </w:rPr>
                  </w:pPr>
                  <w:r>
                    <w:rPr>
                      <w:color w:val="auto"/>
                      <w:kern w:val="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exact"/>
              </w:trPr>
              <w:tc>
                <w:tcPr>
                  <w:tcW w:w="696" w:type="pct"/>
                  <w:vMerge w:val="continue"/>
                  <w:noWrap/>
                  <w:vAlign w:val="center"/>
                </w:tcPr>
                <w:p>
                  <w:pPr>
                    <w:pStyle w:val="50"/>
                    <w:rPr>
                      <w:color w:val="auto"/>
                      <w:kern w:val="2"/>
                    </w:rPr>
                  </w:pPr>
                </w:p>
              </w:tc>
              <w:tc>
                <w:tcPr>
                  <w:tcW w:w="3227" w:type="pct"/>
                  <w:noWrap/>
                  <w:vAlign w:val="center"/>
                </w:tcPr>
                <w:p>
                  <w:pPr>
                    <w:pStyle w:val="50"/>
                    <w:rPr>
                      <w:color w:val="auto"/>
                      <w:kern w:val="2"/>
                    </w:rPr>
                  </w:pPr>
                  <w:r>
                    <w:rPr>
                      <w:color w:val="auto"/>
                      <w:kern w:val="2"/>
                    </w:rPr>
                    <w:t>涉及高温或高压，且涉及危险物质的工艺过程a、危险物质贮存罐区</w:t>
                  </w:r>
                </w:p>
              </w:tc>
              <w:tc>
                <w:tcPr>
                  <w:tcW w:w="594" w:type="pct"/>
                  <w:noWrap/>
                  <w:vAlign w:val="center"/>
                </w:tcPr>
                <w:p>
                  <w:pPr>
                    <w:pStyle w:val="50"/>
                    <w:rPr>
                      <w:color w:val="auto"/>
                      <w:kern w:val="2"/>
                    </w:rPr>
                  </w:pPr>
                  <w:r>
                    <w:rPr>
                      <w:color w:val="auto"/>
                      <w:kern w:val="2"/>
                    </w:rPr>
                    <w:t>5/每套（罐区）</w:t>
                  </w:r>
                </w:p>
              </w:tc>
              <w:tc>
                <w:tcPr>
                  <w:tcW w:w="481" w:type="pct"/>
                  <w:noWrap/>
                  <w:vAlign w:val="center"/>
                </w:tcPr>
                <w:p>
                  <w:pPr>
                    <w:pStyle w:val="50"/>
                    <w:rPr>
                      <w:color w:val="auto"/>
                      <w:kern w:val="2"/>
                    </w:rPr>
                  </w:pPr>
                  <w:r>
                    <w:rPr>
                      <w:color w:val="auto"/>
                      <w:kern w:val="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696" w:type="pct"/>
                  <w:noWrap/>
                  <w:vAlign w:val="center"/>
                </w:tcPr>
                <w:p>
                  <w:pPr>
                    <w:pStyle w:val="50"/>
                    <w:rPr>
                      <w:color w:val="auto"/>
                      <w:kern w:val="2"/>
                    </w:rPr>
                  </w:pPr>
                  <w:r>
                    <w:rPr>
                      <w:color w:val="auto"/>
                      <w:kern w:val="2"/>
                    </w:rPr>
                    <w:t>管道、港口/码头等</w:t>
                  </w:r>
                </w:p>
              </w:tc>
              <w:tc>
                <w:tcPr>
                  <w:tcW w:w="3227" w:type="pct"/>
                  <w:noWrap/>
                  <w:vAlign w:val="center"/>
                </w:tcPr>
                <w:p>
                  <w:pPr>
                    <w:pStyle w:val="50"/>
                    <w:rPr>
                      <w:color w:val="auto"/>
                      <w:kern w:val="2"/>
                    </w:rPr>
                  </w:pPr>
                  <w:r>
                    <w:rPr>
                      <w:color w:val="auto"/>
                      <w:kern w:val="2"/>
                    </w:rPr>
                    <w:t>涉及危险物质管道运输项目、港口/码头等</w:t>
                  </w:r>
                </w:p>
              </w:tc>
              <w:tc>
                <w:tcPr>
                  <w:tcW w:w="594" w:type="pct"/>
                  <w:noWrap/>
                  <w:vAlign w:val="center"/>
                </w:tcPr>
                <w:p>
                  <w:pPr>
                    <w:pStyle w:val="50"/>
                    <w:rPr>
                      <w:color w:val="auto"/>
                      <w:kern w:val="2"/>
                    </w:rPr>
                  </w:pPr>
                  <w:r>
                    <w:rPr>
                      <w:color w:val="auto"/>
                      <w:kern w:val="2"/>
                    </w:rPr>
                    <w:t>10</w:t>
                  </w:r>
                </w:p>
              </w:tc>
              <w:tc>
                <w:tcPr>
                  <w:tcW w:w="481" w:type="pct"/>
                  <w:noWrap/>
                  <w:vAlign w:val="center"/>
                </w:tcPr>
                <w:p>
                  <w:pPr>
                    <w:pStyle w:val="50"/>
                    <w:rPr>
                      <w:color w:val="auto"/>
                      <w:kern w:val="2"/>
                    </w:rPr>
                  </w:pPr>
                  <w:r>
                    <w:rPr>
                      <w:color w:val="auto"/>
                      <w:kern w:val="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trPr>
              <w:tc>
                <w:tcPr>
                  <w:tcW w:w="696" w:type="pct"/>
                  <w:noWrap/>
                  <w:vAlign w:val="center"/>
                </w:tcPr>
                <w:p>
                  <w:pPr>
                    <w:pStyle w:val="50"/>
                    <w:rPr>
                      <w:color w:val="auto"/>
                      <w:kern w:val="2"/>
                    </w:rPr>
                  </w:pPr>
                  <w:r>
                    <w:rPr>
                      <w:color w:val="auto"/>
                      <w:kern w:val="2"/>
                    </w:rPr>
                    <w:t>石油天然气</w:t>
                  </w:r>
                </w:p>
              </w:tc>
              <w:tc>
                <w:tcPr>
                  <w:tcW w:w="3227" w:type="pct"/>
                  <w:noWrap/>
                  <w:vAlign w:val="center"/>
                </w:tcPr>
                <w:p>
                  <w:pPr>
                    <w:pStyle w:val="50"/>
                    <w:rPr>
                      <w:color w:val="auto"/>
                      <w:kern w:val="2"/>
                    </w:rPr>
                  </w:pPr>
                  <w:r>
                    <w:rPr>
                      <w:color w:val="auto"/>
                      <w:kern w:val="2"/>
                    </w:rPr>
                    <w:t>石油、天然气、页岩气开采（含净化），气库（不含加气站的气库），油库（不含加气站的油库）、油气管线b（不含城镇燃气管线）</w:t>
                  </w:r>
                </w:p>
              </w:tc>
              <w:tc>
                <w:tcPr>
                  <w:tcW w:w="594" w:type="pct"/>
                  <w:noWrap/>
                  <w:vAlign w:val="center"/>
                </w:tcPr>
                <w:p>
                  <w:pPr>
                    <w:pStyle w:val="50"/>
                    <w:rPr>
                      <w:color w:val="auto"/>
                      <w:kern w:val="2"/>
                    </w:rPr>
                  </w:pPr>
                  <w:r>
                    <w:rPr>
                      <w:color w:val="auto"/>
                      <w:kern w:val="2"/>
                    </w:rPr>
                    <w:t>10</w:t>
                  </w:r>
                </w:p>
              </w:tc>
              <w:tc>
                <w:tcPr>
                  <w:tcW w:w="481" w:type="pct"/>
                  <w:noWrap/>
                  <w:vAlign w:val="center"/>
                </w:tcPr>
                <w:p>
                  <w:pPr>
                    <w:pStyle w:val="50"/>
                    <w:rPr>
                      <w:color w:val="auto"/>
                      <w:kern w:val="2"/>
                    </w:rPr>
                  </w:pPr>
                  <w:r>
                    <w:rPr>
                      <w:color w:val="auto"/>
                      <w:kern w:val="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trPr>
              <w:tc>
                <w:tcPr>
                  <w:tcW w:w="696" w:type="pct"/>
                  <w:noWrap/>
                  <w:vAlign w:val="center"/>
                </w:tcPr>
                <w:p>
                  <w:pPr>
                    <w:pStyle w:val="50"/>
                    <w:rPr>
                      <w:color w:val="auto"/>
                      <w:kern w:val="2"/>
                    </w:rPr>
                  </w:pPr>
                  <w:r>
                    <w:rPr>
                      <w:color w:val="auto"/>
                      <w:kern w:val="2"/>
                    </w:rPr>
                    <w:t>其他</w:t>
                  </w:r>
                </w:p>
              </w:tc>
              <w:tc>
                <w:tcPr>
                  <w:tcW w:w="3227" w:type="pct"/>
                  <w:noWrap/>
                  <w:vAlign w:val="center"/>
                </w:tcPr>
                <w:p>
                  <w:pPr>
                    <w:pStyle w:val="50"/>
                    <w:rPr>
                      <w:color w:val="auto"/>
                      <w:kern w:val="2"/>
                    </w:rPr>
                  </w:pPr>
                  <w:r>
                    <w:rPr>
                      <w:color w:val="auto"/>
                      <w:kern w:val="2"/>
                    </w:rPr>
                    <w:t>涉及危险物质使用、贮存的项目</w:t>
                  </w:r>
                </w:p>
              </w:tc>
              <w:tc>
                <w:tcPr>
                  <w:tcW w:w="594" w:type="pct"/>
                  <w:noWrap/>
                  <w:vAlign w:val="center"/>
                </w:tcPr>
                <w:p>
                  <w:pPr>
                    <w:pStyle w:val="50"/>
                    <w:rPr>
                      <w:color w:val="auto"/>
                      <w:kern w:val="2"/>
                    </w:rPr>
                  </w:pPr>
                  <w:r>
                    <w:rPr>
                      <w:color w:val="auto"/>
                      <w:kern w:val="2"/>
                    </w:rPr>
                    <w:t>5</w:t>
                  </w:r>
                </w:p>
              </w:tc>
              <w:tc>
                <w:tcPr>
                  <w:tcW w:w="481" w:type="pct"/>
                  <w:noWrap/>
                  <w:vAlign w:val="center"/>
                </w:tcPr>
                <w:p>
                  <w:pPr>
                    <w:pStyle w:val="50"/>
                    <w:rPr>
                      <w:rFonts w:hint="eastAsia" w:eastAsia="宋体"/>
                      <w:color w:val="auto"/>
                      <w:kern w:val="2"/>
                      <w:lang w:eastAsia="zh-CN"/>
                    </w:rPr>
                  </w:pPr>
                  <w:r>
                    <w:rPr>
                      <w:rFonts w:hint="eastAsia"/>
                      <w:color w:val="auto"/>
                      <w:kern w:val="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exact"/>
              </w:trPr>
              <w:tc>
                <w:tcPr>
                  <w:tcW w:w="3924" w:type="pct"/>
                  <w:gridSpan w:val="2"/>
                  <w:noWrap/>
                  <w:vAlign w:val="center"/>
                </w:tcPr>
                <w:p>
                  <w:pPr>
                    <w:pStyle w:val="50"/>
                    <w:jc w:val="left"/>
                    <w:rPr>
                      <w:color w:val="auto"/>
                      <w:kern w:val="2"/>
                    </w:rPr>
                  </w:pPr>
                  <w:r>
                    <w:rPr>
                      <w:color w:val="auto"/>
                      <w:kern w:val="2"/>
                    </w:rPr>
                    <w:t>a：高温指工艺温度≥300℃，高压指压力容器的设计压力（p）≥10.0MPa；</w:t>
                  </w:r>
                </w:p>
                <w:p>
                  <w:pPr>
                    <w:pStyle w:val="50"/>
                    <w:jc w:val="left"/>
                    <w:rPr>
                      <w:color w:val="auto"/>
                      <w:kern w:val="2"/>
                    </w:rPr>
                  </w:pPr>
                  <w:r>
                    <w:rPr>
                      <w:color w:val="auto"/>
                      <w:kern w:val="2"/>
                    </w:rPr>
                    <w:t>b：长输管道运输项目应按站场、管线分段进行评价。</w:t>
                  </w:r>
                </w:p>
              </w:tc>
              <w:tc>
                <w:tcPr>
                  <w:tcW w:w="594" w:type="pct"/>
                  <w:noWrap/>
                  <w:vAlign w:val="center"/>
                </w:tcPr>
                <w:p>
                  <w:pPr>
                    <w:pStyle w:val="50"/>
                    <w:rPr>
                      <w:color w:val="auto"/>
                      <w:kern w:val="2"/>
                    </w:rPr>
                  </w:pPr>
                  <w:r>
                    <w:rPr>
                      <w:color w:val="auto"/>
                      <w:kern w:val="2"/>
                    </w:rPr>
                    <w:t>合计</w:t>
                  </w:r>
                </w:p>
              </w:tc>
              <w:tc>
                <w:tcPr>
                  <w:tcW w:w="481" w:type="pct"/>
                  <w:noWrap/>
                  <w:vAlign w:val="center"/>
                </w:tcPr>
                <w:p>
                  <w:pPr>
                    <w:pStyle w:val="50"/>
                    <w:rPr>
                      <w:rFonts w:hint="eastAsia" w:eastAsia="宋体"/>
                      <w:color w:val="auto"/>
                      <w:kern w:val="2"/>
                      <w:lang w:eastAsia="zh-CN"/>
                    </w:rPr>
                  </w:pPr>
                  <w:r>
                    <w:rPr>
                      <w:rFonts w:hint="eastAsia"/>
                      <w:color w:val="auto"/>
                      <w:kern w:val="2"/>
                      <w:lang w:val="en-US" w:eastAsia="zh-CN"/>
                    </w:rPr>
                    <w:t>5</w:t>
                  </w:r>
                </w:p>
              </w:tc>
            </w:tr>
          </w:tbl>
          <w:p>
            <w:pPr>
              <w:ind w:firstLine="470" w:firstLineChars="196"/>
              <w:rPr>
                <w:bCs/>
                <w:color w:val="auto"/>
                <w:lang w:val="zh-CN"/>
              </w:rPr>
            </w:pPr>
            <w:r>
              <w:rPr>
                <w:bCs/>
                <w:color w:val="auto"/>
                <w:lang w:val="zh-CN"/>
              </w:rPr>
              <w:t>M=</w:t>
            </w:r>
            <w:r>
              <w:rPr>
                <w:rFonts w:hint="eastAsia"/>
                <w:bCs/>
                <w:color w:val="auto"/>
                <w:lang w:val="en-US" w:eastAsia="zh-CN"/>
              </w:rPr>
              <w:t>5</w:t>
            </w:r>
            <w:r>
              <w:rPr>
                <w:bCs/>
                <w:color w:val="auto"/>
                <w:lang w:val="zh-CN"/>
              </w:rPr>
              <w:t>，属于M4。</w:t>
            </w:r>
          </w:p>
          <w:p>
            <w:pPr>
              <w:ind w:firstLine="470" w:firstLineChars="196"/>
              <w:rPr>
                <w:bCs/>
                <w:color w:val="auto"/>
                <w:lang w:val="zh-CN"/>
              </w:rPr>
            </w:pPr>
            <w:r>
              <w:rPr>
                <w:bCs/>
                <w:color w:val="auto"/>
                <w:lang w:val="zh-CN"/>
              </w:rPr>
              <w:t>⑶危险物质及工艺系统危险性（P）</w:t>
            </w:r>
          </w:p>
          <w:p>
            <w:pPr>
              <w:ind w:firstLine="470" w:firstLineChars="196"/>
              <w:rPr>
                <w:bCs/>
                <w:color w:val="auto"/>
                <w:lang w:val="zh-CN"/>
              </w:rPr>
            </w:pPr>
            <w:r>
              <w:rPr>
                <w:bCs/>
                <w:color w:val="auto"/>
                <w:lang w:val="zh-CN"/>
              </w:rPr>
              <w:t>根据危险物质数量与临界量比值（Q），Q值为</w:t>
            </w:r>
            <w:r>
              <w:rPr>
                <w:rFonts w:hint="eastAsia"/>
                <w:bCs/>
                <w:color w:val="auto"/>
                <w:lang w:val="en-US" w:eastAsia="zh-CN"/>
              </w:rPr>
              <w:t>0.01</w:t>
            </w:r>
            <w:r>
              <w:rPr>
                <w:bCs/>
                <w:color w:val="auto"/>
                <w:lang w:val="zh-CN"/>
              </w:rPr>
              <w:t>，Q＜1，和行业及生产工艺（M），M=</w:t>
            </w:r>
            <w:r>
              <w:rPr>
                <w:rFonts w:hint="eastAsia"/>
                <w:bCs/>
                <w:color w:val="auto"/>
                <w:lang w:val="en-US" w:eastAsia="zh-CN"/>
              </w:rPr>
              <w:t>5</w:t>
            </w:r>
            <w:r>
              <w:rPr>
                <w:bCs/>
                <w:color w:val="auto"/>
                <w:lang w:val="zh-CN"/>
              </w:rPr>
              <w:t>，属于M4，按照表7-2</w:t>
            </w:r>
            <w:r>
              <w:rPr>
                <w:rFonts w:hint="eastAsia"/>
                <w:bCs/>
                <w:color w:val="auto"/>
              </w:rPr>
              <w:t>6</w:t>
            </w:r>
            <w:r>
              <w:rPr>
                <w:bCs/>
                <w:color w:val="auto"/>
                <w:lang w:val="zh-CN"/>
              </w:rPr>
              <w:t>确定危险物质及工艺系统危险性登记（P），分别以P1、P2、P3、P4。</w:t>
            </w:r>
          </w:p>
          <w:p>
            <w:pPr>
              <w:pStyle w:val="48"/>
              <w:keepNext/>
              <w:keepLines/>
              <w:ind w:firstLine="422"/>
              <w:rPr>
                <w:color w:val="auto"/>
              </w:rPr>
            </w:pPr>
            <w:r>
              <w:rPr>
                <w:rFonts w:hint="eastAsia"/>
                <w:color w:val="auto"/>
              </w:rPr>
              <w:t>表 7-</w:t>
            </w:r>
            <w:r>
              <w:rPr>
                <w:rFonts w:hint="eastAsia"/>
                <w:color w:val="auto"/>
                <w:lang w:val="en-US" w:eastAsia="zh-CN"/>
              </w:rPr>
              <w:t xml:space="preserve">33 </w:t>
            </w:r>
            <w:r>
              <w:rPr>
                <w:rFonts w:hint="eastAsia"/>
                <w:color w:val="auto"/>
              </w:rPr>
              <w:t>危险物质及工艺系统危害性等级判断划分</w:t>
            </w:r>
          </w:p>
          <w:tbl>
            <w:tblPr>
              <w:tblStyle w:val="36"/>
              <w:tblW w:w="4998"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4"/>
              <w:gridCol w:w="1269"/>
              <w:gridCol w:w="1674"/>
              <w:gridCol w:w="1674"/>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exact"/>
              </w:trPr>
              <w:tc>
                <w:tcPr>
                  <w:tcW w:w="1240" w:type="pct"/>
                  <w:vMerge w:val="restart"/>
                  <w:noWrap/>
                  <w:vAlign w:val="center"/>
                </w:tcPr>
                <w:p>
                  <w:pPr>
                    <w:pStyle w:val="50"/>
                    <w:rPr>
                      <w:color w:val="auto"/>
                      <w:kern w:val="2"/>
                    </w:rPr>
                  </w:pPr>
                  <w:r>
                    <w:rPr>
                      <w:color w:val="auto"/>
                      <w:kern w:val="2"/>
                    </w:rPr>
                    <w:t>危险物质数量与临界量比值（Q）</w:t>
                  </w:r>
                </w:p>
              </w:tc>
              <w:tc>
                <w:tcPr>
                  <w:tcW w:w="3759" w:type="pct"/>
                  <w:gridSpan w:val="4"/>
                  <w:noWrap/>
                  <w:vAlign w:val="center"/>
                </w:tcPr>
                <w:p>
                  <w:pPr>
                    <w:pStyle w:val="50"/>
                    <w:rPr>
                      <w:color w:val="auto"/>
                      <w:kern w:val="2"/>
                    </w:rPr>
                  </w:pPr>
                  <w:r>
                    <w:rPr>
                      <w:color w:val="auto"/>
                      <w:kern w:val="2"/>
                    </w:rPr>
                    <w:t>行业及生产工艺（M）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exact"/>
              </w:trPr>
              <w:tc>
                <w:tcPr>
                  <w:tcW w:w="1240" w:type="pct"/>
                  <w:vMerge w:val="continue"/>
                  <w:noWrap/>
                  <w:vAlign w:val="center"/>
                </w:tcPr>
                <w:p>
                  <w:pPr>
                    <w:pStyle w:val="50"/>
                    <w:rPr>
                      <w:color w:val="auto"/>
                      <w:kern w:val="2"/>
                    </w:rPr>
                  </w:pPr>
                </w:p>
              </w:tc>
              <w:tc>
                <w:tcPr>
                  <w:tcW w:w="758" w:type="pct"/>
                  <w:noWrap/>
                  <w:vAlign w:val="center"/>
                </w:tcPr>
                <w:p>
                  <w:pPr>
                    <w:pStyle w:val="50"/>
                    <w:rPr>
                      <w:color w:val="auto"/>
                      <w:kern w:val="2"/>
                    </w:rPr>
                  </w:pPr>
                  <w:r>
                    <w:rPr>
                      <w:color w:val="auto"/>
                      <w:kern w:val="2"/>
                    </w:rPr>
                    <w:t>M1</w:t>
                  </w:r>
                </w:p>
              </w:tc>
              <w:tc>
                <w:tcPr>
                  <w:tcW w:w="1000" w:type="pct"/>
                  <w:noWrap/>
                  <w:vAlign w:val="center"/>
                </w:tcPr>
                <w:p>
                  <w:pPr>
                    <w:pStyle w:val="50"/>
                    <w:rPr>
                      <w:color w:val="auto"/>
                      <w:kern w:val="2"/>
                    </w:rPr>
                  </w:pPr>
                  <w:r>
                    <w:rPr>
                      <w:color w:val="auto"/>
                      <w:kern w:val="2"/>
                    </w:rPr>
                    <w:t>M2</w:t>
                  </w:r>
                </w:p>
              </w:tc>
              <w:tc>
                <w:tcPr>
                  <w:tcW w:w="1000" w:type="pct"/>
                  <w:noWrap/>
                  <w:vAlign w:val="center"/>
                </w:tcPr>
                <w:p>
                  <w:pPr>
                    <w:pStyle w:val="50"/>
                    <w:rPr>
                      <w:color w:val="auto"/>
                      <w:kern w:val="2"/>
                    </w:rPr>
                  </w:pPr>
                  <w:r>
                    <w:rPr>
                      <w:color w:val="auto"/>
                      <w:kern w:val="2"/>
                    </w:rPr>
                    <w:t>M3</w:t>
                  </w:r>
                </w:p>
              </w:tc>
              <w:tc>
                <w:tcPr>
                  <w:tcW w:w="1000" w:type="pct"/>
                  <w:noWrap/>
                  <w:vAlign w:val="center"/>
                </w:tcPr>
                <w:p>
                  <w:pPr>
                    <w:pStyle w:val="50"/>
                    <w:rPr>
                      <w:color w:val="auto"/>
                      <w:kern w:val="2"/>
                    </w:rPr>
                  </w:pPr>
                  <w:r>
                    <w:rPr>
                      <w:color w:val="auto"/>
                      <w:kern w:val="2"/>
                    </w:rPr>
                    <w:t>M4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trPr>
              <w:tc>
                <w:tcPr>
                  <w:tcW w:w="1240" w:type="pct"/>
                  <w:noWrap/>
                  <w:vAlign w:val="center"/>
                </w:tcPr>
                <w:p>
                  <w:pPr>
                    <w:pStyle w:val="50"/>
                    <w:rPr>
                      <w:color w:val="auto"/>
                      <w:kern w:val="2"/>
                    </w:rPr>
                  </w:pPr>
                  <w:r>
                    <w:rPr>
                      <w:color w:val="auto"/>
                      <w:kern w:val="2"/>
                    </w:rPr>
                    <w:t>Q≥100</w:t>
                  </w:r>
                </w:p>
              </w:tc>
              <w:tc>
                <w:tcPr>
                  <w:tcW w:w="758" w:type="pct"/>
                  <w:noWrap/>
                  <w:vAlign w:val="center"/>
                </w:tcPr>
                <w:p>
                  <w:pPr>
                    <w:pStyle w:val="50"/>
                    <w:rPr>
                      <w:color w:val="auto"/>
                      <w:kern w:val="2"/>
                    </w:rPr>
                  </w:pPr>
                  <w:r>
                    <w:rPr>
                      <w:color w:val="auto"/>
                      <w:kern w:val="2"/>
                    </w:rPr>
                    <w:t>P1</w:t>
                  </w:r>
                </w:p>
              </w:tc>
              <w:tc>
                <w:tcPr>
                  <w:tcW w:w="1000" w:type="pct"/>
                  <w:noWrap/>
                  <w:vAlign w:val="center"/>
                </w:tcPr>
                <w:p>
                  <w:pPr>
                    <w:pStyle w:val="50"/>
                    <w:rPr>
                      <w:color w:val="auto"/>
                      <w:kern w:val="2"/>
                    </w:rPr>
                  </w:pPr>
                  <w:r>
                    <w:rPr>
                      <w:color w:val="auto"/>
                      <w:kern w:val="2"/>
                    </w:rPr>
                    <w:t>P1</w:t>
                  </w:r>
                </w:p>
              </w:tc>
              <w:tc>
                <w:tcPr>
                  <w:tcW w:w="1000" w:type="pct"/>
                  <w:noWrap/>
                  <w:vAlign w:val="center"/>
                </w:tcPr>
                <w:p>
                  <w:pPr>
                    <w:pStyle w:val="50"/>
                    <w:rPr>
                      <w:color w:val="auto"/>
                      <w:kern w:val="2"/>
                    </w:rPr>
                  </w:pPr>
                  <w:r>
                    <w:rPr>
                      <w:color w:val="auto"/>
                      <w:kern w:val="2"/>
                    </w:rPr>
                    <w:t>P2</w:t>
                  </w:r>
                </w:p>
              </w:tc>
              <w:tc>
                <w:tcPr>
                  <w:tcW w:w="1000" w:type="pct"/>
                  <w:noWrap/>
                  <w:vAlign w:val="center"/>
                </w:tcPr>
                <w:p>
                  <w:pPr>
                    <w:pStyle w:val="50"/>
                    <w:rPr>
                      <w:color w:val="auto"/>
                      <w:kern w:val="2"/>
                    </w:rPr>
                  </w:pPr>
                  <w:r>
                    <w:rPr>
                      <w:color w:val="auto"/>
                      <w:kern w:val="2"/>
                    </w:rPr>
                    <w:t>P3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exact"/>
              </w:trPr>
              <w:tc>
                <w:tcPr>
                  <w:tcW w:w="1240" w:type="pct"/>
                  <w:noWrap/>
                  <w:vAlign w:val="center"/>
                </w:tcPr>
                <w:p>
                  <w:pPr>
                    <w:pStyle w:val="50"/>
                    <w:rPr>
                      <w:color w:val="auto"/>
                      <w:kern w:val="2"/>
                    </w:rPr>
                  </w:pPr>
                  <w:r>
                    <w:rPr>
                      <w:color w:val="auto"/>
                      <w:kern w:val="2"/>
                    </w:rPr>
                    <w:t>10≤Q＜100</w:t>
                  </w:r>
                </w:p>
              </w:tc>
              <w:tc>
                <w:tcPr>
                  <w:tcW w:w="758" w:type="pct"/>
                  <w:noWrap/>
                  <w:vAlign w:val="center"/>
                </w:tcPr>
                <w:p>
                  <w:pPr>
                    <w:pStyle w:val="50"/>
                    <w:rPr>
                      <w:color w:val="auto"/>
                      <w:kern w:val="2"/>
                    </w:rPr>
                  </w:pPr>
                  <w:r>
                    <w:rPr>
                      <w:color w:val="auto"/>
                      <w:kern w:val="2"/>
                    </w:rPr>
                    <w:t>P1</w:t>
                  </w:r>
                </w:p>
              </w:tc>
              <w:tc>
                <w:tcPr>
                  <w:tcW w:w="1000" w:type="pct"/>
                  <w:noWrap/>
                  <w:vAlign w:val="center"/>
                </w:tcPr>
                <w:p>
                  <w:pPr>
                    <w:pStyle w:val="50"/>
                    <w:rPr>
                      <w:color w:val="auto"/>
                      <w:kern w:val="2"/>
                    </w:rPr>
                  </w:pPr>
                  <w:r>
                    <w:rPr>
                      <w:color w:val="auto"/>
                      <w:kern w:val="2"/>
                    </w:rPr>
                    <w:t>P2</w:t>
                  </w:r>
                </w:p>
              </w:tc>
              <w:tc>
                <w:tcPr>
                  <w:tcW w:w="1000" w:type="pct"/>
                  <w:noWrap/>
                  <w:vAlign w:val="center"/>
                </w:tcPr>
                <w:p>
                  <w:pPr>
                    <w:pStyle w:val="50"/>
                    <w:rPr>
                      <w:color w:val="auto"/>
                      <w:kern w:val="2"/>
                    </w:rPr>
                  </w:pPr>
                  <w:r>
                    <w:rPr>
                      <w:color w:val="auto"/>
                      <w:kern w:val="2"/>
                    </w:rPr>
                    <w:t>P3</w:t>
                  </w:r>
                </w:p>
              </w:tc>
              <w:tc>
                <w:tcPr>
                  <w:tcW w:w="1000" w:type="pct"/>
                  <w:noWrap/>
                  <w:vAlign w:val="center"/>
                </w:tcPr>
                <w:p>
                  <w:pPr>
                    <w:pStyle w:val="50"/>
                    <w:rPr>
                      <w:color w:val="auto"/>
                      <w:kern w:val="2"/>
                    </w:rPr>
                  </w:pPr>
                  <w:r>
                    <w:rPr>
                      <w:color w:val="auto"/>
                      <w:kern w:val="2"/>
                    </w:rPr>
                    <w:t>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exact"/>
              </w:trPr>
              <w:tc>
                <w:tcPr>
                  <w:tcW w:w="1240" w:type="pct"/>
                  <w:noWrap/>
                  <w:vAlign w:val="center"/>
                </w:tcPr>
                <w:p>
                  <w:pPr>
                    <w:pStyle w:val="50"/>
                    <w:rPr>
                      <w:color w:val="auto"/>
                      <w:kern w:val="2"/>
                    </w:rPr>
                  </w:pPr>
                  <w:r>
                    <w:rPr>
                      <w:color w:val="auto"/>
                      <w:kern w:val="2"/>
                    </w:rPr>
                    <w:t>1≤Q＜10</w:t>
                  </w:r>
                </w:p>
              </w:tc>
              <w:tc>
                <w:tcPr>
                  <w:tcW w:w="758" w:type="pct"/>
                  <w:noWrap/>
                  <w:vAlign w:val="center"/>
                </w:tcPr>
                <w:p>
                  <w:pPr>
                    <w:pStyle w:val="50"/>
                    <w:rPr>
                      <w:color w:val="auto"/>
                      <w:kern w:val="2"/>
                    </w:rPr>
                  </w:pPr>
                  <w:r>
                    <w:rPr>
                      <w:color w:val="auto"/>
                      <w:kern w:val="2"/>
                    </w:rPr>
                    <w:t>P2</w:t>
                  </w:r>
                </w:p>
              </w:tc>
              <w:tc>
                <w:tcPr>
                  <w:tcW w:w="1000" w:type="pct"/>
                  <w:noWrap/>
                  <w:vAlign w:val="center"/>
                </w:tcPr>
                <w:p>
                  <w:pPr>
                    <w:pStyle w:val="50"/>
                    <w:rPr>
                      <w:color w:val="auto"/>
                      <w:kern w:val="2"/>
                    </w:rPr>
                  </w:pPr>
                  <w:r>
                    <w:rPr>
                      <w:color w:val="auto"/>
                      <w:kern w:val="2"/>
                    </w:rPr>
                    <w:t>P3</w:t>
                  </w:r>
                </w:p>
              </w:tc>
              <w:tc>
                <w:tcPr>
                  <w:tcW w:w="1000" w:type="pct"/>
                  <w:noWrap/>
                  <w:vAlign w:val="center"/>
                </w:tcPr>
                <w:p>
                  <w:pPr>
                    <w:pStyle w:val="50"/>
                    <w:rPr>
                      <w:color w:val="auto"/>
                      <w:kern w:val="2"/>
                    </w:rPr>
                  </w:pPr>
                  <w:r>
                    <w:rPr>
                      <w:color w:val="auto"/>
                      <w:kern w:val="2"/>
                    </w:rPr>
                    <w:t>P4</w:t>
                  </w:r>
                </w:p>
              </w:tc>
              <w:tc>
                <w:tcPr>
                  <w:tcW w:w="1000" w:type="pct"/>
                  <w:noWrap/>
                  <w:vAlign w:val="center"/>
                </w:tcPr>
                <w:p>
                  <w:pPr>
                    <w:pStyle w:val="50"/>
                    <w:rPr>
                      <w:color w:val="auto"/>
                      <w:kern w:val="2"/>
                    </w:rPr>
                  </w:pPr>
                  <w:r>
                    <w:rPr>
                      <w:color w:val="auto"/>
                      <w:kern w:val="2"/>
                    </w:rPr>
                    <w:t>P4</w:t>
                  </w:r>
                </w:p>
              </w:tc>
            </w:tr>
          </w:tbl>
          <w:p>
            <w:pPr>
              <w:keepNext/>
              <w:keepLines/>
              <w:ind w:firstLine="480"/>
              <w:rPr>
                <w:color w:val="auto"/>
              </w:rPr>
            </w:pPr>
            <w:r>
              <w:rPr>
                <w:bCs/>
                <w:color w:val="auto"/>
                <w:lang w:val="zh-CN"/>
              </w:rPr>
              <w:t>根据附表7-23危险物质及工艺系统危害性等级判断</w:t>
            </w:r>
            <w:r>
              <w:rPr>
                <w:rFonts w:hint="eastAsia"/>
                <w:bCs/>
                <w:color w:val="auto"/>
              </w:rPr>
              <w:t>划分</w:t>
            </w:r>
            <w:r>
              <w:rPr>
                <w:bCs/>
                <w:color w:val="auto"/>
                <w:lang w:val="zh-CN"/>
              </w:rPr>
              <w:t>，项目危险性为P4。</w:t>
            </w:r>
          </w:p>
          <w:p>
            <w:pPr>
              <w:keepNext/>
              <w:keepLines/>
              <w:ind w:firstLine="482"/>
              <w:rPr>
                <w:b/>
                <w:bCs/>
                <w:color w:val="auto"/>
              </w:rPr>
            </w:pPr>
            <w:r>
              <w:rPr>
                <w:rFonts w:hint="eastAsia"/>
                <w:b/>
                <w:bCs/>
                <w:color w:val="auto"/>
              </w:rPr>
              <w:t>2、环境敏感程度（E）</w:t>
            </w:r>
          </w:p>
          <w:p>
            <w:pPr>
              <w:ind w:firstLine="470" w:firstLineChars="196"/>
              <w:rPr>
                <w:bCs/>
                <w:color w:val="auto"/>
                <w:lang w:val="zh-CN"/>
              </w:rPr>
            </w:pPr>
            <w:r>
              <w:rPr>
                <w:rFonts w:hint="eastAsia"/>
                <w:bCs/>
                <w:color w:val="auto"/>
                <w:lang w:val="zh-CN"/>
              </w:rPr>
              <w:t>（</w:t>
            </w:r>
            <w:r>
              <w:rPr>
                <w:rFonts w:hint="eastAsia"/>
                <w:bCs/>
                <w:color w:val="auto"/>
                <w:lang w:val="en-US" w:eastAsia="zh-CN"/>
              </w:rPr>
              <w:t>1）</w:t>
            </w:r>
            <w:r>
              <w:rPr>
                <w:bCs/>
                <w:color w:val="auto"/>
                <w:lang w:val="zh-CN"/>
              </w:rPr>
              <w:t>大气敏感度判定</w:t>
            </w:r>
          </w:p>
          <w:p>
            <w:pPr>
              <w:ind w:firstLine="470" w:firstLineChars="196"/>
              <w:rPr>
                <w:rFonts w:ascii="Calibri" w:hAnsi="Calibri"/>
                <w:color w:val="auto"/>
              </w:rPr>
            </w:pPr>
            <w:r>
              <w:rPr>
                <w:bCs/>
                <w:color w:val="auto"/>
                <w:lang w:val="zh-CN"/>
              </w:rPr>
              <w:t>根据《建设项目环境风险评价技术导则》（HJ169-2018）附录D，大气环境敏感程度分级如下表7-</w:t>
            </w:r>
            <w:r>
              <w:rPr>
                <w:rFonts w:hint="eastAsia"/>
                <w:bCs/>
                <w:color w:val="auto"/>
                <w:lang w:val="en-US" w:eastAsia="zh-CN"/>
              </w:rPr>
              <w:t>34</w:t>
            </w:r>
            <w:r>
              <w:rPr>
                <w:bCs/>
                <w:color w:val="auto"/>
                <w:lang w:val="zh-CN"/>
              </w:rPr>
              <w:t>。</w:t>
            </w:r>
          </w:p>
          <w:p>
            <w:pPr>
              <w:pStyle w:val="48"/>
              <w:keepNext/>
              <w:keepLines/>
              <w:ind w:firstLine="422"/>
              <w:rPr>
                <w:color w:val="auto"/>
              </w:rPr>
            </w:pPr>
            <w:r>
              <w:rPr>
                <w:rFonts w:hint="eastAsia"/>
                <w:color w:val="auto"/>
              </w:rPr>
              <w:t>表 7-</w:t>
            </w:r>
            <w:r>
              <w:rPr>
                <w:rFonts w:hint="eastAsia"/>
                <w:color w:val="auto"/>
                <w:lang w:val="en-US" w:eastAsia="zh-CN"/>
              </w:rPr>
              <w:t>34</w:t>
            </w:r>
            <w:r>
              <w:rPr>
                <w:rFonts w:hint="eastAsia"/>
                <w:color w:val="auto"/>
              </w:rPr>
              <w:t xml:space="preserve"> 大气环境敏感程度分级表</w:t>
            </w:r>
          </w:p>
          <w:tbl>
            <w:tblPr>
              <w:tblStyle w:val="36"/>
              <w:tblW w:w="4998" w:type="pct"/>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7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exact"/>
              </w:trPr>
              <w:tc>
                <w:tcPr>
                  <w:tcW w:w="422" w:type="pct"/>
                  <w:noWrap/>
                  <w:vAlign w:val="center"/>
                </w:tcPr>
                <w:p>
                  <w:pPr>
                    <w:pStyle w:val="50"/>
                    <w:rPr>
                      <w:color w:val="auto"/>
                      <w:kern w:val="2"/>
                    </w:rPr>
                  </w:pPr>
                  <w:r>
                    <w:rPr>
                      <w:color w:val="auto"/>
                      <w:kern w:val="2"/>
                    </w:rPr>
                    <w:t>分级</w:t>
                  </w:r>
                </w:p>
              </w:tc>
              <w:tc>
                <w:tcPr>
                  <w:tcW w:w="4577" w:type="pct"/>
                  <w:noWrap/>
                </w:tcPr>
                <w:p>
                  <w:pPr>
                    <w:pStyle w:val="50"/>
                    <w:rPr>
                      <w:color w:val="auto"/>
                      <w:kern w:val="2"/>
                    </w:rPr>
                  </w:pPr>
                  <w:r>
                    <w:rPr>
                      <w:color w:val="auto"/>
                      <w:kern w:val="2"/>
                    </w:rPr>
                    <w:t>大气环境敏感性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trPr>
              <w:tc>
                <w:tcPr>
                  <w:tcW w:w="422" w:type="pct"/>
                  <w:noWrap/>
                  <w:vAlign w:val="center"/>
                </w:tcPr>
                <w:p>
                  <w:pPr>
                    <w:pStyle w:val="50"/>
                    <w:rPr>
                      <w:color w:val="auto"/>
                      <w:kern w:val="2"/>
                    </w:rPr>
                  </w:pPr>
                  <w:r>
                    <w:rPr>
                      <w:color w:val="auto"/>
                      <w:kern w:val="2"/>
                    </w:rPr>
                    <w:t>E1</w:t>
                  </w:r>
                </w:p>
              </w:tc>
              <w:tc>
                <w:tcPr>
                  <w:tcW w:w="4577" w:type="pct"/>
                  <w:noWrap/>
                </w:tcPr>
                <w:p>
                  <w:pPr>
                    <w:pStyle w:val="50"/>
                    <w:rPr>
                      <w:color w:val="auto"/>
                      <w:kern w:val="2"/>
                    </w:rPr>
                  </w:pPr>
                  <w:r>
                    <w:rPr>
                      <w:color w:val="auto"/>
                      <w:kern w:val="2"/>
                    </w:rPr>
                    <w:t>周边5km范围内居住区、医疗卫生、文化教育、科研、行政办公等机构人口总数大于5万人，或其他需要特殊保护区域，或周边500m范围内人口总数大于1000人；油气、化学品输送管线管段周边200m范围内，每千米管段人口数大于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exact"/>
              </w:trPr>
              <w:tc>
                <w:tcPr>
                  <w:tcW w:w="422" w:type="pct"/>
                  <w:noWrap/>
                  <w:vAlign w:val="center"/>
                </w:tcPr>
                <w:p>
                  <w:pPr>
                    <w:pStyle w:val="50"/>
                    <w:rPr>
                      <w:color w:val="auto"/>
                      <w:kern w:val="2"/>
                    </w:rPr>
                  </w:pPr>
                  <w:r>
                    <w:rPr>
                      <w:color w:val="auto"/>
                      <w:kern w:val="2"/>
                    </w:rPr>
                    <w:t>E2</w:t>
                  </w:r>
                </w:p>
              </w:tc>
              <w:tc>
                <w:tcPr>
                  <w:tcW w:w="4577" w:type="pct"/>
                  <w:noWrap/>
                </w:tcPr>
                <w:p>
                  <w:pPr>
                    <w:pStyle w:val="50"/>
                    <w:rPr>
                      <w:color w:val="auto"/>
                      <w:kern w:val="2"/>
                    </w:rPr>
                  </w:pPr>
                  <w:r>
                    <w:rPr>
                      <w:color w:val="auto"/>
                      <w:kern w:val="2"/>
                    </w:rPr>
                    <w:t>周边5km范围内居住区、医疗卫生、文化教育、科研、行政办公等机构人口总数大于1万人，小于5万人；或周边500m范围内人口总数大于500人；小于1000人；油气、化学品输送管线管段周边200m范围内，每千米管段人口数大于100人，小于200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exact"/>
              </w:trPr>
              <w:tc>
                <w:tcPr>
                  <w:tcW w:w="422" w:type="pct"/>
                  <w:noWrap/>
                  <w:vAlign w:val="center"/>
                </w:tcPr>
                <w:p>
                  <w:pPr>
                    <w:pStyle w:val="50"/>
                    <w:rPr>
                      <w:color w:val="auto"/>
                      <w:kern w:val="2"/>
                    </w:rPr>
                  </w:pPr>
                  <w:r>
                    <w:rPr>
                      <w:color w:val="auto"/>
                      <w:kern w:val="2"/>
                    </w:rPr>
                    <w:t>E3</w:t>
                  </w:r>
                </w:p>
              </w:tc>
              <w:tc>
                <w:tcPr>
                  <w:tcW w:w="4577" w:type="pct"/>
                  <w:noWrap/>
                </w:tcPr>
                <w:p>
                  <w:pPr>
                    <w:pStyle w:val="50"/>
                    <w:rPr>
                      <w:color w:val="auto"/>
                      <w:kern w:val="2"/>
                    </w:rPr>
                  </w:pPr>
                  <w:r>
                    <w:rPr>
                      <w:color w:val="auto"/>
                      <w:kern w:val="2"/>
                    </w:rPr>
                    <w:t>周边5km范围内居住区、医疗卫生、文化教育、科研、行政办公等机构人口总数小于1万人；或周边500m范围内人口总数小于500人；油气、化学品输送管线管段周边200m范围内，每千米管段人口数小于100人。</w:t>
                  </w:r>
                </w:p>
              </w:tc>
            </w:tr>
          </w:tbl>
          <w:p>
            <w:pPr>
              <w:ind w:firstLine="470" w:firstLineChars="196"/>
              <w:rPr>
                <w:bCs/>
                <w:color w:val="auto"/>
                <w:lang w:val="zh-CN"/>
              </w:rPr>
            </w:pPr>
            <w:r>
              <w:rPr>
                <w:bCs/>
                <w:color w:val="auto"/>
                <w:lang w:val="zh-CN"/>
              </w:rPr>
              <w:t>项目周边500米范围内</w:t>
            </w:r>
            <w:r>
              <w:rPr>
                <w:rFonts w:hint="eastAsia"/>
                <w:bCs/>
                <w:color w:val="auto"/>
                <w:lang w:val="zh-CN"/>
              </w:rPr>
              <w:t>无居民区，</w:t>
            </w:r>
            <w:r>
              <w:rPr>
                <w:bCs/>
                <w:color w:val="auto"/>
                <w:lang w:val="zh-CN"/>
              </w:rPr>
              <w:t>人口总数小于500人，属于E3。</w:t>
            </w:r>
          </w:p>
          <w:p>
            <w:pPr>
              <w:ind w:firstLine="470" w:firstLineChars="196"/>
              <w:rPr>
                <w:bCs/>
                <w:color w:val="auto"/>
                <w:lang w:val="zh-CN"/>
              </w:rPr>
            </w:pPr>
            <w:r>
              <w:rPr>
                <w:rFonts w:hint="eastAsia"/>
                <w:bCs/>
                <w:color w:val="auto"/>
                <w:lang w:val="zh-CN"/>
              </w:rPr>
              <w:t>（</w:t>
            </w:r>
            <w:r>
              <w:rPr>
                <w:rFonts w:hint="eastAsia"/>
                <w:bCs/>
                <w:color w:val="auto"/>
                <w:lang w:val="en-US" w:eastAsia="zh-CN"/>
              </w:rPr>
              <w:t>2）</w:t>
            </w:r>
            <w:r>
              <w:rPr>
                <w:bCs/>
                <w:color w:val="auto"/>
                <w:lang w:val="zh-CN"/>
              </w:rPr>
              <w:t>地表水敏感度确定</w:t>
            </w:r>
          </w:p>
          <w:p>
            <w:pPr>
              <w:ind w:firstLine="470" w:firstLineChars="196"/>
              <w:rPr>
                <w:bCs/>
                <w:color w:val="auto"/>
                <w:lang w:val="zh-CN"/>
              </w:rPr>
            </w:pPr>
            <w:r>
              <w:rPr>
                <w:bCs/>
                <w:color w:val="auto"/>
                <w:lang w:val="zh-CN"/>
              </w:rPr>
              <w:t>根据《建设项目环境风险评价技术导则》（HJ169-2018）附录 D，地表水环境敏感程度分级如下表7-</w:t>
            </w:r>
            <w:r>
              <w:rPr>
                <w:rFonts w:hint="eastAsia"/>
                <w:bCs/>
                <w:color w:val="auto"/>
              </w:rPr>
              <w:t>3</w:t>
            </w:r>
            <w:r>
              <w:rPr>
                <w:rFonts w:hint="eastAsia"/>
                <w:bCs/>
                <w:color w:val="auto"/>
                <w:lang w:val="en-US" w:eastAsia="zh-CN"/>
              </w:rPr>
              <w:t>5</w:t>
            </w:r>
            <w:r>
              <w:rPr>
                <w:bCs/>
                <w:color w:val="auto"/>
                <w:lang w:val="zh-CN"/>
              </w:rPr>
              <w:t>，环境敏感目标分级表7-</w:t>
            </w:r>
            <w:r>
              <w:rPr>
                <w:rFonts w:hint="eastAsia"/>
                <w:bCs/>
                <w:color w:val="auto"/>
              </w:rPr>
              <w:t>3</w:t>
            </w:r>
            <w:r>
              <w:rPr>
                <w:rFonts w:hint="eastAsia"/>
                <w:bCs/>
                <w:color w:val="auto"/>
                <w:lang w:val="en-US" w:eastAsia="zh-CN"/>
              </w:rPr>
              <w:t>6</w:t>
            </w:r>
            <w:r>
              <w:rPr>
                <w:bCs/>
                <w:color w:val="auto"/>
                <w:lang w:val="zh-CN"/>
              </w:rPr>
              <w:t>。</w:t>
            </w:r>
          </w:p>
          <w:p>
            <w:pPr>
              <w:pStyle w:val="48"/>
              <w:keepNext/>
              <w:keepLines/>
              <w:ind w:firstLine="422"/>
              <w:rPr>
                <w:color w:val="auto"/>
              </w:rPr>
            </w:pPr>
            <w:r>
              <w:rPr>
                <w:rFonts w:hint="eastAsia"/>
                <w:color w:val="auto"/>
              </w:rPr>
              <w:t>表 7-3</w:t>
            </w:r>
            <w:r>
              <w:rPr>
                <w:rFonts w:hint="eastAsia"/>
                <w:color w:val="auto"/>
                <w:lang w:val="en-US" w:eastAsia="zh-CN"/>
              </w:rPr>
              <w:t>5</w:t>
            </w:r>
            <w:r>
              <w:rPr>
                <w:rFonts w:hint="eastAsia"/>
                <w:color w:val="auto"/>
              </w:rPr>
              <w:t xml:space="preserve"> 地表水功能敏感性分区</w:t>
            </w:r>
          </w:p>
          <w:tbl>
            <w:tblPr>
              <w:tblStyle w:val="36"/>
              <w:tblW w:w="4999"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3"/>
              <w:gridCol w:w="7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noWrap/>
                  <w:vAlign w:val="center"/>
                </w:tcPr>
                <w:p>
                  <w:pPr>
                    <w:pStyle w:val="50"/>
                    <w:rPr>
                      <w:color w:val="auto"/>
                      <w:kern w:val="2"/>
                    </w:rPr>
                  </w:pPr>
                  <w:r>
                    <w:rPr>
                      <w:color w:val="auto"/>
                      <w:kern w:val="2"/>
                    </w:rPr>
                    <w:t>敏感性</w:t>
                  </w:r>
                </w:p>
              </w:tc>
              <w:tc>
                <w:tcPr>
                  <w:tcW w:w="4310" w:type="pct"/>
                  <w:noWrap/>
                </w:tcPr>
                <w:p>
                  <w:pPr>
                    <w:pStyle w:val="50"/>
                    <w:rPr>
                      <w:color w:val="auto"/>
                      <w:kern w:val="2"/>
                    </w:rPr>
                  </w:pPr>
                  <w:r>
                    <w:rPr>
                      <w:color w:val="auto"/>
                      <w:kern w:val="2"/>
                    </w:rPr>
                    <w:t>地表水环境敏感特征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noWrap/>
                  <w:vAlign w:val="center"/>
                </w:tcPr>
                <w:p>
                  <w:pPr>
                    <w:pStyle w:val="50"/>
                    <w:rPr>
                      <w:color w:val="auto"/>
                      <w:kern w:val="2"/>
                    </w:rPr>
                  </w:pPr>
                  <w:r>
                    <w:rPr>
                      <w:color w:val="auto"/>
                      <w:kern w:val="2"/>
                    </w:rPr>
                    <w:t>F1</w:t>
                  </w:r>
                </w:p>
              </w:tc>
              <w:tc>
                <w:tcPr>
                  <w:tcW w:w="4310" w:type="pct"/>
                  <w:noWrap/>
                </w:tcPr>
                <w:p>
                  <w:pPr>
                    <w:pStyle w:val="50"/>
                    <w:rPr>
                      <w:color w:val="auto"/>
                      <w:kern w:val="2"/>
                    </w:rPr>
                  </w:pPr>
                  <w:r>
                    <w:rPr>
                      <w:color w:val="auto"/>
                      <w:kern w:val="2"/>
                    </w:rPr>
                    <w:t>排放点进入地表水水域环境功能为II类及以上，或海水水质分类第一类；或以发生事故时，危险物质泄漏到水体的排放点算起，排放进入受纳河流最大流速时24h流经范围内涉跨国界的。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noWrap/>
                  <w:vAlign w:val="center"/>
                </w:tcPr>
                <w:p>
                  <w:pPr>
                    <w:pStyle w:val="50"/>
                    <w:rPr>
                      <w:color w:val="auto"/>
                      <w:kern w:val="2"/>
                    </w:rPr>
                  </w:pPr>
                  <w:r>
                    <w:rPr>
                      <w:color w:val="auto"/>
                      <w:kern w:val="2"/>
                    </w:rPr>
                    <w:t>F2</w:t>
                  </w:r>
                </w:p>
              </w:tc>
              <w:tc>
                <w:tcPr>
                  <w:tcW w:w="4310" w:type="pct"/>
                  <w:noWrap/>
                </w:tcPr>
                <w:p>
                  <w:pPr>
                    <w:pStyle w:val="50"/>
                    <w:rPr>
                      <w:color w:val="auto"/>
                      <w:kern w:val="2"/>
                    </w:rPr>
                  </w:pPr>
                  <w:r>
                    <w:rPr>
                      <w:color w:val="auto"/>
                      <w:kern w:val="2"/>
                    </w:rPr>
                    <w:t>排放点进入地表水水域环境功能为III类，或海水水质分类第二类；或以发生事故时，危险物质泄漏到水体的排放点算起，排放进入受纳河流最大流速时,24h流经范围内涉跨省界的。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9" w:type="pct"/>
                  <w:noWrap/>
                  <w:vAlign w:val="center"/>
                </w:tcPr>
                <w:p>
                  <w:pPr>
                    <w:pStyle w:val="50"/>
                    <w:rPr>
                      <w:color w:val="auto"/>
                      <w:kern w:val="2"/>
                    </w:rPr>
                  </w:pPr>
                  <w:r>
                    <w:rPr>
                      <w:color w:val="auto"/>
                      <w:kern w:val="2"/>
                    </w:rPr>
                    <w:t>F3</w:t>
                  </w:r>
                </w:p>
              </w:tc>
              <w:tc>
                <w:tcPr>
                  <w:tcW w:w="4310" w:type="pct"/>
                  <w:noWrap/>
                </w:tcPr>
                <w:p>
                  <w:pPr>
                    <w:pStyle w:val="50"/>
                    <w:rPr>
                      <w:color w:val="auto"/>
                      <w:kern w:val="2"/>
                    </w:rPr>
                  </w:pPr>
                  <w:r>
                    <w:rPr>
                      <w:color w:val="auto"/>
                      <w:kern w:val="2"/>
                    </w:rPr>
                    <w:t>上述地区之外的其他地区。</w:t>
                  </w:r>
                </w:p>
              </w:tc>
            </w:tr>
          </w:tbl>
          <w:p>
            <w:pPr>
              <w:ind w:firstLine="470" w:firstLineChars="196"/>
              <w:jc w:val="left"/>
              <w:rPr>
                <w:bCs/>
                <w:color w:val="auto"/>
                <w:lang w:val="zh-CN"/>
              </w:rPr>
            </w:pPr>
            <w:r>
              <w:rPr>
                <w:bCs/>
                <w:color w:val="auto"/>
                <w:lang w:val="zh-CN"/>
              </w:rPr>
              <w:t>项目不属于F1、F2所述的地表水环境敏感特征，故项目地表水功能敏感性为F3。</w:t>
            </w:r>
          </w:p>
          <w:p>
            <w:pPr>
              <w:pStyle w:val="48"/>
              <w:keepNext/>
              <w:keepLines/>
              <w:ind w:firstLine="422"/>
              <w:rPr>
                <w:color w:val="auto"/>
              </w:rPr>
            </w:pPr>
            <w:r>
              <w:rPr>
                <w:rFonts w:hint="eastAsia"/>
                <w:color w:val="auto"/>
              </w:rPr>
              <w:t>表 7-3</w:t>
            </w:r>
            <w:r>
              <w:rPr>
                <w:rFonts w:hint="eastAsia"/>
                <w:color w:val="auto"/>
                <w:lang w:val="en-US" w:eastAsia="zh-CN"/>
              </w:rPr>
              <w:t>6</w:t>
            </w:r>
            <w:r>
              <w:rPr>
                <w:rFonts w:hint="eastAsia"/>
                <w:color w:val="auto"/>
              </w:rPr>
              <w:t xml:space="preserve"> 环境敏感目标分级</w:t>
            </w:r>
          </w:p>
          <w:tbl>
            <w:tblPr>
              <w:tblStyle w:val="36"/>
              <w:tblW w:w="4997"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7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64" w:type="pct"/>
                  <w:noWrap/>
                  <w:vAlign w:val="center"/>
                </w:tcPr>
                <w:p>
                  <w:pPr>
                    <w:pStyle w:val="50"/>
                    <w:rPr>
                      <w:color w:val="auto"/>
                      <w:kern w:val="2"/>
                    </w:rPr>
                  </w:pPr>
                  <w:r>
                    <w:rPr>
                      <w:color w:val="auto"/>
                      <w:kern w:val="2"/>
                    </w:rPr>
                    <w:t>分级</w:t>
                  </w:r>
                </w:p>
              </w:tc>
              <w:tc>
                <w:tcPr>
                  <w:tcW w:w="4435" w:type="pct"/>
                  <w:noWrap/>
                </w:tcPr>
                <w:p>
                  <w:pPr>
                    <w:pStyle w:val="50"/>
                    <w:rPr>
                      <w:color w:val="auto"/>
                      <w:kern w:val="2"/>
                    </w:rPr>
                  </w:pPr>
                  <w:r>
                    <w:rPr>
                      <w:color w:val="auto"/>
                      <w:kern w:val="2"/>
                    </w:rPr>
                    <w:t>环境敏感目标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noWrap/>
                  <w:vAlign w:val="center"/>
                </w:tcPr>
                <w:p>
                  <w:pPr>
                    <w:pStyle w:val="50"/>
                    <w:rPr>
                      <w:color w:val="auto"/>
                      <w:kern w:val="2"/>
                    </w:rPr>
                  </w:pPr>
                  <w:r>
                    <w:rPr>
                      <w:color w:val="auto"/>
                      <w:kern w:val="2"/>
                    </w:rPr>
                    <w:t>S1</w:t>
                  </w:r>
                </w:p>
              </w:tc>
              <w:tc>
                <w:tcPr>
                  <w:tcW w:w="4435" w:type="pct"/>
                  <w:noWrap/>
                </w:tcPr>
                <w:p>
                  <w:pPr>
                    <w:pStyle w:val="50"/>
                    <w:rPr>
                      <w:color w:val="auto"/>
                      <w:kern w:val="2"/>
                    </w:rPr>
                  </w:pPr>
                  <w:r>
                    <w:rPr>
                      <w:color w:val="auto"/>
                      <w:kern w:val="2"/>
                    </w:rPr>
                    <w:t>发生事故时，危险物质泄漏到内陆水体的排放点下游（顺水流向）10km范围内、近岸海域一个潮周期水质点可能达到的最大水平距离的两倍范围内，有如下一类或多类环境风险受体：集中式地表水饮用水水源保护区（包括一级保护区、二级保护区及准保护区）；农村及分散式饮用水水源保护区；自然保护区；重要湿地；珍稀濒危野生动植物天然集中分布区；重要水生生物的自然产卵场及索饵场、越冬场和洄游通道；世界文化和自然遗产地；红树林、珊瑚礁等滨海湿地生态系统；珍稀、濒危海洋生物的天然集中分布区；海洋特别保护区；海上自然保护区；盐场保护区；海水浴场；海洋自然历史遗迹；风景名胜区；或其他特殊重要保护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noWrap/>
                  <w:vAlign w:val="center"/>
                </w:tcPr>
                <w:p>
                  <w:pPr>
                    <w:pStyle w:val="50"/>
                    <w:rPr>
                      <w:color w:val="auto"/>
                      <w:kern w:val="2"/>
                    </w:rPr>
                  </w:pPr>
                  <w:r>
                    <w:rPr>
                      <w:color w:val="auto"/>
                      <w:kern w:val="2"/>
                    </w:rPr>
                    <w:t>S2</w:t>
                  </w:r>
                </w:p>
              </w:tc>
              <w:tc>
                <w:tcPr>
                  <w:tcW w:w="4435" w:type="pct"/>
                  <w:noWrap/>
                </w:tcPr>
                <w:p>
                  <w:pPr>
                    <w:pStyle w:val="50"/>
                    <w:rPr>
                      <w:color w:val="auto"/>
                      <w:kern w:val="2"/>
                    </w:rPr>
                  </w:pPr>
                  <w:r>
                    <w:rPr>
                      <w:color w:val="auto"/>
                      <w:kern w:val="2"/>
                    </w:rPr>
                    <w:t>发生事故时，危险物质泄漏到内陆水体的排放点下游（顺水流向）10km范围内、近岸海域一个潮周期水质点可能达到的最大水平距离的两倍范围内，有如下一类或多类环境风险受体：水产养殖区；天然渔场；森林公园；地质公园；海滨风景游览区；具有重要经济价值的海洋生物生存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4" w:type="pct"/>
                  <w:noWrap/>
                  <w:vAlign w:val="center"/>
                </w:tcPr>
                <w:p>
                  <w:pPr>
                    <w:pStyle w:val="50"/>
                    <w:rPr>
                      <w:color w:val="auto"/>
                      <w:kern w:val="2"/>
                    </w:rPr>
                  </w:pPr>
                  <w:r>
                    <w:rPr>
                      <w:color w:val="auto"/>
                      <w:kern w:val="2"/>
                    </w:rPr>
                    <w:t>S3</w:t>
                  </w:r>
                </w:p>
              </w:tc>
              <w:tc>
                <w:tcPr>
                  <w:tcW w:w="4435" w:type="pct"/>
                  <w:noWrap/>
                </w:tcPr>
                <w:p>
                  <w:pPr>
                    <w:pStyle w:val="50"/>
                    <w:rPr>
                      <w:color w:val="auto"/>
                      <w:kern w:val="2"/>
                    </w:rPr>
                  </w:pPr>
                  <w:r>
                    <w:rPr>
                      <w:color w:val="auto"/>
                      <w:kern w:val="2"/>
                    </w:rPr>
                    <w:t>排放点下游（顺水流向）10km范围内、近岸海域一个潮周期水质点可能达到的最大水平距离的两倍范围内无上述类型1和类型2包括的敏感保护目标</w:t>
                  </w:r>
                </w:p>
              </w:tc>
            </w:tr>
          </w:tbl>
          <w:p>
            <w:pPr>
              <w:ind w:firstLine="470" w:firstLineChars="196"/>
              <w:rPr>
                <w:bCs/>
                <w:color w:val="auto"/>
                <w:lang w:val="zh-CN"/>
              </w:rPr>
            </w:pPr>
            <w:r>
              <w:rPr>
                <w:bCs/>
                <w:color w:val="auto"/>
                <w:lang w:val="zh-CN"/>
              </w:rPr>
              <w:t>项目位于</w:t>
            </w:r>
            <w:r>
              <w:rPr>
                <w:rFonts w:hint="eastAsia"/>
                <w:color w:val="auto"/>
              </w:rPr>
              <w:t>富民工业园区大营—茨塘片区大营五金建材园</w:t>
            </w:r>
            <w:r>
              <w:rPr>
                <w:bCs/>
                <w:color w:val="auto"/>
                <w:lang w:val="zh-CN"/>
              </w:rPr>
              <w:t>，所在地不属于《建设项目环境风险评价技术导则》（HJ 169-2018）中规定的需要特殊保护地区、生态敏感与脆弱区及社会关注区等环境敏感地；结合项目所在位置，当项目</w:t>
            </w:r>
            <w:r>
              <w:rPr>
                <w:rFonts w:hint="eastAsia"/>
                <w:color w:val="auto"/>
                <w:lang w:eastAsia="zh-CN"/>
              </w:rPr>
              <w:t>危废间</w:t>
            </w:r>
            <w:r>
              <w:rPr>
                <w:bCs/>
                <w:color w:val="auto"/>
                <w:lang w:val="zh-CN"/>
              </w:rPr>
              <w:t>发生泄漏时，地面防渗区可有效防止物质泄漏。此外，厂区周围为硬化道路以及其他工业厂房等，物质泄漏不直接排入地表水环境。因此，项目环境敏感目标分级为S3。</w:t>
            </w:r>
          </w:p>
          <w:p>
            <w:pPr>
              <w:ind w:firstLine="470" w:firstLineChars="196"/>
              <w:rPr>
                <w:bCs/>
                <w:color w:val="auto"/>
                <w:lang w:val="zh-CN"/>
              </w:rPr>
            </w:pPr>
            <w:r>
              <w:rPr>
                <w:bCs/>
                <w:color w:val="auto"/>
                <w:lang w:val="zh-CN"/>
              </w:rPr>
              <w:t>由上分析可知，项目所设地表水功能敏感性分区为较敏感F3、环境敏感目标分级为S3，根据下表7-</w:t>
            </w:r>
            <w:r>
              <w:rPr>
                <w:rFonts w:hint="eastAsia"/>
                <w:bCs/>
                <w:color w:val="auto"/>
              </w:rPr>
              <w:t>3</w:t>
            </w:r>
            <w:r>
              <w:rPr>
                <w:rFonts w:hint="eastAsia"/>
                <w:bCs/>
                <w:color w:val="auto"/>
                <w:lang w:val="en-US" w:eastAsia="zh-CN"/>
              </w:rPr>
              <w:t>7</w:t>
            </w:r>
            <w:r>
              <w:rPr>
                <w:rFonts w:hint="eastAsia"/>
                <w:bCs/>
                <w:color w:val="auto"/>
              </w:rPr>
              <w:t>，</w:t>
            </w:r>
            <w:r>
              <w:rPr>
                <w:bCs/>
                <w:color w:val="auto"/>
                <w:lang w:val="zh-CN"/>
              </w:rPr>
              <w:t>因此项目地表水环境敏感程度分级为E3。</w:t>
            </w:r>
          </w:p>
          <w:p>
            <w:pPr>
              <w:pStyle w:val="48"/>
              <w:keepNext/>
              <w:keepLines/>
              <w:ind w:firstLine="422"/>
              <w:rPr>
                <w:color w:val="auto"/>
              </w:rPr>
            </w:pPr>
            <w:r>
              <w:rPr>
                <w:rFonts w:hint="eastAsia"/>
                <w:color w:val="auto"/>
              </w:rPr>
              <w:t>表7-3</w:t>
            </w:r>
            <w:r>
              <w:rPr>
                <w:rFonts w:hint="eastAsia"/>
                <w:color w:val="auto"/>
                <w:lang w:val="en-US" w:eastAsia="zh-CN"/>
              </w:rPr>
              <w:t>7</w:t>
            </w:r>
            <w:r>
              <w:rPr>
                <w:rFonts w:hint="eastAsia"/>
                <w:color w:val="auto"/>
              </w:rPr>
              <w:t xml:space="preserve">  建设项目地表水环境敏感度一览表</w:t>
            </w:r>
          </w:p>
          <w:tbl>
            <w:tblPr>
              <w:tblStyle w:val="36"/>
              <w:tblW w:w="4999"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2"/>
              <w:gridCol w:w="2092"/>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restart"/>
                  <w:noWrap/>
                  <w:vAlign w:val="center"/>
                </w:tcPr>
                <w:p>
                  <w:pPr>
                    <w:pStyle w:val="50"/>
                    <w:rPr>
                      <w:color w:val="auto"/>
                      <w:kern w:val="2"/>
                    </w:rPr>
                  </w:pPr>
                  <w:r>
                    <w:rPr>
                      <w:color w:val="auto"/>
                      <w:kern w:val="2"/>
                    </w:rPr>
                    <w:t>环境敏感目标</w:t>
                  </w:r>
                </w:p>
              </w:tc>
              <w:tc>
                <w:tcPr>
                  <w:tcW w:w="3750" w:type="pct"/>
                  <w:gridSpan w:val="3"/>
                  <w:noWrap/>
                  <w:vAlign w:val="center"/>
                </w:tcPr>
                <w:p>
                  <w:pPr>
                    <w:pStyle w:val="50"/>
                    <w:rPr>
                      <w:color w:val="auto"/>
                      <w:kern w:val="2"/>
                    </w:rPr>
                  </w:pPr>
                  <w:r>
                    <w:rPr>
                      <w:color w:val="auto"/>
                      <w:kern w:val="2"/>
                    </w:rPr>
                    <w:t>地表水功能敏感度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vMerge w:val="continue"/>
                  <w:noWrap/>
                  <w:vAlign w:val="center"/>
                </w:tcPr>
                <w:p>
                  <w:pPr>
                    <w:pStyle w:val="50"/>
                    <w:rPr>
                      <w:color w:val="auto"/>
                      <w:kern w:val="2"/>
                    </w:rPr>
                  </w:pPr>
                </w:p>
              </w:tc>
              <w:tc>
                <w:tcPr>
                  <w:tcW w:w="1250" w:type="pct"/>
                  <w:noWrap/>
                  <w:vAlign w:val="center"/>
                </w:tcPr>
                <w:p>
                  <w:pPr>
                    <w:pStyle w:val="50"/>
                    <w:rPr>
                      <w:color w:val="auto"/>
                      <w:kern w:val="2"/>
                    </w:rPr>
                  </w:pPr>
                  <w:r>
                    <w:rPr>
                      <w:color w:val="auto"/>
                      <w:kern w:val="2"/>
                    </w:rPr>
                    <w:t>F1</w:t>
                  </w:r>
                </w:p>
              </w:tc>
              <w:tc>
                <w:tcPr>
                  <w:tcW w:w="1250" w:type="pct"/>
                  <w:noWrap/>
                  <w:vAlign w:val="center"/>
                </w:tcPr>
                <w:p>
                  <w:pPr>
                    <w:pStyle w:val="50"/>
                    <w:rPr>
                      <w:color w:val="auto"/>
                      <w:kern w:val="2"/>
                    </w:rPr>
                  </w:pPr>
                  <w:r>
                    <w:rPr>
                      <w:color w:val="auto"/>
                      <w:kern w:val="2"/>
                    </w:rPr>
                    <w:t>F2</w:t>
                  </w:r>
                </w:p>
              </w:tc>
              <w:tc>
                <w:tcPr>
                  <w:tcW w:w="1250" w:type="pct"/>
                  <w:noWrap/>
                  <w:vAlign w:val="center"/>
                </w:tcPr>
                <w:p>
                  <w:pPr>
                    <w:pStyle w:val="50"/>
                    <w:rPr>
                      <w:color w:val="auto"/>
                      <w:kern w:val="2"/>
                    </w:rPr>
                  </w:pPr>
                  <w:r>
                    <w:rPr>
                      <w:color w:val="auto"/>
                      <w:kern w:val="2"/>
                    </w:rPr>
                    <w:t>F3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ign w:val="center"/>
                </w:tcPr>
                <w:p>
                  <w:pPr>
                    <w:pStyle w:val="50"/>
                    <w:rPr>
                      <w:color w:val="auto"/>
                      <w:kern w:val="2"/>
                    </w:rPr>
                  </w:pPr>
                  <w:r>
                    <w:rPr>
                      <w:color w:val="auto"/>
                      <w:kern w:val="2"/>
                    </w:rPr>
                    <w:t>S1</w:t>
                  </w:r>
                </w:p>
              </w:tc>
              <w:tc>
                <w:tcPr>
                  <w:tcW w:w="1250" w:type="pct"/>
                  <w:noWrap/>
                  <w:vAlign w:val="center"/>
                </w:tcPr>
                <w:p>
                  <w:pPr>
                    <w:pStyle w:val="50"/>
                    <w:rPr>
                      <w:color w:val="auto"/>
                      <w:kern w:val="2"/>
                    </w:rPr>
                  </w:pPr>
                  <w:r>
                    <w:rPr>
                      <w:color w:val="auto"/>
                      <w:kern w:val="2"/>
                    </w:rPr>
                    <w:t>E1</w:t>
                  </w:r>
                </w:p>
              </w:tc>
              <w:tc>
                <w:tcPr>
                  <w:tcW w:w="1250" w:type="pct"/>
                  <w:noWrap/>
                  <w:vAlign w:val="center"/>
                </w:tcPr>
                <w:p>
                  <w:pPr>
                    <w:pStyle w:val="50"/>
                    <w:rPr>
                      <w:color w:val="auto"/>
                      <w:kern w:val="2"/>
                    </w:rPr>
                  </w:pPr>
                  <w:r>
                    <w:rPr>
                      <w:color w:val="auto"/>
                      <w:kern w:val="2"/>
                    </w:rPr>
                    <w:t>E1</w:t>
                  </w:r>
                </w:p>
              </w:tc>
              <w:tc>
                <w:tcPr>
                  <w:tcW w:w="1250" w:type="pct"/>
                  <w:noWrap/>
                  <w:vAlign w:val="center"/>
                </w:tcPr>
                <w:p>
                  <w:pPr>
                    <w:pStyle w:val="50"/>
                    <w:rPr>
                      <w:color w:val="auto"/>
                      <w:kern w:val="2"/>
                    </w:rPr>
                  </w:pPr>
                  <w:r>
                    <w:rPr>
                      <w:color w:val="auto"/>
                      <w:kern w:val="2"/>
                    </w:rPr>
                    <w:t>E2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ign w:val="center"/>
                </w:tcPr>
                <w:p>
                  <w:pPr>
                    <w:pStyle w:val="50"/>
                    <w:rPr>
                      <w:color w:val="auto"/>
                      <w:kern w:val="2"/>
                    </w:rPr>
                  </w:pPr>
                  <w:r>
                    <w:rPr>
                      <w:color w:val="auto"/>
                      <w:kern w:val="2"/>
                    </w:rPr>
                    <w:t>S2</w:t>
                  </w:r>
                </w:p>
              </w:tc>
              <w:tc>
                <w:tcPr>
                  <w:tcW w:w="1250" w:type="pct"/>
                  <w:noWrap/>
                  <w:vAlign w:val="center"/>
                </w:tcPr>
                <w:p>
                  <w:pPr>
                    <w:pStyle w:val="50"/>
                    <w:rPr>
                      <w:color w:val="auto"/>
                      <w:kern w:val="2"/>
                    </w:rPr>
                  </w:pPr>
                  <w:r>
                    <w:rPr>
                      <w:color w:val="auto"/>
                      <w:kern w:val="2"/>
                    </w:rPr>
                    <w:t>E1</w:t>
                  </w:r>
                </w:p>
              </w:tc>
              <w:tc>
                <w:tcPr>
                  <w:tcW w:w="1250" w:type="pct"/>
                  <w:noWrap/>
                  <w:vAlign w:val="center"/>
                </w:tcPr>
                <w:p>
                  <w:pPr>
                    <w:pStyle w:val="50"/>
                    <w:rPr>
                      <w:color w:val="auto"/>
                      <w:kern w:val="2"/>
                    </w:rPr>
                  </w:pPr>
                  <w:r>
                    <w:rPr>
                      <w:color w:val="auto"/>
                      <w:kern w:val="2"/>
                    </w:rPr>
                    <w:t>E2</w:t>
                  </w:r>
                </w:p>
              </w:tc>
              <w:tc>
                <w:tcPr>
                  <w:tcW w:w="1250" w:type="pct"/>
                  <w:noWrap/>
                  <w:vAlign w:val="center"/>
                </w:tcPr>
                <w:p>
                  <w:pPr>
                    <w:pStyle w:val="50"/>
                    <w:rPr>
                      <w:color w:val="auto"/>
                      <w:kern w:val="2"/>
                    </w:rPr>
                  </w:pPr>
                  <w:r>
                    <w:rPr>
                      <w:color w:val="auto"/>
                      <w:kern w:val="2"/>
                    </w:rPr>
                    <w:t>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9" w:type="pct"/>
                  <w:noWrap/>
                  <w:vAlign w:val="center"/>
                </w:tcPr>
                <w:p>
                  <w:pPr>
                    <w:pStyle w:val="50"/>
                    <w:rPr>
                      <w:color w:val="auto"/>
                      <w:kern w:val="2"/>
                    </w:rPr>
                  </w:pPr>
                  <w:r>
                    <w:rPr>
                      <w:color w:val="auto"/>
                      <w:kern w:val="2"/>
                    </w:rPr>
                    <w:t>S3</w:t>
                  </w:r>
                </w:p>
              </w:tc>
              <w:tc>
                <w:tcPr>
                  <w:tcW w:w="1250" w:type="pct"/>
                  <w:noWrap/>
                  <w:vAlign w:val="center"/>
                </w:tcPr>
                <w:p>
                  <w:pPr>
                    <w:pStyle w:val="50"/>
                    <w:rPr>
                      <w:color w:val="auto"/>
                      <w:kern w:val="2"/>
                    </w:rPr>
                  </w:pPr>
                  <w:r>
                    <w:rPr>
                      <w:color w:val="auto"/>
                      <w:kern w:val="2"/>
                    </w:rPr>
                    <w:t>E1</w:t>
                  </w:r>
                </w:p>
              </w:tc>
              <w:tc>
                <w:tcPr>
                  <w:tcW w:w="1250" w:type="pct"/>
                  <w:noWrap/>
                  <w:vAlign w:val="center"/>
                </w:tcPr>
                <w:p>
                  <w:pPr>
                    <w:pStyle w:val="50"/>
                    <w:rPr>
                      <w:color w:val="auto"/>
                      <w:kern w:val="2"/>
                    </w:rPr>
                  </w:pPr>
                  <w:r>
                    <w:rPr>
                      <w:color w:val="auto"/>
                      <w:kern w:val="2"/>
                    </w:rPr>
                    <w:t>E3</w:t>
                  </w:r>
                </w:p>
              </w:tc>
              <w:tc>
                <w:tcPr>
                  <w:tcW w:w="1250" w:type="pct"/>
                  <w:noWrap/>
                  <w:vAlign w:val="center"/>
                </w:tcPr>
                <w:p>
                  <w:pPr>
                    <w:pStyle w:val="50"/>
                    <w:rPr>
                      <w:color w:val="auto"/>
                      <w:kern w:val="2"/>
                    </w:rPr>
                  </w:pPr>
                  <w:r>
                    <w:rPr>
                      <w:color w:val="auto"/>
                      <w:kern w:val="2"/>
                    </w:rPr>
                    <w:t>E3</w:t>
                  </w:r>
                </w:p>
              </w:tc>
            </w:tr>
          </w:tbl>
          <w:p>
            <w:pPr>
              <w:ind w:firstLine="470" w:firstLineChars="196"/>
              <w:rPr>
                <w:bCs/>
                <w:color w:val="auto"/>
                <w:lang w:val="en-US"/>
              </w:rPr>
            </w:pPr>
            <w:r>
              <w:rPr>
                <w:rFonts w:hint="eastAsia"/>
                <w:bCs/>
                <w:color w:val="auto"/>
                <w:lang w:val="zh-CN"/>
              </w:rPr>
              <w:t>（</w:t>
            </w:r>
            <w:r>
              <w:rPr>
                <w:rFonts w:hint="eastAsia"/>
                <w:bCs/>
                <w:color w:val="auto"/>
                <w:lang w:val="en-US" w:eastAsia="zh-CN"/>
              </w:rPr>
              <w:t>3）</w:t>
            </w:r>
            <w:r>
              <w:rPr>
                <w:bCs/>
                <w:color w:val="auto"/>
                <w:lang w:val="zh-CN"/>
              </w:rPr>
              <w:t>地下水环境敏感度确定</w:t>
            </w:r>
          </w:p>
          <w:p>
            <w:pPr>
              <w:ind w:firstLine="470" w:firstLineChars="196"/>
              <w:rPr>
                <w:bCs/>
                <w:color w:val="auto"/>
                <w:lang w:val="zh-CN"/>
              </w:rPr>
            </w:pPr>
            <w:r>
              <w:rPr>
                <w:bCs/>
                <w:color w:val="auto"/>
                <w:lang w:val="zh-CN"/>
              </w:rPr>
              <w:t>项目不开展地下水环境影响评价。</w:t>
            </w:r>
          </w:p>
          <w:p>
            <w:pPr>
              <w:ind w:firstLine="470" w:firstLineChars="196"/>
              <w:rPr>
                <w:bCs/>
                <w:color w:val="auto"/>
                <w:lang w:val="zh-CN"/>
              </w:rPr>
            </w:pPr>
            <w:r>
              <w:rPr>
                <w:bCs/>
                <w:color w:val="auto"/>
                <w:lang w:val="zh-CN"/>
              </w:rPr>
              <w:t>（4）环境风险评价结果</w:t>
            </w:r>
          </w:p>
          <w:p>
            <w:pPr>
              <w:ind w:firstLine="470" w:firstLineChars="196"/>
              <w:rPr>
                <w:color w:val="auto"/>
              </w:rPr>
            </w:pPr>
            <w:r>
              <w:rPr>
                <w:bCs/>
                <w:color w:val="auto"/>
                <w:lang w:val="zh-CN"/>
              </w:rPr>
              <w:t>因此项目风险潜势及环境风险评价等级，结果见下表7-</w:t>
            </w:r>
            <w:r>
              <w:rPr>
                <w:rFonts w:hint="eastAsia"/>
                <w:bCs/>
                <w:color w:val="auto"/>
              </w:rPr>
              <w:t>3</w:t>
            </w:r>
            <w:r>
              <w:rPr>
                <w:rFonts w:hint="eastAsia"/>
                <w:bCs/>
                <w:color w:val="auto"/>
                <w:lang w:val="en-US" w:eastAsia="zh-CN"/>
              </w:rPr>
              <w:t>8</w:t>
            </w:r>
            <w:r>
              <w:rPr>
                <w:bCs/>
                <w:color w:val="auto"/>
                <w:lang w:val="zh-CN"/>
              </w:rPr>
              <w:t>。</w:t>
            </w:r>
          </w:p>
          <w:p>
            <w:pPr>
              <w:pStyle w:val="48"/>
              <w:keepNext/>
              <w:keepLines/>
              <w:ind w:firstLine="422"/>
              <w:rPr>
                <w:color w:val="auto"/>
              </w:rPr>
            </w:pPr>
            <w:r>
              <w:rPr>
                <w:rFonts w:hint="eastAsia"/>
                <w:color w:val="auto"/>
              </w:rPr>
              <w:t>表 7-3</w:t>
            </w:r>
            <w:r>
              <w:rPr>
                <w:rFonts w:hint="eastAsia"/>
                <w:color w:val="auto"/>
                <w:lang w:val="en-US" w:eastAsia="zh-CN"/>
              </w:rPr>
              <w:t>8</w:t>
            </w:r>
            <w:r>
              <w:rPr>
                <w:rFonts w:hint="eastAsia"/>
                <w:color w:val="auto"/>
              </w:rPr>
              <w:t xml:space="preserve">  建设项目环境敏感度一览表</w:t>
            </w:r>
          </w:p>
          <w:tbl>
            <w:tblPr>
              <w:tblStyle w:val="36"/>
              <w:tblW w:w="4998" w:type="pct"/>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4"/>
              <w:gridCol w:w="2790"/>
              <w:gridCol w:w="2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pct"/>
                  <w:noWrap/>
                </w:tcPr>
                <w:p>
                  <w:pPr>
                    <w:pStyle w:val="50"/>
                    <w:rPr>
                      <w:color w:val="auto"/>
                      <w:kern w:val="2"/>
                    </w:rPr>
                  </w:pPr>
                  <w:r>
                    <w:rPr>
                      <w:color w:val="auto"/>
                      <w:kern w:val="2"/>
                    </w:rPr>
                    <w:t>类型</w:t>
                  </w:r>
                </w:p>
              </w:tc>
              <w:tc>
                <w:tcPr>
                  <w:tcW w:w="1667" w:type="pct"/>
                  <w:noWrap/>
                </w:tcPr>
                <w:p>
                  <w:pPr>
                    <w:pStyle w:val="50"/>
                    <w:rPr>
                      <w:color w:val="auto"/>
                      <w:kern w:val="2"/>
                    </w:rPr>
                  </w:pPr>
                  <w:r>
                    <w:rPr>
                      <w:color w:val="auto"/>
                      <w:kern w:val="2"/>
                    </w:rPr>
                    <w:t>大气环境敏感度</w:t>
                  </w:r>
                </w:p>
              </w:tc>
              <w:tc>
                <w:tcPr>
                  <w:tcW w:w="1667" w:type="pct"/>
                  <w:noWrap/>
                </w:tcPr>
                <w:p>
                  <w:pPr>
                    <w:pStyle w:val="50"/>
                    <w:rPr>
                      <w:color w:val="auto"/>
                      <w:kern w:val="2"/>
                    </w:rPr>
                  </w:pPr>
                  <w:r>
                    <w:rPr>
                      <w:color w:val="auto"/>
                      <w:kern w:val="2"/>
                    </w:rPr>
                    <w:t>地表水环境敏感度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pct"/>
                  <w:noWrap/>
                </w:tcPr>
                <w:p>
                  <w:pPr>
                    <w:pStyle w:val="50"/>
                    <w:rPr>
                      <w:color w:val="auto"/>
                      <w:kern w:val="2"/>
                    </w:rPr>
                  </w:pPr>
                  <w:r>
                    <w:rPr>
                      <w:color w:val="auto"/>
                      <w:kern w:val="2"/>
                    </w:rPr>
                    <w:t>等级</w:t>
                  </w:r>
                </w:p>
              </w:tc>
              <w:tc>
                <w:tcPr>
                  <w:tcW w:w="1667" w:type="pct"/>
                  <w:noWrap/>
                </w:tcPr>
                <w:p>
                  <w:pPr>
                    <w:pStyle w:val="50"/>
                    <w:rPr>
                      <w:color w:val="auto"/>
                      <w:kern w:val="2"/>
                    </w:rPr>
                  </w:pPr>
                  <w:r>
                    <w:rPr>
                      <w:color w:val="auto"/>
                      <w:kern w:val="2"/>
                    </w:rPr>
                    <w:t>E3</w:t>
                  </w:r>
                </w:p>
              </w:tc>
              <w:tc>
                <w:tcPr>
                  <w:tcW w:w="1667" w:type="pct"/>
                  <w:noWrap/>
                </w:tcPr>
                <w:p>
                  <w:pPr>
                    <w:pStyle w:val="50"/>
                    <w:rPr>
                      <w:color w:val="auto"/>
                      <w:kern w:val="2"/>
                    </w:rPr>
                  </w:pPr>
                  <w:r>
                    <w:rPr>
                      <w:color w:val="auto"/>
                      <w:kern w:val="2"/>
                    </w:rPr>
                    <w:t>E3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4" w:type="pct"/>
                  <w:noWrap/>
                </w:tcPr>
                <w:p>
                  <w:pPr>
                    <w:pStyle w:val="50"/>
                    <w:rPr>
                      <w:color w:val="auto"/>
                      <w:kern w:val="2"/>
                    </w:rPr>
                  </w:pPr>
                  <w:r>
                    <w:rPr>
                      <w:color w:val="auto"/>
                      <w:kern w:val="2"/>
                    </w:rPr>
                    <w:t>综合等级</w:t>
                  </w:r>
                </w:p>
              </w:tc>
              <w:tc>
                <w:tcPr>
                  <w:tcW w:w="3335" w:type="pct"/>
                  <w:gridSpan w:val="2"/>
                  <w:noWrap/>
                </w:tcPr>
                <w:p>
                  <w:pPr>
                    <w:pStyle w:val="50"/>
                    <w:rPr>
                      <w:color w:val="auto"/>
                      <w:kern w:val="2"/>
                    </w:rPr>
                  </w:pPr>
                  <w:r>
                    <w:rPr>
                      <w:color w:val="auto"/>
                      <w:kern w:val="2"/>
                    </w:rPr>
                    <w:t>E3 （按导则6.4要求：取各要素相对高值）</w:t>
                  </w:r>
                </w:p>
              </w:tc>
            </w:tr>
          </w:tbl>
          <w:p>
            <w:pPr>
              <w:ind w:firstLine="470" w:firstLineChars="196"/>
              <w:rPr>
                <w:bCs/>
                <w:color w:val="auto"/>
                <w:lang w:val="zh-CN"/>
              </w:rPr>
            </w:pPr>
            <w:r>
              <w:rPr>
                <w:bCs/>
                <w:color w:val="auto"/>
                <w:lang w:val="zh-CN"/>
              </w:rPr>
              <w:t>3、评价等级</w:t>
            </w:r>
          </w:p>
          <w:p>
            <w:pPr>
              <w:ind w:firstLine="470" w:firstLineChars="196"/>
              <w:rPr>
                <w:bCs/>
                <w:color w:val="auto"/>
                <w:lang w:val="zh-CN"/>
              </w:rPr>
            </w:pPr>
            <w:r>
              <w:rPr>
                <w:bCs/>
                <w:color w:val="auto"/>
                <w:lang w:val="zh-CN"/>
              </w:rPr>
              <w:t>根据《建设项目环境风险评价技术导则》（HJ 169-2018）建设项目环境风险浅势划分表7-</w:t>
            </w:r>
            <w:r>
              <w:rPr>
                <w:rFonts w:hint="eastAsia"/>
                <w:bCs/>
                <w:color w:val="auto"/>
              </w:rPr>
              <w:t>3</w:t>
            </w:r>
            <w:r>
              <w:rPr>
                <w:rFonts w:hint="eastAsia"/>
                <w:bCs/>
                <w:color w:val="auto"/>
                <w:lang w:val="en-US" w:eastAsia="zh-CN"/>
              </w:rPr>
              <w:t>9</w:t>
            </w:r>
            <w:r>
              <w:rPr>
                <w:bCs/>
                <w:color w:val="auto"/>
                <w:lang w:val="zh-CN"/>
              </w:rPr>
              <w:t>，本项目环境风险潜势划分为</w:t>
            </w:r>
            <w:r>
              <w:rPr>
                <w:bCs/>
                <w:color w:val="auto"/>
                <w:lang w:val="zh-CN"/>
              </w:rPr>
              <w:fldChar w:fldCharType="begin"/>
            </w:r>
            <w:r>
              <w:rPr>
                <w:bCs/>
                <w:color w:val="auto"/>
                <w:lang w:val="zh-CN"/>
              </w:rPr>
              <w:instrText xml:space="preserve"> = 1 \* ROMAN \* MERGEFORMAT </w:instrText>
            </w:r>
            <w:r>
              <w:rPr>
                <w:bCs/>
                <w:color w:val="auto"/>
                <w:lang w:val="zh-CN"/>
              </w:rPr>
              <w:fldChar w:fldCharType="separate"/>
            </w:r>
            <w:r>
              <w:rPr>
                <w:bCs/>
                <w:color w:val="auto"/>
                <w:lang w:val="zh-CN"/>
              </w:rPr>
              <w:t>I</w:t>
            </w:r>
            <w:r>
              <w:rPr>
                <w:bCs/>
                <w:color w:val="auto"/>
                <w:lang w:val="zh-CN"/>
              </w:rPr>
              <w:fldChar w:fldCharType="end"/>
            </w:r>
            <w:r>
              <w:rPr>
                <w:bCs/>
                <w:color w:val="auto"/>
                <w:lang w:val="zh-CN"/>
              </w:rPr>
              <w:t>。</w:t>
            </w:r>
          </w:p>
          <w:p>
            <w:pPr>
              <w:pStyle w:val="48"/>
              <w:keepNext/>
              <w:keepLines/>
              <w:ind w:firstLine="422"/>
              <w:rPr>
                <w:color w:val="auto"/>
              </w:rPr>
            </w:pPr>
            <w:r>
              <w:rPr>
                <w:rFonts w:hint="eastAsia"/>
                <w:color w:val="auto"/>
              </w:rPr>
              <w:t>表7-3</w:t>
            </w:r>
            <w:r>
              <w:rPr>
                <w:rFonts w:hint="eastAsia"/>
                <w:color w:val="auto"/>
                <w:lang w:val="en-US" w:eastAsia="zh-CN"/>
              </w:rPr>
              <w:t>9</w:t>
            </w:r>
            <w:r>
              <w:rPr>
                <w:rFonts w:hint="eastAsia"/>
                <w:color w:val="auto"/>
              </w:rPr>
              <w:t xml:space="preserve">  建设项目环境风险浅势划分表</w:t>
            </w:r>
          </w:p>
          <w:tbl>
            <w:tblPr>
              <w:tblStyle w:val="36"/>
              <w:tblW w:w="8996"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1448"/>
              <w:gridCol w:w="1472"/>
              <w:gridCol w:w="1448"/>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20" w:type="dxa"/>
                  <w:vMerge w:val="restart"/>
                  <w:noWrap/>
                </w:tcPr>
                <w:p>
                  <w:pPr>
                    <w:pStyle w:val="50"/>
                    <w:rPr>
                      <w:color w:val="auto"/>
                      <w:kern w:val="2"/>
                    </w:rPr>
                  </w:pPr>
                  <w:r>
                    <w:rPr>
                      <w:color w:val="auto"/>
                      <w:kern w:val="2"/>
                    </w:rPr>
                    <w:t>环境敏感程度（E）</w:t>
                  </w:r>
                </w:p>
              </w:tc>
              <w:tc>
                <w:tcPr>
                  <w:tcW w:w="6476" w:type="dxa"/>
                  <w:gridSpan w:val="4"/>
                  <w:noWrap/>
                </w:tcPr>
                <w:p>
                  <w:pPr>
                    <w:pStyle w:val="50"/>
                    <w:rPr>
                      <w:color w:val="auto"/>
                      <w:kern w:val="2"/>
                    </w:rPr>
                  </w:pPr>
                  <w:r>
                    <w:rPr>
                      <w:color w:val="auto"/>
                      <w:kern w:val="2"/>
                    </w:rPr>
                    <w:t>危险物质及工艺危险性（P）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trPr>
              <w:tc>
                <w:tcPr>
                  <w:tcW w:w="2520" w:type="dxa"/>
                  <w:vMerge w:val="continue"/>
                  <w:noWrap/>
                </w:tcPr>
                <w:p>
                  <w:pPr>
                    <w:pStyle w:val="50"/>
                    <w:rPr>
                      <w:color w:val="auto"/>
                      <w:kern w:val="2"/>
                    </w:rPr>
                  </w:pPr>
                </w:p>
              </w:tc>
              <w:tc>
                <w:tcPr>
                  <w:tcW w:w="1575" w:type="dxa"/>
                  <w:noWrap/>
                  <w:vAlign w:val="center"/>
                </w:tcPr>
                <w:p>
                  <w:pPr>
                    <w:pStyle w:val="50"/>
                    <w:rPr>
                      <w:color w:val="auto"/>
                      <w:kern w:val="2"/>
                    </w:rPr>
                  </w:pPr>
                  <w:r>
                    <w:rPr>
                      <w:color w:val="auto"/>
                      <w:kern w:val="2"/>
                    </w:rPr>
                    <w:t>极高危害（P1）</w:t>
                  </w:r>
                </w:p>
              </w:tc>
              <w:tc>
                <w:tcPr>
                  <w:tcW w:w="1601" w:type="dxa"/>
                  <w:noWrap/>
                  <w:vAlign w:val="center"/>
                </w:tcPr>
                <w:p>
                  <w:pPr>
                    <w:pStyle w:val="50"/>
                    <w:rPr>
                      <w:color w:val="auto"/>
                      <w:kern w:val="2"/>
                    </w:rPr>
                  </w:pPr>
                  <w:r>
                    <w:rPr>
                      <w:color w:val="auto"/>
                      <w:kern w:val="2"/>
                    </w:rPr>
                    <w:t>高度危害（P2）</w:t>
                  </w:r>
                </w:p>
              </w:tc>
              <w:tc>
                <w:tcPr>
                  <w:tcW w:w="1575" w:type="dxa"/>
                  <w:noWrap/>
                  <w:vAlign w:val="center"/>
                </w:tcPr>
                <w:p>
                  <w:pPr>
                    <w:pStyle w:val="50"/>
                    <w:rPr>
                      <w:color w:val="auto"/>
                      <w:kern w:val="2"/>
                    </w:rPr>
                  </w:pPr>
                  <w:r>
                    <w:rPr>
                      <w:color w:val="auto"/>
                      <w:kern w:val="2"/>
                    </w:rPr>
                    <w:t>中度危害（P3）</w:t>
                  </w:r>
                </w:p>
              </w:tc>
              <w:tc>
                <w:tcPr>
                  <w:tcW w:w="1725" w:type="dxa"/>
                  <w:noWrap/>
                  <w:vAlign w:val="center"/>
                </w:tcPr>
                <w:p>
                  <w:pPr>
                    <w:pStyle w:val="50"/>
                    <w:rPr>
                      <w:color w:val="auto"/>
                      <w:kern w:val="2"/>
                    </w:rPr>
                  </w:pPr>
                  <w:r>
                    <w:rPr>
                      <w:color w:val="auto"/>
                      <w:kern w:val="2"/>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2520" w:type="dxa"/>
                  <w:noWrap/>
                </w:tcPr>
                <w:p>
                  <w:pPr>
                    <w:pStyle w:val="50"/>
                    <w:rPr>
                      <w:color w:val="auto"/>
                      <w:kern w:val="2"/>
                    </w:rPr>
                  </w:pPr>
                  <w:r>
                    <w:rPr>
                      <w:color w:val="auto"/>
                      <w:kern w:val="2"/>
                    </w:rPr>
                    <w:t>环境高度敏感区（E1）</w:t>
                  </w:r>
                </w:p>
              </w:tc>
              <w:tc>
                <w:tcPr>
                  <w:tcW w:w="1575" w:type="dxa"/>
                  <w:noWrap/>
                  <w:vAlign w:val="center"/>
                </w:tcPr>
                <w:p>
                  <w:pPr>
                    <w:pStyle w:val="50"/>
                    <w:rPr>
                      <w:color w:val="auto"/>
                      <w:kern w:val="2"/>
                    </w:rPr>
                  </w:pPr>
                  <w:r>
                    <w:rPr>
                      <w:color w:val="auto"/>
                      <w:kern w:val="2"/>
                    </w:rPr>
                    <w:t>Ⅳ+</w:t>
                  </w:r>
                </w:p>
              </w:tc>
              <w:tc>
                <w:tcPr>
                  <w:tcW w:w="1601" w:type="dxa"/>
                  <w:noWrap/>
                  <w:vAlign w:val="center"/>
                </w:tcPr>
                <w:p>
                  <w:pPr>
                    <w:pStyle w:val="50"/>
                    <w:rPr>
                      <w:color w:val="auto"/>
                      <w:kern w:val="2"/>
                    </w:rPr>
                  </w:pPr>
                  <w:r>
                    <w:rPr>
                      <w:color w:val="auto"/>
                      <w:kern w:val="2"/>
                    </w:rPr>
                    <w:t>Ⅳ</w:t>
                  </w:r>
                </w:p>
              </w:tc>
              <w:tc>
                <w:tcPr>
                  <w:tcW w:w="1575" w:type="dxa"/>
                  <w:noWrap/>
                  <w:vAlign w:val="center"/>
                </w:tcPr>
                <w:p>
                  <w:pPr>
                    <w:pStyle w:val="50"/>
                    <w:rPr>
                      <w:color w:val="auto"/>
                      <w:kern w:val="2"/>
                    </w:rPr>
                  </w:pPr>
                  <w:r>
                    <w:rPr>
                      <w:color w:val="auto"/>
                      <w:kern w:val="2"/>
                    </w:rPr>
                    <w:t>Ⅲ</w:t>
                  </w:r>
                </w:p>
              </w:tc>
              <w:tc>
                <w:tcPr>
                  <w:tcW w:w="1725" w:type="dxa"/>
                  <w:noWrap/>
                  <w:vAlign w:val="center"/>
                </w:tcPr>
                <w:p>
                  <w:pPr>
                    <w:pStyle w:val="50"/>
                    <w:rPr>
                      <w:color w:val="auto"/>
                      <w:kern w:val="2"/>
                    </w:rPr>
                  </w:pPr>
                  <w:r>
                    <w:rPr>
                      <w:color w:val="auto"/>
                      <w:kern w:val="2"/>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noWrap/>
                </w:tcPr>
                <w:p>
                  <w:pPr>
                    <w:pStyle w:val="50"/>
                    <w:rPr>
                      <w:color w:val="auto"/>
                      <w:kern w:val="2"/>
                    </w:rPr>
                  </w:pPr>
                  <w:r>
                    <w:rPr>
                      <w:color w:val="auto"/>
                      <w:kern w:val="2"/>
                    </w:rPr>
                    <w:t>环境中度敏感区（E2）</w:t>
                  </w:r>
                </w:p>
              </w:tc>
              <w:tc>
                <w:tcPr>
                  <w:tcW w:w="1575" w:type="dxa"/>
                  <w:noWrap/>
                  <w:vAlign w:val="center"/>
                </w:tcPr>
                <w:p>
                  <w:pPr>
                    <w:pStyle w:val="50"/>
                    <w:rPr>
                      <w:color w:val="auto"/>
                      <w:kern w:val="2"/>
                    </w:rPr>
                  </w:pPr>
                  <w:r>
                    <w:rPr>
                      <w:color w:val="auto"/>
                      <w:kern w:val="2"/>
                    </w:rPr>
                    <w:t>Ⅳ</w:t>
                  </w:r>
                </w:p>
              </w:tc>
              <w:tc>
                <w:tcPr>
                  <w:tcW w:w="1601" w:type="dxa"/>
                  <w:noWrap/>
                  <w:vAlign w:val="center"/>
                </w:tcPr>
                <w:p>
                  <w:pPr>
                    <w:pStyle w:val="50"/>
                    <w:rPr>
                      <w:color w:val="auto"/>
                      <w:kern w:val="2"/>
                    </w:rPr>
                  </w:pPr>
                  <w:r>
                    <w:rPr>
                      <w:color w:val="auto"/>
                      <w:kern w:val="2"/>
                    </w:rPr>
                    <w:t>Ⅲ</w:t>
                  </w:r>
                </w:p>
              </w:tc>
              <w:tc>
                <w:tcPr>
                  <w:tcW w:w="1575" w:type="dxa"/>
                  <w:noWrap/>
                  <w:vAlign w:val="center"/>
                </w:tcPr>
                <w:p>
                  <w:pPr>
                    <w:pStyle w:val="50"/>
                    <w:rPr>
                      <w:color w:val="auto"/>
                      <w:kern w:val="2"/>
                    </w:rPr>
                  </w:pPr>
                  <w:r>
                    <w:rPr>
                      <w:color w:val="auto"/>
                      <w:kern w:val="2"/>
                    </w:rPr>
                    <w:t>Ⅲ</w:t>
                  </w:r>
                </w:p>
              </w:tc>
              <w:tc>
                <w:tcPr>
                  <w:tcW w:w="1725" w:type="dxa"/>
                  <w:noWrap/>
                  <w:vAlign w:val="center"/>
                </w:tcPr>
                <w:p>
                  <w:pPr>
                    <w:pStyle w:val="50"/>
                    <w:rPr>
                      <w:color w:val="auto"/>
                      <w:kern w:val="2"/>
                    </w:rPr>
                  </w:pPr>
                  <w:r>
                    <w:rPr>
                      <w:color w:val="auto"/>
                      <w:kern w:val="2"/>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20" w:type="dxa"/>
                  <w:noWrap/>
                </w:tcPr>
                <w:p>
                  <w:pPr>
                    <w:pStyle w:val="50"/>
                    <w:rPr>
                      <w:color w:val="auto"/>
                      <w:kern w:val="2"/>
                    </w:rPr>
                  </w:pPr>
                  <w:r>
                    <w:rPr>
                      <w:color w:val="auto"/>
                      <w:kern w:val="2"/>
                    </w:rPr>
                    <w:t>环境低度敏感区（E3）</w:t>
                  </w:r>
                </w:p>
              </w:tc>
              <w:tc>
                <w:tcPr>
                  <w:tcW w:w="1575" w:type="dxa"/>
                  <w:noWrap/>
                  <w:vAlign w:val="center"/>
                </w:tcPr>
                <w:p>
                  <w:pPr>
                    <w:pStyle w:val="50"/>
                    <w:rPr>
                      <w:color w:val="auto"/>
                      <w:kern w:val="2"/>
                    </w:rPr>
                  </w:pPr>
                  <w:r>
                    <w:rPr>
                      <w:color w:val="auto"/>
                      <w:kern w:val="2"/>
                    </w:rPr>
                    <w:t>Ⅲ</w:t>
                  </w:r>
                </w:p>
              </w:tc>
              <w:tc>
                <w:tcPr>
                  <w:tcW w:w="1601" w:type="dxa"/>
                  <w:noWrap/>
                  <w:vAlign w:val="center"/>
                </w:tcPr>
                <w:p>
                  <w:pPr>
                    <w:pStyle w:val="50"/>
                    <w:rPr>
                      <w:color w:val="auto"/>
                      <w:kern w:val="2"/>
                    </w:rPr>
                  </w:pPr>
                  <w:r>
                    <w:rPr>
                      <w:color w:val="auto"/>
                      <w:kern w:val="2"/>
                    </w:rPr>
                    <w:t>Ⅲ</w:t>
                  </w:r>
                </w:p>
              </w:tc>
              <w:tc>
                <w:tcPr>
                  <w:tcW w:w="1575" w:type="dxa"/>
                  <w:noWrap/>
                  <w:vAlign w:val="center"/>
                </w:tcPr>
                <w:p>
                  <w:pPr>
                    <w:pStyle w:val="50"/>
                    <w:rPr>
                      <w:color w:val="auto"/>
                      <w:kern w:val="2"/>
                    </w:rPr>
                  </w:pPr>
                  <w:r>
                    <w:rPr>
                      <w:color w:val="auto"/>
                      <w:kern w:val="2"/>
                    </w:rPr>
                    <w:t>Ⅱ</w:t>
                  </w:r>
                </w:p>
              </w:tc>
              <w:tc>
                <w:tcPr>
                  <w:tcW w:w="1725" w:type="dxa"/>
                  <w:noWrap/>
                  <w:vAlign w:val="center"/>
                </w:tcPr>
                <w:p>
                  <w:pPr>
                    <w:pStyle w:val="50"/>
                    <w:rPr>
                      <w:color w:val="auto"/>
                      <w:kern w:val="2"/>
                    </w:rPr>
                  </w:pPr>
                  <w:r>
                    <w:rPr>
                      <w:color w:val="auto"/>
                      <w:kern w:val="2"/>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96" w:type="dxa"/>
                  <w:gridSpan w:val="5"/>
                  <w:noWrap/>
                </w:tcPr>
                <w:p>
                  <w:pPr>
                    <w:pStyle w:val="50"/>
                    <w:jc w:val="left"/>
                    <w:rPr>
                      <w:color w:val="auto"/>
                      <w:kern w:val="2"/>
                    </w:rPr>
                  </w:pPr>
                  <w:r>
                    <w:rPr>
                      <w:color w:val="auto"/>
                      <w:kern w:val="2"/>
                    </w:rPr>
                    <w:t>注：Ⅳ+为极高环境风险。</w:t>
                  </w:r>
                </w:p>
              </w:tc>
            </w:tr>
          </w:tbl>
          <w:p>
            <w:pPr>
              <w:ind w:firstLine="480"/>
              <w:rPr>
                <w:color w:val="auto"/>
              </w:rPr>
            </w:pPr>
            <w:r>
              <w:rPr>
                <w:color w:val="auto"/>
              </w:rPr>
              <w:t>根据《建设项目环境风险评价技术导则》（HJ169－2018）4.3 评价工作等价划分表</w:t>
            </w:r>
            <w:r>
              <w:rPr>
                <w:rFonts w:hint="eastAsia"/>
                <w:color w:val="auto"/>
              </w:rPr>
              <w:t>7-</w:t>
            </w:r>
            <w:r>
              <w:rPr>
                <w:rFonts w:hint="eastAsia"/>
                <w:color w:val="auto"/>
                <w:lang w:val="en-US" w:eastAsia="zh-CN"/>
              </w:rPr>
              <w:t>40</w:t>
            </w:r>
            <w:r>
              <w:rPr>
                <w:rFonts w:hint="eastAsia"/>
                <w:color w:val="auto"/>
              </w:rPr>
              <w:t>，</w:t>
            </w:r>
            <w:r>
              <w:rPr>
                <w:color w:val="auto"/>
              </w:rPr>
              <w:t>进行本项目环境风险评价等级的划分</w:t>
            </w:r>
            <w:r>
              <w:rPr>
                <w:rFonts w:hint="eastAsia"/>
                <w:color w:val="auto"/>
              </w:rPr>
              <w:t>。</w:t>
            </w:r>
          </w:p>
          <w:p>
            <w:pPr>
              <w:pStyle w:val="48"/>
              <w:keepNext/>
              <w:keepLines/>
              <w:ind w:firstLine="422"/>
              <w:rPr>
                <w:color w:val="auto"/>
              </w:rPr>
            </w:pPr>
            <w:r>
              <w:rPr>
                <w:rFonts w:hint="eastAsia"/>
                <w:color w:val="auto"/>
              </w:rPr>
              <w:t>表7-</w:t>
            </w:r>
            <w:r>
              <w:rPr>
                <w:rFonts w:hint="eastAsia"/>
                <w:color w:val="auto"/>
                <w:lang w:val="en-US" w:eastAsia="zh-CN"/>
              </w:rPr>
              <w:t>40</w:t>
            </w:r>
            <w:r>
              <w:rPr>
                <w:rFonts w:hint="eastAsia"/>
                <w:color w:val="auto"/>
              </w:rPr>
              <w:t xml:space="preserve">  评价工作等级划分</w:t>
            </w:r>
          </w:p>
          <w:tbl>
            <w:tblPr>
              <w:tblStyle w:val="36"/>
              <w:tblW w:w="4997" w:type="pct"/>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27"/>
              <w:gridCol w:w="1652"/>
              <w:gridCol w:w="1627"/>
              <w:gridCol w:w="1627"/>
              <w:gridCol w:w="1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1092" w:type="pct"/>
                  <w:noWrap/>
                  <w:vAlign w:val="center"/>
                </w:tcPr>
                <w:p>
                  <w:pPr>
                    <w:pStyle w:val="50"/>
                    <w:rPr>
                      <w:color w:val="auto"/>
                      <w:kern w:val="2"/>
                    </w:rPr>
                  </w:pPr>
                  <w:r>
                    <w:rPr>
                      <w:color w:val="auto"/>
                      <w:kern w:val="2"/>
                    </w:rPr>
                    <w:t>环境风险潜势</w:t>
                  </w:r>
                </w:p>
              </w:tc>
              <w:tc>
                <w:tcPr>
                  <w:tcW w:w="988" w:type="pct"/>
                  <w:noWrap/>
                  <w:vAlign w:val="center"/>
                </w:tcPr>
                <w:p>
                  <w:pPr>
                    <w:pStyle w:val="50"/>
                    <w:rPr>
                      <w:color w:val="auto"/>
                      <w:kern w:val="2"/>
                    </w:rPr>
                  </w:pPr>
                  <w:r>
                    <w:rPr>
                      <w:color w:val="auto"/>
                      <w:kern w:val="2"/>
                    </w:rPr>
                    <w:t>IV、IV+</w:t>
                  </w:r>
                </w:p>
              </w:tc>
              <w:tc>
                <w:tcPr>
                  <w:tcW w:w="973" w:type="pct"/>
                  <w:noWrap/>
                  <w:vAlign w:val="center"/>
                </w:tcPr>
                <w:p>
                  <w:pPr>
                    <w:pStyle w:val="50"/>
                    <w:rPr>
                      <w:color w:val="auto"/>
                      <w:kern w:val="2"/>
                    </w:rPr>
                  </w:pPr>
                  <w:r>
                    <w:rPr>
                      <w:color w:val="auto"/>
                      <w:kern w:val="2"/>
                    </w:rPr>
                    <w:t>III</w:t>
                  </w:r>
                </w:p>
              </w:tc>
              <w:tc>
                <w:tcPr>
                  <w:tcW w:w="973" w:type="pct"/>
                  <w:noWrap/>
                  <w:vAlign w:val="center"/>
                </w:tcPr>
                <w:p>
                  <w:pPr>
                    <w:pStyle w:val="50"/>
                    <w:rPr>
                      <w:color w:val="auto"/>
                      <w:kern w:val="2"/>
                    </w:rPr>
                  </w:pPr>
                  <w:r>
                    <w:rPr>
                      <w:color w:val="auto"/>
                      <w:kern w:val="2"/>
                    </w:rPr>
                    <w:t>II</w:t>
                  </w:r>
                </w:p>
              </w:tc>
              <w:tc>
                <w:tcPr>
                  <w:tcW w:w="973" w:type="pct"/>
                  <w:noWrap/>
                  <w:vAlign w:val="center"/>
                </w:tcPr>
                <w:p>
                  <w:pPr>
                    <w:pStyle w:val="50"/>
                    <w:rPr>
                      <w:color w:val="auto"/>
                      <w:kern w:val="2"/>
                    </w:rPr>
                  </w:pPr>
                  <w:r>
                    <w:rPr>
                      <w:color w:val="auto"/>
                      <w:kern w:val="2"/>
                    </w:rPr>
                    <w:t>I</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1092" w:type="pct"/>
                  <w:noWrap/>
                  <w:vAlign w:val="center"/>
                </w:tcPr>
                <w:p>
                  <w:pPr>
                    <w:pStyle w:val="50"/>
                    <w:rPr>
                      <w:color w:val="auto"/>
                      <w:kern w:val="2"/>
                    </w:rPr>
                  </w:pPr>
                  <w:r>
                    <w:rPr>
                      <w:color w:val="auto"/>
                      <w:kern w:val="2"/>
                    </w:rPr>
                    <w:t>评价等级</w:t>
                  </w:r>
                </w:p>
              </w:tc>
              <w:tc>
                <w:tcPr>
                  <w:tcW w:w="988" w:type="pct"/>
                  <w:noWrap/>
                  <w:vAlign w:val="center"/>
                </w:tcPr>
                <w:p>
                  <w:pPr>
                    <w:pStyle w:val="50"/>
                    <w:rPr>
                      <w:color w:val="auto"/>
                      <w:kern w:val="2"/>
                    </w:rPr>
                  </w:pPr>
                  <w:r>
                    <w:rPr>
                      <w:color w:val="auto"/>
                      <w:kern w:val="2"/>
                    </w:rPr>
                    <w:t>一</w:t>
                  </w:r>
                </w:p>
              </w:tc>
              <w:tc>
                <w:tcPr>
                  <w:tcW w:w="973" w:type="pct"/>
                  <w:noWrap/>
                  <w:vAlign w:val="center"/>
                </w:tcPr>
                <w:p>
                  <w:pPr>
                    <w:pStyle w:val="50"/>
                    <w:rPr>
                      <w:color w:val="auto"/>
                      <w:kern w:val="2"/>
                    </w:rPr>
                  </w:pPr>
                  <w:r>
                    <w:rPr>
                      <w:color w:val="auto"/>
                      <w:kern w:val="2"/>
                    </w:rPr>
                    <w:t>二</w:t>
                  </w:r>
                </w:p>
              </w:tc>
              <w:tc>
                <w:tcPr>
                  <w:tcW w:w="973" w:type="pct"/>
                  <w:noWrap/>
                  <w:vAlign w:val="center"/>
                </w:tcPr>
                <w:p>
                  <w:pPr>
                    <w:pStyle w:val="50"/>
                    <w:rPr>
                      <w:color w:val="auto"/>
                      <w:kern w:val="2"/>
                    </w:rPr>
                  </w:pPr>
                  <w:r>
                    <w:rPr>
                      <w:color w:val="auto"/>
                      <w:kern w:val="2"/>
                    </w:rPr>
                    <w:t>三</w:t>
                  </w:r>
                </w:p>
              </w:tc>
              <w:tc>
                <w:tcPr>
                  <w:tcW w:w="973" w:type="pct"/>
                  <w:noWrap/>
                  <w:vAlign w:val="center"/>
                </w:tcPr>
                <w:p>
                  <w:pPr>
                    <w:pStyle w:val="50"/>
                    <w:rPr>
                      <w:color w:val="auto"/>
                      <w:kern w:val="2"/>
                    </w:rPr>
                  </w:pPr>
                  <w:r>
                    <w:rPr>
                      <w:color w:val="auto"/>
                      <w:kern w:val="2"/>
                    </w:rPr>
                    <w:t>简单分析a</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atLeast"/>
              </w:trPr>
              <w:tc>
                <w:tcPr>
                  <w:tcW w:w="5000" w:type="pct"/>
                  <w:gridSpan w:val="5"/>
                  <w:noWrap/>
                  <w:vAlign w:val="center"/>
                </w:tcPr>
                <w:p>
                  <w:pPr>
                    <w:pStyle w:val="50"/>
                    <w:rPr>
                      <w:color w:val="auto"/>
                      <w:kern w:val="2"/>
                    </w:rPr>
                  </w:pPr>
                  <w:r>
                    <w:rPr>
                      <w:color w:val="auto"/>
                      <w:kern w:val="2"/>
                    </w:rPr>
                    <w:t>a是相对于详细评价工作内容而言，在描述危险物质、环境影响途径、环境危害后果、风险防范措施等方面给出定性的说明。</w:t>
                  </w:r>
                </w:p>
              </w:tc>
            </w:tr>
          </w:tbl>
          <w:p>
            <w:pPr>
              <w:ind w:firstLine="480"/>
              <w:rPr>
                <w:color w:val="auto"/>
              </w:rPr>
            </w:pPr>
            <w:r>
              <w:rPr>
                <w:color w:val="auto"/>
              </w:rPr>
              <w:t>由上表可知，本项目环境风险潜势为 I，则本项目环境风险分析为简单分析。</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.2环境敏感目标概况</w:t>
            </w:r>
          </w:p>
          <w:p>
            <w:pPr>
              <w:keepNext/>
              <w:keepLines/>
              <w:ind w:firstLine="480"/>
              <w:rPr>
                <w:color w:val="auto"/>
              </w:rPr>
            </w:pPr>
            <w:r>
              <w:rPr>
                <w:rFonts w:hint="eastAsia"/>
                <w:color w:val="auto"/>
              </w:rPr>
              <w:t>根据《建设项目环境风险评价技术导则》（</w:t>
            </w:r>
            <w:r>
              <w:rPr>
                <w:color w:val="auto"/>
              </w:rPr>
              <w:t>HJ 169-2018</w:t>
            </w:r>
            <w:r>
              <w:rPr>
                <w:rFonts w:hint="eastAsia"/>
                <w:color w:val="auto"/>
              </w:rPr>
              <w:t>），未对简单分析项目评价范围进行规定，根据项目周边情况，本项目环境敏感目标概况见表</w:t>
            </w:r>
            <w:r>
              <w:rPr>
                <w:color w:val="auto"/>
              </w:rPr>
              <w:t>7-</w:t>
            </w:r>
            <w:r>
              <w:rPr>
                <w:rFonts w:hint="eastAsia"/>
                <w:color w:val="auto"/>
                <w:lang w:val="en-US" w:eastAsia="zh-CN"/>
              </w:rPr>
              <w:t>41</w:t>
            </w:r>
            <w:r>
              <w:rPr>
                <w:rFonts w:hint="eastAsia"/>
                <w:color w:val="auto"/>
              </w:rPr>
              <w:t>所示。</w:t>
            </w:r>
          </w:p>
          <w:p>
            <w:pPr>
              <w:pStyle w:val="48"/>
              <w:keepNext/>
              <w:keepLines/>
              <w:ind w:firstLine="422"/>
              <w:rPr>
                <w:color w:val="auto"/>
              </w:rPr>
            </w:pPr>
            <w:r>
              <w:rPr>
                <w:rFonts w:hint="eastAsia"/>
                <w:color w:val="auto"/>
              </w:rPr>
              <w:t>表7-</w:t>
            </w:r>
            <w:r>
              <w:rPr>
                <w:rFonts w:hint="eastAsia"/>
                <w:color w:val="auto"/>
                <w:lang w:val="en-US" w:eastAsia="zh-CN"/>
              </w:rPr>
              <w:t>41</w:t>
            </w:r>
            <w:r>
              <w:rPr>
                <w:rFonts w:hint="eastAsia"/>
                <w:color w:val="auto"/>
              </w:rPr>
              <w:t xml:space="preserve">  建设项目环境敏感目标概况</w:t>
            </w:r>
          </w:p>
          <w:tbl>
            <w:tblPr>
              <w:tblStyle w:val="36"/>
              <w:tblW w:w="8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106"/>
              <w:gridCol w:w="1055"/>
              <w:gridCol w:w="929"/>
              <w:gridCol w:w="1092"/>
              <w:gridCol w:w="1545"/>
              <w:gridCol w:w="740"/>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07" w:type="pct"/>
                  <w:vMerge w:val="restart"/>
                  <w:tcBorders>
                    <w:top w:val="single" w:color="auto" w:sz="4" w:space="0"/>
                    <w:left w:val="single" w:color="auto" w:sz="4" w:space="0"/>
                    <w:right w:val="single" w:color="auto" w:sz="4" w:space="0"/>
                  </w:tcBorders>
                  <w:vAlign w:val="center"/>
                </w:tcPr>
                <w:p>
                  <w:pPr>
                    <w:pStyle w:val="50"/>
                    <w:rPr>
                      <w:color w:val="auto"/>
                    </w:rPr>
                  </w:pPr>
                  <w:r>
                    <w:rPr>
                      <w:color w:val="auto"/>
                    </w:rPr>
                    <w:t>环境要素</w:t>
                  </w:r>
                </w:p>
              </w:tc>
              <w:tc>
                <w:tcPr>
                  <w:tcW w:w="655" w:type="pct"/>
                  <w:vMerge w:val="restart"/>
                  <w:tcBorders>
                    <w:top w:val="single" w:color="auto" w:sz="4" w:space="0"/>
                    <w:left w:val="nil"/>
                    <w:right w:val="single" w:color="auto" w:sz="4" w:space="0"/>
                  </w:tcBorders>
                  <w:vAlign w:val="center"/>
                </w:tcPr>
                <w:p>
                  <w:pPr>
                    <w:pStyle w:val="50"/>
                    <w:rPr>
                      <w:color w:val="auto"/>
                    </w:rPr>
                  </w:pPr>
                  <w:r>
                    <w:rPr>
                      <w:color w:val="auto"/>
                    </w:rPr>
                    <w:t>保护目标</w:t>
                  </w:r>
                </w:p>
              </w:tc>
              <w:tc>
                <w:tcPr>
                  <w:tcW w:w="1175" w:type="pct"/>
                  <w:gridSpan w:val="2"/>
                  <w:tcBorders>
                    <w:top w:val="single" w:color="auto" w:sz="4" w:space="0"/>
                    <w:left w:val="nil"/>
                    <w:bottom w:val="single" w:color="auto" w:sz="4" w:space="0"/>
                    <w:right w:val="single" w:color="auto" w:sz="4" w:space="0"/>
                  </w:tcBorders>
                  <w:vAlign w:val="center"/>
                </w:tcPr>
                <w:p>
                  <w:pPr>
                    <w:pStyle w:val="50"/>
                    <w:rPr>
                      <w:color w:val="auto"/>
                    </w:rPr>
                  </w:pPr>
                  <w:r>
                    <w:rPr>
                      <w:color w:val="auto"/>
                    </w:rPr>
                    <w:t>坐标</w:t>
                  </w:r>
                </w:p>
              </w:tc>
              <w:tc>
                <w:tcPr>
                  <w:tcW w:w="647" w:type="pct"/>
                  <w:vMerge w:val="restart"/>
                  <w:tcBorders>
                    <w:top w:val="single" w:color="auto" w:sz="4" w:space="0"/>
                    <w:left w:val="nil"/>
                    <w:right w:val="single" w:color="auto" w:sz="4" w:space="0"/>
                  </w:tcBorders>
                  <w:vAlign w:val="center"/>
                </w:tcPr>
                <w:p>
                  <w:pPr>
                    <w:pStyle w:val="50"/>
                    <w:rPr>
                      <w:color w:val="auto"/>
                    </w:rPr>
                  </w:pPr>
                  <w:r>
                    <w:rPr>
                      <w:color w:val="auto"/>
                    </w:rPr>
                    <w:t>规模（户数/人数）</w:t>
                  </w:r>
                </w:p>
              </w:tc>
              <w:tc>
                <w:tcPr>
                  <w:tcW w:w="915" w:type="pct"/>
                  <w:vMerge w:val="restart"/>
                  <w:tcBorders>
                    <w:top w:val="single" w:color="auto" w:sz="4" w:space="0"/>
                    <w:left w:val="nil"/>
                    <w:right w:val="single" w:color="auto" w:sz="4" w:space="0"/>
                  </w:tcBorders>
                  <w:vAlign w:val="center"/>
                </w:tcPr>
                <w:p>
                  <w:pPr>
                    <w:pStyle w:val="50"/>
                    <w:rPr>
                      <w:color w:val="auto"/>
                    </w:rPr>
                  </w:pPr>
                  <w:r>
                    <w:rPr>
                      <w:color w:val="auto"/>
                    </w:rPr>
                    <w:t>与项目</w:t>
                  </w:r>
                  <w:r>
                    <w:rPr>
                      <w:rFonts w:hint="eastAsia"/>
                      <w:color w:val="auto"/>
                    </w:rPr>
                    <w:t>区方位/距离</w:t>
                  </w:r>
                </w:p>
              </w:tc>
              <w:tc>
                <w:tcPr>
                  <w:tcW w:w="438" w:type="pct"/>
                  <w:vMerge w:val="restart"/>
                  <w:tcBorders>
                    <w:top w:val="single" w:color="auto" w:sz="4" w:space="0"/>
                    <w:left w:val="nil"/>
                    <w:right w:val="single" w:color="auto" w:sz="4" w:space="0"/>
                  </w:tcBorders>
                  <w:vAlign w:val="center"/>
                </w:tcPr>
                <w:p>
                  <w:pPr>
                    <w:pStyle w:val="50"/>
                    <w:rPr>
                      <w:color w:val="auto"/>
                    </w:rPr>
                  </w:pPr>
                  <w:r>
                    <w:rPr>
                      <w:rFonts w:hint="eastAsia"/>
                      <w:color w:val="auto"/>
                    </w:rPr>
                    <w:t>保护对象</w:t>
                  </w:r>
                </w:p>
              </w:tc>
              <w:tc>
                <w:tcPr>
                  <w:tcW w:w="759" w:type="pct"/>
                  <w:vMerge w:val="restart"/>
                  <w:tcBorders>
                    <w:top w:val="single" w:color="auto" w:sz="4" w:space="0"/>
                    <w:left w:val="nil"/>
                    <w:right w:val="single" w:color="auto" w:sz="4" w:space="0"/>
                  </w:tcBorders>
                  <w:vAlign w:val="center"/>
                </w:tcPr>
                <w:p>
                  <w:pPr>
                    <w:pStyle w:val="50"/>
                    <w:rPr>
                      <w:color w:val="auto"/>
                    </w:rPr>
                  </w:pPr>
                  <w:r>
                    <w:rPr>
                      <w:color w:val="auto"/>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407"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55" w:type="pct"/>
                  <w:vMerge w:val="continue"/>
                  <w:tcBorders>
                    <w:left w:val="nil"/>
                    <w:bottom w:val="single" w:color="auto" w:sz="4" w:space="0"/>
                    <w:right w:val="single" w:color="auto" w:sz="4" w:space="0"/>
                  </w:tcBorders>
                  <w:vAlign w:val="center"/>
                </w:tcPr>
                <w:p>
                  <w:pPr>
                    <w:pStyle w:val="50"/>
                    <w:rPr>
                      <w:color w:val="auto"/>
                    </w:rPr>
                  </w:pP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X</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Y</w:t>
                  </w:r>
                </w:p>
              </w:tc>
              <w:tc>
                <w:tcPr>
                  <w:tcW w:w="647" w:type="pct"/>
                  <w:vMerge w:val="continue"/>
                  <w:tcBorders>
                    <w:left w:val="nil"/>
                    <w:bottom w:val="single" w:color="auto" w:sz="4" w:space="0"/>
                    <w:right w:val="single" w:color="auto" w:sz="4" w:space="0"/>
                  </w:tcBorders>
                  <w:vAlign w:val="center"/>
                </w:tcPr>
                <w:p>
                  <w:pPr>
                    <w:pStyle w:val="50"/>
                    <w:rPr>
                      <w:color w:val="auto"/>
                    </w:rPr>
                  </w:pPr>
                </w:p>
              </w:tc>
              <w:tc>
                <w:tcPr>
                  <w:tcW w:w="915" w:type="pct"/>
                  <w:vMerge w:val="continue"/>
                  <w:tcBorders>
                    <w:left w:val="nil"/>
                    <w:bottom w:val="single" w:color="auto" w:sz="4" w:space="0"/>
                    <w:right w:val="single" w:color="auto" w:sz="4" w:space="0"/>
                  </w:tcBorders>
                  <w:vAlign w:val="center"/>
                </w:tcPr>
                <w:p>
                  <w:pPr>
                    <w:pStyle w:val="50"/>
                    <w:rPr>
                      <w:color w:val="auto"/>
                    </w:rPr>
                  </w:pPr>
                </w:p>
              </w:tc>
              <w:tc>
                <w:tcPr>
                  <w:tcW w:w="438" w:type="pct"/>
                  <w:vMerge w:val="continue"/>
                  <w:tcBorders>
                    <w:left w:val="nil"/>
                    <w:bottom w:val="single" w:color="auto" w:sz="4" w:space="0"/>
                    <w:right w:val="single" w:color="auto" w:sz="4" w:space="0"/>
                  </w:tcBorders>
                  <w:vAlign w:val="center"/>
                </w:tcPr>
                <w:p>
                  <w:pPr>
                    <w:pStyle w:val="50"/>
                    <w:rPr>
                      <w:color w:val="auto"/>
                    </w:rPr>
                  </w:pPr>
                </w:p>
              </w:tc>
              <w:tc>
                <w:tcPr>
                  <w:tcW w:w="759"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restart"/>
                  <w:tcBorders>
                    <w:top w:val="nil"/>
                    <w:left w:val="single" w:color="auto" w:sz="4" w:space="0"/>
                    <w:right w:val="single" w:color="auto" w:sz="4" w:space="0"/>
                  </w:tcBorders>
                  <w:vAlign w:val="center"/>
                </w:tcPr>
                <w:p>
                  <w:pPr>
                    <w:pStyle w:val="50"/>
                    <w:rPr>
                      <w:color w:val="auto"/>
                    </w:rPr>
                  </w:pPr>
                  <w:r>
                    <w:rPr>
                      <w:color w:val="auto"/>
                    </w:rPr>
                    <w:t>大气环境</w:t>
                  </w: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大营村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102.5232</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25.2269</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78</w:t>
                  </w:r>
                  <w:r>
                    <w:rPr>
                      <w:color w:val="auto"/>
                    </w:rPr>
                    <w:t>/</w:t>
                  </w:r>
                  <w:r>
                    <w:rPr>
                      <w:rFonts w:hint="eastAsia"/>
                      <w:color w:val="auto"/>
                    </w:rPr>
                    <w:t>282</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西南侧</w:t>
                  </w:r>
                  <w:r>
                    <w:rPr>
                      <w:rFonts w:hint="eastAsia"/>
                      <w:color w:val="auto"/>
                    </w:rPr>
                    <w:t>/536</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restart"/>
                  <w:tcBorders>
                    <w:top w:val="nil"/>
                    <w:left w:val="nil"/>
                    <w:right w:val="single" w:color="auto" w:sz="4" w:space="0"/>
                  </w:tcBorders>
                  <w:vAlign w:val="center"/>
                </w:tcPr>
                <w:p>
                  <w:pPr>
                    <w:pStyle w:val="50"/>
                    <w:rPr>
                      <w:color w:val="auto"/>
                    </w:rPr>
                  </w:pPr>
                  <w:r>
                    <w:rPr>
                      <w:color w:val="auto"/>
                    </w:rPr>
                    <w:t>《环境空气质量标准》（GB3095-2012）二级标准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枫桥家园</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102.5221</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25.2349</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13</w:t>
                  </w:r>
                  <w:r>
                    <w:rPr>
                      <w:rFonts w:hint="eastAsia"/>
                      <w:color w:val="auto"/>
                    </w:rPr>
                    <w:t>6</w:t>
                  </w:r>
                  <w:r>
                    <w:rPr>
                      <w:color w:val="auto"/>
                    </w:rPr>
                    <w:t>/4</w:t>
                  </w:r>
                  <w:r>
                    <w:rPr>
                      <w:rFonts w:hint="eastAsia"/>
                      <w:color w:val="auto"/>
                    </w:rPr>
                    <w:t>12</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西北</w:t>
                  </w:r>
                  <w:r>
                    <w:rPr>
                      <w:color w:val="auto"/>
                    </w:rPr>
                    <w:t>侧</w:t>
                  </w:r>
                  <w:r>
                    <w:rPr>
                      <w:rFonts w:hint="eastAsia"/>
                      <w:color w:val="auto"/>
                    </w:rPr>
                    <w:t>/550</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lang w:eastAsia="zh-CN"/>
                    </w:rPr>
                    <w:t>公租房</w:t>
                  </w:r>
                </w:p>
              </w:tc>
              <w:tc>
                <w:tcPr>
                  <w:tcW w:w="625" w:type="pct"/>
                  <w:tcBorders>
                    <w:top w:val="single" w:color="auto" w:sz="4" w:space="0"/>
                    <w:left w:val="nil"/>
                    <w:bottom w:val="single" w:color="auto" w:sz="4" w:space="0"/>
                    <w:right w:val="single" w:color="auto" w:sz="4" w:space="0"/>
                  </w:tcBorders>
                  <w:vAlign w:val="center"/>
                </w:tcPr>
                <w:p>
                  <w:pPr>
                    <w:pStyle w:val="50"/>
                    <w:ind w:firstLine="0" w:firstLineChars="0"/>
                    <w:rPr>
                      <w:rFonts w:hint="eastAsia" w:eastAsia="宋体"/>
                      <w:color w:val="auto"/>
                      <w:lang w:eastAsia="zh-CN"/>
                    </w:rPr>
                  </w:pPr>
                  <w:r>
                    <w:rPr>
                      <w:rFonts w:hint="eastAsia"/>
                      <w:color w:val="auto"/>
                    </w:rPr>
                    <w:t>102.523</w:t>
                  </w:r>
                  <w:r>
                    <w:rPr>
                      <w:rFonts w:hint="eastAsia"/>
                      <w:color w:val="auto"/>
                      <w:lang w:val="en-US" w:eastAsia="zh-CN"/>
                    </w:rPr>
                    <w:t>5</w:t>
                  </w:r>
                </w:p>
              </w:tc>
              <w:tc>
                <w:tcPr>
                  <w:tcW w:w="550" w:type="pct"/>
                  <w:tcBorders>
                    <w:top w:val="single" w:color="auto" w:sz="4" w:space="0"/>
                    <w:left w:val="nil"/>
                    <w:bottom w:val="single" w:color="auto" w:sz="4" w:space="0"/>
                    <w:right w:val="single" w:color="auto" w:sz="4" w:space="0"/>
                  </w:tcBorders>
                  <w:vAlign w:val="center"/>
                </w:tcPr>
                <w:p>
                  <w:pPr>
                    <w:pStyle w:val="50"/>
                    <w:ind w:firstLine="0" w:firstLineChars="0"/>
                    <w:rPr>
                      <w:rFonts w:hint="eastAsia" w:eastAsia="宋体"/>
                      <w:color w:val="auto"/>
                      <w:lang w:eastAsia="zh-CN"/>
                    </w:rPr>
                  </w:pPr>
                  <w:r>
                    <w:rPr>
                      <w:rFonts w:hint="eastAsia"/>
                      <w:color w:val="auto"/>
                    </w:rPr>
                    <w:t>25.226</w:t>
                  </w:r>
                  <w:r>
                    <w:rPr>
                      <w:rFonts w:hint="eastAsia"/>
                      <w:color w:val="auto"/>
                      <w:lang w:val="en-US" w:eastAsia="zh-CN"/>
                    </w:rPr>
                    <w:t>8</w:t>
                  </w:r>
                </w:p>
              </w:tc>
              <w:tc>
                <w:tcPr>
                  <w:tcW w:w="647" w:type="pct"/>
                  <w:tcBorders>
                    <w:top w:val="single" w:color="auto" w:sz="4" w:space="0"/>
                    <w:left w:val="nil"/>
                    <w:bottom w:val="single" w:color="auto" w:sz="4" w:space="0"/>
                    <w:right w:val="single" w:color="auto" w:sz="4" w:space="0"/>
                  </w:tcBorders>
                  <w:vAlign w:val="center"/>
                </w:tcPr>
                <w:p>
                  <w:pPr>
                    <w:pStyle w:val="50"/>
                    <w:rPr>
                      <w:rFonts w:hint="default" w:eastAsia="宋体"/>
                      <w:color w:val="auto"/>
                      <w:lang w:val="en-US" w:eastAsia="zh-CN"/>
                    </w:rPr>
                  </w:pPr>
                  <w:r>
                    <w:rPr>
                      <w:rFonts w:hint="eastAsia"/>
                      <w:color w:val="auto"/>
                      <w:lang w:val="en-US" w:eastAsia="zh-CN"/>
                    </w:rPr>
                    <w:t>796</w:t>
                  </w:r>
                  <w:r>
                    <w:rPr>
                      <w:color w:val="auto"/>
                    </w:rPr>
                    <w:t>/</w:t>
                  </w:r>
                  <w:r>
                    <w:rPr>
                      <w:rFonts w:hint="eastAsia"/>
                      <w:color w:val="auto"/>
                      <w:lang w:val="en-US" w:eastAsia="zh-CN"/>
                    </w:rPr>
                    <w:t>2802</w:t>
                  </w:r>
                </w:p>
              </w:tc>
              <w:tc>
                <w:tcPr>
                  <w:tcW w:w="915" w:type="pct"/>
                  <w:tcBorders>
                    <w:top w:val="single" w:color="auto" w:sz="4" w:space="0"/>
                    <w:left w:val="nil"/>
                    <w:bottom w:val="single" w:color="auto" w:sz="4" w:space="0"/>
                    <w:right w:val="single" w:color="auto" w:sz="4" w:space="0"/>
                  </w:tcBorders>
                  <w:vAlign w:val="center"/>
                </w:tcPr>
                <w:p>
                  <w:pPr>
                    <w:pStyle w:val="50"/>
                    <w:rPr>
                      <w:rFonts w:hint="eastAsia"/>
                      <w:color w:val="auto"/>
                    </w:rPr>
                  </w:pPr>
                  <w:r>
                    <w:rPr>
                      <w:color w:val="auto"/>
                    </w:rPr>
                    <w:t>南侧</w:t>
                  </w:r>
                  <w:r>
                    <w:rPr>
                      <w:rFonts w:hint="eastAsia"/>
                      <w:color w:val="auto"/>
                    </w:rPr>
                    <w:t>/5</w:t>
                  </w:r>
                  <w:r>
                    <w:rPr>
                      <w:rFonts w:hint="eastAsia"/>
                      <w:color w:val="auto"/>
                      <w:lang w:val="en-US" w:eastAsia="zh-CN"/>
                    </w:rPr>
                    <w:t>92</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rFonts w:hint="eastAsia" w:eastAsia="宋体"/>
                      <w:color w:val="auto"/>
                      <w:lang w:eastAsia="zh-CN"/>
                    </w:rPr>
                  </w:pPr>
                  <w:r>
                    <w:rPr>
                      <w:rFonts w:hint="eastAsia"/>
                      <w:color w:val="auto"/>
                      <w:lang w:eastAsia="zh-CN"/>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深沟箐</w:t>
                  </w:r>
                  <w:r>
                    <w:rPr>
                      <w:color w:val="auto"/>
                    </w:rPr>
                    <w:t>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102.5322</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25.2273</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35</w:t>
                  </w:r>
                  <w:r>
                    <w:rPr>
                      <w:color w:val="auto"/>
                    </w:rPr>
                    <w:t>/</w:t>
                  </w:r>
                  <w:r>
                    <w:rPr>
                      <w:rFonts w:hint="eastAsia"/>
                      <w:color w:val="auto"/>
                    </w:rPr>
                    <w:t>120</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/635</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南边</w:t>
                  </w:r>
                  <w:r>
                    <w:rPr>
                      <w:color w:val="auto"/>
                    </w:rPr>
                    <w:t>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102.5158</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25.2351</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w:t>
                  </w:r>
                  <w:r>
                    <w:rPr>
                      <w:color w:val="auto"/>
                    </w:rPr>
                    <w:t>45/1</w:t>
                  </w:r>
                  <w:r>
                    <w:rPr>
                      <w:rFonts w:hint="eastAsia"/>
                      <w:color w:val="auto"/>
                    </w:rPr>
                    <w:t>286</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西北</w:t>
                  </w:r>
                  <w:r>
                    <w:rPr>
                      <w:color w:val="auto"/>
                    </w:rPr>
                    <w:t>侧</w:t>
                  </w:r>
                  <w:r>
                    <w:rPr>
                      <w:rFonts w:hint="eastAsia"/>
                      <w:color w:val="auto"/>
                    </w:rPr>
                    <w:t>/1095</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何官营村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102.5331</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25.2209</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315</w:t>
                  </w:r>
                  <w:r>
                    <w:rPr>
                      <w:color w:val="auto"/>
                    </w:rPr>
                    <w:t>/</w:t>
                  </w:r>
                  <w:r>
                    <w:rPr>
                      <w:rFonts w:hint="eastAsia"/>
                      <w:color w:val="auto"/>
                    </w:rPr>
                    <w:t>958</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/1185</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沙锅村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102.5432</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25.2279</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56</w:t>
                  </w:r>
                  <w:r>
                    <w:rPr>
                      <w:color w:val="auto"/>
                    </w:rPr>
                    <w:t>/</w:t>
                  </w:r>
                  <w:r>
                    <w:rPr>
                      <w:rFonts w:hint="eastAsia"/>
                      <w:color w:val="auto"/>
                    </w:rPr>
                    <w:t>179</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东南</w:t>
                  </w:r>
                  <w:r>
                    <w:rPr>
                      <w:color w:val="auto"/>
                    </w:rPr>
                    <w:t>侧</w:t>
                  </w:r>
                  <w:r>
                    <w:rPr>
                      <w:rFonts w:hint="eastAsia"/>
                      <w:color w:val="auto"/>
                    </w:rPr>
                    <w:t>/1508</w:t>
                  </w:r>
                  <w:r>
                    <w:rPr>
                      <w:color w:val="auto"/>
                    </w:rPr>
                    <w:t>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梨花</w:t>
                  </w:r>
                  <w:r>
                    <w:rPr>
                      <w:color w:val="auto"/>
                    </w:rPr>
                    <w:t>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102.5211</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25.2163</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42</w:t>
                  </w:r>
                  <w:r>
                    <w:rPr>
                      <w:color w:val="auto"/>
                    </w:rPr>
                    <w:t>/</w:t>
                  </w:r>
                  <w:r>
                    <w:rPr>
                      <w:rFonts w:hint="eastAsia"/>
                      <w:color w:val="auto"/>
                    </w:rPr>
                    <w:t>136</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西南侧/1760m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奎南村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102.5126</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25.2399</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125</w:t>
                  </w:r>
                  <w:r>
                    <w:rPr>
                      <w:color w:val="auto"/>
                    </w:rPr>
                    <w:t>/</w:t>
                  </w:r>
                  <w:r>
                    <w:rPr>
                      <w:rFonts w:hint="eastAsia"/>
                      <w:color w:val="auto"/>
                    </w:rPr>
                    <w:t>379</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旧县村</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102.5178</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25.2142</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112</w:t>
                  </w:r>
                  <w:r>
                    <w:rPr>
                      <w:color w:val="auto"/>
                    </w:rPr>
                    <w:t>/</w:t>
                  </w:r>
                  <w:r>
                    <w:rPr>
                      <w:rFonts w:hint="eastAsia"/>
                      <w:color w:val="auto"/>
                    </w:rPr>
                    <w:t>335</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07" w:type="pct"/>
                  <w:vMerge w:val="continue"/>
                  <w:tcBorders>
                    <w:left w:val="single" w:color="auto" w:sz="4" w:space="0"/>
                    <w:bottom w:val="single" w:color="auto" w:sz="4" w:space="0"/>
                    <w:right w:val="single" w:color="auto" w:sz="4" w:space="0"/>
                  </w:tcBorders>
                  <w:vAlign w:val="center"/>
                </w:tcPr>
                <w:p>
                  <w:pPr>
                    <w:pStyle w:val="50"/>
                    <w:rPr>
                      <w:color w:val="auto"/>
                    </w:rPr>
                  </w:pP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肖家营</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102.5112</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25.2472</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127</w:t>
                  </w:r>
                  <w:r>
                    <w:rPr>
                      <w:color w:val="auto"/>
                    </w:rPr>
                    <w:t>/</w:t>
                  </w:r>
                  <w:r>
                    <w:rPr>
                      <w:rFonts w:hint="eastAsia"/>
                      <w:color w:val="auto"/>
                    </w:rPr>
                    <w:t>398</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西北侧</w:t>
                  </w:r>
                  <w:r>
                    <w:rPr>
                      <w:rFonts w:hint="eastAsia"/>
                      <w:color w:val="auto"/>
                    </w:rPr>
                    <w:t>/11</w:t>
                  </w:r>
                  <w:r>
                    <w:rPr>
                      <w:color w:val="auto"/>
                    </w:rPr>
                    <w:t>00m</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居民</w:t>
                  </w:r>
                </w:p>
              </w:tc>
              <w:tc>
                <w:tcPr>
                  <w:tcW w:w="759" w:type="pct"/>
                  <w:vMerge w:val="continue"/>
                  <w:tcBorders>
                    <w:left w:val="nil"/>
                    <w:bottom w:val="single" w:color="auto" w:sz="4" w:space="0"/>
                    <w:right w:val="single" w:color="auto" w:sz="4" w:space="0"/>
                  </w:tcBorders>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07" w:type="pct"/>
                  <w:tcBorders>
                    <w:top w:val="nil"/>
                    <w:left w:val="single" w:color="auto" w:sz="4" w:space="0"/>
                    <w:bottom w:val="single" w:color="auto" w:sz="4" w:space="0"/>
                    <w:right w:val="single" w:color="auto" w:sz="4" w:space="0"/>
                  </w:tcBorders>
                  <w:vAlign w:val="center"/>
                </w:tcPr>
                <w:p>
                  <w:pPr>
                    <w:pStyle w:val="50"/>
                    <w:rPr>
                      <w:color w:val="auto"/>
                    </w:rPr>
                  </w:pPr>
                  <w:r>
                    <w:rPr>
                      <w:color w:val="auto"/>
                    </w:rPr>
                    <w:t>声环境</w:t>
                  </w:r>
                </w:p>
              </w:tc>
              <w:tc>
                <w:tcPr>
                  <w:tcW w:w="3832" w:type="pct"/>
                  <w:gridSpan w:val="6"/>
                  <w:tcBorders>
                    <w:top w:val="single" w:color="auto" w:sz="4" w:space="0"/>
                    <w:left w:val="nil"/>
                    <w:bottom w:val="single" w:color="auto" w:sz="4" w:space="0"/>
                    <w:right w:val="single" w:color="auto" w:sz="4" w:space="0"/>
                  </w:tcBorders>
                  <w:vAlign w:val="center"/>
                </w:tcPr>
                <w:p>
                  <w:pPr>
                    <w:pStyle w:val="50"/>
                    <w:rPr>
                      <w:color w:val="auto"/>
                    </w:rPr>
                  </w:pPr>
                  <w:r>
                    <w:rPr>
                      <w:color w:val="auto"/>
                    </w:rPr>
                    <w:t>项目周边200m范围内无居民集中点、学校、医院等敏感点，故声环境无相关保护目标。</w:t>
                  </w:r>
                </w:p>
              </w:tc>
              <w:tc>
                <w:tcPr>
                  <w:tcW w:w="759" w:type="pct"/>
                  <w:tcBorders>
                    <w:top w:val="nil"/>
                    <w:left w:val="nil"/>
                    <w:bottom w:val="single" w:color="auto" w:sz="4" w:space="0"/>
                    <w:right w:val="single" w:color="auto" w:sz="4" w:space="0"/>
                  </w:tcBorders>
                  <w:vAlign w:val="center"/>
                </w:tcPr>
                <w:p>
                  <w:pPr>
                    <w:pStyle w:val="50"/>
                    <w:rPr>
                      <w:color w:val="auto"/>
                    </w:rPr>
                  </w:pPr>
                  <w:r>
                    <w:rPr>
                      <w:rFonts w:hint="eastAsia"/>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1" w:hRule="atLeast"/>
                <w:jc w:val="center"/>
              </w:trPr>
              <w:tc>
                <w:tcPr>
                  <w:tcW w:w="407" w:type="pct"/>
                  <w:tcBorders>
                    <w:top w:val="single" w:color="auto" w:sz="4" w:space="0"/>
                    <w:left w:val="single" w:color="auto" w:sz="4" w:space="0"/>
                    <w:bottom w:val="single" w:color="auto" w:sz="4" w:space="0"/>
                    <w:right w:val="single" w:color="auto" w:sz="4" w:space="0"/>
                  </w:tcBorders>
                  <w:vAlign w:val="center"/>
                </w:tcPr>
                <w:p>
                  <w:pPr>
                    <w:pStyle w:val="50"/>
                    <w:rPr>
                      <w:color w:val="auto"/>
                    </w:rPr>
                  </w:pPr>
                  <w:r>
                    <w:rPr>
                      <w:color w:val="auto"/>
                    </w:rPr>
                    <w:t>地表水</w:t>
                  </w:r>
                </w:p>
              </w:tc>
              <w:tc>
                <w:tcPr>
                  <w:tcW w:w="65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大营河</w:t>
                  </w:r>
                </w:p>
              </w:tc>
              <w:tc>
                <w:tcPr>
                  <w:tcW w:w="625"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102.4897</w:t>
                  </w:r>
                </w:p>
              </w:tc>
              <w:tc>
                <w:tcPr>
                  <w:tcW w:w="550"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24.6883</w:t>
                  </w:r>
                </w:p>
              </w:tc>
              <w:tc>
                <w:tcPr>
                  <w:tcW w:w="647"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水体功能为</w:t>
                  </w:r>
                  <w:r>
                    <w:rPr>
                      <w:rFonts w:hint="eastAsia"/>
                      <w:color w:val="auto"/>
                    </w:rPr>
                    <w:t>工业用水</w:t>
                  </w:r>
                </w:p>
              </w:tc>
              <w:tc>
                <w:tcPr>
                  <w:tcW w:w="915"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南</w:t>
                  </w:r>
                  <w:r>
                    <w:rPr>
                      <w:color w:val="auto"/>
                    </w:rPr>
                    <w:t>侧</w:t>
                  </w:r>
                </w:p>
              </w:tc>
              <w:tc>
                <w:tcPr>
                  <w:tcW w:w="438" w:type="pct"/>
                  <w:tcBorders>
                    <w:top w:val="single" w:color="auto" w:sz="4" w:space="0"/>
                    <w:left w:val="nil"/>
                    <w:bottom w:val="single" w:color="auto" w:sz="4" w:space="0"/>
                    <w:right w:val="single" w:color="auto" w:sz="4" w:space="0"/>
                  </w:tcBorders>
                  <w:vAlign w:val="center"/>
                </w:tcPr>
                <w:p>
                  <w:pPr>
                    <w:pStyle w:val="50"/>
                    <w:rPr>
                      <w:color w:val="auto"/>
                    </w:rPr>
                  </w:pPr>
                  <w:r>
                    <w:rPr>
                      <w:rFonts w:hint="eastAsia"/>
                      <w:color w:val="auto"/>
                    </w:rPr>
                    <w:t>790</w:t>
                  </w:r>
                  <w:r>
                    <w:rPr>
                      <w:color w:val="auto"/>
                    </w:rPr>
                    <w:t>m</w:t>
                  </w:r>
                </w:p>
              </w:tc>
              <w:tc>
                <w:tcPr>
                  <w:tcW w:w="759" w:type="pct"/>
                  <w:tcBorders>
                    <w:top w:val="single" w:color="auto" w:sz="4" w:space="0"/>
                    <w:left w:val="nil"/>
                    <w:bottom w:val="single" w:color="auto" w:sz="4" w:space="0"/>
                    <w:right w:val="single" w:color="auto" w:sz="4" w:space="0"/>
                  </w:tcBorders>
                  <w:vAlign w:val="center"/>
                </w:tcPr>
                <w:p>
                  <w:pPr>
                    <w:pStyle w:val="50"/>
                    <w:rPr>
                      <w:color w:val="auto"/>
                    </w:rPr>
                  </w:pPr>
                  <w:r>
                    <w:rPr>
                      <w:color w:val="auto"/>
                    </w:rPr>
                    <w:t>《地表水环境质量标准》（GB3838-2002）</w:t>
                  </w:r>
                  <w:r>
                    <w:rPr>
                      <w:rFonts w:hint="eastAsia"/>
                      <w:color w:val="auto"/>
                    </w:rPr>
                    <w:t>Ⅳ类</w:t>
                  </w:r>
                  <w:r>
                    <w:rPr>
                      <w:color w:val="auto"/>
                    </w:rPr>
                    <w:t>标准</w:t>
                  </w:r>
                </w:p>
              </w:tc>
            </w:tr>
          </w:tbl>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.3环境风险识别</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.3.1物质危险性识别</w:t>
            </w:r>
          </w:p>
          <w:p>
            <w:pPr>
              <w:keepNext/>
              <w:keepLines/>
              <w:ind w:firstLine="480"/>
              <w:rPr>
                <w:color w:val="auto"/>
              </w:rPr>
            </w:pPr>
            <w:r>
              <w:rPr>
                <w:rFonts w:hint="eastAsia"/>
                <w:color w:val="auto"/>
              </w:rPr>
              <w:t>根据《建设项目环境风险评价技术导则》（</w:t>
            </w:r>
            <w:r>
              <w:rPr>
                <w:color w:val="auto"/>
              </w:rPr>
              <w:t>HJ 169-2018</w:t>
            </w:r>
            <w:r>
              <w:rPr>
                <w:rFonts w:hint="eastAsia"/>
                <w:color w:val="auto"/>
              </w:rPr>
              <w:t>）附录中表B</w:t>
            </w:r>
            <w:r>
              <w:rPr>
                <w:color w:val="auto"/>
              </w:rPr>
              <w:t>.1“</w:t>
            </w:r>
            <w:r>
              <w:rPr>
                <w:rFonts w:hint="eastAsia"/>
                <w:color w:val="auto"/>
              </w:rPr>
              <w:t>突发环境事件风险物质及临界量</w:t>
            </w:r>
            <w:r>
              <w:rPr>
                <w:color w:val="auto"/>
              </w:rPr>
              <w:t>”</w:t>
            </w:r>
            <w:r>
              <w:rPr>
                <w:rFonts w:hint="eastAsia"/>
                <w:color w:val="auto"/>
              </w:rPr>
              <w:t>，项目涉及的危险物质主要</w:t>
            </w:r>
            <w:r>
              <w:rPr>
                <w:rFonts w:hint="eastAsia"/>
                <w:color w:val="auto"/>
                <w:lang w:eastAsia="zh-CN"/>
              </w:rPr>
              <w:t>为乙炔、</w:t>
            </w:r>
            <w:r>
              <w:rPr>
                <w:rFonts w:hint="eastAsia"/>
                <w:color w:val="auto"/>
                <w:lang w:val="en-US" w:eastAsia="zh-CN"/>
              </w:rPr>
              <w:t>液化天然气（甲烷、乙烷）</w:t>
            </w:r>
            <w:r>
              <w:rPr>
                <w:rFonts w:hint="eastAsia"/>
                <w:color w:val="auto"/>
              </w:rPr>
              <w:t>。</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.3.2生产系统危险性识别</w:t>
            </w:r>
          </w:p>
          <w:p>
            <w:pPr>
              <w:keepNext/>
              <w:keepLines/>
              <w:ind w:firstLine="480"/>
              <w:rPr>
                <w:color w:val="auto"/>
              </w:rPr>
            </w:pPr>
            <w:r>
              <w:rPr>
                <w:rFonts w:hint="eastAsia"/>
                <w:color w:val="auto"/>
              </w:rPr>
              <w:t>项目</w:t>
            </w:r>
            <w:r>
              <w:rPr>
                <w:rFonts w:hint="eastAsia"/>
                <w:color w:val="auto"/>
                <w:lang w:eastAsia="zh-CN"/>
              </w:rPr>
              <w:t>为</w:t>
            </w:r>
            <w:r>
              <w:rPr>
                <w:rFonts w:hint="eastAsia"/>
                <w:color w:val="auto"/>
              </w:rPr>
              <w:t>通讯设备机箱机体生产项目，主要生产工序包括切割、打孔、折弯、焊接、喷塑、固化、组装等，原辅材料钢管、冷轧钢板、覆铝锌钢板、铝合金型材、五金配件、木板、防水胶条、塑粉、PU板、气泡膜等为直接外购成品。在生产过程中主要危险单元有：生产车间、危废暂存间，主要存在的潜在危险事故为火灾、爆炸事故及废气处理装置故障造成的废气超标排放等。</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.3.3危险物质向环境转移的途径识别</w:t>
            </w:r>
          </w:p>
          <w:p>
            <w:pPr>
              <w:keepNext/>
              <w:keepLines/>
              <w:ind w:firstLine="480"/>
              <w:rPr>
                <w:color w:val="auto"/>
              </w:rPr>
            </w:pPr>
            <w:r>
              <w:rPr>
                <w:rFonts w:hint="eastAsia"/>
                <w:color w:val="auto"/>
              </w:rPr>
              <w:t>项目主要的危险物质为</w:t>
            </w:r>
            <w:r>
              <w:rPr>
                <w:rFonts w:hint="eastAsia"/>
                <w:color w:val="auto"/>
                <w:lang w:eastAsia="zh-CN"/>
              </w:rPr>
              <w:t>乙炔</w:t>
            </w:r>
            <w:r>
              <w:rPr>
                <w:rFonts w:hint="eastAsia"/>
                <w:color w:val="auto"/>
                <w:lang w:val="en-US" w:eastAsia="zh-CN"/>
              </w:rPr>
              <w:t>和液化天然气</w:t>
            </w:r>
            <w:r>
              <w:rPr>
                <w:rFonts w:hint="eastAsia"/>
                <w:color w:val="auto"/>
                <w:lang w:eastAsia="zh-CN"/>
              </w:rPr>
              <w:t>，</w:t>
            </w:r>
            <w:r>
              <w:rPr>
                <w:rFonts w:hint="eastAsia"/>
                <w:color w:val="auto"/>
              </w:rPr>
              <w:t>储存于生产车间</w:t>
            </w:r>
            <w:r>
              <w:rPr>
                <w:rFonts w:hint="eastAsia"/>
                <w:color w:val="auto"/>
                <w:lang w:eastAsia="zh-CN"/>
              </w:rPr>
              <w:t>焊接区</w:t>
            </w:r>
            <w:r>
              <w:rPr>
                <w:rFonts w:hint="eastAsia"/>
                <w:color w:val="auto"/>
              </w:rPr>
              <w:t>生产活动使用，</w:t>
            </w:r>
            <w:r>
              <w:rPr>
                <w:rFonts w:hint="eastAsia"/>
                <w:color w:val="auto"/>
                <w:lang w:val="en-US" w:eastAsia="zh-CN"/>
              </w:rPr>
              <w:t>VOCs（以非甲烷总烃计）</w:t>
            </w:r>
            <w:r>
              <w:rPr>
                <w:bCs/>
                <w:color w:val="auto"/>
                <w:lang w:val="zh-CN"/>
              </w:rPr>
              <w:t>、TSP</w:t>
            </w:r>
            <w:r>
              <w:rPr>
                <w:rFonts w:hint="eastAsia"/>
                <w:color w:val="auto"/>
              </w:rPr>
              <w:t>产生于生产过程中。</w:t>
            </w:r>
            <w:r>
              <w:rPr>
                <w:rFonts w:hint="eastAsia"/>
                <w:color w:val="auto"/>
                <w:lang w:eastAsia="zh-CN"/>
              </w:rPr>
              <w:t>乙炔</w:t>
            </w:r>
            <w:r>
              <w:rPr>
                <w:rFonts w:hint="eastAsia"/>
                <w:color w:val="auto"/>
              </w:rPr>
              <w:t>易燃</w:t>
            </w:r>
            <w:r>
              <w:rPr>
                <w:rFonts w:hint="eastAsia"/>
                <w:color w:val="auto"/>
                <w:lang w:eastAsia="zh-CN"/>
              </w:rPr>
              <w:t>、易爆物质</w:t>
            </w:r>
            <w:r>
              <w:rPr>
                <w:rFonts w:hint="eastAsia"/>
                <w:color w:val="auto"/>
              </w:rPr>
              <w:t>，遇明火或高温易引起火灾爆炸事故，会造成大气环境二次污染；天然气泄漏，遇明火引发火灾、</w:t>
            </w:r>
            <w:r>
              <w:rPr>
                <w:rFonts w:hint="eastAsia"/>
                <w:color w:val="auto"/>
                <w:lang w:val="en-US" w:eastAsia="zh-CN"/>
              </w:rPr>
              <w:t>爆炸</w:t>
            </w:r>
            <w:r>
              <w:rPr>
                <w:rFonts w:hint="eastAsia"/>
                <w:color w:val="auto"/>
              </w:rPr>
              <w:t>事故；废气处理措施故障，造成非甲烷总烃</w:t>
            </w:r>
            <w:r>
              <w:rPr>
                <w:bCs/>
                <w:color w:val="auto"/>
                <w:lang w:val="zh-CN"/>
              </w:rPr>
              <w:t>、TSP</w:t>
            </w:r>
            <w:r>
              <w:rPr>
                <w:rFonts w:hint="eastAsia"/>
                <w:color w:val="auto"/>
              </w:rPr>
              <w:t>超标排放，污染大气环境，消防废水泄露，也会造成附近居民身体健康危害。</w:t>
            </w:r>
          </w:p>
          <w:p>
            <w:pPr>
              <w:keepNext/>
              <w:keepLines/>
              <w:ind w:firstLine="480"/>
              <w:rPr>
                <w:color w:val="auto"/>
              </w:rPr>
            </w:pPr>
            <w:r>
              <w:rPr>
                <w:rFonts w:hint="eastAsia"/>
                <w:color w:val="auto"/>
              </w:rPr>
              <w:t>综上所述，项目风险识别情况见表</w:t>
            </w:r>
            <w:r>
              <w:rPr>
                <w:color w:val="auto"/>
              </w:rPr>
              <w:t>7-</w:t>
            </w:r>
            <w:r>
              <w:rPr>
                <w:rFonts w:hint="eastAsia"/>
                <w:color w:val="auto"/>
                <w:lang w:val="en-US" w:eastAsia="zh-CN"/>
              </w:rPr>
              <w:t>42</w:t>
            </w:r>
            <w:r>
              <w:rPr>
                <w:rFonts w:hint="eastAsia"/>
                <w:color w:val="auto"/>
              </w:rPr>
              <w:t>所示。</w:t>
            </w:r>
          </w:p>
          <w:p>
            <w:pPr>
              <w:pStyle w:val="48"/>
              <w:keepNext/>
              <w:keepLines/>
              <w:ind w:firstLine="422"/>
              <w:rPr>
                <w:color w:val="auto"/>
              </w:rPr>
            </w:pPr>
            <w:r>
              <w:rPr>
                <w:rFonts w:hint="eastAsia"/>
                <w:color w:val="auto"/>
              </w:rPr>
              <w:t>表7-</w:t>
            </w:r>
            <w:r>
              <w:rPr>
                <w:rFonts w:hint="eastAsia"/>
                <w:color w:val="auto"/>
                <w:lang w:val="en-US" w:eastAsia="zh-CN"/>
              </w:rPr>
              <w:t>42</w:t>
            </w:r>
            <w:r>
              <w:rPr>
                <w:rFonts w:hint="eastAsia"/>
                <w:color w:val="auto"/>
              </w:rPr>
              <w:t xml:space="preserve"> 项目环境风险识别表</w:t>
            </w:r>
          </w:p>
          <w:tbl>
            <w:tblPr>
              <w:tblStyle w:val="36"/>
              <w:tblW w:w="8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1138"/>
              <w:gridCol w:w="1296"/>
              <w:gridCol w:w="2045"/>
              <w:gridCol w:w="1037"/>
              <w:gridCol w:w="872"/>
              <w:gridCol w:w="1105"/>
              <w:gridCol w:w="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437" w:type="dxa"/>
                  <w:noWrap/>
                  <w:vAlign w:val="center"/>
                </w:tcPr>
                <w:p>
                  <w:pPr>
                    <w:pStyle w:val="50"/>
                    <w:rPr>
                      <w:color w:val="auto"/>
                      <w:kern w:val="2"/>
                    </w:rPr>
                  </w:pPr>
                  <w:r>
                    <w:rPr>
                      <w:color w:val="auto"/>
                      <w:kern w:val="2"/>
                    </w:rPr>
                    <w:t>序号</w:t>
                  </w:r>
                </w:p>
              </w:tc>
              <w:tc>
                <w:tcPr>
                  <w:tcW w:w="1138" w:type="dxa"/>
                  <w:noWrap/>
                  <w:vAlign w:val="center"/>
                </w:tcPr>
                <w:p>
                  <w:pPr>
                    <w:pStyle w:val="50"/>
                    <w:rPr>
                      <w:color w:val="auto"/>
                      <w:kern w:val="2"/>
                    </w:rPr>
                  </w:pPr>
                  <w:r>
                    <w:rPr>
                      <w:color w:val="auto"/>
                      <w:kern w:val="2"/>
                    </w:rPr>
                    <w:t>危险单元</w:t>
                  </w:r>
                </w:p>
              </w:tc>
              <w:tc>
                <w:tcPr>
                  <w:tcW w:w="1296" w:type="dxa"/>
                  <w:noWrap/>
                  <w:vAlign w:val="center"/>
                </w:tcPr>
                <w:p>
                  <w:pPr>
                    <w:pStyle w:val="50"/>
                    <w:rPr>
                      <w:color w:val="auto"/>
                      <w:kern w:val="2"/>
                    </w:rPr>
                  </w:pPr>
                  <w:r>
                    <w:rPr>
                      <w:color w:val="auto"/>
                      <w:kern w:val="2"/>
                    </w:rPr>
                    <w:t>风险源</w:t>
                  </w:r>
                </w:p>
              </w:tc>
              <w:tc>
                <w:tcPr>
                  <w:tcW w:w="2045" w:type="dxa"/>
                  <w:noWrap/>
                  <w:vAlign w:val="center"/>
                </w:tcPr>
                <w:p>
                  <w:pPr>
                    <w:pStyle w:val="50"/>
                    <w:rPr>
                      <w:color w:val="auto"/>
                      <w:kern w:val="2"/>
                    </w:rPr>
                  </w:pPr>
                  <w:r>
                    <w:rPr>
                      <w:color w:val="auto"/>
                      <w:kern w:val="2"/>
                    </w:rPr>
                    <w:t>主要风险物质</w:t>
                  </w:r>
                </w:p>
              </w:tc>
              <w:tc>
                <w:tcPr>
                  <w:tcW w:w="1037" w:type="dxa"/>
                  <w:noWrap/>
                  <w:vAlign w:val="center"/>
                </w:tcPr>
                <w:p>
                  <w:pPr>
                    <w:pStyle w:val="50"/>
                    <w:rPr>
                      <w:color w:val="auto"/>
                      <w:kern w:val="2"/>
                    </w:rPr>
                  </w:pPr>
                  <w:r>
                    <w:rPr>
                      <w:color w:val="auto"/>
                      <w:kern w:val="2"/>
                    </w:rPr>
                    <w:t>环境风险类型</w:t>
                  </w:r>
                </w:p>
              </w:tc>
              <w:tc>
                <w:tcPr>
                  <w:tcW w:w="872" w:type="dxa"/>
                  <w:noWrap/>
                  <w:vAlign w:val="center"/>
                </w:tcPr>
                <w:p>
                  <w:pPr>
                    <w:pStyle w:val="50"/>
                    <w:rPr>
                      <w:color w:val="auto"/>
                      <w:kern w:val="2"/>
                    </w:rPr>
                  </w:pPr>
                  <w:r>
                    <w:rPr>
                      <w:color w:val="auto"/>
                      <w:kern w:val="2"/>
                    </w:rPr>
                    <w:t>环境影响途径</w:t>
                  </w:r>
                </w:p>
              </w:tc>
              <w:tc>
                <w:tcPr>
                  <w:tcW w:w="1105" w:type="dxa"/>
                  <w:noWrap/>
                  <w:vAlign w:val="center"/>
                </w:tcPr>
                <w:p>
                  <w:pPr>
                    <w:pStyle w:val="50"/>
                    <w:rPr>
                      <w:color w:val="auto"/>
                      <w:kern w:val="2"/>
                    </w:rPr>
                  </w:pPr>
                  <w:r>
                    <w:rPr>
                      <w:color w:val="auto"/>
                      <w:kern w:val="2"/>
                    </w:rPr>
                    <w:t>可能受影响的环境敏感目标</w:t>
                  </w:r>
                </w:p>
              </w:tc>
              <w:tc>
                <w:tcPr>
                  <w:tcW w:w="485" w:type="dxa"/>
                  <w:noWrap/>
                  <w:vAlign w:val="center"/>
                </w:tcPr>
                <w:p>
                  <w:pPr>
                    <w:pStyle w:val="50"/>
                    <w:rPr>
                      <w:color w:val="auto"/>
                      <w:kern w:val="2"/>
                    </w:rPr>
                  </w:pPr>
                  <w:r>
                    <w:rPr>
                      <w:color w:val="auto"/>
                      <w:kern w:val="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7" w:type="dxa"/>
                  <w:vMerge w:val="restart"/>
                  <w:noWrap/>
                  <w:vAlign w:val="center"/>
                </w:tcPr>
                <w:p>
                  <w:pPr>
                    <w:pStyle w:val="50"/>
                    <w:rPr>
                      <w:rFonts w:hint="eastAsia" w:eastAsia="宋体"/>
                      <w:color w:val="auto"/>
                      <w:kern w:val="2"/>
                      <w:lang w:eastAsia="zh-CN"/>
                    </w:rPr>
                  </w:pPr>
                  <w:r>
                    <w:rPr>
                      <w:rFonts w:hint="eastAsia"/>
                      <w:color w:val="auto"/>
                      <w:kern w:val="2"/>
                      <w:lang w:val="en-US" w:eastAsia="zh-CN"/>
                    </w:rPr>
                    <w:t>1</w:t>
                  </w:r>
                </w:p>
              </w:tc>
              <w:tc>
                <w:tcPr>
                  <w:tcW w:w="1138" w:type="dxa"/>
                  <w:vMerge w:val="restart"/>
                  <w:noWrap/>
                  <w:vAlign w:val="center"/>
                </w:tcPr>
                <w:p>
                  <w:pPr>
                    <w:pStyle w:val="50"/>
                    <w:rPr>
                      <w:color w:val="auto"/>
                      <w:kern w:val="2"/>
                    </w:rPr>
                  </w:pPr>
                  <w:r>
                    <w:rPr>
                      <w:color w:val="auto"/>
                      <w:kern w:val="2"/>
                    </w:rPr>
                    <w:t>生产车间</w:t>
                  </w:r>
                </w:p>
              </w:tc>
              <w:tc>
                <w:tcPr>
                  <w:tcW w:w="1296" w:type="dxa"/>
                  <w:noWrap/>
                  <w:vAlign w:val="center"/>
                </w:tcPr>
                <w:p>
                  <w:pPr>
                    <w:pStyle w:val="50"/>
                    <w:rPr>
                      <w:rFonts w:hint="eastAsia" w:eastAsia="宋体"/>
                      <w:color w:val="auto"/>
                      <w:kern w:val="2"/>
                      <w:lang w:eastAsia="zh-CN"/>
                    </w:rPr>
                  </w:pPr>
                  <w:r>
                    <w:rPr>
                      <w:rFonts w:hint="eastAsia"/>
                      <w:color w:val="auto"/>
                      <w:kern w:val="2"/>
                      <w:lang w:eastAsia="zh-CN"/>
                    </w:rPr>
                    <w:t>焊接区</w:t>
                  </w:r>
                </w:p>
              </w:tc>
              <w:tc>
                <w:tcPr>
                  <w:tcW w:w="2045" w:type="dxa"/>
                  <w:noWrap/>
                  <w:vAlign w:val="center"/>
                </w:tcPr>
                <w:p>
                  <w:pPr>
                    <w:pStyle w:val="50"/>
                    <w:rPr>
                      <w:rFonts w:hint="eastAsia" w:eastAsia="宋体"/>
                      <w:color w:val="auto"/>
                      <w:kern w:val="2"/>
                      <w:lang w:eastAsia="zh-CN"/>
                    </w:rPr>
                  </w:pPr>
                  <w:r>
                    <w:rPr>
                      <w:rFonts w:hint="eastAsia"/>
                      <w:color w:val="auto"/>
                      <w:kern w:val="2"/>
                      <w:lang w:eastAsia="zh-CN"/>
                    </w:rPr>
                    <w:t>乙炔</w:t>
                  </w:r>
                </w:p>
              </w:tc>
              <w:tc>
                <w:tcPr>
                  <w:tcW w:w="1037" w:type="dxa"/>
                  <w:noWrap/>
                  <w:vAlign w:val="center"/>
                </w:tcPr>
                <w:p>
                  <w:pPr>
                    <w:pStyle w:val="50"/>
                    <w:rPr>
                      <w:rFonts w:hint="eastAsia" w:eastAsia="宋体"/>
                      <w:color w:val="auto"/>
                      <w:kern w:val="2"/>
                      <w:lang w:eastAsia="zh-CN"/>
                    </w:rPr>
                  </w:pPr>
                  <w:r>
                    <w:rPr>
                      <w:color w:val="auto"/>
                      <w:kern w:val="2"/>
                    </w:rPr>
                    <w:t>火灾爆炸</w:t>
                  </w:r>
                  <w:r>
                    <w:rPr>
                      <w:rFonts w:hint="eastAsia"/>
                      <w:color w:val="auto"/>
                      <w:kern w:val="2"/>
                      <w:lang w:eastAsia="zh-CN"/>
                    </w:rPr>
                    <w:t>事故</w:t>
                  </w:r>
                </w:p>
              </w:tc>
              <w:tc>
                <w:tcPr>
                  <w:tcW w:w="872" w:type="dxa"/>
                  <w:vMerge w:val="restart"/>
                  <w:noWrap/>
                  <w:vAlign w:val="center"/>
                </w:tcPr>
                <w:p>
                  <w:pPr>
                    <w:pStyle w:val="50"/>
                    <w:rPr>
                      <w:rFonts w:hint="default" w:eastAsia="宋体"/>
                      <w:color w:val="auto"/>
                      <w:kern w:val="2"/>
                      <w:lang w:val="en-US" w:eastAsia="zh-CN"/>
                    </w:rPr>
                  </w:pPr>
                  <w:r>
                    <w:rPr>
                      <w:rFonts w:hint="eastAsia"/>
                      <w:color w:val="auto"/>
                      <w:kern w:val="2"/>
                    </w:rPr>
                    <w:t>大气</w:t>
                  </w:r>
                  <w:r>
                    <w:rPr>
                      <w:rFonts w:hint="eastAsia"/>
                      <w:color w:val="auto"/>
                      <w:kern w:val="2"/>
                      <w:lang w:eastAsia="zh-CN"/>
                    </w:rPr>
                    <w:t>、</w:t>
                  </w:r>
                  <w:r>
                    <w:rPr>
                      <w:rFonts w:hint="eastAsia"/>
                      <w:color w:val="auto"/>
                      <w:kern w:val="2"/>
                      <w:lang w:val="en-US" w:eastAsia="zh-CN"/>
                    </w:rPr>
                    <w:t>地表水</w:t>
                  </w:r>
                </w:p>
              </w:tc>
              <w:tc>
                <w:tcPr>
                  <w:tcW w:w="1105" w:type="dxa"/>
                  <w:vMerge w:val="restart"/>
                  <w:noWrap/>
                  <w:vAlign w:val="center"/>
                </w:tcPr>
                <w:p>
                  <w:pPr>
                    <w:pStyle w:val="50"/>
                    <w:rPr>
                      <w:color w:val="auto"/>
                      <w:kern w:val="2"/>
                    </w:rPr>
                  </w:pPr>
                  <w:r>
                    <w:rPr>
                      <w:rFonts w:hint="eastAsia"/>
                      <w:color w:val="auto"/>
                      <w:kern w:val="2"/>
                    </w:rPr>
                    <w:t>见表7-</w:t>
                  </w:r>
                  <w:r>
                    <w:rPr>
                      <w:rFonts w:hint="eastAsia"/>
                      <w:color w:val="auto"/>
                      <w:kern w:val="2"/>
                      <w:lang w:val="en-US" w:eastAsia="zh-CN"/>
                    </w:rPr>
                    <w:t>41</w:t>
                  </w:r>
                </w:p>
              </w:tc>
              <w:tc>
                <w:tcPr>
                  <w:tcW w:w="485" w:type="dxa"/>
                  <w:noWrap/>
                  <w:vAlign w:val="center"/>
                </w:tcPr>
                <w:p>
                  <w:pPr>
                    <w:pStyle w:val="50"/>
                    <w:rPr>
                      <w:color w:val="auto"/>
                      <w:kern w:val="2"/>
                    </w:rPr>
                  </w:pPr>
                  <w:r>
                    <w:rPr>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 w:hRule="atLeast"/>
                <w:jc w:val="center"/>
              </w:trPr>
              <w:tc>
                <w:tcPr>
                  <w:tcW w:w="437" w:type="dxa"/>
                  <w:vMerge w:val="continue"/>
                  <w:noWrap/>
                  <w:vAlign w:val="center"/>
                </w:tcPr>
                <w:p>
                  <w:pPr>
                    <w:pStyle w:val="50"/>
                    <w:rPr>
                      <w:color w:val="auto"/>
                      <w:kern w:val="2"/>
                    </w:rPr>
                  </w:pPr>
                </w:p>
              </w:tc>
              <w:tc>
                <w:tcPr>
                  <w:tcW w:w="1138" w:type="dxa"/>
                  <w:vMerge w:val="continue"/>
                  <w:noWrap/>
                  <w:vAlign w:val="center"/>
                </w:tcPr>
                <w:p>
                  <w:pPr>
                    <w:pStyle w:val="50"/>
                    <w:rPr>
                      <w:color w:val="auto"/>
                      <w:kern w:val="2"/>
                    </w:rPr>
                  </w:pPr>
                </w:p>
              </w:tc>
              <w:tc>
                <w:tcPr>
                  <w:tcW w:w="1296" w:type="dxa"/>
                  <w:noWrap/>
                  <w:vAlign w:val="center"/>
                </w:tcPr>
                <w:p>
                  <w:pPr>
                    <w:pStyle w:val="50"/>
                    <w:rPr>
                      <w:rFonts w:hint="eastAsia" w:eastAsia="宋体"/>
                      <w:color w:val="auto"/>
                      <w:kern w:val="2"/>
                      <w:lang w:eastAsia="zh-CN"/>
                    </w:rPr>
                  </w:pPr>
                  <w:r>
                    <w:rPr>
                      <w:rFonts w:hint="eastAsia"/>
                      <w:color w:val="auto"/>
                      <w:kern w:val="2"/>
                      <w:lang w:eastAsia="zh-CN"/>
                    </w:rPr>
                    <w:t>机加工区、板材加工区</w:t>
                  </w:r>
                </w:p>
              </w:tc>
              <w:tc>
                <w:tcPr>
                  <w:tcW w:w="2045" w:type="dxa"/>
                  <w:noWrap/>
                  <w:vAlign w:val="center"/>
                </w:tcPr>
                <w:p>
                  <w:pPr>
                    <w:pStyle w:val="50"/>
                    <w:rPr>
                      <w:color w:val="auto"/>
                      <w:kern w:val="2"/>
                    </w:rPr>
                  </w:pPr>
                  <w:r>
                    <w:rPr>
                      <w:color w:val="auto"/>
                      <w:kern w:val="2"/>
                    </w:rPr>
                    <w:t>TSP</w:t>
                  </w:r>
                  <w:r>
                    <w:rPr>
                      <w:rFonts w:hint="eastAsia"/>
                      <w:color w:val="auto"/>
                      <w:kern w:val="2"/>
                      <w:lang w:eastAsia="zh-CN"/>
                    </w:rPr>
                    <w:t>、</w:t>
                  </w:r>
                  <w:r>
                    <w:rPr>
                      <w:rFonts w:hint="eastAsia"/>
                      <w:color w:val="auto"/>
                      <w:kern w:val="2"/>
                    </w:rPr>
                    <w:t>非甲烷总烃</w:t>
                  </w:r>
                </w:p>
              </w:tc>
              <w:tc>
                <w:tcPr>
                  <w:tcW w:w="1037" w:type="dxa"/>
                  <w:noWrap/>
                  <w:vAlign w:val="center"/>
                </w:tcPr>
                <w:p>
                  <w:pPr>
                    <w:pStyle w:val="50"/>
                    <w:rPr>
                      <w:color w:val="auto"/>
                      <w:kern w:val="2"/>
                    </w:rPr>
                  </w:pPr>
                  <w:r>
                    <w:rPr>
                      <w:color w:val="auto"/>
                      <w:kern w:val="2"/>
                    </w:rPr>
                    <w:t>超标排放</w:t>
                  </w:r>
                </w:p>
              </w:tc>
              <w:tc>
                <w:tcPr>
                  <w:tcW w:w="872" w:type="dxa"/>
                  <w:vMerge w:val="continue"/>
                  <w:noWrap/>
                  <w:vAlign w:val="center"/>
                </w:tcPr>
                <w:p>
                  <w:pPr>
                    <w:pStyle w:val="50"/>
                    <w:rPr>
                      <w:color w:val="auto"/>
                      <w:kern w:val="2"/>
                    </w:rPr>
                  </w:pPr>
                </w:p>
              </w:tc>
              <w:tc>
                <w:tcPr>
                  <w:tcW w:w="1105" w:type="dxa"/>
                  <w:vMerge w:val="continue"/>
                  <w:noWrap/>
                  <w:vAlign w:val="center"/>
                </w:tcPr>
                <w:p>
                  <w:pPr>
                    <w:pStyle w:val="50"/>
                    <w:rPr>
                      <w:color w:val="auto"/>
                      <w:kern w:val="2"/>
                    </w:rPr>
                  </w:pPr>
                </w:p>
              </w:tc>
              <w:tc>
                <w:tcPr>
                  <w:tcW w:w="485" w:type="dxa"/>
                  <w:noWrap/>
                  <w:vAlign w:val="center"/>
                </w:tcPr>
                <w:p>
                  <w:pPr>
                    <w:pStyle w:val="50"/>
                    <w:rPr>
                      <w:color w:val="auto"/>
                      <w:kern w:val="2"/>
                    </w:rPr>
                  </w:pPr>
                  <w:r>
                    <w:rPr>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437" w:type="dxa"/>
                  <w:noWrap/>
                  <w:vAlign w:val="center"/>
                </w:tcPr>
                <w:p>
                  <w:pPr>
                    <w:pStyle w:val="50"/>
                    <w:rPr>
                      <w:rFonts w:hint="eastAsia" w:eastAsia="宋体"/>
                      <w:color w:val="auto"/>
                      <w:kern w:val="2"/>
                      <w:lang w:eastAsia="zh-CN"/>
                    </w:rPr>
                  </w:pPr>
                  <w:r>
                    <w:rPr>
                      <w:rFonts w:hint="eastAsia"/>
                      <w:color w:val="auto"/>
                      <w:kern w:val="2"/>
                      <w:lang w:val="en-US" w:eastAsia="zh-CN"/>
                    </w:rPr>
                    <w:t>2</w:t>
                  </w:r>
                </w:p>
              </w:tc>
              <w:tc>
                <w:tcPr>
                  <w:tcW w:w="1138" w:type="dxa"/>
                  <w:noWrap/>
                  <w:vAlign w:val="center"/>
                </w:tcPr>
                <w:p>
                  <w:pPr>
                    <w:pStyle w:val="50"/>
                    <w:rPr>
                      <w:color w:val="auto"/>
                      <w:kern w:val="2"/>
                    </w:rPr>
                  </w:pPr>
                  <w:r>
                    <w:rPr>
                      <w:color w:val="auto"/>
                      <w:kern w:val="2"/>
                    </w:rPr>
                    <w:t>危废暂存间</w:t>
                  </w:r>
                </w:p>
              </w:tc>
              <w:tc>
                <w:tcPr>
                  <w:tcW w:w="1296" w:type="dxa"/>
                  <w:noWrap/>
                  <w:vAlign w:val="center"/>
                </w:tcPr>
                <w:p>
                  <w:pPr>
                    <w:pStyle w:val="50"/>
                    <w:rPr>
                      <w:color w:val="auto"/>
                      <w:kern w:val="2"/>
                    </w:rPr>
                  </w:pPr>
                  <w:r>
                    <w:rPr>
                      <w:color w:val="auto"/>
                      <w:kern w:val="2"/>
                    </w:rPr>
                    <w:t>危险废物</w:t>
                  </w:r>
                </w:p>
              </w:tc>
              <w:tc>
                <w:tcPr>
                  <w:tcW w:w="2045" w:type="dxa"/>
                  <w:noWrap/>
                  <w:vAlign w:val="center"/>
                </w:tcPr>
                <w:p>
                  <w:pPr>
                    <w:pStyle w:val="50"/>
                    <w:rPr>
                      <w:color w:val="auto"/>
                      <w:kern w:val="2"/>
                    </w:rPr>
                  </w:pPr>
                  <w:r>
                    <w:rPr>
                      <w:rFonts w:hint="eastAsia"/>
                      <w:color w:val="auto"/>
                      <w:kern w:val="2"/>
                    </w:rPr>
                    <w:t>废活性炭、</w:t>
                  </w:r>
                  <w:r>
                    <w:rPr>
                      <w:color w:val="auto"/>
                      <w:kern w:val="2"/>
                    </w:rPr>
                    <w:t>废润滑油、废油桶、含油棉布手套</w:t>
                  </w:r>
                </w:p>
              </w:tc>
              <w:tc>
                <w:tcPr>
                  <w:tcW w:w="1037" w:type="dxa"/>
                  <w:noWrap/>
                  <w:vAlign w:val="center"/>
                </w:tcPr>
                <w:p>
                  <w:pPr>
                    <w:pStyle w:val="50"/>
                    <w:rPr>
                      <w:color w:val="auto"/>
                      <w:kern w:val="2"/>
                    </w:rPr>
                  </w:pPr>
                  <w:r>
                    <w:rPr>
                      <w:color w:val="auto"/>
                      <w:kern w:val="2"/>
                    </w:rPr>
                    <w:t>泄露、火灾爆炸</w:t>
                  </w:r>
                </w:p>
              </w:tc>
              <w:tc>
                <w:tcPr>
                  <w:tcW w:w="872" w:type="dxa"/>
                  <w:vMerge w:val="continue"/>
                  <w:noWrap/>
                  <w:vAlign w:val="center"/>
                </w:tcPr>
                <w:p>
                  <w:pPr>
                    <w:pStyle w:val="50"/>
                    <w:rPr>
                      <w:color w:val="auto"/>
                      <w:kern w:val="2"/>
                    </w:rPr>
                  </w:pPr>
                </w:p>
              </w:tc>
              <w:tc>
                <w:tcPr>
                  <w:tcW w:w="1105" w:type="dxa"/>
                  <w:vMerge w:val="continue"/>
                  <w:noWrap/>
                  <w:vAlign w:val="center"/>
                </w:tcPr>
                <w:p>
                  <w:pPr>
                    <w:pStyle w:val="50"/>
                    <w:rPr>
                      <w:color w:val="auto"/>
                      <w:kern w:val="2"/>
                    </w:rPr>
                  </w:pPr>
                </w:p>
              </w:tc>
              <w:tc>
                <w:tcPr>
                  <w:tcW w:w="485" w:type="dxa"/>
                  <w:noWrap/>
                  <w:vAlign w:val="center"/>
                </w:tcPr>
                <w:p>
                  <w:pPr>
                    <w:pStyle w:val="50"/>
                    <w:rPr>
                      <w:color w:val="auto"/>
                      <w:kern w:val="2"/>
                    </w:rPr>
                  </w:pPr>
                  <w:r>
                    <w:rPr>
                      <w:color w:val="auto"/>
                      <w:kern w:val="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437" w:type="dxa"/>
                  <w:noWrap/>
                  <w:vAlign w:val="center"/>
                </w:tcPr>
                <w:p>
                  <w:pPr>
                    <w:pStyle w:val="50"/>
                    <w:rPr>
                      <w:rFonts w:hint="default"/>
                      <w:color w:val="auto"/>
                      <w:kern w:val="2"/>
                      <w:lang w:val="en-US" w:eastAsia="zh-CN"/>
                    </w:rPr>
                  </w:pPr>
                  <w:r>
                    <w:rPr>
                      <w:rFonts w:hint="eastAsia"/>
                      <w:color w:val="auto"/>
                      <w:kern w:val="2"/>
                      <w:lang w:val="en-US" w:eastAsia="zh-CN"/>
                    </w:rPr>
                    <w:t>3</w:t>
                  </w:r>
                </w:p>
              </w:tc>
              <w:tc>
                <w:tcPr>
                  <w:tcW w:w="1138" w:type="dxa"/>
                  <w:noWrap/>
                  <w:vAlign w:val="center"/>
                </w:tcPr>
                <w:p>
                  <w:pPr>
                    <w:pStyle w:val="50"/>
                    <w:rPr>
                      <w:rFonts w:hint="eastAsia" w:eastAsia="宋体"/>
                      <w:color w:val="auto"/>
                      <w:kern w:val="2"/>
                      <w:lang w:val="en-US" w:eastAsia="zh-CN"/>
                    </w:rPr>
                  </w:pPr>
                  <w:r>
                    <w:rPr>
                      <w:rFonts w:hint="eastAsia"/>
                      <w:color w:val="auto"/>
                      <w:kern w:val="2"/>
                      <w:lang w:val="en-US" w:eastAsia="zh-CN"/>
                    </w:rPr>
                    <w:t>储罐区</w:t>
                  </w:r>
                </w:p>
              </w:tc>
              <w:tc>
                <w:tcPr>
                  <w:tcW w:w="1296" w:type="dxa"/>
                  <w:noWrap/>
                  <w:vAlign w:val="center"/>
                </w:tcPr>
                <w:p>
                  <w:pPr>
                    <w:pStyle w:val="50"/>
                    <w:rPr>
                      <w:rFonts w:hint="default" w:eastAsia="宋体"/>
                      <w:color w:val="auto"/>
                      <w:kern w:val="2"/>
                      <w:lang w:val="en-US" w:eastAsia="zh-CN"/>
                    </w:rPr>
                  </w:pPr>
                  <w:r>
                    <w:rPr>
                      <w:rFonts w:hint="eastAsia"/>
                      <w:color w:val="auto"/>
                      <w:kern w:val="2"/>
                      <w:lang w:val="en-US" w:eastAsia="zh-CN"/>
                    </w:rPr>
                    <w:t>液化天然气罐</w:t>
                  </w:r>
                </w:p>
              </w:tc>
              <w:tc>
                <w:tcPr>
                  <w:tcW w:w="2045" w:type="dxa"/>
                  <w:noWrap/>
                  <w:vAlign w:val="center"/>
                </w:tcPr>
                <w:p>
                  <w:pPr>
                    <w:pStyle w:val="50"/>
                    <w:rPr>
                      <w:rFonts w:hint="eastAsia" w:eastAsia="宋体"/>
                      <w:color w:val="auto"/>
                      <w:kern w:val="2"/>
                      <w:lang w:val="en-US" w:eastAsia="zh-CN"/>
                    </w:rPr>
                  </w:pPr>
                  <w:r>
                    <w:rPr>
                      <w:rFonts w:hint="eastAsia"/>
                      <w:color w:val="auto"/>
                      <w:kern w:val="2"/>
                      <w:lang w:val="en-US" w:eastAsia="zh-CN"/>
                    </w:rPr>
                    <w:t>天然气</w:t>
                  </w:r>
                </w:p>
              </w:tc>
              <w:tc>
                <w:tcPr>
                  <w:tcW w:w="1037" w:type="dxa"/>
                  <w:noWrap/>
                  <w:vAlign w:val="center"/>
                </w:tcPr>
                <w:p>
                  <w:pPr>
                    <w:pStyle w:val="50"/>
                    <w:rPr>
                      <w:color w:val="auto"/>
                      <w:kern w:val="2"/>
                    </w:rPr>
                  </w:pPr>
                  <w:r>
                    <w:rPr>
                      <w:color w:val="auto"/>
                      <w:kern w:val="2"/>
                    </w:rPr>
                    <w:t>泄露、火灾爆炸</w:t>
                  </w:r>
                </w:p>
              </w:tc>
              <w:tc>
                <w:tcPr>
                  <w:tcW w:w="872" w:type="dxa"/>
                  <w:noWrap/>
                  <w:vAlign w:val="center"/>
                </w:tcPr>
                <w:p>
                  <w:pPr>
                    <w:pStyle w:val="50"/>
                    <w:rPr>
                      <w:rFonts w:hint="default" w:eastAsia="宋体"/>
                      <w:color w:val="auto"/>
                      <w:kern w:val="2"/>
                      <w:lang w:val="en-US" w:eastAsia="zh-CN"/>
                    </w:rPr>
                  </w:pPr>
                  <w:r>
                    <w:rPr>
                      <w:rFonts w:hint="eastAsia"/>
                      <w:color w:val="auto"/>
                      <w:kern w:val="2"/>
                      <w:lang w:val="en-US" w:eastAsia="zh-CN"/>
                    </w:rPr>
                    <w:t>大气、地表水</w:t>
                  </w:r>
                </w:p>
              </w:tc>
              <w:tc>
                <w:tcPr>
                  <w:tcW w:w="1105" w:type="dxa"/>
                  <w:vMerge w:val="continue"/>
                  <w:noWrap/>
                  <w:vAlign w:val="center"/>
                </w:tcPr>
                <w:p>
                  <w:pPr>
                    <w:pStyle w:val="50"/>
                    <w:rPr>
                      <w:color w:val="auto"/>
                      <w:kern w:val="2"/>
                    </w:rPr>
                  </w:pPr>
                </w:p>
              </w:tc>
              <w:tc>
                <w:tcPr>
                  <w:tcW w:w="485" w:type="dxa"/>
                  <w:noWrap/>
                  <w:vAlign w:val="center"/>
                </w:tcPr>
                <w:p>
                  <w:pPr>
                    <w:pStyle w:val="50"/>
                    <w:rPr>
                      <w:rFonts w:hint="eastAsia" w:eastAsia="宋体"/>
                      <w:color w:val="auto"/>
                      <w:kern w:val="2"/>
                      <w:lang w:val="en-US" w:eastAsia="zh-CN"/>
                    </w:rPr>
                  </w:pPr>
                  <w:r>
                    <w:rPr>
                      <w:rFonts w:hint="eastAsia"/>
                      <w:color w:val="auto"/>
                      <w:kern w:val="2"/>
                      <w:lang w:val="en-US" w:eastAsia="zh-CN"/>
                    </w:rPr>
                    <w:t>/</w:t>
                  </w:r>
                </w:p>
              </w:tc>
            </w:tr>
          </w:tbl>
          <w:p>
            <w:pPr>
              <w:ind w:firstLine="498"/>
              <w:contextualSpacing/>
              <w:rPr>
                <w:b/>
                <w:color w:val="auto"/>
                <w:spacing w:val="4"/>
                <w:szCs w:val="28"/>
              </w:rPr>
            </w:pPr>
            <w:r>
              <w:rPr>
                <w:rFonts w:hint="eastAsia"/>
                <w:b/>
                <w:color w:val="auto"/>
                <w:spacing w:val="4"/>
                <w:szCs w:val="28"/>
              </w:rPr>
              <w:t>7</w:t>
            </w:r>
            <w:r>
              <w:rPr>
                <w:b/>
                <w:color w:val="auto"/>
                <w:spacing w:val="4"/>
                <w:szCs w:val="28"/>
              </w:rPr>
              <w:t>.4环境风险分析</w:t>
            </w:r>
          </w:p>
          <w:p>
            <w:pPr>
              <w:ind w:firstLine="470" w:firstLineChars="196"/>
              <w:rPr>
                <w:bCs/>
                <w:color w:val="auto"/>
                <w:lang w:val="zh-CN"/>
              </w:rPr>
            </w:pPr>
            <w:r>
              <w:rPr>
                <w:bCs/>
                <w:color w:val="auto"/>
                <w:lang w:val="zh-CN"/>
              </w:rPr>
              <w:fldChar w:fldCharType="begin"/>
            </w:r>
            <w:r>
              <w:rPr>
                <w:bCs/>
                <w:color w:val="auto"/>
                <w:lang w:val="zh-CN"/>
              </w:rPr>
              <w:instrText xml:space="preserve"> = 1 \* GB3 \* MERGEFORMAT </w:instrText>
            </w:r>
            <w:r>
              <w:rPr>
                <w:bCs/>
                <w:color w:val="auto"/>
                <w:lang w:val="zh-CN"/>
              </w:rPr>
              <w:fldChar w:fldCharType="separate"/>
            </w:r>
            <w:r>
              <w:rPr>
                <w:bCs/>
                <w:color w:val="auto"/>
                <w:lang w:val="zh-CN"/>
              </w:rPr>
              <w:t>①</w:t>
            </w:r>
            <w:r>
              <w:rPr>
                <w:bCs/>
                <w:color w:val="auto"/>
                <w:lang w:val="zh-CN"/>
              </w:rPr>
              <w:fldChar w:fldCharType="end"/>
            </w:r>
            <w:r>
              <w:rPr>
                <w:bCs/>
                <w:color w:val="auto"/>
                <w:lang w:val="zh-CN"/>
              </w:rPr>
              <w:t>大气环境风险分析</w:t>
            </w:r>
          </w:p>
          <w:p>
            <w:pPr>
              <w:ind w:firstLine="470" w:firstLineChars="196"/>
              <w:rPr>
                <w:bCs/>
                <w:color w:val="auto"/>
                <w:lang w:val="zh-CN"/>
              </w:rPr>
            </w:pPr>
            <w:r>
              <w:rPr>
                <w:bCs/>
                <w:color w:val="auto"/>
                <w:lang w:val="zh-CN"/>
              </w:rPr>
              <w:t>根据环境风险识别结果，项目大气环境风险主要来源于生产车间，</w:t>
            </w:r>
            <w:r>
              <w:rPr>
                <w:rFonts w:hint="eastAsia"/>
                <w:bCs/>
                <w:color w:val="auto"/>
                <w:lang w:val="zh-CN"/>
              </w:rPr>
              <w:t>焊接、喷塑、</w:t>
            </w:r>
            <w:r>
              <w:rPr>
                <w:rFonts w:hint="eastAsia"/>
                <w:color w:val="auto"/>
                <w:lang w:eastAsia="zh-CN"/>
              </w:rPr>
              <w:t>固化</w:t>
            </w:r>
            <w:r>
              <w:rPr>
                <w:bCs/>
                <w:color w:val="auto"/>
                <w:lang w:val="zh-CN"/>
              </w:rPr>
              <w:t>过程中产生的TSP</w:t>
            </w:r>
            <w:r>
              <w:rPr>
                <w:rFonts w:hint="eastAsia"/>
                <w:bCs/>
                <w:color w:val="auto"/>
                <w:lang w:val="zh-CN"/>
              </w:rPr>
              <w:t>、</w:t>
            </w:r>
            <w:r>
              <w:rPr>
                <w:rFonts w:hint="eastAsia"/>
                <w:color w:val="auto"/>
              </w:rPr>
              <w:t>非甲烷总烃</w:t>
            </w:r>
            <w:r>
              <w:rPr>
                <w:bCs/>
                <w:color w:val="auto"/>
                <w:lang w:val="zh-CN"/>
              </w:rPr>
              <w:t>，</w:t>
            </w:r>
            <w:r>
              <w:rPr>
                <w:rFonts w:hint="eastAsia"/>
                <w:bCs/>
                <w:color w:val="auto"/>
                <w:lang w:val="en-US" w:eastAsia="zh-CN"/>
              </w:rPr>
              <w:t>UV光氧+</w:t>
            </w:r>
            <w:r>
              <w:rPr>
                <w:bCs/>
                <w:color w:val="auto"/>
                <w:lang w:val="zh-CN"/>
              </w:rPr>
              <w:t>活性炭吸附设备处理措施故障，发生泄露，超标排放，污染大气环境，也会造成附近居民身体健康危害。</w:t>
            </w:r>
            <w:r>
              <w:rPr>
                <w:rFonts w:hint="eastAsia"/>
                <w:color w:val="auto"/>
                <w:lang w:eastAsia="zh-CN"/>
              </w:rPr>
              <w:t>乙炔、</w:t>
            </w:r>
            <w:r>
              <w:rPr>
                <w:rFonts w:hint="eastAsia"/>
                <w:color w:val="auto"/>
                <w:lang w:val="en-US" w:eastAsia="zh-CN"/>
              </w:rPr>
              <w:t>液化天然气</w:t>
            </w:r>
            <w:r>
              <w:rPr>
                <w:bCs/>
                <w:color w:val="auto"/>
                <w:lang w:val="zh-CN"/>
              </w:rPr>
              <w:t>泄露</w:t>
            </w:r>
            <w:r>
              <w:rPr>
                <w:rFonts w:hint="eastAsia"/>
                <w:color w:val="auto"/>
              </w:rPr>
              <w:t>遇明火或高温</w:t>
            </w:r>
            <w:r>
              <w:rPr>
                <w:bCs/>
                <w:color w:val="auto"/>
                <w:lang w:val="zh-CN"/>
              </w:rPr>
              <w:t>引起的火灾、爆炸事故造成的大气环境污染。</w:t>
            </w:r>
          </w:p>
          <w:p>
            <w:pPr>
              <w:ind w:firstLine="470" w:firstLineChars="196"/>
              <w:rPr>
                <w:bCs/>
                <w:color w:val="auto"/>
                <w:lang w:val="zh-CN"/>
              </w:rPr>
            </w:pPr>
            <w:r>
              <w:rPr>
                <w:bCs/>
                <w:color w:val="auto"/>
                <w:lang w:val="zh-CN"/>
              </w:rPr>
              <w:fldChar w:fldCharType="begin"/>
            </w:r>
            <w:r>
              <w:rPr>
                <w:bCs/>
                <w:color w:val="auto"/>
                <w:lang w:val="zh-CN"/>
              </w:rPr>
              <w:instrText xml:space="preserve"> = 2 \* GB3 \* MERGEFORMAT </w:instrText>
            </w:r>
            <w:r>
              <w:rPr>
                <w:bCs/>
                <w:color w:val="auto"/>
                <w:lang w:val="zh-CN"/>
              </w:rPr>
              <w:fldChar w:fldCharType="separate"/>
            </w:r>
            <w:r>
              <w:rPr>
                <w:bCs/>
                <w:color w:val="auto"/>
                <w:lang w:val="zh-CN"/>
              </w:rPr>
              <w:t>②</w:t>
            </w:r>
            <w:r>
              <w:rPr>
                <w:bCs/>
                <w:color w:val="auto"/>
                <w:lang w:val="zh-CN"/>
              </w:rPr>
              <w:fldChar w:fldCharType="end"/>
            </w:r>
            <w:r>
              <w:rPr>
                <w:bCs/>
                <w:color w:val="auto"/>
                <w:lang w:val="zh-CN"/>
              </w:rPr>
              <w:t>地表水环境风险分析</w:t>
            </w:r>
          </w:p>
          <w:p>
            <w:pPr>
              <w:widowControl/>
              <w:ind w:firstLine="480"/>
              <w:rPr>
                <w:bCs/>
                <w:color w:val="auto"/>
                <w:lang w:val="zh-CN"/>
              </w:rPr>
            </w:pPr>
            <w:r>
              <w:rPr>
                <w:bCs/>
                <w:color w:val="auto"/>
                <w:lang w:val="zh-CN"/>
              </w:rPr>
              <w:t>项目地表水的环境风险主要来自于消防废水泄露，造成地表水污染，为防止消防废水污染，项目区已做好防范措施。</w:t>
            </w:r>
            <w:r>
              <w:rPr>
                <w:rFonts w:hint="eastAsia"/>
                <w:color w:val="auto"/>
              </w:rPr>
              <w:t>项目</w:t>
            </w:r>
            <w:r>
              <w:rPr>
                <w:color w:val="auto"/>
              </w:rPr>
              <w:t>无生产废水产生，</w:t>
            </w:r>
            <w:r>
              <w:rPr>
                <w:rFonts w:hint="eastAsia"/>
                <w:color w:val="auto"/>
              </w:rPr>
              <w:t>项目不设食堂及卫生间，</w:t>
            </w:r>
            <w:r>
              <w:rPr>
                <w:color w:val="auto"/>
                <w:kern w:val="2"/>
              </w:rPr>
              <w:t>冲厕废水依托昆明力线电缆制造有限公司已建设的化粪池及一体化污水处理设备处理达标后回用于绿化及道路清扫，不外排</w:t>
            </w:r>
            <w:r>
              <w:rPr>
                <w:rFonts w:hint="eastAsia"/>
                <w:color w:val="auto"/>
                <w:kern w:val="2"/>
              </w:rPr>
              <w:t>。</w:t>
            </w:r>
          </w:p>
          <w:p>
            <w:pPr>
              <w:ind w:firstLine="470" w:firstLineChars="196"/>
              <w:rPr>
                <w:bCs/>
                <w:color w:val="auto"/>
                <w:lang w:val="zh-CN"/>
              </w:rPr>
            </w:pPr>
            <w:r>
              <w:rPr>
                <w:bCs/>
                <w:color w:val="auto"/>
                <w:lang w:val="zh-CN"/>
              </w:rPr>
              <w:fldChar w:fldCharType="begin"/>
            </w:r>
            <w:r>
              <w:rPr>
                <w:bCs/>
                <w:color w:val="auto"/>
                <w:lang w:val="zh-CN"/>
              </w:rPr>
              <w:instrText xml:space="preserve"> = 3 \* GB3 \* MERGEFORMAT </w:instrText>
            </w:r>
            <w:r>
              <w:rPr>
                <w:bCs/>
                <w:color w:val="auto"/>
                <w:lang w:val="zh-CN"/>
              </w:rPr>
              <w:fldChar w:fldCharType="separate"/>
            </w:r>
            <w:r>
              <w:rPr>
                <w:bCs/>
                <w:color w:val="auto"/>
                <w:lang w:val="zh-CN"/>
              </w:rPr>
              <w:t>③</w:t>
            </w:r>
            <w:r>
              <w:rPr>
                <w:bCs/>
                <w:color w:val="auto"/>
                <w:lang w:val="zh-CN"/>
              </w:rPr>
              <w:fldChar w:fldCharType="end"/>
            </w:r>
            <w:r>
              <w:rPr>
                <w:bCs/>
                <w:color w:val="auto"/>
                <w:lang w:val="zh-CN"/>
              </w:rPr>
              <w:t>地下水环境风险分析</w:t>
            </w:r>
          </w:p>
          <w:p>
            <w:pPr>
              <w:ind w:firstLine="470" w:firstLineChars="196"/>
              <w:rPr>
                <w:bCs/>
                <w:color w:val="auto"/>
                <w:lang w:val="zh-CN"/>
              </w:rPr>
            </w:pPr>
            <w:r>
              <w:rPr>
                <w:bCs/>
                <w:color w:val="auto"/>
                <w:lang w:val="zh-CN"/>
              </w:rPr>
              <w:t>项目对地下水的环境风险主要来自于</w:t>
            </w:r>
            <w:r>
              <w:rPr>
                <w:rFonts w:hint="eastAsia"/>
                <w:color w:val="auto"/>
                <w:lang w:eastAsia="zh-CN"/>
              </w:rPr>
              <w:t>废润滑油</w:t>
            </w:r>
            <w:r>
              <w:rPr>
                <w:bCs/>
                <w:color w:val="auto"/>
                <w:lang w:val="zh-CN"/>
              </w:rPr>
              <w:t>泄露地表渗入地下，造成地下水污染。</w:t>
            </w:r>
          </w:p>
          <w:p>
            <w:pPr>
              <w:ind w:firstLine="470" w:firstLineChars="196"/>
              <w:rPr>
                <w:bCs/>
                <w:color w:val="auto"/>
                <w:lang w:val="zh-CN"/>
              </w:rPr>
            </w:pPr>
            <w:r>
              <w:rPr>
                <w:bCs/>
                <w:color w:val="auto"/>
                <w:lang w:val="zh-CN"/>
              </w:rPr>
              <w:t>为防治地下水风险，项目已做好项目区防渗措施，危废暂存间</w:t>
            </w:r>
            <w:r>
              <w:rPr>
                <w:rFonts w:hint="eastAsia"/>
                <w:bCs/>
                <w:color w:val="auto"/>
                <w:lang w:val="zh-CN"/>
              </w:rPr>
              <w:t>严格</w:t>
            </w:r>
            <w:r>
              <w:rPr>
                <w:bCs/>
                <w:color w:val="auto"/>
                <w:lang w:val="zh-CN"/>
              </w:rPr>
              <w:t>按照《危险废物贮存污染控制标准》（GB 18597-2001）及2013年修改单中的相关要求，做好防雨、防渗，防止二次污染。</w:t>
            </w:r>
          </w:p>
          <w:p>
            <w:pPr>
              <w:ind w:firstLine="498"/>
              <w:contextualSpacing/>
              <w:rPr>
                <w:b/>
                <w:color w:val="auto"/>
                <w:spacing w:val="4"/>
                <w:szCs w:val="28"/>
              </w:rPr>
            </w:pPr>
            <w:r>
              <w:rPr>
                <w:rFonts w:hint="eastAsia"/>
                <w:b/>
                <w:color w:val="auto"/>
                <w:spacing w:val="4"/>
                <w:szCs w:val="28"/>
              </w:rPr>
              <w:t>7</w:t>
            </w:r>
            <w:r>
              <w:rPr>
                <w:b/>
                <w:color w:val="auto"/>
                <w:spacing w:val="4"/>
                <w:szCs w:val="28"/>
              </w:rPr>
              <w:t>.5环境风险防范措施与应急要求</w:t>
            </w:r>
          </w:p>
          <w:p>
            <w:pPr>
              <w:ind w:firstLine="470" w:firstLineChars="196"/>
              <w:rPr>
                <w:bCs/>
                <w:color w:val="auto"/>
                <w:lang w:val="zh-CN"/>
              </w:rPr>
            </w:pPr>
            <w:r>
              <w:rPr>
                <w:bCs/>
                <w:color w:val="auto"/>
                <w:lang w:val="zh-CN"/>
              </w:rPr>
              <w:t>根据以上分析，项目采取以下环境风险防范措施：</w:t>
            </w:r>
          </w:p>
          <w:p>
            <w:pPr>
              <w:ind w:firstLine="470" w:firstLineChars="196"/>
              <w:rPr>
                <w:bCs/>
                <w:color w:val="auto"/>
                <w:lang w:val="zh-CN"/>
              </w:rPr>
            </w:pPr>
            <w:r>
              <w:rPr>
                <w:bCs/>
                <w:color w:val="auto"/>
                <w:lang w:val="zh-CN"/>
              </w:rPr>
              <w:t>A、预防措施：</w:t>
            </w:r>
          </w:p>
          <w:p>
            <w:pPr>
              <w:ind w:firstLine="470" w:firstLineChars="196"/>
              <w:rPr>
                <w:bCs/>
                <w:color w:val="auto"/>
                <w:lang w:val="zh-CN"/>
              </w:rPr>
            </w:pPr>
            <w:r>
              <w:rPr>
                <w:bCs/>
                <w:color w:val="auto"/>
                <w:lang w:val="zh-CN"/>
              </w:rPr>
              <w:fldChar w:fldCharType="begin"/>
            </w:r>
            <w:r>
              <w:rPr>
                <w:bCs/>
                <w:color w:val="auto"/>
                <w:lang w:val="zh-CN"/>
              </w:rPr>
              <w:instrText xml:space="preserve"> = 1 \* GB3 \* MERGEFORMAT </w:instrText>
            </w:r>
            <w:r>
              <w:rPr>
                <w:bCs/>
                <w:color w:val="auto"/>
                <w:lang w:val="zh-CN"/>
              </w:rPr>
              <w:fldChar w:fldCharType="separate"/>
            </w:r>
            <w:r>
              <w:rPr>
                <w:bCs/>
                <w:color w:val="auto"/>
                <w:lang w:val="zh-CN"/>
              </w:rPr>
              <w:t>①</w:t>
            </w:r>
            <w:r>
              <w:rPr>
                <w:bCs/>
                <w:color w:val="auto"/>
                <w:lang w:val="zh-CN"/>
              </w:rPr>
              <w:fldChar w:fldCharType="end"/>
            </w:r>
            <w:r>
              <w:rPr>
                <w:bCs/>
                <w:color w:val="auto"/>
                <w:lang w:val="zh-CN"/>
              </w:rPr>
              <w:t>对员工进行规范操作培训，培训合格才能上岗操作，防止因操作失误引起液态物料泄露；</w:t>
            </w:r>
          </w:p>
          <w:p>
            <w:pPr>
              <w:ind w:firstLine="470" w:firstLineChars="196"/>
              <w:rPr>
                <w:bCs/>
                <w:color w:val="auto"/>
                <w:lang w:val="zh-CN"/>
              </w:rPr>
            </w:pPr>
            <w:r>
              <w:rPr>
                <w:bCs/>
                <w:color w:val="auto"/>
                <w:lang w:val="zh-CN"/>
              </w:rPr>
              <w:fldChar w:fldCharType="begin"/>
            </w:r>
            <w:r>
              <w:rPr>
                <w:bCs/>
                <w:color w:val="auto"/>
                <w:lang w:val="zh-CN"/>
              </w:rPr>
              <w:instrText xml:space="preserve"> = 2 \* GB3 \* MERGEFORMAT </w:instrText>
            </w:r>
            <w:r>
              <w:rPr>
                <w:bCs/>
                <w:color w:val="auto"/>
                <w:lang w:val="zh-CN"/>
              </w:rPr>
              <w:fldChar w:fldCharType="separate"/>
            </w:r>
            <w:r>
              <w:rPr>
                <w:bCs/>
                <w:color w:val="auto"/>
                <w:lang w:val="zh-CN"/>
              </w:rPr>
              <w:t>②</w:t>
            </w:r>
            <w:r>
              <w:rPr>
                <w:bCs/>
                <w:color w:val="auto"/>
                <w:lang w:val="zh-CN"/>
              </w:rPr>
              <w:fldChar w:fldCharType="end"/>
            </w:r>
            <w:r>
              <w:rPr>
                <w:bCs/>
                <w:color w:val="auto"/>
                <w:lang w:val="zh-CN"/>
              </w:rPr>
              <w:t>危废暂存间严格按照《危险废物贮存污染控制标准》（GB 18597-2001）及2013年修改单中的相关要求，做好防雨、防渗，防止二次污染；</w:t>
            </w:r>
          </w:p>
          <w:p>
            <w:pPr>
              <w:ind w:firstLine="470" w:firstLineChars="196"/>
              <w:rPr>
                <w:bCs/>
                <w:color w:val="auto"/>
                <w:lang w:val="zh-CN"/>
              </w:rPr>
            </w:pPr>
            <w:r>
              <w:rPr>
                <w:bCs/>
                <w:color w:val="auto"/>
                <w:lang w:val="zh-CN"/>
              </w:rPr>
              <w:fldChar w:fldCharType="begin"/>
            </w:r>
            <w:r>
              <w:rPr>
                <w:bCs/>
                <w:color w:val="auto"/>
                <w:lang w:val="zh-CN"/>
              </w:rPr>
              <w:instrText xml:space="preserve"> = 3 \* GB3 \* MERGEFORMAT </w:instrText>
            </w:r>
            <w:r>
              <w:rPr>
                <w:bCs/>
                <w:color w:val="auto"/>
                <w:lang w:val="zh-CN"/>
              </w:rPr>
              <w:fldChar w:fldCharType="separate"/>
            </w:r>
            <w:r>
              <w:rPr>
                <w:bCs/>
                <w:color w:val="auto"/>
                <w:lang w:val="zh-CN"/>
              </w:rPr>
              <w:t>③</w:t>
            </w:r>
            <w:r>
              <w:rPr>
                <w:bCs/>
                <w:color w:val="auto"/>
                <w:lang w:val="zh-CN"/>
              </w:rPr>
              <w:fldChar w:fldCharType="end"/>
            </w:r>
            <w:r>
              <w:rPr>
                <w:bCs/>
                <w:color w:val="auto"/>
                <w:lang w:val="zh-CN"/>
              </w:rPr>
              <w:t>设置事故紧急切断装置,并加强其日常维护保养；</w:t>
            </w:r>
          </w:p>
          <w:p>
            <w:pPr>
              <w:ind w:firstLine="470" w:firstLineChars="196"/>
              <w:rPr>
                <w:bCs/>
                <w:color w:val="auto"/>
                <w:lang w:val="zh-CN"/>
              </w:rPr>
            </w:pPr>
            <w:r>
              <w:rPr>
                <w:bCs/>
                <w:color w:val="auto"/>
                <w:lang w:val="zh-CN"/>
              </w:rPr>
              <w:t>④做好厂区日常巡视及设备设施维护工作，防止设备设施老化等原因造成环境风险事故的发生；</w:t>
            </w:r>
          </w:p>
          <w:p>
            <w:pPr>
              <w:ind w:firstLine="470" w:firstLineChars="196"/>
              <w:rPr>
                <w:color w:val="auto"/>
              </w:rPr>
            </w:pPr>
            <w:r>
              <w:rPr>
                <w:bCs/>
                <w:color w:val="auto"/>
                <w:lang w:val="zh-CN"/>
              </w:rPr>
              <w:t>⑤为保证企业及人民生命财产的安全，防止突发性重大化学事故发生，并在发生事故时，能迅速有序地开展救援工作，尽最大努力减少事故的危害和损失，项目应编制相关的应急预案并到环保部门进行备案。根据本环境风险分析的结果，对于本项目可能造成环境风险的突发性事故制定应急预案纲要，见表7-</w:t>
            </w:r>
            <w:r>
              <w:rPr>
                <w:rFonts w:hint="eastAsia"/>
                <w:bCs/>
                <w:color w:val="auto"/>
                <w:lang w:val="en-US" w:eastAsia="zh-CN"/>
              </w:rPr>
              <w:t>43</w:t>
            </w:r>
            <w:r>
              <w:rPr>
                <w:bCs/>
                <w:color w:val="auto"/>
                <w:lang w:val="zh-CN"/>
              </w:rPr>
              <w:t>，供项目决策人参考。</w:t>
            </w:r>
          </w:p>
          <w:p>
            <w:pPr>
              <w:pStyle w:val="48"/>
              <w:keepNext/>
              <w:keepLines/>
              <w:ind w:firstLine="422"/>
              <w:rPr>
                <w:color w:val="auto"/>
              </w:rPr>
            </w:pPr>
            <w:r>
              <w:rPr>
                <w:rFonts w:hint="eastAsia"/>
                <w:color w:val="auto"/>
              </w:rPr>
              <w:t>表7-</w:t>
            </w:r>
            <w:r>
              <w:rPr>
                <w:rFonts w:hint="eastAsia"/>
                <w:color w:val="auto"/>
                <w:lang w:val="en-US" w:eastAsia="zh-CN"/>
              </w:rPr>
              <w:t>43</w:t>
            </w:r>
            <w:r>
              <w:rPr>
                <w:rFonts w:hint="eastAsia"/>
                <w:color w:val="auto"/>
              </w:rPr>
              <w:t xml:space="preserve">  突发事故应急预案纲要</w:t>
            </w:r>
          </w:p>
          <w:tbl>
            <w:tblPr>
              <w:tblStyle w:val="36"/>
              <w:tblW w:w="8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2018"/>
              <w:gridCol w:w="5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jc w:val="center"/>
              </w:trPr>
              <w:tc>
                <w:tcPr>
                  <w:tcW w:w="663" w:type="dxa"/>
                  <w:noWrap/>
                  <w:vAlign w:val="center"/>
                </w:tcPr>
                <w:p>
                  <w:pPr>
                    <w:pStyle w:val="50"/>
                    <w:rPr>
                      <w:color w:val="auto"/>
                      <w:kern w:val="2"/>
                    </w:rPr>
                  </w:pPr>
                  <w:r>
                    <w:rPr>
                      <w:color w:val="auto"/>
                      <w:kern w:val="2"/>
                    </w:rPr>
                    <w:t>序号</w:t>
                  </w:r>
                </w:p>
              </w:tc>
              <w:tc>
                <w:tcPr>
                  <w:tcW w:w="2018" w:type="dxa"/>
                  <w:noWrap/>
                  <w:vAlign w:val="center"/>
                </w:tcPr>
                <w:p>
                  <w:pPr>
                    <w:pStyle w:val="50"/>
                    <w:rPr>
                      <w:color w:val="auto"/>
                      <w:kern w:val="2"/>
                    </w:rPr>
                  </w:pPr>
                  <w:r>
                    <w:rPr>
                      <w:color w:val="auto"/>
                      <w:kern w:val="2"/>
                    </w:rPr>
                    <w:t>项目</w:t>
                  </w:r>
                </w:p>
              </w:tc>
              <w:tc>
                <w:tcPr>
                  <w:tcW w:w="5818" w:type="dxa"/>
                  <w:noWrap/>
                  <w:vAlign w:val="center"/>
                </w:tcPr>
                <w:p>
                  <w:pPr>
                    <w:pStyle w:val="50"/>
                    <w:rPr>
                      <w:color w:val="auto"/>
                      <w:kern w:val="2"/>
                    </w:rPr>
                  </w:pPr>
                  <w:r>
                    <w:rPr>
                      <w:color w:val="auto"/>
                      <w:kern w:val="2"/>
                    </w:rPr>
                    <w:t>内容及要求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63" w:type="dxa"/>
                  <w:noWrap/>
                  <w:vAlign w:val="center"/>
                </w:tcPr>
                <w:p>
                  <w:pPr>
                    <w:pStyle w:val="50"/>
                    <w:rPr>
                      <w:color w:val="auto"/>
                      <w:kern w:val="2"/>
                    </w:rPr>
                  </w:pPr>
                  <w:r>
                    <w:rPr>
                      <w:color w:val="auto"/>
                      <w:kern w:val="2"/>
                    </w:rPr>
                    <w:t>1</w:t>
                  </w:r>
                </w:p>
              </w:tc>
              <w:tc>
                <w:tcPr>
                  <w:tcW w:w="2018" w:type="dxa"/>
                  <w:noWrap/>
                  <w:vAlign w:val="center"/>
                </w:tcPr>
                <w:p>
                  <w:pPr>
                    <w:pStyle w:val="50"/>
                    <w:rPr>
                      <w:color w:val="auto"/>
                      <w:kern w:val="2"/>
                    </w:rPr>
                  </w:pPr>
                  <w:r>
                    <w:rPr>
                      <w:color w:val="auto"/>
                      <w:kern w:val="2"/>
                    </w:rPr>
                    <w:t>危险源情况</w:t>
                  </w:r>
                </w:p>
              </w:tc>
              <w:tc>
                <w:tcPr>
                  <w:tcW w:w="5818" w:type="dxa"/>
                  <w:noWrap/>
                  <w:vAlign w:val="center"/>
                </w:tcPr>
                <w:p>
                  <w:pPr>
                    <w:pStyle w:val="50"/>
                    <w:rPr>
                      <w:color w:val="auto"/>
                      <w:kern w:val="2"/>
                    </w:rPr>
                  </w:pPr>
                  <w:r>
                    <w:rPr>
                      <w:color w:val="auto"/>
                      <w:kern w:val="2"/>
                    </w:rPr>
                    <w:t>详细说明危险源类型、数量、分布及其对环境的风险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663" w:type="dxa"/>
                  <w:noWrap/>
                  <w:vAlign w:val="center"/>
                </w:tcPr>
                <w:p>
                  <w:pPr>
                    <w:pStyle w:val="50"/>
                    <w:rPr>
                      <w:color w:val="auto"/>
                      <w:kern w:val="2"/>
                    </w:rPr>
                  </w:pPr>
                  <w:r>
                    <w:rPr>
                      <w:color w:val="auto"/>
                      <w:kern w:val="2"/>
                    </w:rPr>
                    <w:t>2</w:t>
                  </w:r>
                </w:p>
              </w:tc>
              <w:tc>
                <w:tcPr>
                  <w:tcW w:w="2018" w:type="dxa"/>
                  <w:noWrap/>
                  <w:vAlign w:val="center"/>
                </w:tcPr>
                <w:p>
                  <w:pPr>
                    <w:pStyle w:val="50"/>
                    <w:rPr>
                      <w:color w:val="auto"/>
                      <w:kern w:val="2"/>
                    </w:rPr>
                  </w:pPr>
                  <w:r>
                    <w:rPr>
                      <w:color w:val="auto"/>
                      <w:kern w:val="2"/>
                    </w:rPr>
                    <w:t>应急计划区</w:t>
                  </w:r>
                </w:p>
              </w:tc>
              <w:tc>
                <w:tcPr>
                  <w:tcW w:w="5818" w:type="dxa"/>
                  <w:noWrap/>
                  <w:vAlign w:val="center"/>
                </w:tcPr>
                <w:p>
                  <w:pPr>
                    <w:pStyle w:val="50"/>
                    <w:rPr>
                      <w:color w:val="auto"/>
                      <w:kern w:val="2"/>
                    </w:rPr>
                  </w:pPr>
                  <w:r>
                    <w:rPr>
                      <w:color w:val="auto"/>
                      <w:kern w:val="2"/>
                    </w:rPr>
                    <w:t>项目区厂内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jc w:val="center"/>
              </w:trPr>
              <w:tc>
                <w:tcPr>
                  <w:tcW w:w="663" w:type="dxa"/>
                  <w:noWrap/>
                  <w:vAlign w:val="center"/>
                </w:tcPr>
                <w:p>
                  <w:pPr>
                    <w:pStyle w:val="50"/>
                    <w:rPr>
                      <w:color w:val="auto"/>
                      <w:kern w:val="2"/>
                    </w:rPr>
                  </w:pPr>
                  <w:r>
                    <w:rPr>
                      <w:color w:val="auto"/>
                      <w:kern w:val="2"/>
                    </w:rPr>
                    <w:t>3</w:t>
                  </w:r>
                </w:p>
              </w:tc>
              <w:tc>
                <w:tcPr>
                  <w:tcW w:w="2018" w:type="dxa"/>
                  <w:noWrap/>
                  <w:vAlign w:val="center"/>
                </w:tcPr>
                <w:p>
                  <w:pPr>
                    <w:pStyle w:val="50"/>
                    <w:rPr>
                      <w:color w:val="auto"/>
                      <w:kern w:val="2"/>
                    </w:rPr>
                  </w:pPr>
                  <w:r>
                    <w:rPr>
                      <w:color w:val="auto"/>
                      <w:kern w:val="2"/>
                    </w:rPr>
                    <w:t>应急组织机构、人员</w:t>
                  </w:r>
                </w:p>
              </w:tc>
              <w:tc>
                <w:tcPr>
                  <w:tcW w:w="5818" w:type="dxa"/>
                  <w:noWrap/>
                  <w:vAlign w:val="center"/>
                </w:tcPr>
                <w:p>
                  <w:pPr>
                    <w:pStyle w:val="50"/>
                    <w:jc w:val="left"/>
                    <w:rPr>
                      <w:color w:val="auto"/>
                      <w:kern w:val="2"/>
                    </w:rPr>
                  </w:pPr>
                  <w:r>
                    <w:rPr>
                      <w:color w:val="auto"/>
                      <w:kern w:val="2"/>
                    </w:rPr>
                    <w:t>企业：成立企业应急指挥小组，由总经理担任组长，负责现场全面指挥，专业救援队伍负责事故控制、救援和善后处理。</w:t>
                  </w:r>
                </w:p>
                <w:p>
                  <w:pPr>
                    <w:pStyle w:val="50"/>
                    <w:jc w:val="left"/>
                    <w:rPr>
                      <w:color w:val="auto"/>
                      <w:kern w:val="2"/>
                    </w:rPr>
                  </w:pPr>
                  <w:r>
                    <w:rPr>
                      <w:color w:val="auto"/>
                      <w:kern w:val="2"/>
                    </w:rPr>
                    <w:t>现场应急指挥部：当现场指挥丧失指挥职能时，企业应急指挥中心应立即指挥或现场最高领导接替。</w:t>
                  </w:r>
                </w:p>
                <w:p>
                  <w:pPr>
                    <w:pStyle w:val="50"/>
                    <w:jc w:val="left"/>
                    <w:rPr>
                      <w:color w:val="auto"/>
                      <w:kern w:val="2"/>
                    </w:rPr>
                  </w:pPr>
                  <w:r>
                    <w:rPr>
                      <w:color w:val="auto"/>
                      <w:kern w:val="2"/>
                    </w:rPr>
                    <w:t>专家组：根据应急工作的实际需要，企业应急指挥中心向当地环保或安监部门请求委派有关专家，前往应急现场指导应急处理工作。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663" w:type="dxa"/>
                  <w:noWrap/>
                  <w:vAlign w:val="center"/>
                </w:tcPr>
                <w:p>
                  <w:pPr>
                    <w:pStyle w:val="50"/>
                    <w:rPr>
                      <w:color w:val="auto"/>
                      <w:kern w:val="2"/>
                    </w:rPr>
                  </w:pPr>
                  <w:r>
                    <w:rPr>
                      <w:color w:val="auto"/>
                      <w:kern w:val="2"/>
                    </w:rPr>
                    <w:t>4</w:t>
                  </w:r>
                </w:p>
              </w:tc>
              <w:tc>
                <w:tcPr>
                  <w:tcW w:w="2018" w:type="dxa"/>
                  <w:noWrap/>
                  <w:vAlign w:val="center"/>
                </w:tcPr>
                <w:p>
                  <w:pPr>
                    <w:pStyle w:val="50"/>
                    <w:rPr>
                      <w:color w:val="auto"/>
                      <w:kern w:val="2"/>
                    </w:rPr>
                  </w:pPr>
                  <w:r>
                    <w:rPr>
                      <w:color w:val="auto"/>
                      <w:kern w:val="2"/>
                    </w:rPr>
                    <w:t>预案分级响应条件</w:t>
                  </w:r>
                </w:p>
              </w:tc>
              <w:tc>
                <w:tcPr>
                  <w:tcW w:w="5818" w:type="dxa"/>
                  <w:noWrap/>
                  <w:vAlign w:val="center"/>
                </w:tcPr>
                <w:p>
                  <w:pPr>
                    <w:pStyle w:val="50"/>
                    <w:jc w:val="left"/>
                    <w:rPr>
                      <w:color w:val="auto"/>
                      <w:kern w:val="2"/>
                    </w:rPr>
                  </w:pPr>
                  <w:r>
                    <w:rPr>
                      <w:color w:val="auto"/>
                      <w:kern w:val="2"/>
                    </w:rPr>
                    <w:t>规定环境风险事故的级别及相应的应急状态分类，以此制定相应的应急响应程序。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3" w:type="dxa"/>
                  <w:noWrap/>
                  <w:vAlign w:val="center"/>
                </w:tcPr>
                <w:p>
                  <w:pPr>
                    <w:pStyle w:val="50"/>
                    <w:rPr>
                      <w:color w:val="auto"/>
                      <w:kern w:val="2"/>
                    </w:rPr>
                  </w:pPr>
                  <w:r>
                    <w:rPr>
                      <w:color w:val="auto"/>
                      <w:kern w:val="2"/>
                    </w:rPr>
                    <w:t>5</w:t>
                  </w:r>
                </w:p>
              </w:tc>
              <w:tc>
                <w:tcPr>
                  <w:tcW w:w="2018" w:type="dxa"/>
                  <w:noWrap/>
                  <w:vAlign w:val="center"/>
                </w:tcPr>
                <w:p>
                  <w:pPr>
                    <w:pStyle w:val="50"/>
                    <w:rPr>
                      <w:color w:val="auto"/>
                      <w:kern w:val="2"/>
                    </w:rPr>
                  </w:pPr>
                  <w:r>
                    <w:rPr>
                      <w:color w:val="auto"/>
                      <w:kern w:val="2"/>
                    </w:rPr>
                    <w:t>应急救援保障</w:t>
                  </w:r>
                </w:p>
              </w:tc>
              <w:tc>
                <w:tcPr>
                  <w:tcW w:w="5818" w:type="dxa"/>
                  <w:noWrap/>
                  <w:vAlign w:val="center"/>
                </w:tcPr>
                <w:p>
                  <w:pPr>
                    <w:pStyle w:val="50"/>
                    <w:jc w:val="left"/>
                    <w:rPr>
                      <w:color w:val="auto"/>
                      <w:kern w:val="2"/>
                    </w:rPr>
                  </w:pPr>
                  <w:r>
                    <w:rPr>
                      <w:color w:val="auto"/>
                      <w:kern w:val="2"/>
                    </w:rPr>
                    <w:t>生产区：防火灾等事故的应急设施、设备与材料，主要为消防器材、消防服等；酸洗槽围堰、备用酸洗槽；中毒人员急救所用的一些药品、器材。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63" w:type="dxa"/>
                  <w:noWrap/>
                  <w:vAlign w:val="center"/>
                </w:tcPr>
                <w:p>
                  <w:pPr>
                    <w:pStyle w:val="50"/>
                    <w:rPr>
                      <w:color w:val="auto"/>
                      <w:kern w:val="2"/>
                    </w:rPr>
                  </w:pPr>
                  <w:r>
                    <w:rPr>
                      <w:color w:val="auto"/>
                      <w:kern w:val="2"/>
                    </w:rPr>
                    <w:t>6</w:t>
                  </w:r>
                </w:p>
              </w:tc>
              <w:tc>
                <w:tcPr>
                  <w:tcW w:w="2018" w:type="dxa"/>
                  <w:noWrap/>
                  <w:vAlign w:val="center"/>
                </w:tcPr>
                <w:p>
                  <w:pPr>
                    <w:pStyle w:val="50"/>
                    <w:rPr>
                      <w:color w:val="auto"/>
                      <w:kern w:val="2"/>
                    </w:rPr>
                  </w:pPr>
                  <w:r>
                    <w:rPr>
                      <w:color w:val="auto"/>
                      <w:kern w:val="2"/>
                    </w:rPr>
                    <w:t>报警</w:t>
                  </w:r>
                  <w:r>
                    <w:rPr>
                      <w:rFonts w:hint="eastAsia"/>
                      <w:color w:val="auto"/>
                      <w:kern w:val="2"/>
                    </w:rPr>
                    <w:t>、</w:t>
                  </w:r>
                  <w:r>
                    <w:rPr>
                      <w:color w:val="auto"/>
                      <w:kern w:val="2"/>
                    </w:rPr>
                    <w:t>通讯联络方式</w:t>
                  </w:r>
                </w:p>
              </w:tc>
              <w:tc>
                <w:tcPr>
                  <w:tcW w:w="5818" w:type="dxa"/>
                  <w:noWrap/>
                  <w:vAlign w:val="center"/>
                </w:tcPr>
                <w:p>
                  <w:pPr>
                    <w:pStyle w:val="50"/>
                    <w:jc w:val="left"/>
                    <w:rPr>
                      <w:color w:val="auto"/>
                      <w:kern w:val="2"/>
                    </w:rPr>
                  </w:pPr>
                  <w:r>
                    <w:rPr>
                      <w:color w:val="auto"/>
                      <w:kern w:val="2"/>
                    </w:rPr>
                    <w:t>规定应急状态下的通讯、联系方式并进行备案等。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663" w:type="dxa"/>
                  <w:noWrap/>
                  <w:vAlign w:val="center"/>
                </w:tcPr>
                <w:p>
                  <w:pPr>
                    <w:pStyle w:val="50"/>
                    <w:rPr>
                      <w:color w:val="auto"/>
                      <w:kern w:val="2"/>
                    </w:rPr>
                  </w:pPr>
                  <w:r>
                    <w:rPr>
                      <w:color w:val="auto"/>
                      <w:kern w:val="2"/>
                    </w:rPr>
                    <w:t>7</w:t>
                  </w:r>
                </w:p>
              </w:tc>
              <w:tc>
                <w:tcPr>
                  <w:tcW w:w="2018" w:type="dxa"/>
                  <w:noWrap/>
                  <w:vAlign w:val="center"/>
                </w:tcPr>
                <w:p>
                  <w:pPr>
                    <w:pStyle w:val="50"/>
                    <w:rPr>
                      <w:color w:val="auto"/>
                      <w:kern w:val="2"/>
                    </w:rPr>
                  </w:pPr>
                  <w:r>
                    <w:rPr>
                      <w:color w:val="auto"/>
                      <w:kern w:val="2"/>
                    </w:rPr>
                    <w:t>应急环境监测、抢险、救援及控制措施</w:t>
                  </w:r>
                </w:p>
              </w:tc>
              <w:tc>
                <w:tcPr>
                  <w:tcW w:w="5818" w:type="dxa"/>
                  <w:noWrap/>
                  <w:vAlign w:val="center"/>
                </w:tcPr>
                <w:p>
                  <w:pPr>
                    <w:pStyle w:val="50"/>
                    <w:jc w:val="left"/>
                    <w:rPr>
                      <w:color w:val="auto"/>
                      <w:kern w:val="2"/>
                    </w:rPr>
                  </w:pPr>
                  <w:r>
                    <w:rPr>
                      <w:color w:val="auto"/>
                      <w:kern w:val="2"/>
                    </w:rPr>
                    <w:t>由专业人员对环境分析事故现场进行应急监测，对事故性质、严重程度均所造成的环境危害后果进行评估，吸取经验教训避免再次发生事故，为指挥部门提供决策依据。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663" w:type="dxa"/>
                  <w:noWrap/>
                  <w:vAlign w:val="center"/>
                </w:tcPr>
                <w:p>
                  <w:pPr>
                    <w:pStyle w:val="50"/>
                    <w:rPr>
                      <w:color w:val="auto"/>
                      <w:kern w:val="2"/>
                    </w:rPr>
                  </w:pPr>
                  <w:r>
                    <w:rPr>
                      <w:color w:val="auto"/>
                      <w:kern w:val="2"/>
                    </w:rPr>
                    <w:t>8</w:t>
                  </w:r>
                </w:p>
              </w:tc>
              <w:tc>
                <w:tcPr>
                  <w:tcW w:w="2018" w:type="dxa"/>
                  <w:noWrap/>
                  <w:vAlign w:val="center"/>
                </w:tcPr>
                <w:p>
                  <w:pPr>
                    <w:pStyle w:val="50"/>
                    <w:rPr>
                      <w:color w:val="auto"/>
                      <w:kern w:val="2"/>
                    </w:rPr>
                  </w:pPr>
                  <w:r>
                    <w:rPr>
                      <w:color w:val="auto"/>
                      <w:kern w:val="2"/>
                    </w:rPr>
                    <w:t>应急检测、防护措施、清除泄漏措施和器材</w:t>
                  </w:r>
                </w:p>
              </w:tc>
              <w:tc>
                <w:tcPr>
                  <w:tcW w:w="5818" w:type="dxa"/>
                  <w:noWrap/>
                  <w:vAlign w:val="center"/>
                </w:tcPr>
                <w:p>
                  <w:pPr>
                    <w:pStyle w:val="50"/>
                    <w:jc w:val="left"/>
                    <w:rPr>
                      <w:color w:val="auto"/>
                      <w:kern w:val="2"/>
                    </w:rPr>
                  </w:pPr>
                  <w:r>
                    <w:rPr>
                      <w:color w:val="auto"/>
                      <w:kern w:val="2"/>
                    </w:rPr>
                    <w:t>事故现场：控制事故发展，防止扩大、蔓延及连锁反应；清除现场泄泥物，降低危害；相应的设施器材配备；</w:t>
                  </w:r>
                </w:p>
                <w:p>
                  <w:pPr>
                    <w:pStyle w:val="50"/>
                    <w:jc w:val="left"/>
                    <w:rPr>
                      <w:color w:val="auto"/>
                      <w:kern w:val="2"/>
                    </w:rPr>
                  </w:pPr>
                  <w:r>
                    <w:rPr>
                      <w:color w:val="auto"/>
                      <w:kern w:val="2"/>
                    </w:rPr>
                    <w:t>临近地区：控制防火区域，控制和消除环境污染的措施及相应的设备配备。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663" w:type="dxa"/>
                  <w:noWrap/>
                  <w:vAlign w:val="center"/>
                </w:tcPr>
                <w:p>
                  <w:pPr>
                    <w:pStyle w:val="50"/>
                    <w:rPr>
                      <w:color w:val="auto"/>
                      <w:kern w:val="2"/>
                    </w:rPr>
                  </w:pPr>
                  <w:r>
                    <w:rPr>
                      <w:color w:val="auto"/>
                      <w:kern w:val="2"/>
                    </w:rPr>
                    <w:t>9</w:t>
                  </w:r>
                </w:p>
              </w:tc>
              <w:tc>
                <w:tcPr>
                  <w:tcW w:w="2018" w:type="dxa"/>
                  <w:noWrap/>
                  <w:vAlign w:val="center"/>
                </w:tcPr>
                <w:p>
                  <w:pPr>
                    <w:pStyle w:val="50"/>
                    <w:rPr>
                      <w:color w:val="auto"/>
                      <w:kern w:val="2"/>
                    </w:rPr>
                  </w:pPr>
                  <w:r>
                    <w:rPr>
                      <w:color w:val="auto"/>
                      <w:kern w:val="2"/>
                    </w:rPr>
                    <w:t>人员紧急撤离、疏散，应急剂量控制、撤离组织计划</w:t>
                  </w:r>
                </w:p>
              </w:tc>
              <w:tc>
                <w:tcPr>
                  <w:tcW w:w="5818" w:type="dxa"/>
                  <w:noWrap/>
                  <w:vAlign w:val="center"/>
                </w:tcPr>
                <w:p>
                  <w:pPr>
                    <w:pStyle w:val="50"/>
                    <w:jc w:val="left"/>
                    <w:rPr>
                      <w:color w:val="auto"/>
                      <w:kern w:val="2"/>
                    </w:rPr>
                  </w:pPr>
                  <w:r>
                    <w:rPr>
                      <w:color w:val="auto"/>
                      <w:kern w:val="2"/>
                    </w:rPr>
                    <w:t>事故现场：事故处理人员制定毒物的应急剂量、现场及临近装置人员的撤离组织计划和紧急救护方案；</w:t>
                  </w:r>
                </w:p>
                <w:p>
                  <w:pPr>
                    <w:pStyle w:val="50"/>
                    <w:jc w:val="left"/>
                    <w:rPr>
                      <w:color w:val="auto"/>
                      <w:kern w:val="2"/>
                    </w:rPr>
                  </w:pPr>
                  <w:r>
                    <w:rPr>
                      <w:color w:val="auto"/>
                      <w:kern w:val="2"/>
                    </w:rPr>
                    <w:t>临近地区：制定受事故影响的临近地区内人员对毒物的应急剂量、公众的疏散组织计划和紧急救护方案。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63" w:type="dxa"/>
                  <w:noWrap/>
                  <w:vAlign w:val="center"/>
                </w:tcPr>
                <w:p>
                  <w:pPr>
                    <w:pStyle w:val="50"/>
                    <w:rPr>
                      <w:color w:val="auto"/>
                      <w:kern w:val="2"/>
                    </w:rPr>
                  </w:pPr>
                  <w:r>
                    <w:rPr>
                      <w:color w:val="auto"/>
                      <w:kern w:val="2"/>
                    </w:rPr>
                    <w:t>10</w:t>
                  </w:r>
                </w:p>
              </w:tc>
              <w:tc>
                <w:tcPr>
                  <w:tcW w:w="2018" w:type="dxa"/>
                  <w:noWrap/>
                  <w:vAlign w:val="center"/>
                </w:tcPr>
                <w:p>
                  <w:pPr>
                    <w:pStyle w:val="50"/>
                    <w:rPr>
                      <w:color w:val="auto"/>
                      <w:kern w:val="2"/>
                    </w:rPr>
                  </w:pPr>
                  <w:r>
                    <w:rPr>
                      <w:color w:val="auto"/>
                      <w:kern w:val="2"/>
                    </w:rPr>
                    <w:t>事故应急救援关闭程序与恢复措施</w:t>
                  </w:r>
                </w:p>
              </w:tc>
              <w:tc>
                <w:tcPr>
                  <w:tcW w:w="5818" w:type="dxa"/>
                  <w:noWrap/>
                  <w:vAlign w:val="center"/>
                </w:tcPr>
                <w:p>
                  <w:pPr>
                    <w:pStyle w:val="50"/>
                    <w:jc w:val="left"/>
                    <w:rPr>
                      <w:color w:val="auto"/>
                      <w:kern w:val="2"/>
                    </w:rPr>
                  </w:pPr>
                  <w:r>
                    <w:rPr>
                      <w:color w:val="auto"/>
                      <w:kern w:val="2"/>
                    </w:rPr>
                    <w:t>事故现场：规定应急状态终止秩序；事故现场善后处理，恢复生产措施；</w:t>
                  </w:r>
                </w:p>
                <w:p>
                  <w:pPr>
                    <w:pStyle w:val="50"/>
                    <w:jc w:val="left"/>
                    <w:rPr>
                      <w:color w:val="auto"/>
                      <w:kern w:val="2"/>
                    </w:rPr>
                  </w:pPr>
                  <w:r>
                    <w:rPr>
                      <w:color w:val="auto"/>
                      <w:kern w:val="2"/>
                    </w:rPr>
                    <w:t>临近地区：解除事故警戒，公众返回和善后回复措施。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3" w:type="dxa"/>
                  <w:noWrap/>
                  <w:vAlign w:val="center"/>
                </w:tcPr>
                <w:p>
                  <w:pPr>
                    <w:pStyle w:val="50"/>
                    <w:rPr>
                      <w:color w:val="auto"/>
                      <w:kern w:val="2"/>
                    </w:rPr>
                  </w:pPr>
                  <w:r>
                    <w:rPr>
                      <w:color w:val="auto"/>
                      <w:kern w:val="2"/>
                    </w:rPr>
                    <w:t>11</w:t>
                  </w:r>
                </w:p>
              </w:tc>
              <w:tc>
                <w:tcPr>
                  <w:tcW w:w="2018" w:type="dxa"/>
                  <w:noWrap/>
                  <w:vAlign w:val="center"/>
                </w:tcPr>
                <w:p>
                  <w:pPr>
                    <w:pStyle w:val="50"/>
                    <w:rPr>
                      <w:color w:val="auto"/>
                      <w:kern w:val="2"/>
                    </w:rPr>
                  </w:pPr>
                  <w:r>
                    <w:rPr>
                      <w:color w:val="auto"/>
                      <w:kern w:val="2"/>
                    </w:rPr>
                    <w:t>应急培训计划</w:t>
                  </w:r>
                </w:p>
              </w:tc>
              <w:tc>
                <w:tcPr>
                  <w:tcW w:w="5818" w:type="dxa"/>
                  <w:noWrap/>
                  <w:vAlign w:val="center"/>
                </w:tcPr>
                <w:p>
                  <w:pPr>
                    <w:pStyle w:val="50"/>
                    <w:jc w:val="left"/>
                    <w:rPr>
                      <w:color w:val="auto"/>
                      <w:kern w:val="2"/>
                    </w:rPr>
                  </w:pPr>
                  <w:r>
                    <w:rPr>
                      <w:color w:val="auto"/>
                      <w:kern w:val="2"/>
                    </w:rPr>
                    <w:t>应急计划制定后，应定时对员工进行相关知识培训并进行事故应急处理演习；对员工进行安全卫生教育。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63" w:type="dxa"/>
                  <w:noWrap/>
                  <w:vAlign w:val="center"/>
                </w:tcPr>
                <w:p>
                  <w:pPr>
                    <w:pStyle w:val="50"/>
                    <w:rPr>
                      <w:color w:val="auto"/>
                      <w:kern w:val="2"/>
                    </w:rPr>
                  </w:pPr>
                  <w:r>
                    <w:rPr>
                      <w:color w:val="auto"/>
                      <w:kern w:val="2"/>
                    </w:rPr>
                    <w:t>12</w:t>
                  </w:r>
                </w:p>
              </w:tc>
              <w:tc>
                <w:tcPr>
                  <w:tcW w:w="2018" w:type="dxa"/>
                  <w:noWrap/>
                  <w:vAlign w:val="center"/>
                </w:tcPr>
                <w:p>
                  <w:pPr>
                    <w:pStyle w:val="50"/>
                    <w:rPr>
                      <w:color w:val="auto"/>
                      <w:kern w:val="2"/>
                    </w:rPr>
                  </w:pPr>
                  <w:r>
                    <w:rPr>
                      <w:color w:val="auto"/>
                      <w:kern w:val="2"/>
                    </w:rPr>
                    <w:t>公众教育和信息</w:t>
                  </w:r>
                </w:p>
              </w:tc>
              <w:tc>
                <w:tcPr>
                  <w:tcW w:w="5818" w:type="dxa"/>
                  <w:noWrap/>
                  <w:vAlign w:val="center"/>
                </w:tcPr>
                <w:p>
                  <w:pPr>
                    <w:pStyle w:val="50"/>
                    <w:jc w:val="left"/>
                    <w:rPr>
                      <w:color w:val="auto"/>
                      <w:kern w:val="2"/>
                    </w:rPr>
                  </w:pPr>
                  <w:r>
                    <w:rPr>
                      <w:color w:val="auto"/>
                      <w:kern w:val="2"/>
                    </w:rPr>
                    <w:t>对加油区临近地区公众开展环境风险事故预防教育、应急知识培训并定期发布相关信息。</w:t>
                  </w:r>
                </w:p>
              </w:tc>
            </w:tr>
          </w:tbl>
          <w:p>
            <w:pPr>
              <w:keepNext/>
              <w:keepLines/>
              <w:ind w:firstLine="480"/>
              <w:rPr>
                <w:color w:val="auto"/>
              </w:rPr>
            </w:pPr>
            <w:r>
              <w:rPr>
                <w:rFonts w:hint="eastAsia"/>
                <w:color w:val="auto"/>
              </w:rPr>
              <w:t>B、事故状态应急措施</w:t>
            </w:r>
          </w:p>
          <w:p>
            <w:pPr>
              <w:ind w:firstLine="470" w:firstLineChars="196"/>
              <w:rPr>
                <w:bCs/>
                <w:color w:val="auto"/>
                <w:lang w:val="zh-CN"/>
              </w:rPr>
            </w:pPr>
            <w:r>
              <w:rPr>
                <w:bCs/>
                <w:color w:val="auto"/>
                <w:lang w:val="zh-CN"/>
              </w:rPr>
              <w:fldChar w:fldCharType="begin"/>
            </w:r>
            <w:r>
              <w:rPr>
                <w:bCs/>
                <w:color w:val="auto"/>
                <w:lang w:val="zh-CN"/>
              </w:rPr>
              <w:instrText xml:space="preserve"> = 1 \* GB3 \* MERGEFORMAT </w:instrText>
            </w:r>
            <w:r>
              <w:rPr>
                <w:bCs/>
                <w:color w:val="auto"/>
                <w:lang w:val="zh-CN"/>
              </w:rPr>
              <w:fldChar w:fldCharType="separate"/>
            </w:r>
            <w:r>
              <w:rPr>
                <w:bCs/>
                <w:color w:val="auto"/>
                <w:lang w:val="zh-CN"/>
              </w:rPr>
              <w:t>①</w:t>
            </w:r>
            <w:r>
              <w:rPr>
                <w:bCs/>
                <w:color w:val="auto"/>
                <w:lang w:val="zh-CN"/>
              </w:rPr>
              <w:fldChar w:fldCharType="end"/>
            </w:r>
            <w:r>
              <w:rPr>
                <w:rFonts w:hint="eastAsia"/>
                <w:bCs/>
                <w:color w:val="auto"/>
                <w:lang w:val="en-US" w:eastAsia="zh-CN"/>
              </w:rPr>
              <w:t>当危废间</w:t>
            </w:r>
            <w:r>
              <w:rPr>
                <w:bCs/>
                <w:color w:val="auto"/>
                <w:lang w:val="zh-CN"/>
              </w:rPr>
              <w:t>液体</w:t>
            </w:r>
            <w:r>
              <w:rPr>
                <w:rFonts w:hint="eastAsia"/>
                <w:bCs/>
                <w:color w:val="auto"/>
                <w:lang w:val="zh-CN"/>
              </w:rPr>
              <w:t>废物</w:t>
            </w:r>
            <w:r>
              <w:rPr>
                <w:bCs/>
                <w:color w:val="auto"/>
                <w:lang w:val="zh-CN"/>
              </w:rPr>
              <w:t>发生泄漏时，利用使用相应的收集容器（装原材料的</w:t>
            </w:r>
            <w:r>
              <w:rPr>
                <w:rFonts w:hint="eastAsia"/>
                <w:bCs/>
                <w:color w:val="auto"/>
              </w:rPr>
              <w:t>塑料</w:t>
            </w:r>
            <w:r>
              <w:rPr>
                <w:bCs/>
                <w:color w:val="auto"/>
                <w:lang w:val="zh-CN"/>
              </w:rPr>
              <w:t>桶、瓶子等）将泄露液体进行收集，启动相应级别的应急预案；</w:t>
            </w:r>
          </w:p>
          <w:p>
            <w:pPr>
              <w:ind w:firstLine="470" w:firstLineChars="196"/>
              <w:rPr>
                <w:bCs/>
                <w:color w:val="auto"/>
                <w:lang w:val="zh-CN"/>
              </w:rPr>
            </w:pPr>
            <w:r>
              <w:rPr>
                <w:bCs/>
                <w:color w:val="auto"/>
                <w:lang w:val="zh-CN"/>
              </w:rPr>
              <w:fldChar w:fldCharType="begin"/>
            </w:r>
            <w:r>
              <w:rPr>
                <w:bCs/>
                <w:color w:val="auto"/>
                <w:lang w:val="zh-CN"/>
              </w:rPr>
              <w:instrText xml:space="preserve"> = 2 \* GB3 \* MERGEFORMAT </w:instrText>
            </w:r>
            <w:r>
              <w:rPr>
                <w:bCs/>
                <w:color w:val="auto"/>
                <w:lang w:val="zh-CN"/>
              </w:rPr>
              <w:fldChar w:fldCharType="separate"/>
            </w:r>
            <w:r>
              <w:rPr>
                <w:bCs/>
                <w:color w:val="auto"/>
                <w:lang w:val="zh-CN"/>
              </w:rPr>
              <w:t>②</w:t>
            </w:r>
            <w:r>
              <w:rPr>
                <w:bCs/>
                <w:color w:val="auto"/>
                <w:lang w:val="zh-CN"/>
              </w:rPr>
              <w:fldChar w:fldCharType="end"/>
            </w:r>
            <w:r>
              <w:rPr>
                <w:bCs/>
                <w:color w:val="auto"/>
                <w:lang w:val="zh-CN"/>
              </w:rPr>
              <w:t>当物料泄露引发火灾时，迅速转移周围人群，并同时拨打119，寻求消防部门的帮助，启动应急预案，寻求政府部门及周边势力的帮助，产生的消防废水进入事故池处理达标后排入市政管网，进入污水处理厂处理。</w:t>
            </w:r>
          </w:p>
          <w:p>
            <w:pPr>
              <w:tabs>
                <w:tab w:val="left" w:pos="1050"/>
              </w:tabs>
              <w:ind w:firstLine="498"/>
              <w:contextualSpacing/>
              <w:rPr>
                <w:b/>
                <w:color w:val="auto"/>
                <w:spacing w:val="4"/>
                <w:szCs w:val="28"/>
              </w:rPr>
            </w:pPr>
            <w:r>
              <w:rPr>
                <w:rFonts w:hint="eastAsia"/>
                <w:b/>
                <w:color w:val="auto"/>
                <w:spacing w:val="4"/>
                <w:szCs w:val="28"/>
              </w:rPr>
              <w:t>7</w:t>
            </w:r>
            <w:r>
              <w:rPr>
                <w:b/>
                <w:color w:val="auto"/>
                <w:spacing w:val="4"/>
                <w:szCs w:val="28"/>
              </w:rPr>
              <w:t>.6分析结论</w:t>
            </w:r>
          </w:p>
          <w:p>
            <w:pPr>
              <w:ind w:firstLine="470" w:firstLineChars="196"/>
              <w:rPr>
                <w:bCs/>
                <w:color w:val="auto"/>
                <w:lang w:val="zh-CN"/>
              </w:rPr>
            </w:pPr>
            <w:r>
              <w:rPr>
                <w:bCs/>
                <w:color w:val="auto"/>
                <w:lang w:val="zh-CN"/>
              </w:rPr>
              <w:t>根据以上分析，本项目环境风险潜势划分为</w:t>
            </w:r>
            <w:r>
              <w:rPr>
                <w:bCs/>
                <w:color w:val="auto"/>
                <w:lang w:val="zh-CN"/>
              </w:rPr>
              <w:fldChar w:fldCharType="begin"/>
            </w:r>
            <w:r>
              <w:rPr>
                <w:bCs/>
                <w:color w:val="auto"/>
                <w:lang w:val="zh-CN"/>
              </w:rPr>
              <w:instrText xml:space="preserve"> = 1 \* ROMAN \* MERGEFORMAT </w:instrText>
            </w:r>
            <w:r>
              <w:rPr>
                <w:bCs/>
                <w:color w:val="auto"/>
                <w:lang w:val="zh-CN"/>
              </w:rPr>
              <w:fldChar w:fldCharType="separate"/>
            </w:r>
            <w:r>
              <w:rPr>
                <w:bCs/>
                <w:color w:val="auto"/>
                <w:lang w:val="zh-CN"/>
              </w:rPr>
              <w:t>I</w:t>
            </w:r>
            <w:r>
              <w:rPr>
                <w:bCs/>
                <w:color w:val="auto"/>
                <w:lang w:val="zh-CN"/>
              </w:rPr>
              <w:fldChar w:fldCharType="end"/>
            </w:r>
            <w:r>
              <w:rPr>
                <w:bCs/>
                <w:color w:val="auto"/>
                <w:lang w:val="zh-CN"/>
              </w:rPr>
              <w:t>，项目环境风险评价等级为简单分析，项目环境风险在做好应急防范措施的基础上，是可控的，可将环境风险事故发生的概率降低到最低。项目环境风险简单分析内容见表7-3</w:t>
            </w:r>
            <w:r>
              <w:rPr>
                <w:rFonts w:hint="eastAsia"/>
                <w:bCs/>
                <w:color w:val="auto"/>
              </w:rPr>
              <w:t>9</w:t>
            </w:r>
            <w:r>
              <w:rPr>
                <w:bCs/>
                <w:color w:val="auto"/>
                <w:lang w:val="zh-CN"/>
              </w:rPr>
              <w:t>所示。</w:t>
            </w:r>
          </w:p>
          <w:p>
            <w:pPr>
              <w:pStyle w:val="48"/>
              <w:keepNext/>
              <w:keepLines/>
              <w:ind w:firstLine="422"/>
              <w:rPr>
                <w:color w:val="auto"/>
              </w:rPr>
            </w:pPr>
            <w:r>
              <w:rPr>
                <w:rFonts w:hint="eastAsia"/>
                <w:color w:val="auto"/>
              </w:rPr>
              <w:t>表7-39  建设项目环境风险简单分析内容表</w:t>
            </w:r>
          </w:p>
          <w:tbl>
            <w:tblPr>
              <w:tblStyle w:val="3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1267"/>
              <w:gridCol w:w="2070"/>
              <w:gridCol w:w="1059"/>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noWrap/>
                  <w:vAlign w:val="center"/>
                </w:tcPr>
                <w:p>
                  <w:pPr>
                    <w:pStyle w:val="50"/>
                    <w:rPr>
                      <w:color w:val="auto"/>
                      <w:kern w:val="2"/>
                    </w:rPr>
                  </w:pPr>
                  <w:r>
                    <w:rPr>
                      <w:color w:val="auto"/>
                      <w:kern w:val="2"/>
                    </w:rPr>
                    <w:t>建设项目名称</w:t>
                  </w:r>
                </w:p>
              </w:tc>
              <w:tc>
                <w:tcPr>
                  <w:tcW w:w="4081" w:type="pct"/>
                  <w:gridSpan w:val="4"/>
                  <w:noWrap/>
                  <w:vAlign w:val="center"/>
                </w:tcPr>
                <w:p>
                  <w:pPr>
                    <w:pStyle w:val="50"/>
                    <w:rPr>
                      <w:color w:val="auto"/>
                      <w:kern w:val="2"/>
                    </w:rPr>
                  </w:pPr>
                  <w:r>
                    <w:rPr>
                      <w:rFonts w:hint="eastAsia"/>
                      <w:color w:val="auto"/>
                    </w:rPr>
                    <w:t>网络通讯机箱机柜、5G机房、监控操作台生产项目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918" w:type="pct"/>
                  <w:noWrap/>
                  <w:vAlign w:val="center"/>
                </w:tcPr>
                <w:p>
                  <w:pPr>
                    <w:pStyle w:val="50"/>
                    <w:rPr>
                      <w:color w:val="auto"/>
                      <w:kern w:val="2"/>
                    </w:rPr>
                  </w:pPr>
                  <w:r>
                    <w:rPr>
                      <w:color w:val="auto"/>
                      <w:kern w:val="2"/>
                    </w:rPr>
                    <w:t>建设地点</w:t>
                  </w:r>
                </w:p>
              </w:tc>
              <w:tc>
                <w:tcPr>
                  <w:tcW w:w="757" w:type="pct"/>
                  <w:noWrap/>
                  <w:vAlign w:val="center"/>
                </w:tcPr>
                <w:p>
                  <w:pPr>
                    <w:pStyle w:val="50"/>
                    <w:rPr>
                      <w:color w:val="auto"/>
                      <w:kern w:val="2"/>
                    </w:rPr>
                  </w:pPr>
                  <w:r>
                    <w:rPr>
                      <w:color w:val="auto"/>
                      <w:kern w:val="2"/>
                    </w:rPr>
                    <w:t>云南省</w:t>
                  </w:r>
                </w:p>
              </w:tc>
              <w:tc>
                <w:tcPr>
                  <w:tcW w:w="1237" w:type="pct"/>
                  <w:noWrap/>
                  <w:vAlign w:val="center"/>
                </w:tcPr>
                <w:p>
                  <w:pPr>
                    <w:pStyle w:val="50"/>
                    <w:rPr>
                      <w:color w:val="auto"/>
                      <w:kern w:val="2"/>
                    </w:rPr>
                  </w:pPr>
                  <w:r>
                    <w:rPr>
                      <w:color w:val="auto"/>
                      <w:kern w:val="2"/>
                    </w:rPr>
                    <w:t>昆明市</w:t>
                  </w:r>
                </w:p>
              </w:tc>
              <w:tc>
                <w:tcPr>
                  <w:tcW w:w="633" w:type="pct"/>
                  <w:noWrap/>
                  <w:vAlign w:val="center"/>
                </w:tcPr>
                <w:p>
                  <w:pPr>
                    <w:pStyle w:val="50"/>
                    <w:rPr>
                      <w:rFonts w:hint="eastAsia" w:eastAsia="宋体"/>
                      <w:color w:val="auto"/>
                      <w:kern w:val="2"/>
                      <w:lang w:eastAsia="zh-CN"/>
                    </w:rPr>
                  </w:pPr>
                  <w:r>
                    <w:rPr>
                      <w:rFonts w:hint="eastAsia"/>
                      <w:color w:val="auto"/>
                      <w:kern w:val="2"/>
                      <w:lang w:eastAsia="zh-CN"/>
                    </w:rPr>
                    <w:t>富民县</w:t>
                  </w:r>
                </w:p>
              </w:tc>
              <w:tc>
                <w:tcPr>
                  <w:tcW w:w="1452" w:type="pct"/>
                  <w:noWrap/>
                  <w:vAlign w:val="center"/>
                </w:tcPr>
                <w:p>
                  <w:pPr>
                    <w:pStyle w:val="50"/>
                    <w:rPr>
                      <w:color w:val="auto"/>
                      <w:kern w:val="2"/>
                    </w:rPr>
                  </w:pPr>
                  <w:r>
                    <w:rPr>
                      <w:rFonts w:hint="eastAsia"/>
                      <w:color w:val="auto"/>
                    </w:rPr>
                    <w:t>富民工业园区大营五金建材园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noWrap/>
                  <w:vAlign w:val="center"/>
                </w:tcPr>
                <w:p>
                  <w:pPr>
                    <w:pStyle w:val="50"/>
                    <w:rPr>
                      <w:color w:val="auto"/>
                      <w:kern w:val="2"/>
                    </w:rPr>
                  </w:pPr>
                  <w:r>
                    <w:rPr>
                      <w:color w:val="auto"/>
                      <w:kern w:val="2"/>
                    </w:rPr>
                    <w:t>地理坐标</w:t>
                  </w:r>
                </w:p>
              </w:tc>
              <w:tc>
                <w:tcPr>
                  <w:tcW w:w="757" w:type="pct"/>
                  <w:noWrap/>
                  <w:vAlign w:val="center"/>
                </w:tcPr>
                <w:p>
                  <w:pPr>
                    <w:pStyle w:val="50"/>
                    <w:rPr>
                      <w:color w:val="auto"/>
                      <w:kern w:val="2"/>
                    </w:rPr>
                  </w:pPr>
                  <w:r>
                    <w:rPr>
                      <w:color w:val="auto"/>
                      <w:kern w:val="2"/>
                    </w:rPr>
                    <w:t>经度</w:t>
                  </w:r>
                </w:p>
              </w:tc>
              <w:tc>
                <w:tcPr>
                  <w:tcW w:w="1237" w:type="pct"/>
                  <w:noWrap/>
                  <w:vAlign w:val="center"/>
                </w:tcPr>
                <w:p>
                  <w:pPr>
                    <w:pStyle w:val="50"/>
                    <w:rPr>
                      <w:color w:val="auto"/>
                      <w:kern w:val="2"/>
                    </w:rPr>
                  </w:pPr>
                  <w:r>
                    <w:rPr>
                      <w:color w:val="auto"/>
                      <w:kern w:val="2"/>
                    </w:rPr>
                    <w:t>东经</w:t>
                  </w:r>
                  <w:r>
                    <w:rPr>
                      <w:bCs/>
                      <w:color w:val="auto"/>
                    </w:rPr>
                    <w:t>102°</w:t>
                  </w:r>
                  <w:r>
                    <w:rPr>
                      <w:rFonts w:hint="eastAsia"/>
                      <w:bCs/>
                      <w:color w:val="auto"/>
                    </w:rPr>
                    <w:t>29</w:t>
                  </w:r>
                  <w:r>
                    <w:rPr>
                      <w:bCs/>
                      <w:color w:val="auto"/>
                    </w:rPr>
                    <w:t>′</w:t>
                  </w:r>
                  <w:r>
                    <w:rPr>
                      <w:rFonts w:hint="eastAsia"/>
                      <w:bCs/>
                      <w:color w:val="auto"/>
                    </w:rPr>
                    <w:t>34.81</w:t>
                  </w:r>
                  <w:r>
                    <w:rPr>
                      <w:bCs/>
                      <w:color w:val="auto"/>
                    </w:rPr>
                    <w:t>"</w:t>
                  </w:r>
                </w:p>
              </w:tc>
              <w:tc>
                <w:tcPr>
                  <w:tcW w:w="633" w:type="pct"/>
                  <w:noWrap/>
                  <w:vAlign w:val="center"/>
                </w:tcPr>
                <w:p>
                  <w:pPr>
                    <w:pStyle w:val="50"/>
                    <w:rPr>
                      <w:color w:val="auto"/>
                      <w:kern w:val="2"/>
                    </w:rPr>
                  </w:pPr>
                  <w:r>
                    <w:rPr>
                      <w:color w:val="auto"/>
                      <w:kern w:val="2"/>
                    </w:rPr>
                    <w:t>纬度</w:t>
                  </w:r>
                </w:p>
              </w:tc>
              <w:tc>
                <w:tcPr>
                  <w:tcW w:w="1452" w:type="pct"/>
                  <w:noWrap/>
                  <w:vAlign w:val="center"/>
                </w:tcPr>
                <w:p>
                  <w:pPr>
                    <w:pStyle w:val="50"/>
                    <w:rPr>
                      <w:color w:val="auto"/>
                      <w:kern w:val="2"/>
                    </w:rPr>
                  </w:pPr>
                  <w:r>
                    <w:rPr>
                      <w:color w:val="auto"/>
                      <w:kern w:val="2"/>
                    </w:rPr>
                    <w:t>北纬</w:t>
                  </w:r>
                  <w:r>
                    <w:rPr>
                      <w:rFonts w:hint="eastAsia"/>
                      <w:bCs/>
                      <w:color w:val="auto"/>
                    </w:rPr>
                    <w:t>25</w:t>
                  </w:r>
                  <w:r>
                    <w:rPr>
                      <w:bCs/>
                      <w:color w:val="auto"/>
                    </w:rPr>
                    <w:t>°</w:t>
                  </w:r>
                  <w:r>
                    <w:rPr>
                      <w:rFonts w:hint="eastAsia"/>
                      <w:bCs/>
                      <w:color w:val="auto"/>
                    </w:rPr>
                    <w:t>13</w:t>
                  </w:r>
                  <w:r>
                    <w:rPr>
                      <w:bCs/>
                      <w:color w:val="auto"/>
                    </w:rPr>
                    <w:t>′</w:t>
                  </w:r>
                  <w:r>
                    <w:rPr>
                      <w:rFonts w:hint="eastAsia"/>
                      <w:bCs/>
                      <w:color w:val="auto"/>
                    </w:rPr>
                    <w:t>47.08</w:t>
                  </w:r>
                  <w:r>
                    <w:rPr>
                      <w:bCs/>
                      <w:color w:val="auto"/>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noWrap/>
                  <w:vAlign w:val="center"/>
                </w:tcPr>
                <w:p>
                  <w:pPr>
                    <w:pStyle w:val="50"/>
                    <w:rPr>
                      <w:color w:val="auto"/>
                      <w:kern w:val="2"/>
                    </w:rPr>
                  </w:pPr>
                  <w:r>
                    <w:rPr>
                      <w:color w:val="auto"/>
                      <w:kern w:val="2"/>
                    </w:rPr>
                    <w:t>主要危险物质及分布</w:t>
                  </w:r>
                </w:p>
              </w:tc>
              <w:tc>
                <w:tcPr>
                  <w:tcW w:w="4081" w:type="pct"/>
                  <w:gridSpan w:val="4"/>
                  <w:noWrap/>
                  <w:vAlign w:val="center"/>
                </w:tcPr>
                <w:p>
                  <w:pPr>
                    <w:pStyle w:val="50"/>
                    <w:rPr>
                      <w:color w:val="auto"/>
                      <w:kern w:val="2"/>
                    </w:rPr>
                  </w:pPr>
                  <w:r>
                    <w:rPr>
                      <w:rFonts w:hint="eastAsia"/>
                      <w:color w:val="auto"/>
                      <w:kern w:val="2"/>
                      <w:lang w:eastAsia="zh-CN"/>
                    </w:rPr>
                    <w:t>乙炔</w:t>
                  </w:r>
                  <w:r>
                    <w:rPr>
                      <w:color w:val="auto"/>
                      <w:kern w:val="2"/>
                    </w:rPr>
                    <w:t>——生产车间</w:t>
                  </w:r>
                  <w:r>
                    <w:rPr>
                      <w:rFonts w:hint="eastAsia"/>
                      <w:color w:val="auto"/>
                      <w:kern w:val="2"/>
                      <w:lang w:eastAsia="zh-CN"/>
                    </w:rPr>
                    <w:t>焊接区</w:t>
                  </w:r>
                  <w:r>
                    <w:rPr>
                      <w:color w:val="auto"/>
                      <w:kern w:val="2"/>
                    </w:rPr>
                    <w:t>；</w:t>
                  </w:r>
                  <w:r>
                    <w:rPr>
                      <w:rFonts w:hint="eastAsia"/>
                      <w:color w:val="auto"/>
                      <w:kern w:val="2"/>
                      <w:lang w:val="en-US" w:eastAsia="zh-CN"/>
                    </w:rPr>
                    <w:t>液化天然气</w:t>
                  </w:r>
                  <w:r>
                    <w:rPr>
                      <w:color w:val="auto"/>
                      <w:kern w:val="2"/>
                    </w:rPr>
                    <w:t>——</w:t>
                  </w:r>
                  <w:r>
                    <w:rPr>
                      <w:rFonts w:hint="eastAsia"/>
                      <w:color w:val="auto"/>
                      <w:kern w:val="2"/>
                      <w:lang w:val="en-US" w:eastAsia="zh-CN"/>
                    </w:rPr>
                    <w:t>储罐区</w:t>
                  </w:r>
                  <w:r>
                    <w:rPr>
                      <w:color w:val="auto"/>
                      <w:kern w:val="2"/>
                    </w:rPr>
                    <w:t>；TSP</w:t>
                  </w:r>
                  <w:r>
                    <w:rPr>
                      <w:rFonts w:hint="eastAsia"/>
                      <w:color w:val="auto"/>
                      <w:kern w:val="2"/>
                      <w:lang w:eastAsia="zh-CN"/>
                    </w:rPr>
                    <w:t>、</w:t>
                  </w:r>
                  <w:r>
                    <w:rPr>
                      <w:rFonts w:hint="eastAsia"/>
                      <w:color w:val="auto"/>
                      <w:kern w:val="2"/>
                    </w:rPr>
                    <w:t>非甲烷总烃</w:t>
                  </w:r>
                  <w:r>
                    <w:rPr>
                      <w:color w:val="auto"/>
                      <w:kern w:val="2"/>
                    </w:rPr>
                    <w:t>——生产车间</w:t>
                  </w:r>
                  <w:r>
                    <w:rPr>
                      <w:rFonts w:hint="eastAsia"/>
                      <w:color w:val="auto"/>
                      <w:kern w:val="2"/>
                      <w:lang w:eastAsia="zh-CN"/>
                    </w:rPr>
                    <w:t>、</w:t>
                  </w:r>
                  <w:r>
                    <w:rPr>
                      <w:color w:val="auto"/>
                      <w:kern w:val="2"/>
                    </w:rPr>
                    <w:t>危废暂存间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noWrap/>
                  <w:vAlign w:val="center"/>
                </w:tcPr>
                <w:p>
                  <w:pPr>
                    <w:pStyle w:val="50"/>
                    <w:rPr>
                      <w:color w:val="auto"/>
                      <w:kern w:val="2"/>
                    </w:rPr>
                  </w:pPr>
                  <w:r>
                    <w:rPr>
                      <w:color w:val="auto"/>
                      <w:kern w:val="2"/>
                    </w:rPr>
                    <w:t>环境影响途径及危害后果（大气、地表水、地下水等）</w:t>
                  </w:r>
                </w:p>
              </w:tc>
              <w:tc>
                <w:tcPr>
                  <w:tcW w:w="4081" w:type="pct"/>
                  <w:gridSpan w:val="4"/>
                  <w:noWrap/>
                  <w:vAlign w:val="center"/>
                </w:tcPr>
                <w:p>
                  <w:pPr>
                    <w:pStyle w:val="50"/>
                    <w:rPr>
                      <w:color w:val="auto"/>
                      <w:kern w:val="2"/>
                    </w:rPr>
                  </w:pPr>
                  <w:r>
                    <w:rPr>
                      <w:rFonts w:hint="eastAsia"/>
                      <w:color w:val="auto"/>
                      <w:kern w:val="2"/>
                      <w:lang w:eastAsia="zh-CN"/>
                    </w:rPr>
                    <w:t>乙炔、</w:t>
                  </w:r>
                  <w:r>
                    <w:rPr>
                      <w:rFonts w:hint="eastAsia"/>
                      <w:color w:val="auto"/>
                      <w:kern w:val="2"/>
                      <w:lang w:val="en-US" w:eastAsia="zh-CN"/>
                    </w:rPr>
                    <w:t>天然气</w:t>
                  </w:r>
                  <w:r>
                    <w:rPr>
                      <w:color w:val="auto"/>
                      <w:kern w:val="2"/>
                    </w:rPr>
                    <w:t>——泄露——明火或高温易引起火灾爆炸事故，造成大气环境污染，消防废水造成地表水环境污染</w:t>
                  </w:r>
                  <w:r>
                    <w:rPr>
                      <w:rFonts w:hint="eastAsia"/>
                      <w:color w:val="auto"/>
                      <w:kern w:val="2"/>
                      <w:lang w:eastAsia="zh-CN"/>
                    </w:rPr>
                    <w:t>，</w:t>
                  </w:r>
                  <w:r>
                    <w:rPr>
                      <w:rFonts w:hint="eastAsia"/>
                      <w:color w:val="auto"/>
                      <w:lang w:eastAsia="zh-CN"/>
                    </w:rPr>
                    <w:t>废润滑油</w:t>
                  </w:r>
                  <w:r>
                    <w:rPr>
                      <w:bCs/>
                      <w:color w:val="auto"/>
                      <w:lang w:val="zh-CN"/>
                    </w:rPr>
                    <w:t>泄露地表渗入地下造成地下水污染</w:t>
                  </w:r>
                  <w:r>
                    <w:rPr>
                      <w:color w:val="auto"/>
                      <w:kern w:val="2"/>
                    </w:rPr>
                    <w:t>；TSP</w:t>
                  </w:r>
                  <w:r>
                    <w:rPr>
                      <w:rFonts w:hint="eastAsia"/>
                      <w:color w:val="auto"/>
                      <w:kern w:val="2"/>
                      <w:lang w:eastAsia="zh-CN"/>
                    </w:rPr>
                    <w:t>、</w:t>
                  </w:r>
                  <w:r>
                    <w:rPr>
                      <w:rFonts w:hint="eastAsia"/>
                      <w:color w:val="auto"/>
                      <w:kern w:val="2"/>
                    </w:rPr>
                    <w:t>非甲烷总烃</w:t>
                  </w:r>
                  <w:r>
                    <w:rPr>
                      <w:color w:val="auto"/>
                      <w:kern w:val="2"/>
                    </w:rPr>
                    <w:t>——废气处理措施故障——非正常排放——大气环境污染。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8" w:type="pct"/>
                  <w:noWrap/>
                  <w:vAlign w:val="center"/>
                </w:tcPr>
                <w:p>
                  <w:pPr>
                    <w:pStyle w:val="50"/>
                    <w:rPr>
                      <w:color w:val="auto"/>
                      <w:kern w:val="2"/>
                    </w:rPr>
                  </w:pPr>
                  <w:r>
                    <w:rPr>
                      <w:color w:val="auto"/>
                      <w:kern w:val="2"/>
                    </w:rPr>
                    <w:t>风险防范措施要求</w:t>
                  </w:r>
                </w:p>
              </w:tc>
              <w:tc>
                <w:tcPr>
                  <w:tcW w:w="4081" w:type="pct"/>
                  <w:gridSpan w:val="4"/>
                  <w:noWrap/>
                  <w:vAlign w:val="center"/>
                </w:tcPr>
                <w:p>
                  <w:pPr>
                    <w:pStyle w:val="50"/>
                    <w:jc w:val="both"/>
                    <w:rPr>
                      <w:color w:val="auto"/>
                      <w:kern w:val="2"/>
                    </w:rPr>
                  </w:pPr>
                  <w:r>
                    <w:rPr>
                      <w:color w:val="auto"/>
                      <w:kern w:val="2"/>
                    </w:rPr>
                    <w:t>预防措施：</w:t>
                  </w:r>
                </w:p>
                <w:p>
                  <w:pPr>
                    <w:pStyle w:val="50"/>
                    <w:jc w:val="both"/>
                    <w:rPr>
                      <w:color w:val="auto"/>
                      <w:kern w:val="2"/>
                    </w:rPr>
                  </w:pPr>
                  <w:r>
                    <w:rPr>
                      <w:color w:val="auto"/>
                      <w:kern w:val="2"/>
                    </w:rPr>
                    <w:fldChar w:fldCharType="begin"/>
                  </w:r>
                  <w:r>
                    <w:rPr>
                      <w:color w:val="auto"/>
                      <w:kern w:val="2"/>
                    </w:rPr>
                    <w:instrText xml:space="preserve"> = 1 \* GB3 \* MERGEFORMAT </w:instrText>
                  </w:r>
                  <w:r>
                    <w:rPr>
                      <w:color w:val="auto"/>
                      <w:kern w:val="2"/>
                    </w:rPr>
                    <w:fldChar w:fldCharType="separate"/>
                  </w:r>
                  <w:r>
                    <w:rPr>
                      <w:color w:val="auto"/>
                      <w:kern w:val="2"/>
                    </w:rPr>
                    <w:t>①</w:t>
                  </w:r>
                  <w:r>
                    <w:rPr>
                      <w:color w:val="auto"/>
                      <w:kern w:val="2"/>
                    </w:rPr>
                    <w:fldChar w:fldCharType="end"/>
                  </w:r>
                  <w:r>
                    <w:rPr>
                      <w:color w:val="auto"/>
                      <w:kern w:val="2"/>
                    </w:rPr>
                    <w:t>对员工进行规范操作培训，培训合格才能上岗操作，防止因操作失误引起液态物料泄露；</w:t>
                  </w:r>
                </w:p>
                <w:p>
                  <w:pPr>
                    <w:pStyle w:val="50"/>
                    <w:jc w:val="left"/>
                    <w:rPr>
                      <w:color w:val="auto"/>
                      <w:kern w:val="2"/>
                    </w:rPr>
                  </w:pPr>
                  <w:r>
                    <w:rPr>
                      <w:color w:val="auto"/>
                      <w:kern w:val="2"/>
                    </w:rPr>
                    <w:fldChar w:fldCharType="begin"/>
                  </w:r>
                  <w:r>
                    <w:rPr>
                      <w:color w:val="auto"/>
                      <w:kern w:val="2"/>
                    </w:rPr>
                    <w:instrText xml:space="preserve"> = 2 \* GB3 \* MERGEFORMAT </w:instrText>
                  </w:r>
                  <w:r>
                    <w:rPr>
                      <w:color w:val="auto"/>
                      <w:kern w:val="2"/>
                    </w:rPr>
                    <w:fldChar w:fldCharType="separate"/>
                  </w:r>
                  <w:r>
                    <w:rPr>
                      <w:color w:val="auto"/>
                      <w:kern w:val="2"/>
                    </w:rPr>
                    <w:t>②</w:t>
                  </w:r>
                  <w:r>
                    <w:rPr>
                      <w:color w:val="auto"/>
                      <w:kern w:val="2"/>
                    </w:rPr>
                    <w:fldChar w:fldCharType="end"/>
                  </w:r>
                  <w:r>
                    <w:rPr>
                      <w:color w:val="auto"/>
                      <w:kern w:val="2"/>
                    </w:rPr>
                    <w:t>做好项目区防渗措施，危废暂存</w:t>
                  </w:r>
                  <w:r>
                    <w:rPr>
                      <w:rFonts w:hint="eastAsia"/>
                      <w:color w:val="auto"/>
                      <w:kern w:val="2"/>
                      <w:lang w:eastAsia="zh-CN"/>
                    </w:rPr>
                    <w:t>间</w:t>
                  </w:r>
                  <w:r>
                    <w:rPr>
                      <w:color w:val="auto"/>
                      <w:kern w:val="2"/>
                    </w:rPr>
                    <w:t>按照一般防渗技术要求进行防渗，可在现有地坪上涂抹防渗层或铺设防渗膜使防渗能力满足等效黏土防渗层Mb≥1.5m，渗透系数K≤1.0×10-7cm/s的要求</w:t>
                  </w:r>
                  <w:r>
                    <w:rPr>
                      <w:rFonts w:hint="eastAsia"/>
                      <w:color w:val="auto"/>
                      <w:kern w:val="2"/>
                    </w:rPr>
                    <w:t>，</w:t>
                  </w:r>
                  <w:r>
                    <w:rPr>
                      <w:color w:val="auto"/>
                      <w:kern w:val="2"/>
                    </w:rPr>
                    <w:t>危废暂存间严格按照《危险废物贮存污染控制标准》（GB 18597-2001）及2013年修改单中的相关要求，做好防雨、防渗，防止二次污染；</w:t>
                  </w:r>
                </w:p>
                <w:p>
                  <w:pPr>
                    <w:pStyle w:val="50"/>
                    <w:jc w:val="both"/>
                    <w:rPr>
                      <w:color w:val="auto"/>
                      <w:kern w:val="2"/>
                    </w:rPr>
                  </w:pPr>
                  <w:r>
                    <w:rPr>
                      <w:color w:val="auto"/>
                      <w:kern w:val="2"/>
                    </w:rPr>
                    <w:fldChar w:fldCharType="begin"/>
                  </w:r>
                  <w:r>
                    <w:rPr>
                      <w:color w:val="auto"/>
                      <w:kern w:val="2"/>
                    </w:rPr>
                    <w:instrText xml:space="preserve"> = 3 \* GB3 \* MERGEFORMAT </w:instrText>
                  </w:r>
                  <w:r>
                    <w:rPr>
                      <w:color w:val="auto"/>
                      <w:kern w:val="2"/>
                    </w:rPr>
                    <w:fldChar w:fldCharType="separate"/>
                  </w:r>
                  <w:r>
                    <w:rPr>
                      <w:color w:val="auto"/>
                      <w:kern w:val="2"/>
                    </w:rPr>
                    <w:t>③</w:t>
                  </w:r>
                  <w:r>
                    <w:rPr>
                      <w:color w:val="auto"/>
                      <w:kern w:val="2"/>
                    </w:rPr>
                    <w:fldChar w:fldCharType="end"/>
                  </w:r>
                  <w:r>
                    <w:rPr>
                      <w:color w:val="auto"/>
                      <w:kern w:val="2"/>
                    </w:rPr>
                    <w:t>设置事故紧急切断装置,并加强其日常维护保养；</w:t>
                  </w:r>
                </w:p>
                <w:p>
                  <w:pPr>
                    <w:pStyle w:val="50"/>
                    <w:jc w:val="left"/>
                    <w:rPr>
                      <w:color w:val="auto"/>
                      <w:kern w:val="2"/>
                    </w:rPr>
                  </w:pPr>
                  <w:r>
                    <w:rPr>
                      <w:color w:val="auto"/>
                      <w:kern w:val="2"/>
                    </w:rPr>
                    <w:t>④做好厂区日常巡视及设备设施维护工作，防止设备设施老化等原因造成环境风险事故的发生；</w:t>
                  </w:r>
                </w:p>
                <w:p>
                  <w:pPr>
                    <w:pStyle w:val="50"/>
                    <w:rPr>
                      <w:color w:val="auto"/>
                      <w:kern w:val="2"/>
                    </w:rPr>
                  </w:pPr>
                  <w:r>
                    <w:rPr>
                      <w:color w:val="auto"/>
                      <w:kern w:val="2"/>
                    </w:rPr>
                    <w:t>⑤为保证企业及人民生命财产的安全，防止突发性重大化学事故发生，并在发生事故时，能迅速有序地开展救援工作，尽最大努力减少事故的危害和损失，项目应编制相关的应急预案并到环保部门进行备案。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ign w:val="center"/>
                </w:tcPr>
                <w:p>
                  <w:pPr>
                    <w:pStyle w:val="50"/>
                    <w:rPr>
                      <w:color w:val="auto"/>
                      <w:kern w:val="2"/>
                    </w:rPr>
                  </w:pPr>
                  <w:r>
                    <w:rPr>
                      <w:color w:val="auto"/>
                      <w:kern w:val="2"/>
                    </w:rPr>
                    <w:t>填表说明（列出项目相关信息及评价说明）：</w:t>
                  </w:r>
                </w:p>
                <w:p>
                  <w:pPr>
                    <w:pStyle w:val="50"/>
                    <w:jc w:val="left"/>
                    <w:rPr>
                      <w:color w:val="auto"/>
                      <w:kern w:val="2"/>
                    </w:rPr>
                  </w:pPr>
                  <w:r>
                    <w:rPr>
                      <w:color w:val="auto"/>
                      <w:kern w:val="2"/>
                    </w:rPr>
                    <w:t>项目为</w:t>
                  </w:r>
                  <w:r>
                    <w:rPr>
                      <w:rFonts w:hint="eastAsia"/>
                      <w:color w:val="auto"/>
                      <w:kern w:val="2"/>
                    </w:rPr>
                    <w:t>通讯设备机箱机体</w:t>
                  </w:r>
                  <w:r>
                    <w:rPr>
                      <w:color w:val="auto"/>
                      <w:kern w:val="2"/>
                    </w:rPr>
                    <w:t>生产项目，无化学反应工艺，</w:t>
                  </w:r>
                  <w:r>
                    <w:rPr>
                      <w:rFonts w:hint="eastAsia"/>
                      <w:color w:val="auto"/>
                      <w:kern w:val="2"/>
                    </w:rPr>
                    <w:t>主要生产工序包括切割、打孔、折弯、焊接、喷塑、固化、组装等，原辅材料钢管、冷轧钢板、覆铝锌钢板、铝合金型材、五金配件、木板、防水胶条、塑粉、PU板、气泡膜等为直接外购成品。</w:t>
                  </w:r>
                  <w:r>
                    <w:rPr>
                      <w:color w:val="auto"/>
                      <w:kern w:val="2"/>
                    </w:rPr>
                    <w:t>根据《建设项目环境风险评价技术导则》（HJ 169-2018）附录B1“突发环境事件风险物质机临界量”，根据本项目生产过程中的主要物料、中间产品、最终产品等按物质危险性、毒理指标和毒性等级分析，并考虑其燃烧爆炸性。项目危险物质主要为</w:t>
                  </w:r>
                  <w:r>
                    <w:rPr>
                      <w:rFonts w:hint="eastAsia"/>
                      <w:color w:val="auto"/>
                      <w:kern w:val="2"/>
                      <w:lang w:eastAsia="zh-CN"/>
                    </w:rPr>
                    <w:t>乙炔、</w:t>
                  </w:r>
                  <w:r>
                    <w:rPr>
                      <w:rFonts w:hint="eastAsia"/>
                      <w:color w:val="auto"/>
                      <w:kern w:val="2"/>
                      <w:lang w:val="en-US" w:eastAsia="zh-CN"/>
                    </w:rPr>
                    <w:t>天然气</w:t>
                  </w:r>
                  <w:r>
                    <w:rPr>
                      <w:color w:val="auto"/>
                      <w:kern w:val="2"/>
                    </w:rPr>
                    <w:t>。风险源主要存在于生产车间</w:t>
                  </w:r>
                  <w:r>
                    <w:rPr>
                      <w:rFonts w:hint="eastAsia"/>
                      <w:color w:val="auto"/>
                      <w:kern w:val="2"/>
                      <w:lang w:eastAsia="zh-CN"/>
                    </w:rPr>
                    <w:t>焊接区</w:t>
                  </w:r>
                  <w:r>
                    <w:rPr>
                      <w:color w:val="auto"/>
                      <w:kern w:val="2"/>
                    </w:rPr>
                    <w:t>、</w:t>
                  </w:r>
                  <w:r>
                    <w:rPr>
                      <w:rFonts w:hint="eastAsia"/>
                      <w:color w:val="auto"/>
                      <w:kern w:val="2"/>
                      <w:lang w:val="en-US" w:eastAsia="zh-CN"/>
                    </w:rPr>
                    <w:t>储罐区、</w:t>
                  </w:r>
                  <w:r>
                    <w:rPr>
                      <w:color w:val="auto"/>
                      <w:kern w:val="2"/>
                    </w:rPr>
                    <w:t>危废暂存间。根据《建设项目环境风险评价技术导则》（HJ 169-2018）附录C、附录D，项目环境综合风险潜势为</w:t>
                  </w:r>
                  <w:r>
                    <w:rPr>
                      <w:color w:val="auto"/>
                      <w:kern w:val="2"/>
                    </w:rPr>
                    <w:fldChar w:fldCharType="begin"/>
                  </w:r>
                  <w:r>
                    <w:rPr>
                      <w:color w:val="auto"/>
                      <w:kern w:val="2"/>
                    </w:rPr>
                    <w:instrText xml:space="preserve"> = 2 \* ROMAN \* MERGEFORMAT </w:instrText>
                  </w:r>
                  <w:r>
                    <w:rPr>
                      <w:color w:val="auto"/>
                      <w:kern w:val="2"/>
                    </w:rPr>
                    <w:fldChar w:fldCharType="separate"/>
                  </w:r>
                  <w:r>
                    <w:rPr>
                      <w:color w:val="auto"/>
                      <w:kern w:val="2"/>
                    </w:rPr>
                    <w:t>I</w:t>
                  </w:r>
                  <w:r>
                    <w:rPr>
                      <w:color w:val="auto"/>
                      <w:kern w:val="2"/>
                    </w:rPr>
                    <w:fldChar w:fldCharType="end"/>
                  </w:r>
                  <w:r>
                    <w:rPr>
                      <w:color w:val="auto"/>
                      <w:kern w:val="2"/>
                    </w:rPr>
                    <w:t>，风险评价等级为简单分析。因此不对环境风险进行进一步预测分析。项目在做好应急防范措施的基础上，项目的环境风险是可控的，环境风险事故发生的概率可降低到最低。</w:t>
                  </w:r>
                </w:p>
              </w:tc>
            </w:tr>
          </w:tbl>
          <w:p>
            <w:pPr>
              <w:ind w:firstLine="0" w:firstLineChars="0"/>
              <w:contextualSpacing/>
              <w:rPr>
                <w:color w:val="auto"/>
              </w:rPr>
            </w:pP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22" w:name="_Toc9866"/>
      <w:bookmarkStart w:id="23" w:name="_Toc1723"/>
      <w:r>
        <w:rPr>
          <w:rFonts w:hint="default" w:ascii="Times New Roman" w:hAnsi="Times New Roman" w:eastAsia="宋体" w:cs="Times New Roman"/>
          <w:b/>
          <w:bCs/>
          <w:color w:val="auto"/>
          <w:sz w:val="28"/>
          <w:szCs w:val="28"/>
        </w:rPr>
        <w:t>八、建设项目拟采取的防治措施及预期治理效果</w:t>
      </w:r>
      <w:bookmarkEnd w:id="22"/>
      <w:bookmarkEnd w:id="23"/>
    </w:p>
    <w:tbl>
      <w:tblPr>
        <w:tblStyle w:val="36"/>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44"/>
        <w:gridCol w:w="409"/>
        <w:gridCol w:w="1338"/>
        <w:gridCol w:w="1281"/>
        <w:gridCol w:w="2250"/>
        <w:gridCol w:w="3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tcBorders>
              <w:tl2br w:val="single" w:color="auto" w:sz="4" w:space="0"/>
            </w:tcBorders>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内容</w:t>
            </w:r>
          </w:p>
          <w:p>
            <w:pPr>
              <w:spacing w:line="240" w:lineRule="atLeast"/>
              <w:ind w:firstLine="0" w:firstLineChars="0"/>
              <w:rPr>
                <w:color w:val="auto"/>
                <w:spacing w:val="11"/>
                <w:kern w:val="2"/>
                <w:sz w:val="21"/>
                <w:szCs w:val="21"/>
              </w:rPr>
            </w:pPr>
            <w:r>
              <w:rPr>
                <w:color w:val="auto"/>
                <w:spacing w:val="11"/>
                <w:kern w:val="2"/>
                <w:sz w:val="21"/>
                <w:szCs w:val="21"/>
              </w:rPr>
              <w:t>类型</w:t>
            </w:r>
          </w:p>
        </w:tc>
        <w:tc>
          <w:tcPr>
            <w:tcW w:w="1747" w:type="dxa"/>
            <w:gridSpan w:val="2"/>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排放源</w:t>
            </w: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污染物</w:t>
            </w:r>
          </w:p>
        </w:tc>
        <w:tc>
          <w:tcPr>
            <w:tcW w:w="2250"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防治措施</w:t>
            </w:r>
          </w:p>
        </w:tc>
        <w:tc>
          <w:tcPr>
            <w:tcW w:w="3049"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预期治理效果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4" w:hRule="atLeast"/>
          <w:jc w:val="center"/>
        </w:trPr>
        <w:tc>
          <w:tcPr>
            <w:tcW w:w="744" w:type="dxa"/>
            <w:vMerge w:val="restart"/>
            <w:vAlign w:val="center"/>
          </w:tcPr>
          <w:p>
            <w:pPr>
              <w:spacing w:line="240" w:lineRule="atLeast"/>
              <w:ind w:firstLine="0" w:firstLineChars="0"/>
              <w:jc w:val="center"/>
              <w:rPr>
                <w:color w:val="auto"/>
                <w:spacing w:val="11"/>
                <w:kern w:val="2"/>
                <w:sz w:val="21"/>
                <w:szCs w:val="21"/>
              </w:rPr>
            </w:pPr>
          </w:p>
          <w:p>
            <w:pPr>
              <w:spacing w:line="240" w:lineRule="atLeast"/>
              <w:ind w:firstLine="0" w:firstLineChars="0"/>
              <w:jc w:val="center"/>
              <w:rPr>
                <w:color w:val="auto"/>
                <w:spacing w:val="11"/>
                <w:kern w:val="2"/>
                <w:sz w:val="21"/>
                <w:szCs w:val="21"/>
              </w:rPr>
            </w:pPr>
          </w:p>
          <w:p>
            <w:pPr>
              <w:spacing w:line="240" w:lineRule="atLeast"/>
              <w:ind w:firstLine="0" w:firstLineChars="0"/>
              <w:rPr>
                <w:color w:val="auto"/>
                <w:spacing w:val="11"/>
                <w:kern w:val="2"/>
                <w:sz w:val="21"/>
                <w:szCs w:val="21"/>
              </w:rPr>
            </w:pPr>
          </w:p>
          <w:p>
            <w:pPr>
              <w:spacing w:line="240" w:lineRule="atLeast"/>
              <w:ind w:firstLine="0" w:firstLineChars="0"/>
              <w:jc w:val="center"/>
              <w:rPr>
                <w:color w:val="auto"/>
                <w:spacing w:val="11"/>
                <w:kern w:val="2"/>
                <w:sz w:val="21"/>
                <w:szCs w:val="21"/>
              </w:rPr>
            </w:pPr>
          </w:p>
          <w:p>
            <w:pPr>
              <w:spacing w:line="240" w:lineRule="atLeast"/>
              <w:ind w:firstLine="0" w:firstLineChars="0"/>
              <w:jc w:val="center"/>
              <w:rPr>
                <w:color w:val="auto"/>
                <w:spacing w:val="11"/>
                <w:kern w:val="2"/>
                <w:sz w:val="21"/>
                <w:szCs w:val="21"/>
              </w:rPr>
            </w:pPr>
            <w:r>
              <w:rPr>
                <w:color w:val="auto"/>
                <w:spacing w:val="11"/>
                <w:kern w:val="2"/>
                <w:sz w:val="21"/>
                <w:szCs w:val="21"/>
              </w:rPr>
              <w:t>大</w:t>
            </w:r>
          </w:p>
          <w:p>
            <w:pPr>
              <w:spacing w:line="240" w:lineRule="atLeast"/>
              <w:ind w:firstLine="0" w:firstLineChars="0"/>
              <w:jc w:val="center"/>
              <w:rPr>
                <w:color w:val="auto"/>
                <w:spacing w:val="11"/>
                <w:kern w:val="2"/>
                <w:sz w:val="21"/>
                <w:szCs w:val="21"/>
              </w:rPr>
            </w:pPr>
            <w:r>
              <w:rPr>
                <w:color w:val="auto"/>
                <w:spacing w:val="11"/>
                <w:kern w:val="2"/>
                <w:sz w:val="21"/>
                <w:szCs w:val="21"/>
              </w:rPr>
              <w:t>气</w:t>
            </w:r>
          </w:p>
          <w:p>
            <w:pPr>
              <w:spacing w:line="240" w:lineRule="atLeast"/>
              <w:ind w:firstLine="0" w:firstLineChars="0"/>
              <w:jc w:val="center"/>
              <w:rPr>
                <w:color w:val="auto"/>
                <w:spacing w:val="11"/>
                <w:kern w:val="2"/>
                <w:sz w:val="21"/>
                <w:szCs w:val="21"/>
              </w:rPr>
            </w:pPr>
            <w:r>
              <w:rPr>
                <w:color w:val="auto"/>
                <w:spacing w:val="11"/>
                <w:kern w:val="2"/>
                <w:sz w:val="21"/>
                <w:szCs w:val="21"/>
              </w:rPr>
              <w:t>污</w:t>
            </w:r>
          </w:p>
          <w:p>
            <w:pPr>
              <w:spacing w:line="240" w:lineRule="atLeast"/>
              <w:ind w:firstLine="0" w:firstLineChars="0"/>
              <w:jc w:val="center"/>
              <w:rPr>
                <w:color w:val="auto"/>
                <w:spacing w:val="11"/>
                <w:kern w:val="2"/>
                <w:sz w:val="21"/>
                <w:szCs w:val="21"/>
              </w:rPr>
            </w:pPr>
            <w:r>
              <w:rPr>
                <w:color w:val="auto"/>
                <w:spacing w:val="11"/>
                <w:kern w:val="2"/>
                <w:sz w:val="21"/>
                <w:szCs w:val="21"/>
              </w:rPr>
              <w:t>染</w:t>
            </w:r>
          </w:p>
          <w:p>
            <w:pPr>
              <w:spacing w:line="240" w:lineRule="atLeast"/>
              <w:ind w:firstLine="0" w:firstLineChars="0"/>
              <w:jc w:val="center"/>
              <w:rPr>
                <w:color w:val="auto"/>
                <w:spacing w:val="11"/>
                <w:kern w:val="2"/>
                <w:sz w:val="21"/>
                <w:szCs w:val="21"/>
              </w:rPr>
            </w:pPr>
            <w:r>
              <w:rPr>
                <w:color w:val="auto"/>
                <w:spacing w:val="11"/>
                <w:kern w:val="2"/>
                <w:sz w:val="21"/>
                <w:szCs w:val="21"/>
              </w:rPr>
              <w:t>物</w:t>
            </w:r>
          </w:p>
        </w:tc>
        <w:tc>
          <w:tcPr>
            <w:tcW w:w="409" w:type="dxa"/>
            <w:vMerge w:val="restart"/>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生活废气</w:t>
            </w:r>
          </w:p>
        </w:tc>
        <w:tc>
          <w:tcPr>
            <w:tcW w:w="1338" w:type="dxa"/>
            <w:vMerge w:val="restart"/>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汽车尾气</w:t>
            </w: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NOx</w:t>
            </w:r>
          </w:p>
        </w:tc>
        <w:tc>
          <w:tcPr>
            <w:tcW w:w="2250" w:type="dxa"/>
            <w:vMerge w:val="restart"/>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空气自然扩散、植被吸收</w:t>
            </w:r>
          </w:p>
        </w:tc>
        <w:tc>
          <w:tcPr>
            <w:tcW w:w="3049" w:type="dxa"/>
            <w:vMerge w:val="restart"/>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对外环境影响不大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Merge w:val="continue"/>
            <w:vAlign w:val="center"/>
          </w:tcPr>
          <w:p>
            <w:pPr>
              <w:spacing w:line="240" w:lineRule="atLeast"/>
              <w:ind w:firstLine="0" w:firstLineChars="0"/>
              <w:jc w:val="center"/>
              <w:rPr>
                <w:color w:val="auto"/>
                <w:spacing w:val="11"/>
                <w:kern w:val="2"/>
                <w:sz w:val="21"/>
                <w:szCs w:val="21"/>
              </w:rPr>
            </w:pP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THC</w:t>
            </w:r>
          </w:p>
        </w:tc>
        <w:tc>
          <w:tcPr>
            <w:tcW w:w="2250" w:type="dxa"/>
            <w:vMerge w:val="continue"/>
            <w:vAlign w:val="center"/>
          </w:tcPr>
          <w:p>
            <w:pPr>
              <w:spacing w:line="240" w:lineRule="atLeast"/>
              <w:ind w:firstLine="0" w:firstLineChars="0"/>
              <w:jc w:val="center"/>
              <w:rPr>
                <w:color w:val="auto"/>
                <w:spacing w:val="11"/>
                <w:kern w:val="2"/>
                <w:sz w:val="21"/>
                <w:szCs w:val="21"/>
              </w:rPr>
            </w:pP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6"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Merge w:val="continue"/>
            <w:vAlign w:val="center"/>
          </w:tcPr>
          <w:p>
            <w:pPr>
              <w:spacing w:line="240" w:lineRule="atLeast"/>
              <w:ind w:firstLine="0" w:firstLineChars="0"/>
              <w:jc w:val="center"/>
              <w:rPr>
                <w:color w:val="auto"/>
                <w:spacing w:val="11"/>
                <w:kern w:val="2"/>
                <w:sz w:val="21"/>
                <w:szCs w:val="21"/>
              </w:rPr>
            </w:pP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CO</w:t>
            </w:r>
          </w:p>
        </w:tc>
        <w:tc>
          <w:tcPr>
            <w:tcW w:w="2250" w:type="dxa"/>
            <w:vMerge w:val="continue"/>
            <w:vAlign w:val="center"/>
          </w:tcPr>
          <w:p>
            <w:pPr>
              <w:spacing w:line="240" w:lineRule="atLeast"/>
              <w:ind w:firstLine="0" w:firstLineChars="0"/>
              <w:jc w:val="center"/>
              <w:rPr>
                <w:color w:val="auto"/>
                <w:spacing w:val="11"/>
                <w:kern w:val="2"/>
                <w:sz w:val="21"/>
                <w:szCs w:val="21"/>
              </w:rPr>
            </w:pP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液化气燃烧</w:t>
            </w: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燃烧废气</w:t>
            </w:r>
          </w:p>
        </w:tc>
        <w:tc>
          <w:tcPr>
            <w:tcW w:w="2250"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空气自然扩散</w:t>
            </w:r>
          </w:p>
        </w:tc>
        <w:tc>
          <w:tcPr>
            <w:tcW w:w="3049"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对周围环境影响较小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厨房</w:t>
            </w: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油烟</w:t>
            </w:r>
          </w:p>
        </w:tc>
        <w:tc>
          <w:tcPr>
            <w:tcW w:w="2250"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安装油烟净化器和排气筒处理</w:t>
            </w:r>
            <w:r>
              <w:rPr>
                <w:rFonts w:hint="eastAsia"/>
                <w:color w:val="auto"/>
                <w:spacing w:val="11"/>
                <w:kern w:val="2"/>
                <w:sz w:val="21"/>
                <w:szCs w:val="21"/>
              </w:rPr>
              <w:t>厨房</w:t>
            </w:r>
            <w:r>
              <w:rPr>
                <w:color w:val="auto"/>
                <w:spacing w:val="11"/>
                <w:kern w:val="2"/>
                <w:sz w:val="21"/>
                <w:szCs w:val="21"/>
              </w:rPr>
              <w:t>油烟</w:t>
            </w:r>
          </w:p>
        </w:tc>
        <w:tc>
          <w:tcPr>
            <w:tcW w:w="3049"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可达GB18483-2001 《饮食业油烟排放标准》中小型标准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restart"/>
            <w:vAlign w:val="center"/>
          </w:tcPr>
          <w:p>
            <w:pPr>
              <w:spacing w:line="240" w:lineRule="atLeast"/>
              <w:ind w:firstLine="0" w:firstLineChars="0"/>
              <w:rPr>
                <w:color w:val="auto"/>
                <w:spacing w:val="11"/>
                <w:kern w:val="2"/>
                <w:sz w:val="21"/>
                <w:szCs w:val="21"/>
              </w:rPr>
            </w:pPr>
          </w:p>
          <w:p>
            <w:pPr>
              <w:spacing w:line="240" w:lineRule="atLeast"/>
              <w:ind w:firstLine="0" w:firstLineChars="0"/>
              <w:jc w:val="center"/>
              <w:rPr>
                <w:color w:val="auto"/>
                <w:spacing w:val="11"/>
                <w:kern w:val="2"/>
                <w:sz w:val="21"/>
                <w:szCs w:val="21"/>
              </w:rPr>
            </w:pPr>
          </w:p>
          <w:p>
            <w:pPr>
              <w:spacing w:line="240" w:lineRule="atLeast"/>
              <w:ind w:firstLine="0" w:firstLineChars="0"/>
              <w:jc w:val="center"/>
              <w:rPr>
                <w:color w:val="auto"/>
                <w:spacing w:val="11"/>
                <w:kern w:val="2"/>
                <w:sz w:val="21"/>
                <w:szCs w:val="21"/>
              </w:rPr>
            </w:pPr>
          </w:p>
          <w:p>
            <w:pPr>
              <w:spacing w:line="240" w:lineRule="atLeast"/>
              <w:ind w:firstLine="0" w:firstLineChars="0"/>
              <w:jc w:val="center"/>
              <w:rPr>
                <w:color w:val="auto"/>
                <w:spacing w:val="11"/>
                <w:kern w:val="2"/>
                <w:sz w:val="21"/>
                <w:szCs w:val="21"/>
              </w:rPr>
            </w:pPr>
            <w:r>
              <w:rPr>
                <w:color w:val="auto"/>
                <w:spacing w:val="11"/>
                <w:kern w:val="2"/>
                <w:sz w:val="21"/>
                <w:szCs w:val="21"/>
              </w:rPr>
              <w:t>生产废气</w:t>
            </w:r>
          </w:p>
        </w:tc>
        <w:tc>
          <w:tcPr>
            <w:tcW w:w="1338"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焊接</w:t>
            </w:r>
          </w:p>
        </w:tc>
        <w:tc>
          <w:tcPr>
            <w:tcW w:w="1281" w:type="dxa"/>
            <w:vAlign w:val="center"/>
          </w:tcPr>
          <w:p>
            <w:pPr>
              <w:spacing w:line="240" w:lineRule="atLeast"/>
              <w:ind w:firstLine="0" w:firstLineChars="0"/>
              <w:jc w:val="center"/>
              <w:rPr>
                <w:color w:val="auto"/>
                <w:spacing w:val="11"/>
                <w:kern w:val="2"/>
                <w:sz w:val="21"/>
                <w:szCs w:val="21"/>
              </w:rPr>
            </w:pPr>
            <w:r>
              <w:rPr>
                <w:rFonts w:hint="eastAsia" w:cs="宋体"/>
                <w:color w:val="auto"/>
                <w:spacing w:val="11"/>
                <w:kern w:val="2"/>
                <w:sz w:val="21"/>
                <w:szCs w:val="21"/>
              </w:rPr>
              <w:t>无组织焊接烟尘</w:t>
            </w:r>
          </w:p>
        </w:tc>
        <w:tc>
          <w:tcPr>
            <w:tcW w:w="2250"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多虑筒焊烟净化设备</w:t>
            </w:r>
          </w:p>
        </w:tc>
        <w:tc>
          <w:tcPr>
            <w:tcW w:w="3049" w:type="dxa"/>
            <w:vMerge w:val="restart"/>
            <w:vAlign w:val="center"/>
          </w:tcPr>
          <w:p>
            <w:pPr>
              <w:spacing w:line="240" w:lineRule="atLeast"/>
              <w:ind w:firstLine="0" w:firstLineChars="0"/>
              <w:jc w:val="center"/>
              <w:rPr>
                <w:color w:val="auto"/>
                <w:sz w:val="21"/>
                <w:szCs w:val="21"/>
              </w:rPr>
            </w:pPr>
          </w:p>
          <w:p>
            <w:pPr>
              <w:spacing w:line="240" w:lineRule="atLeast"/>
              <w:ind w:firstLine="0" w:firstLineChars="0"/>
              <w:jc w:val="center"/>
              <w:rPr>
                <w:color w:val="auto"/>
                <w:spacing w:val="11"/>
                <w:kern w:val="2"/>
                <w:sz w:val="21"/>
                <w:szCs w:val="21"/>
              </w:rPr>
            </w:pPr>
            <w:r>
              <w:rPr>
                <w:rFonts w:hint="eastAsia"/>
                <w:color w:val="auto"/>
                <w:sz w:val="21"/>
                <w:szCs w:val="21"/>
              </w:rPr>
              <w:t>达GB16297-1996《大气污染物综合排放标准》表2中二级标准限值要求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喷塑工段</w:t>
            </w:r>
          </w:p>
        </w:tc>
        <w:tc>
          <w:tcPr>
            <w:tcW w:w="1281"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有组织粉尘</w:t>
            </w:r>
          </w:p>
        </w:tc>
        <w:tc>
          <w:tcPr>
            <w:tcW w:w="2250" w:type="dxa"/>
            <w:vAlign w:val="center"/>
          </w:tcPr>
          <w:p>
            <w:pPr>
              <w:spacing w:line="240" w:lineRule="atLeast"/>
              <w:ind w:firstLine="0" w:firstLineChars="0"/>
              <w:jc w:val="center"/>
              <w:rPr>
                <w:rFonts w:hint="eastAsia" w:eastAsia="宋体"/>
                <w:color w:val="auto"/>
                <w:spacing w:val="11"/>
                <w:kern w:val="2"/>
                <w:sz w:val="21"/>
                <w:szCs w:val="21"/>
                <w:lang w:eastAsia="zh-CN"/>
              </w:rPr>
            </w:pPr>
            <w:r>
              <w:rPr>
                <w:rFonts w:hint="eastAsia"/>
                <w:color w:val="auto"/>
                <w:spacing w:val="11"/>
                <w:kern w:val="2"/>
                <w:sz w:val="21"/>
                <w:szCs w:val="21"/>
              </w:rPr>
              <w:t>喷塑间+二级滤芯脉冲除尘装置+15高排气筒</w:t>
            </w:r>
            <w:r>
              <w:rPr>
                <w:rFonts w:hint="eastAsia"/>
                <w:color w:val="auto"/>
                <w:spacing w:val="11"/>
                <w:kern w:val="2"/>
                <w:sz w:val="21"/>
                <w:szCs w:val="21"/>
                <w:lang w:eastAsia="zh-CN"/>
              </w:rPr>
              <w:t>（</w:t>
            </w:r>
            <w:r>
              <w:rPr>
                <w:rFonts w:hint="eastAsia"/>
                <w:color w:val="auto"/>
                <w:spacing w:val="11"/>
                <w:kern w:val="2"/>
                <w:sz w:val="21"/>
                <w:szCs w:val="21"/>
                <w:lang w:val="en-US" w:eastAsia="zh-CN"/>
              </w:rPr>
              <w:t>1#</w:t>
            </w:r>
            <w:r>
              <w:rPr>
                <w:rFonts w:hint="eastAsia"/>
                <w:color w:val="auto"/>
                <w:spacing w:val="11"/>
                <w:kern w:val="2"/>
                <w:sz w:val="21"/>
                <w:szCs w:val="21"/>
                <w:lang w:eastAsia="zh-CN"/>
              </w:rPr>
              <w:t>）</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固化工段</w:t>
            </w:r>
          </w:p>
        </w:tc>
        <w:tc>
          <w:tcPr>
            <w:tcW w:w="1281"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有组织</w:t>
            </w:r>
            <w:r>
              <w:rPr>
                <w:rFonts w:hint="eastAsia"/>
                <w:color w:val="auto"/>
                <w:spacing w:val="11"/>
                <w:kern w:val="2"/>
                <w:sz w:val="21"/>
                <w:szCs w:val="21"/>
                <w:lang w:val="en-US" w:eastAsia="zh-CN"/>
              </w:rPr>
              <w:t>VOCs（以非甲烷总烃计）</w:t>
            </w:r>
          </w:p>
        </w:tc>
        <w:tc>
          <w:tcPr>
            <w:tcW w:w="2250" w:type="dxa"/>
            <w:vMerge w:val="restart"/>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抽风系统+</w:t>
            </w:r>
            <w:r>
              <w:rPr>
                <w:rFonts w:hint="eastAsia"/>
                <w:color w:val="auto"/>
                <w:spacing w:val="11"/>
                <w:kern w:val="2"/>
                <w:sz w:val="21"/>
                <w:szCs w:val="21"/>
                <w:lang w:val="en-US" w:eastAsia="zh-CN"/>
              </w:rPr>
              <w:t>UV光氧+</w:t>
            </w:r>
            <w:r>
              <w:rPr>
                <w:rFonts w:hint="eastAsia" w:cs="宋体"/>
                <w:color w:val="auto"/>
                <w:spacing w:val="11"/>
                <w:kern w:val="2"/>
                <w:sz w:val="21"/>
                <w:szCs w:val="21"/>
              </w:rPr>
              <w:t>活性炭吸附装置</w:t>
            </w:r>
            <w:r>
              <w:rPr>
                <w:rFonts w:hint="eastAsia"/>
                <w:color w:val="auto"/>
                <w:spacing w:val="11"/>
                <w:kern w:val="2"/>
                <w:sz w:val="21"/>
                <w:szCs w:val="21"/>
              </w:rPr>
              <w:t>+15高排气筒</w:t>
            </w:r>
            <w:r>
              <w:rPr>
                <w:rFonts w:hint="eastAsia"/>
                <w:color w:val="auto"/>
                <w:spacing w:val="11"/>
                <w:kern w:val="2"/>
                <w:sz w:val="21"/>
                <w:szCs w:val="21"/>
                <w:lang w:eastAsia="zh-CN"/>
              </w:rPr>
              <w:t>（</w:t>
            </w:r>
            <w:r>
              <w:rPr>
                <w:rFonts w:hint="eastAsia"/>
                <w:color w:val="auto"/>
                <w:spacing w:val="11"/>
                <w:kern w:val="2"/>
                <w:sz w:val="21"/>
                <w:szCs w:val="21"/>
                <w:lang w:val="en-US" w:eastAsia="zh-CN"/>
              </w:rPr>
              <w:t>2#</w:t>
            </w:r>
            <w:r>
              <w:rPr>
                <w:rFonts w:hint="eastAsia"/>
                <w:color w:val="auto"/>
                <w:spacing w:val="11"/>
                <w:kern w:val="2"/>
                <w:sz w:val="21"/>
                <w:szCs w:val="21"/>
                <w:lang w:eastAsia="zh-CN"/>
              </w:rPr>
              <w:t>）</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燃烧工段</w:t>
            </w:r>
          </w:p>
        </w:tc>
        <w:tc>
          <w:tcPr>
            <w:tcW w:w="1281" w:type="dxa"/>
            <w:vAlign w:val="center"/>
          </w:tcPr>
          <w:p>
            <w:pPr>
              <w:pStyle w:val="50"/>
              <w:rPr>
                <w:color w:val="auto"/>
                <w:spacing w:val="11"/>
                <w:kern w:val="2"/>
              </w:rPr>
            </w:pPr>
            <w:r>
              <w:rPr>
                <w:rFonts w:hint="eastAsia"/>
                <w:color w:val="auto"/>
                <w:spacing w:val="11"/>
                <w:kern w:val="2"/>
              </w:rPr>
              <w:t>有组织</w:t>
            </w:r>
            <w:r>
              <w:rPr>
                <w:rFonts w:hint="eastAsia"/>
                <w:snapToGrid/>
                <w:color w:val="auto"/>
                <w:spacing w:val="11"/>
                <w:kern w:val="2"/>
              </w:rPr>
              <w:t>颗粒物、SO</w:t>
            </w:r>
            <w:r>
              <w:rPr>
                <w:rFonts w:hint="eastAsia"/>
                <w:snapToGrid/>
                <w:color w:val="auto"/>
                <w:spacing w:val="11"/>
                <w:kern w:val="2"/>
                <w:vertAlign w:val="subscript"/>
              </w:rPr>
              <w:t>2</w:t>
            </w:r>
            <w:r>
              <w:rPr>
                <w:rFonts w:hint="eastAsia"/>
                <w:snapToGrid/>
                <w:color w:val="auto"/>
                <w:spacing w:val="11"/>
                <w:kern w:val="2"/>
              </w:rPr>
              <w:t>、氮氧化物</w:t>
            </w:r>
          </w:p>
        </w:tc>
        <w:tc>
          <w:tcPr>
            <w:tcW w:w="2250" w:type="dxa"/>
            <w:vMerge w:val="continue"/>
            <w:vAlign w:val="center"/>
          </w:tcPr>
          <w:p>
            <w:pPr>
              <w:spacing w:line="240" w:lineRule="atLeast"/>
              <w:ind w:firstLine="0" w:firstLineChars="0"/>
              <w:jc w:val="center"/>
              <w:rPr>
                <w:color w:val="auto"/>
                <w:spacing w:val="11"/>
                <w:kern w:val="2"/>
                <w:sz w:val="21"/>
                <w:szCs w:val="21"/>
              </w:rPr>
            </w:pPr>
          </w:p>
        </w:tc>
        <w:tc>
          <w:tcPr>
            <w:tcW w:w="3049" w:type="dxa"/>
            <w:vAlign w:val="center"/>
          </w:tcPr>
          <w:p>
            <w:pPr>
              <w:pStyle w:val="50"/>
              <w:jc w:val="left"/>
              <w:rPr>
                <w:rFonts w:hint="eastAsia"/>
                <w:color w:val="auto"/>
              </w:rPr>
            </w:pPr>
            <w:r>
              <w:rPr>
                <w:rFonts w:hint="eastAsia"/>
                <w:color w:val="auto"/>
              </w:rPr>
              <w:t>颗粒物、SO</w:t>
            </w:r>
            <w:r>
              <w:rPr>
                <w:rFonts w:hint="eastAsia"/>
                <w:color w:val="auto"/>
                <w:vertAlign w:val="subscript"/>
              </w:rPr>
              <w:t>2</w:t>
            </w:r>
            <w:r>
              <w:rPr>
                <w:rFonts w:hint="eastAsia"/>
                <w:color w:val="auto"/>
              </w:rPr>
              <w:t>、NOx达GB16297</w:t>
            </w:r>
          </w:p>
          <w:p>
            <w:pPr>
              <w:pStyle w:val="50"/>
              <w:jc w:val="left"/>
              <w:rPr>
                <w:color w:val="auto"/>
                <w:spacing w:val="11"/>
                <w:kern w:val="2"/>
              </w:rPr>
            </w:pPr>
            <w:r>
              <w:rPr>
                <w:rFonts w:hint="eastAsia"/>
                <w:color w:val="auto"/>
              </w:rPr>
              <w:t>-1996《大气污染物综合排放标准》表2二级标准限值。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409" w:type="dxa"/>
            <w:vMerge w:val="continue"/>
            <w:vAlign w:val="center"/>
          </w:tcPr>
          <w:p>
            <w:pPr>
              <w:spacing w:line="240" w:lineRule="atLeast"/>
              <w:ind w:firstLine="0" w:firstLineChars="0"/>
              <w:jc w:val="center"/>
              <w:rPr>
                <w:color w:val="auto"/>
                <w:spacing w:val="11"/>
                <w:kern w:val="2"/>
                <w:sz w:val="21"/>
                <w:szCs w:val="21"/>
              </w:rPr>
            </w:pPr>
          </w:p>
        </w:tc>
        <w:tc>
          <w:tcPr>
            <w:tcW w:w="1338"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无组织废气</w:t>
            </w:r>
          </w:p>
        </w:tc>
        <w:tc>
          <w:tcPr>
            <w:tcW w:w="1281" w:type="dxa"/>
            <w:vAlign w:val="center"/>
          </w:tcPr>
          <w:p>
            <w:pPr>
              <w:pStyle w:val="50"/>
              <w:rPr>
                <w:color w:val="auto"/>
                <w:spacing w:val="11"/>
                <w:kern w:val="2"/>
              </w:rPr>
            </w:pPr>
            <w:r>
              <w:rPr>
                <w:rFonts w:hint="eastAsia"/>
                <w:snapToGrid/>
                <w:color w:val="auto"/>
                <w:spacing w:val="11"/>
                <w:kern w:val="2"/>
              </w:rPr>
              <w:t>颗粒物、非甲烷总烃</w:t>
            </w:r>
          </w:p>
        </w:tc>
        <w:tc>
          <w:tcPr>
            <w:tcW w:w="2250" w:type="dxa"/>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加强通风</w:t>
            </w:r>
          </w:p>
        </w:tc>
        <w:tc>
          <w:tcPr>
            <w:tcW w:w="3049" w:type="dxa"/>
            <w:vAlign w:val="center"/>
          </w:tcPr>
          <w:p>
            <w:pPr>
              <w:pStyle w:val="50"/>
              <w:rPr>
                <w:color w:val="auto"/>
                <w:spacing w:val="11"/>
                <w:kern w:val="2"/>
              </w:rPr>
            </w:pPr>
            <w:r>
              <w:rPr>
                <w:rFonts w:hint="eastAsia"/>
                <w:color w:val="auto"/>
              </w:rPr>
              <w:t>达GB16297-1996《大气污染物综合排放标准》表2</w:t>
            </w:r>
            <w:r>
              <w:rPr>
                <w:color w:val="auto"/>
              </w:rPr>
              <w:t>无组织排放监控浓度限值</w:t>
            </w:r>
            <w:r>
              <w:rPr>
                <w:rFonts w:hint="eastAsia"/>
                <w:color w:val="auto"/>
                <w:lang w:eastAsia="zh-CN"/>
              </w:rPr>
              <w:t>，</w:t>
            </w:r>
            <w:r>
              <w:rPr>
                <w:color w:val="auto"/>
              </w:rPr>
              <w:t>厂区内</w:t>
            </w:r>
            <w:r>
              <w:rPr>
                <w:rFonts w:hint="eastAsia"/>
                <w:color w:val="auto"/>
              </w:rPr>
              <w:t>非甲烷总烃</w:t>
            </w:r>
            <w:r>
              <w:rPr>
                <w:color w:val="auto"/>
              </w:rPr>
              <w:t>无组织排放</w:t>
            </w:r>
            <w:r>
              <w:rPr>
                <w:rFonts w:hint="eastAsia"/>
                <w:color w:val="auto"/>
                <w:lang w:eastAsia="zh-CN"/>
              </w:rPr>
              <w:t>达</w:t>
            </w:r>
            <w:r>
              <w:rPr>
                <w:color w:val="auto"/>
              </w:rPr>
              <w:t>《挥发性有机物无组织排放控制标准》（GB37822-2019）附录A限值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44" w:type="dxa"/>
            <w:vMerge w:val="restart"/>
            <w:vAlign w:val="center"/>
          </w:tcPr>
          <w:p>
            <w:pPr>
              <w:spacing w:line="240" w:lineRule="atLeast"/>
              <w:ind w:firstLine="0" w:firstLineChars="0"/>
              <w:jc w:val="center"/>
              <w:rPr>
                <w:color w:val="auto"/>
                <w:sz w:val="21"/>
              </w:rPr>
            </w:pPr>
          </w:p>
          <w:p>
            <w:pPr>
              <w:spacing w:line="240" w:lineRule="atLeast"/>
              <w:ind w:firstLine="0" w:firstLineChars="0"/>
              <w:jc w:val="center"/>
              <w:rPr>
                <w:color w:val="auto"/>
                <w:spacing w:val="11"/>
                <w:kern w:val="2"/>
                <w:sz w:val="21"/>
                <w:szCs w:val="21"/>
              </w:rPr>
            </w:pPr>
            <w:r>
              <w:rPr>
                <w:color w:val="auto"/>
                <w:spacing w:val="11"/>
                <w:kern w:val="2"/>
                <w:sz w:val="21"/>
                <w:szCs w:val="21"/>
              </w:rPr>
              <w:t>固体</w:t>
            </w:r>
          </w:p>
          <w:p>
            <w:pPr>
              <w:spacing w:line="240" w:lineRule="atLeast"/>
              <w:ind w:firstLine="0" w:firstLineChars="0"/>
              <w:jc w:val="center"/>
              <w:rPr>
                <w:color w:val="auto"/>
                <w:spacing w:val="11"/>
                <w:kern w:val="2"/>
                <w:sz w:val="21"/>
                <w:szCs w:val="21"/>
              </w:rPr>
            </w:pPr>
            <w:r>
              <w:rPr>
                <w:color w:val="auto"/>
                <w:spacing w:val="11"/>
                <w:kern w:val="2"/>
                <w:sz w:val="21"/>
                <w:szCs w:val="21"/>
              </w:rPr>
              <w:t>废弃物</w:t>
            </w:r>
          </w:p>
        </w:tc>
        <w:tc>
          <w:tcPr>
            <w:tcW w:w="1747" w:type="dxa"/>
            <w:gridSpan w:val="2"/>
            <w:vAlign w:val="center"/>
          </w:tcPr>
          <w:p>
            <w:pPr>
              <w:pStyle w:val="50"/>
              <w:rPr>
                <w:color w:val="auto"/>
                <w:spacing w:val="11"/>
                <w:kern w:val="2"/>
              </w:rPr>
            </w:pPr>
            <w:r>
              <w:rPr>
                <w:rFonts w:hint="eastAsia"/>
                <w:color w:val="auto"/>
              </w:rPr>
              <w:t>员工生活</w:t>
            </w:r>
          </w:p>
        </w:tc>
        <w:tc>
          <w:tcPr>
            <w:tcW w:w="1281" w:type="dxa"/>
            <w:vAlign w:val="center"/>
          </w:tcPr>
          <w:p>
            <w:pPr>
              <w:pStyle w:val="50"/>
              <w:rPr>
                <w:color w:val="auto"/>
                <w:spacing w:val="11"/>
                <w:kern w:val="2"/>
              </w:rPr>
            </w:pPr>
            <w:r>
              <w:rPr>
                <w:rFonts w:hint="eastAsia"/>
                <w:color w:val="auto"/>
              </w:rPr>
              <w:t>生活垃圾</w:t>
            </w:r>
          </w:p>
        </w:tc>
        <w:tc>
          <w:tcPr>
            <w:tcW w:w="2250" w:type="dxa"/>
            <w:vAlign w:val="center"/>
          </w:tcPr>
          <w:p>
            <w:pPr>
              <w:pStyle w:val="50"/>
              <w:rPr>
                <w:color w:val="auto"/>
                <w:spacing w:val="11"/>
                <w:kern w:val="2"/>
              </w:rPr>
            </w:pPr>
            <w:r>
              <w:rPr>
                <w:color w:val="auto"/>
              </w:rPr>
              <w:t>集中收集后委托环卫部门</w:t>
            </w:r>
            <w:r>
              <w:rPr>
                <w:rFonts w:hint="eastAsia"/>
                <w:color w:val="auto"/>
              </w:rPr>
              <w:t>统一清运</w:t>
            </w:r>
          </w:p>
        </w:tc>
        <w:tc>
          <w:tcPr>
            <w:tcW w:w="3049" w:type="dxa"/>
            <w:vMerge w:val="restart"/>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处置率达100%，对外环境影响不大。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7"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spacing w:val="11"/>
                <w:kern w:val="2"/>
              </w:rPr>
            </w:pPr>
            <w:r>
              <w:rPr>
                <w:rFonts w:hint="eastAsia"/>
                <w:color w:val="auto"/>
              </w:rPr>
              <w:t>切割、打孔</w:t>
            </w:r>
          </w:p>
        </w:tc>
        <w:tc>
          <w:tcPr>
            <w:tcW w:w="1281" w:type="dxa"/>
            <w:vAlign w:val="center"/>
          </w:tcPr>
          <w:p>
            <w:pPr>
              <w:pStyle w:val="50"/>
              <w:rPr>
                <w:color w:val="auto"/>
                <w:spacing w:val="11"/>
                <w:kern w:val="2"/>
              </w:rPr>
            </w:pPr>
            <w:r>
              <w:rPr>
                <w:rFonts w:hint="eastAsia"/>
                <w:color w:val="auto"/>
              </w:rPr>
              <w:t>废金属边角料</w:t>
            </w:r>
          </w:p>
        </w:tc>
        <w:tc>
          <w:tcPr>
            <w:tcW w:w="2250" w:type="dxa"/>
            <w:vMerge w:val="restart"/>
            <w:vAlign w:val="center"/>
          </w:tcPr>
          <w:p>
            <w:pPr>
              <w:pStyle w:val="50"/>
              <w:rPr>
                <w:color w:val="auto"/>
                <w:spacing w:val="11"/>
                <w:kern w:val="2"/>
              </w:rPr>
            </w:pPr>
            <w:r>
              <w:rPr>
                <w:color w:val="auto"/>
              </w:rPr>
              <w:t>设置1间</w:t>
            </w:r>
            <w:r>
              <w:rPr>
                <w:rFonts w:hint="eastAsia"/>
                <w:color w:val="auto"/>
              </w:rPr>
              <w:t>6</w:t>
            </w:r>
            <w:r>
              <w:rPr>
                <w:color w:val="auto"/>
              </w:rPr>
              <w:t>m</w:t>
            </w:r>
            <w:r>
              <w:rPr>
                <w:color w:val="auto"/>
                <w:vertAlign w:val="superscript"/>
              </w:rPr>
              <w:t>2</w:t>
            </w:r>
            <w:r>
              <w:rPr>
                <w:color w:val="auto"/>
              </w:rPr>
              <w:t>的一般固废收集间，</w:t>
            </w:r>
            <w:r>
              <w:rPr>
                <w:rFonts w:hint="eastAsia"/>
                <w:color w:val="auto"/>
              </w:rPr>
              <w:t>统一收集后外售，</w:t>
            </w:r>
            <w:r>
              <w:rPr>
                <w:color w:val="auto"/>
              </w:rPr>
              <w:t>综合利用</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22"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spacing w:val="11"/>
                <w:kern w:val="2"/>
              </w:rPr>
            </w:pPr>
            <w:r>
              <w:rPr>
                <w:rFonts w:hint="eastAsia"/>
                <w:color w:val="auto"/>
              </w:rPr>
              <w:t>焊接</w:t>
            </w:r>
          </w:p>
        </w:tc>
        <w:tc>
          <w:tcPr>
            <w:tcW w:w="1281" w:type="dxa"/>
            <w:vAlign w:val="center"/>
          </w:tcPr>
          <w:p>
            <w:pPr>
              <w:pStyle w:val="50"/>
              <w:rPr>
                <w:color w:val="auto"/>
                <w:spacing w:val="11"/>
                <w:kern w:val="2"/>
              </w:rPr>
            </w:pPr>
            <w:r>
              <w:rPr>
                <w:rFonts w:hint="eastAsia"/>
                <w:color w:val="auto"/>
              </w:rPr>
              <w:t>焊渣</w:t>
            </w:r>
          </w:p>
        </w:tc>
        <w:tc>
          <w:tcPr>
            <w:tcW w:w="2250" w:type="dxa"/>
            <w:vMerge w:val="continue"/>
            <w:vAlign w:val="center"/>
          </w:tcPr>
          <w:p>
            <w:pPr>
              <w:pStyle w:val="50"/>
              <w:rPr>
                <w:color w:val="auto"/>
                <w:spacing w:val="11"/>
                <w:kern w:val="2"/>
              </w:rPr>
            </w:pP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4"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spacing w:val="11"/>
                <w:kern w:val="2"/>
              </w:rPr>
            </w:pPr>
            <w:r>
              <w:rPr>
                <w:rFonts w:hint="eastAsia"/>
                <w:color w:val="auto"/>
              </w:rPr>
              <w:t>物料包装</w:t>
            </w:r>
          </w:p>
        </w:tc>
        <w:tc>
          <w:tcPr>
            <w:tcW w:w="1281" w:type="dxa"/>
            <w:vAlign w:val="center"/>
          </w:tcPr>
          <w:p>
            <w:pPr>
              <w:pStyle w:val="50"/>
              <w:rPr>
                <w:color w:val="auto"/>
                <w:spacing w:val="11"/>
                <w:kern w:val="2"/>
              </w:rPr>
            </w:pPr>
            <w:r>
              <w:rPr>
                <w:rFonts w:hint="eastAsia"/>
                <w:color w:val="auto"/>
              </w:rPr>
              <w:t>废包装材料</w:t>
            </w:r>
          </w:p>
        </w:tc>
        <w:tc>
          <w:tcPr>
            <w:tcW w:w="2250" w:type="dxa"/>
            <w:vMerge w:val="continue"/>
            <w:vAlign w:val="center"/>
          </w:tcPr>
          <w:p>
            <w:pPr>
              <w:pStyle w:val="50"/>
              <w:rPr>
                <w:color w:val="auto"/>
                <w:spacing w:val="11"/>
                <w:kern w:val="2"/>
              </w:rPr>
            </w:pP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rPr>
            </w:pPr>
            <w:r>
              <w:rPr>
                <w:rFonts w:hint="eastAsia"/>
                <w:color w:val="auto"/>
              </w:rPr>
              <w:t>喷塑</w:t>
            </w:r>
          </w:p>
        </w:tc>
        <w:tc>
          <w:tcPr>
            <w:tcW w:w="1281" w:type="dxa"/>
            <w:vAlign w:val="center"/>
          </w:tcPr>
          <w:p>
            <w:pPr>
              <w:pStyle w:val="50"/>
              <w:rPr>
                <w:color w:val="auto"/>
              </w:rPr>
            </w:pPr>
            <w:r>
              <w:rPr>
                <w:rFonts w:hint="eastAsia"/>
                <w:color w:val="auto"/>
              </w:rPr>
              <w:t>收尘系统回收塑粉</w:t>
            </w:r>
          </w:p>
        </w:tc>
        <w:tc>
          <w:tcPr>
            <w:tcW w:w="2250" w:type="dxa"/>
            <w:vAlign w:val="center"/>
          </w:tcPr>
          <w:p>
            <w:pPr>
              <w:pStyle w:val="50"/>
              <w:rPr>
                <w:color w:val="auto"/>
              </w:rPr>
            </w:pPr>
            <w:r>
              <w:rPr>
                <w:rFonts w:hint="eastAsia"/>
                <w:color w:val="auto"/>
              </w:rPr>
              <w:t>回用于喷塑工艺</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 w:hRule="atLeast"/>
          <w:jc w:val="center"/>
        </w:trPr>
        <w:tc>
          <w:tcPr>
            <w:tcW w:w="744" w:type="dxa"/>
            <w:vMerge w:val="restart"/>
            <w:vAlign w:val="center"/>
          </w:tcPr>
          <w:p>
            <w:pPr>
              <w:spacing w:line="240" w:lineRule="atLeast"/>
              <w:ind w:firstLine="0" w:firstLineChars="0"/>
              <w:jc w:val="center"/>
              <w:rPr>
                <w:color w:val="auto"/>
                <w:spacing w:val="11"/>
                <w:kern w:val="2"/>
                <w:sz w:val="21"/>
                <w:szCs w:val="21"/>
              </w:rPr>
            </w:pPr>
            <w:r>
              <w:rPr>
                <w:rFonts w:hint="eastAsia"/>
                <w:color w:val="auto"/>
                <w:spacing w:val="11"/>
                <w:kern w:val="2"/>
                <w:sz w:val="21"/>
                <w:szCs w:val="21"/>
              </w:rPr>
              <w:t>危险废弃物</w:t>
            </w:r>
          </w:p>
        </w:tc>
        <w:tc>
          <w:tcPr>
            <w:tcW w:w="1747" w:type="dxa"/>
            <w:gridSpan w:val="2"/>
            <w:vAlign w:val="center"/>
          </w:tcPr>
          <w:p>
            <w:pPr>
              <w:pStyle w:val="50"/>
              <w:rPr>
                <w:color w:val="auto"/>
                <w:spacing w:val="11"/>
                <w:kern w:val="2"/>
              </w:rPr>
            </w:pPr>
            <w:r>
              <w:rPr>
                <w:rFonts w:hint="eastAsia"/>
                <w:color w:val="auto"/>
              </w:rPr>
              <w:t>机加工</w:t>
            </w:r>
          </w:p>
        </w:tc>
        <w:tc>
          <w:tcPr>
            <w:tcW w:w="1281" w:type="dxa"/>
            <w:vAlign w:val="center"/>
          </w:tcPr>
          <w:p>
            <w:pPr>
              <w:pStyle w:val="50"/>
              <w:rPr>
                <w:color w:val="auto"/>
                <w:spacing w:val="11"/>
                <w:kern w:val="2"/>
              </w:rPr>
            </w:pPr>
            <w:r>
              <w:rPr>
                <w:rFonts w:hint="eastAsia"/>
                <w:color w:val="auto"/>
              </w:rPr>
              <w:t>废润滑油</w:t>
            </w:r>
          </w:p>
        </w:tc>
        <w:tc>
          <w:tcPr>
            <w:tcW w:w="2250" w:type="dxa"/>
            <w:vAlign w:val="center"/>
          </w:tcPr>
          <w:p>
            <w:pPr>
              <w:pStyle w:val="50"/>
              <w:rPr>
                <w:color w:val="auto"/>
                <w:spacing w:val="11"/>
                <w:kern w:val="2"/>
              </w:rPr>
            </w:pPr>
            <w:r>
              <w:rPr>
                <w:rFonts w:hint="eastAsia"/>
                <w:color w:val="auto"/>
              </w:rPr>
              <w:t>委托有资质单位处置</w:t>
            </w:r>
          </w:p>
        </w:tc>
        <w:tc>
          <w:tcPr>
            <w:tcW w:w="3049" w:type="dxa"/>
            <w:vMerge w:val="restart"/>
            <w:vAlign w:val="center"/>
          </w:tcPr>
          <w:p>
            <w:pPr>
              <w:spacing w:line="240" w:lineRule="atLeast"/>
              <w:ind w:firstLine="0" w:firstLineChars="0"/>
              <w:rPr>
                <w:color w:val="auto"/>
                <w:spacing w:val="11"/>
                <w:kern w:val="2"/>
                <w:sz w:val="21"/>
                <w:szCs w:val="21"/>
              </w:rPr>
            </w:pPr>
            <w:r>
              <w:rPr>
                <w:color w:val="auto"/>
                <w:spacing w:val="11"/>
                <w:kern w:val="2"/>
                <w:sz w:val="21"/>
                <w:szCs w:val="21"/>
              </w:rPr>
              <w:t>处置率达100%，对外环境影响不大。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4"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spacing w:val="11"/>
                <w:kern w:val="2"/>
              </w:rPr>
            </w:pPr>
            <w:r>
              <w:rPr>
                <w:rFonts w:hint="eastAsia"/>
                <w:color w:val="auto"/>
              </w:rPr>
              <w:t>机加工</w:t>
            </w:r>
          </w:p>
        </w:tc>
        <w:tc>
          <w:tcPr>
            <w:tcW w:w="1281" w:type="dxa"/>
            <w:vAlign w:val="center"/>
          </w:tcPr>
          <w:p>
            <w:pPr>
              <w:pStyle w:val="50"/>
              <w:rPr>
                <w:color w:val="auto"/>
                <w:spacing w:val="11"/>
                <w:kern w:val="2"/>
              </w:rPr>
            </w:pPr>
            <w:r>
              <w:rPr>
                <w:rFonts w:hint="eastAsia"/>
                <w:color w:val="auto"/>
              </w:rPr>
              <w:t>废油桶</w:t>
            </w:r>
          </w:p>
        </w:tc>
        <w:tc>
          <w:tcPr>
            <w:tcW w:w="2250" w:type="dxa"/>
            <w:vAlign w:val="center"/>
          </w:tcPr>
          <w:p>
            <w:pPr>
              <w:pStyle w:val="50"/>
              <w:rPr>
                <w:color w:val="auto"/>
                <w:spacing w:val="11"/>
                <w:kern w:val="2"/>
              </w:rPr>
            </w:pPr>
            <w:r>
              <w:rPr>
                <w:rFonts w:hint="eastAsia"/>
                <w:color w:val="auto"/>
              </w:rPr>
              <w:t>委托有资质单位处置</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7" w:hRule="atLeast"/>
          <w:jc w:val="center"/>
        </w:trPr>
        <w:tc>
          <w:tcPr>
            <w:tcW w:w="744" w:type="dxa"/>
            <w:vMerge w:val="continue"/>
            <w:vAlign w:val="center"/>
          </w:tcPr>
          <w:p>
            <w:pPr>
              <w:spacing w:line="240" w:lineRule="atLeast"/>
              <w:ind w:firstLine="0" w:firstLineChars="0"/>
              <w:jc w:val="center"/>
              <w:rPr>
                <w:color w:val="auto"/>
                <w:spacing w:val="11"/>
                <w:kern w:val="2"/>
                <w:sz w:val="21"/>
                <w:szCs w:val="21"/>
              </w:rPr>
            </w:pPr>
          </w:p>
        </w:tc>
        <w:tc>
          <w:tcPr>
            <w:tcW w:w="1747" w:type="dxa"/>
            <w:gridSpan w:val="2"/>
            <w:vAlign w:val="center"/>
          </w:tcPr>
          <w:p>
            <w:pPr>
              <w:pStyle w:val="50"/>
              <w:rPr>
                <w:color w:val="auto"/>
                <w:spacing w:val="11"/>
                <w:kern w:val="2"/>
              </w:rPr>
            </w:pPr>
            <w:r>
              <w:rPr>
                <w:rFonts w:hint="eastAsia"/>
                <w:color w:val="auto"/>
              </w:rPr>
              <w:t>废气处理</w:t>
            </w:r>
          </w:p>
        </w:tc>
        <w:tc>
          <w:tcPr>
            <w:tcW w:w="1281" w:type="dxa"/>
            <w:vAlign w:val="center"/>
          </w:tcPr>
          <w:p>
            <w:pPr>
              <w:pStyle w:val="50"/>
              <w:rPr>
                <w:color w:val="auto"/>
                <w:spacing w:val="11"/>
                <w:kern w:val="2"/>
              </w:rPr>
            </w:pPr>
            <w:r>
              <w:rPr>
                <w:rFonts w:hint="eastAsia"/>
                <w:color w:val="auto"/>
              </w:rPr>
              <w:t>废活性炭</w:t>
            </w:r>
          </w:p>
        </w:tc>
        <w:tc>
          <w:tcPr>
            <w:tcW w:w="2250" w:type="dxa"/>
            <w:vAlign w:val="center"/>
          </w:tcPr>
          <w:p>
            <w:pPr>
              <w:pStyle w:val="50"/>
              <w:rPr>
                <w:color w:val="auto"/>
                <w:spacing w:val="11"/>
                <w:kern w:val="2"/>
              </w:rPr>
            </w:pPr>
            <w:r>
              <w:rPr>
                <w:rFonts w:hint="eastAsia"/>
                <w:color w:val="auto"/>
              </w:rPr>
              <w:t>委托有资质单位处置</w:t>
            </w:r>
          </w:p>
        </w:tc>
        <w:tc>
          <w:tcPr>
            <w:tcW w:w="3049" w:type="dxa"/>
            <w:vMerge w:val="continue"/>
            <w:vAlign w:val="center"/>
          </w:tcPr>
          <w:p>
            <w:pPr>
              <w:spacing w:line="240" w:lineRule="atLeast"/>
              <w:ind w:firstLine="0" w:firstLineChars="0"/>
              <w:jc w:val="center"/>
              <w:rPr>
                <w:color w:val="auto"/>
                <w:spacing w:val="11"/>
                <w:kern w:val="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744"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噪</w:t>
            </w:r>
          </w:p>
          <w:p>
            <w:pPr>
              <w:spacing w:line="240" w:lineRule="atLeast"/>
              <w:ind w:firstLine="0" w:firstLineChars="0"/>
              <w:jc w:val="center"/>
              <w:rPr>
                <w:color w:val="auto"/>
                <w:spacing w:val="11"/>
                <w:kern w:val="2"/>
                <w:sz w:val="21"/>
                <w:szCs w:val="21"/>
              </w:rPr>
            </w:pPr>
            <w:r>
              <w:rPr>
                <w:color w:val="auto"/>
                <w:spacing w:val="11"/>
                <w:kern w:val="2"/>
                <w:sz w:val="21"/>
                <w:szCs w:val="21"/>
              </w:rPr>
              <w:t>声</w:t>
            </w:r>
          </w:p>
        </w:tc>
        <w:tc>
          <w:tcPr>
            <w:tcW w:w="1747" w:type="dxa"/>
            <w:gridSpan w:val="2"/>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出入车辆、生产设备</w:t>
            </w:r>
          </w:p>
        </w:tc>
        <w:tc>
          <w:tcPr>
            <w:tcW w:w="1281"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交通噪声、</w:t>
            </w:r>
          </w:p>
          <w:p>
            <w:pPr>
              <w:spacing w:line="240" w:lineRule="atLeast"/>
              <w:ind w:firstLine="0" w:firstLineChars="0"/>
              <w:jc w:val="center"/>
              <w:rPr>
                <w:color w:val="auto"/>
                <w:spacing w:val="11"/>
                <w:kern w:val="2"/>
                <w:sz w:val="21"/>
                <w:szCs w:val="21"/>
              </w:rPr>
            </w:pPr>
            <w:r>
              <w:rPr>
                <w:color w:val="auto"/>
                <w:spacing w:val="11"/>
                <w:kern w:val="2"/>
                <w:sz w:val="21"/>
                <w:szCs w:val="21"/>
              </w:rPr>
              <w:t>设备噪声</w:t>
            </w:r>
          </w:p>
        </w:tc>
        <w:tc>
          <w:tcPr>
            <w:tcW w:w="2250"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主要产噪设备加装减震软垫</w:t>
            </w:r>
          </w:p>
        </w:tc>
        <w:tc>
          <w:tcPr>
            <w:tcW w:w="3049" w:type="dxa"/>
            <w:vAlign w:val="center"/>
          </w:tcPr>
          <w:p>
            <w:pPr>
              <w:spacing w:line="240" w:lineRule="atLeast"/>
              <w:ind w:firstLine="0" w:firstLineChars="0"/>
              <w:jc w:val="center"/>
              <w:rPr>
                <w:color w:val="auto"/>
                <w:spacing w:val="11"/>
                <w:kern w:val="2"/>
                <w:sz w:val="21"/>
                <w:szCs w:val="21"/>
              </w:rPr>
            </w:pPr>
            <w:r>
              <w:rPr>
                <w:color w:val="auto"/>
                <w:spacing w:val="11"/>
                <w:kern w:val="2"/>
                <w:sz w:val="21"/>
                <w:szCs w:val="21"/>
              </w:rPr>
              <w:t>可达（GB12348-2008）《工业企业厂界环境噪声排放标准》中</w:t>
            </w:r>
            <w:r>
              <w:rPr>
                <w:rFonts w:hint="eastAsia"/>
                <w:color w:val="auto"/>
                <w:spacing w:val="11"/>
                <w:kern w:val="2"/>
                <w:sz w:val="21"/>
                <w:szCs w:val="21"/>
              </w:rPr>
              <w:t>3类</w:t>
            </w:r>
            <w:r>
              <w:rPr>
                <w:color w:val="auto"/>
                <w:spacing w:val="11"/>
                <w:kern w:val="2"/>
                <w:sz w:val="21"/>
                <w:szCs w:val="21"/>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9071" w:type="dxa"/>
            <w:gridSpan w:val="6"/>
            <w:vAlign w:val="center"/>
          </w:tcPr>
          <w:p>
            <w:pPr>
              <w:keepNext w:val="0"/>
              <w:keepLines w:val="0"/>
              <w:pageBreakBefore w:val="0"/>
              <w:widowControl w:val="0"/>
              <w:kinsoku/>
              <w:wordWrap/>
              <w:overflowPunct/>
              <w:topLinePunct w:val="0"/>
              <w:autoSpaceDE/>
              <w:autoSpaceDN/>
              <w:bidi w:val="0"/>
              <w:adjustRightInd/>
              <w:snapToGrid/>
              <w:spacing w:line="440" w:lineRule="atLeast"/>
              <w:ind w:left="0" w:leftChars="0" w:firstLine="0" w:firstLineChars="0"/>
              <w:textAlignment w:val="auto"/>
              <w:rPr>
                <w:b/>
                <w:bCs/>
                <w:snapToGrid/>
                <w:color w:val="auto"/>
                <w:kern w:val="2"/>
              </w:rPr>
            </w:pPr>
            <w:r>
              <w:rPr>
                <w:b/>
                <w:bCs/>
                <w:snapToGrid/>
                <w:color w:val="auto"/>
                <w:kern w:val="2"/>
              </w:rPr>
              <w:t>生态保护措施及预期效果：</w:t>
            </w:r>
          </w:p>
          <w:p>
            <w:pPr>
              <w:keepNext w:val="0"/>
              <w:keepLines w:val="0"/>
              <w:pageBreakBefore w:val="0"/>
              <w:widowControl w:val="0"/>
              <w:kinsoku/>
              <w:wordWrap/>
              <w:overflowPunct/>
              <w:topLinePunct w:val="0"/>
              <w:autoSpaceDE/>
              <w:autoSpaceDN/>
              <w:bidi w:val="0"/>
              <w:adjustRightInd/>
              <w:snapToGrid/>
              <w:spacing w:line="440" w:lineRule="atLeast"/>
              <w:ind w:firstLine="480"/>
              <w:textAlignment w:val="auto"/>
              <w:rPr>
                <w:snapToGrid/>
                <w:color w:val="auto"/>
                <w:kern w:val="2"/>
              </w:rPr>
            </w:pPr>
            <w:r>
              <w:rPr>
                <w:snapToGrid/>
                <w:color w:val="auto"/>
                <w:kern w:val="2"/>
              </w:rPr>
              <w:t>项目所在区域不存在原生植被，只有少量人工植被，项目利用已有建筑，不新增占地，不建设构筑物，不存在施工大面积开挖等破坏，对生态环境影响是微弱的。</w:t>
            </w:r>
          </w:p>
          <w:p>
            <w:pPr>
              <w:keepNext w:val="0"/>
              <w:keepLines w:val="0"/>
              <w:pageBreakBefore w:val="0"/>
              <w:widowControl w:val="0"/>
              <w:kinsoku/>
              <w:wordWrap/>
              <w:overflowPunct/>
              <w:topLinePunct w:val="0"/>
              <w:autoSpaceDE/>
              <w:autoSpaceDN/>
              <w:bidi w:val="0"/>
              <w:adjustRightInd/>
              <w:snapToGrid/>
              <w:spacing w:line="440" w:lineRule="atLeast"/>
              <w:ind w:firstLine="480"/>
              <w:textAlignment w:val="auto"/>
              <w:rPr>
                <w:snapToGrid/>
                <w:color w:val="auto"/>
                <w:kern w:val="2"/>
              </w:rPr>
            </w:pPr>
            <w:r>
              <w:rPr>
                <w:snapToGrid/>
                <w:color w:val="auto"/>
                <w:kern w:val="2"/>
              </w:rPr>
              <w:t>运营期有“三废”产生，其排放量都不大，</w:t>
            </w:r>
            <w:r>
              <w:rPr>
                <w:rFonts w:hint="eastAsia"/>
                <w:snapToGrid/>
                <w:color w:val="auto"/>
                <w:kern w:val="2"/>
              </w:rPr>
              <w:t>通过保护措施的使用</w:t>
            </w:r>
            <w:r>
              <w:rPr>
                <w:snapToGrid/>
                <w:color w:val="auto"/>
                <w:kern w:val="2"/>
              </w:rPr>
              <w:t>，</w:t>
            </w:r>
            <w:r>
              <w:rPr>
                <w:rFonts w:hint="eastAsia"/>
                <w:snapToGrid/>
                <w:color w:val="auto"/>
                <w:kern w:val="2"/>
              </w:rPr>
              <w:t>会</w:t>
            </w:r>
            <w:r>
              <w:rPr>
                <w:snapToGrid/>
                <w:color w:val="auto"/>
                <w:kern w:val="2"/>
              </w:rPr>
              <w:t>使其能做到达标外排，对环境的负面影响是微弱的。</w:t>
            </w:r>
          </w:p>
          <w:p>
            <w:pPr>
              <w:keepNext w:val="0"/>
              <w:keepLines w:val="0"/>
              <w:pageBreakBefore w:val="0"/>
              <w:widowControl w:val="0"/>
              <w:kinsoku/>
              <w:wordWrap/>
              <w:overflowPunct/>
              <w:topLinePunct w:val="0"/>
              <w:autoSpaceDE/>
              <w:autoSpaceDN/>
              <w:bidi w:val="0"/>
              <w:adjustRightInd/>
              <w:snapToGrid/>
              <w:spacing w:line="440" w:lineRule="atLeast"/>
              <w:ind w:firstLine="480" w:firstLineChars="0"/>
              <w:textAlignment w:val="auto"/>
              <w:rPr>
                <w:snapToGrid/>
                <w:color w:val="auto"/>
                <w:kern w:val="2"/>
              </w:rPr>
            </w:pPr>
            <w:r>
              <w:rPr>
                <w:snapToGrid/>
                <w:color w:val="auto"/>
                <w:kern w:val="2"/>
              </w:rPr>
              <w:t>综上所述</w:t>
            </w:r>
            <w:r>
              <w:rPr>
                <w:rFonts w:hint="eastAsia"/>
                <w:snapToGrid/>
                <w:color w:val="auto"/>
                <w:kern w:val="2"/>
              </w:rPr>
              <w:t>项目建设期与运营期</w:t>
            </w:r>
            <w:r>
              <w:rPr>
                <w:snapToGrid/>
                <w:color w:val="auto"/>
                <w:kern w:val="2"/>
              </w:rPr>
              <w:t>不会对周围生态环境造成大的不良影响。</w:t>
            </w:r>
          </w:p>
        </w:tc>
      </w:tr>
    </w:tbl>
    <w:p>
      <w:pPr>
        <w:pStyle w:val="4"/>
        <w:ind w:firstLine="0" w:firstLineChars="0"/>
        <w:contextualSpacing/>
        <w:jc w:val="both"/>
        <w:rPr>
          <w:rFonts w:hint="default" w:ascii="Times New Roman" w:hAnsi="Times New Roman" w:eastAsia="宋体" w:cs="Times New Roman"/>
          <w:b/>
          <w:bCs/>
          <w:color w:val="auto"/>
          <w:sz w:val="28"/>
          <w:szCs w:val="28"/>
        </w:rPr>
      </w:pPr>
      <w:bookmarkStart w:id="24" w:name="_Toc22944"/>
      <w:bookmarkStart w:id="25" w:name="_Toc3670"/>
      <w:r>
        <w:rPr>
          <w:rFonts w:hint="default" w:ascii="Times New Roman" w:hAnsi="Times New Roman" w:eastAsia="宋体" w:cs="Times New Roman"/>
          <w:b/>
          <w:bCs/>
          <w:color w:val="auto"/>
          <w:sz w:val="28"/>
          <w:szCs w:val="28"/>
        </w:rPr>
        <w:t>九、结论与建议</w:t>
      </w:r>
      <w:bookmarkEnd w:id="24"/>
      <w:bookmarkEnd w:id="25"/>
    </w:p>
    <w:tbl>
      <w:tblPr>
        <w:tblStyle w:val="36"/>
        <w:tblW w:w="907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910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490" w:hRule="atLeast"/>
          <w:jc w:val="center"/>
        </w:trPr>
        <w:tc>
          <w:tcPr>
            <w:tcW w:w="9071" w:type="dxa"/>
          </w:tcPr>
          <w:p>
            <w:pPr>
              <w:ind w:firstLine="0" w:firstLineChars="0"/>
              <w:contextualSpacing/>
              <w:rPr>
                <w:color w:val="auto"/>
              </w:rPr>
            </w:pPr>
            <w:r>
              <w:rPr>
                <w:color w:val="auto"/>
              </w:rPr>
              <w:t>一、结论</w:t>
            </w:r>
          </w:p>
          <w:p>
            <w:pPr>
              <w:ind w:firstLine="480"/>
              <w:contextualSpacing/>
              <w:jc w:val="left"/>
              <w:textAlignment w:val="baseline"/>
              <w:rPr>
                <w:color w:val="auto"/>
              </w:rPr>
            </w:pPr>
            <w:r>
              <w:rPr>
                <w:color w:val="auto"/>
              </w:rPr>
              <w:t>1、基本情况</w:t>
            </w:r>
          </w:p>
          <w:p>
            <w:pPr>
              <w:ind w:firstLine="480"/>
              <w:rPr>
                <w:color w:val="auto"/>
              </w:rPr>
            </w:pPr>
            <w:r>
              <w:rPr>
                <w:rFonts w:hint="eastAsia"/>
                <w:color w:val="auto"/>
              </w:rPr>
              <w:t>项目租用昆明市富民工业园区大营—茨塘片区大营五金建材园昆明力线电缆制造有限公司的部分生产厂房及辅助设施，</w:t>
            </w:r>
            <w:r>
              <w:rPr>
                <w:color w:val="auto"/>
              </w:rPr>
              <w:t>占地面积</w:t>
            </w:r>
            <w:r>
              <w:rPr>
                <w:rFonts w:hint="eastAsia"/>
                <w:color w:val="auto"/>
              </w:rPr>
              <w:t>1500</w:t>
            </w:r>
            <w:r>
              <w:rPr>
                <w:color w:val="auto"/>
              </w:rPr>
              <w:t>m</w:t>
            </w:r>
            <w:r>
              <w:rPr>
                <w:color w:val="auto"/>
                <w:vertAlign w:val="superscript"/>
              </w:rPr>
              <w:t>2</w:t>
            </w:r>
            <w:r>
              <w:rPr>
                <w:color w:val="auto"/>
              </w:rPr>
              <w:t>，总建筑面积</w:t>
            </w:r>
            <w:r>
              <w:rPr>
                <w:rFonts w:hint="eastAsia"/>
                <w:color w:val="auto"/>
              </w:rPr>
              <w:t>1680</w:t>
            </w:r>
            <w:r>
              <w:rPr>
                <w:color w:val="auto"/>
              </w:rPr>
              <w:t>m</w:t>
            </w:r>
            <w:r>
              <w:rPr>
                <w:color w:val="auto"/>
                <w:vertAlign w:val="superscript"/>
              </w:rPr>
              <w:t>2</w:t>
            </w:r>
            <w:r>
              <w:rPr>
                <w:color w:val="auto"/>
              </w:rPr>
              <w:t>，本项目总投资</w:t>
            </w:r>
            <w:r>
              <w:rPr>
                <w:rFonts w:hint="eastAsia"/>
                <w:color w:val="auto"/>
              </w:rPr>
              <w:t>1000</w:t>
            </w:r>
            <w:r>
              <w:rPr>
                <w:color w:val="auto"/>
              </w:rPr>
              <w:t>万元，环保投资</w:t>
            </w:r>
            <w:r>
              <w:rPr>
                <w:rFonts w:hint="eastAsia"/>
                <w:color w:val="auto"/>
              </w:rPr>
              <w:t>23.5</w:t>
            </w:r>
            <w:r>
              <w:rPr>
                <w:color w:val="auto"/>
              </w:rPr>
              <w:t>万元，</w:t>
            </w:r>
            <w:r>
              <w:rPr>
                <w:rFonts w:hint="eastAsia"/>
                <w:color w:val="auto"/>
              </w:rPr>
              <w:t>项目</w:t>
            </w:r>
            <w:r>
              <w:rPr>
                <w:color w:val="auto"/>
              </w:rPr>
              <w:t>共</w:t>
            </w:r>
            <w:r>
              <w:rPr>
                <w:rFonts w:hint="eastAsia"/>
                <w:color w:val="auto"/>
              </w:rPr>
              <w:t>建设1条网络机箱机柜、5G机房、监控操作台生产线</w:t>
            </w:r>
            <w:r>
              <w:rPr>
                <w:color w:val="auto"/>
              </w:rPr>
              <w:t>。年运营约300天，每天生产</w:t>
            </w:r>
            <w:r>
              <w:rPr>
                <w:rFonts w:hint="eastAsia"/>
                <w:color w:val="auto"/>
              </w:rPr>
              <w:t>8</w:t>
            </w:r>
            <w:r>
              <w:rPr>
                <w:color w:val="auto"/>
              </w:rPr>
              <w:t>小时，</w:t>
            </w:r>
            <w:r>
              <w:rPr>
                <w:rFonts w:hint="eastAsia"/>
                <w:color w:val="auto"/>
              </w:rPr>
              <w:t>年产网络机箱机柜产品1500台，5G机房800座，监控操作台1000台</w:t>
            </w:r>
            <w:r>
              <w:rPr>
                <w:color w:val="auto"/>
              </w:rPr>
              <w:t>。拟配置职工</w:t>
            </w:r>
            <w:r>
              <w:rPr>
                <w:rFonts w:hint="eastAsia"/>
                <w:color w:val="auto"/>
              </w:rPr>
              <w:t>20</w:t>
            </w:r>
            <w:r>
              <w:rPr>
                <w:color w:val="auto"/>
              </w:rPr>
              <w:t>人（含管理人员3人），</w:t>
            </w:r>
            <w:r>
              <w:rPr>
                <w:rFonts w:hint="eastAsia"/>
                <w:color w:val="auto"/>
              </w:rPr>
              <w:t>不</w:t>
            </w:r>
            <w:r>
              <w:rPr>
                <w:color w:val="auto"/>
              </w:rPr>
              <w:t>设置食堂、宿舍。</w:t>
            </w:r>
          </w:p>
          <w:p>
            <w:pPr>
              <w:ind w:firstLine="480"/>
              <w:contextualSpacing/>
              <w:jc w:val="left"/>
              <w:rPr>
                <w:color w:val="auto"/>
              </w:rPr>
            </w:pPr>
            <w:r>
              <w:rPr>
                <w:color w:val="auto"/>
              </w:rPr>
              <w:t>目前，建设方与</w:t>
            </w:r>
            <w:r>
              <w:rPr>
                <w:rFonts w:hint="eastAsia"/>
                <w:color w:val="auto"/>
              </w:rPr>
              <w:t>昆明力线电缆制造有限公司</w:t>
            </w:r>
            <w:r>
              <w:rPr>
                <w:color w:val="auto"/>
              </w:rPr>
              <w:t>签订了租赁协议，项目设备已运至厂区，暂未投入运行，计划202</w:t>
            </w:r>
            <w:r>
              <w:rPr>
                <w:rFonts w:hint="eastAsia"/>
                <w:color w:val="auto"/>
              </w:rPr>
              <w:t>1</w:t>
            </w:r>
            <w:r>
              <w:rPr>
                <w:color w:val="auto"/>
              </w:rPr>
              <w:t>年</w:t>
            </w:r>
            <w:r>
              <w:rPr>
                <w:rFonts w:hint="eastAsia"/>
                <w:color w:val="auto"/>
              </w:rPr>
              <w:t>3</w:t>
            </w:r>
            <w:r>
              <w:rPr>
                <w:color w:val="auto"/>
              </w:rPr>
              <w:t>月开始进行装修及设备安装，计划202</w:t>
            </w:r>
            <w:r>
              <w:rPr>
                <w:rFonts w:hint="eastAsia"/>
                <w:color w:val="auto"/>
              </w:rPr>
              <w:t>1</w:t>
            </w:r>
            <w:r>
              <w:rPr>
                <w:color w:val="auto"/>
              </w:rPr>
              <w:t>年</w:t>
            </w:r>
            <w:r>
              <w:rPr>
                <w:rFonts w:hint="eastAsia"/>
                <w:color w:val="auto"/>
                <w:lang w:val="en-US" w:eastAsia="zh-CN"/>
              </w:rPr>
              <w:t>6</w:t>
            </w:r>
            <w:r>
              <w:rPr>
                <w:color w:val="auto"/>
              </w:rPr>
              <w:t>月竣工，预计建设周期为3个月。</w:t>
            </w:r>
          </w:p>
          <w:p>
            <w:pPr>
              <w:ind w:firstLine="470" w:firstLineChars="196"/>
              <w:contextualSpacing/>
              <w:rPr>
                <w:color w:val="auto"/>
              </w:rPr>
            </w:pPr>
            <w:r>
              <w:rPr>
                <w:color w:val="auto"/>
              </w:rPr>
              <w:t>2、产业政策符合性结论</w:t>
            </w:r>
          </w:p>
          <w:p>
            <w:pPr>
              <w:ind w:firstLine="480"/>
              <w:rPr>
                <w:color w:val="auto"/>
              </w:rPr>
            </w:pPr>
            <w:r>
              <w:rPr>
                <w:color w:val="auto"/>
              </w:rPr>
              <w:t>本项目以</w:t>
            </w:r>
            <w:r>
              <w:rPr>
                <w:rFonts w:hint="eastAsia"/>
                <w:color w:val="auto"/>
                <w:lang w:eastAsia="zh-CN"/>
              </w:rPr>
              <w:t>通讯设备机箱机体</w:t>
            </w:r>
            <w:r>
              <w:rPr>
                <w:color w:val="auto"/>
              </w:rPr>
              <w:t>生产线建设为主，属于</w:t>
            </w:r>
            <w:r>
              <w:rPr>
                <w:rFonts w:hint="eastAsia"/>
                <w:color w:val="auto"/>
              </w:rPr>
              <w:t>金属制品业</w:t>
            </w:r>
            <w:r>
              <w:rPr>
                <w:color w:val="auto"/>
              </w:rPr>
              <w:t>，根据（GBT 4754—2017）《国民经济行业分类》，本项目为</w:t>
            </w:r>
            <w:r>
              <w:rPr>
                <w:rFonts w:hint="eastAsia"/>
                <w:color w:val="auto"/>
              </w:rPr>
              <w:t>金属结构制造</w:t>
            </w:r>
            <w:r>
              <w:rPr>
                <w:color w:val="auto"/>
              </w:rPr>
              <w:t>。根据《产业结构调整指导目录(201</w:t>
            </w:r>
            <w:r>
              <w:rPr>
                <w:rFonts w:hint="eastAsia"/>
                <w:color w:val="auto"/>
              </w:rPr>
              <w:t>9本</w:t>
            </w:r>
            <w:r>
              <w:rPr>
                <w:color w:val="auto"/>
              </w:rPr>
              <w:t>)》，项目不属于限制性</w:t>
            </w:r>
            <w:r>
              <w:rPr>
                <w:rFonts w:hint="eastAsia"/>
                <w:color w:val="auto"/>
              </w:rPr>
              <w:t>和淘汰类</w:t>
            </w:r>
            <w:r>
              <w:rPr>
                <w:color w:val="auto"/>
              </w:rPr>
              <w:t>目录之列，</w:t>
            </w:r>
            <w:r>
              <w:rPr>
                <w:rFonts w:hint="eastAsia"/>
                <w:color w:val="auto"/>
              </w:rPr>
              <w:t>据国务院《促进产业结构调整暂行规定》（国发[2005]40号）第十三条“不属于鼓励类、限制类和淘汰类，且符合国家有关法律、法规和政策规定的，为允许类”，项目属于一般允许类，符合国家产业政策要求。</w:t>
            </w:r>
          </w:p>
          <w:p>
            <w:pPr>
              <w:ind w:firstLine="480"/>
              <w:rPr>
                <w:color w:val="auto"/>
              </w:rPr>
            </w:pPr>
            <w:r>
              <w:rPr>
                <w:color w:val="auto"/>
              </w:rPr>
              <w:t xml:space="preserve"> 3、选址、规划符合性结论</w:t>
            </w:r>
          </w:p>
          <w:p>
            <w:pPr>
              <w:ind w:firstLine="480"/>
              <w:rPr>
                <w:color w:val="auto"/>
              </w:rPr>
            </w:pPr>
            <w:r>
              <w:rPr>
                <w:color w:val="auto"/>
              </w:rPr>
              <w:t>根据《</w:t>
            </w:r>
            <w:r>
              <w:rPr>
                <w:rFonts w:hint="eastAsia"/>
                <w:color w:val="auto"/>
              </w:rPr>
              <w:t>富民工业园区总体规划修编（2015～2030）</w:t>
            </w:r>
            <w:r>
              <w:rPr>
                <w:color w:val="auto"/>
              </w:rPr>
              <w:t>》，</w:t>
            </w:r>
            <w:r>
              <w:rPr>
                <w:rFonts w:hint="eastAsia"/>
                <w:color w:val="auto"/>
              </w:rPr>
              <w:t>富民工业园区</w:t>
            </w:r>
            <w:r>
              <w:rPr>
                <w:color w:val="auto"/>
              </w:rPr>
              <w:t>产业发展方向为：形成以精细磷化工产业、装备制造产业、有色金属产业为主导产业，以生物资源加工、家具制造、建材产业、商贸物流为辅助和配套产业的格局，重点发展壮大优势产业，改造提升传统产业，加快发展新兴产业。本项目与</w:t>
            </w:r>
            <w:r>
              <w:rPr>
                <w:rFonts w:hint="eastAsia"/>
                <w:color w:val="auto"/>
              </w:rPr>
              <w:t>大营—茨塘片区大营五金建材园</w:t>
            </w:r>
            <w:r>
              <w:rPr>
                <w:color w:val="auto"/>
              </w:rPr>
              <w:t>规划性质不相冲突。</w:t>
            </w:r>
          </w:p>
          <w:p>
            <w:pPr>
              <w:ind w:firstLine="480"/>
              <w:rPr>
                <w:color w:val="auto"/>
              </w:rPr>
            </w:pPr>
            <w:r>
              <w:rPr>
                <w:color w:val="auto"/>
              </w:rPr>
              <w:t>通过与《</w:t>
            </w:r>
            <w:r>
              <w:rPr>
                <w:rFonts w:hint="eastAsia"/>
                <w:color w:val="auto"/>
              </w:rPr>
              <w:t>富民工业园区总体规划修编（2015～2030）</w:t>
            </w:r>
            <w:r>
              <w:rPr>
                <w:color w:val="auto"/>
              </w:rPr>
              <w:t>》中</w:t>
            </w:r>
            <w:r>
              <w:rPr>
                <w:rFonts w:hint="eastAsia"/>
                <w:color w:val="auto"/>
              </w:rPr>
              <w:t>大营—茨塘片区大营五金建材园</w:t>
            </w:r>
            <w:r>
              <w:rPr>
                <w:color w:val="auto"/>
              </w:rPr>
              <w:t>用地规划图叠图，本项目用地为二类工业用地，用地符合</w:t>
            </w:r>
            <w:r>
              <w:rPr>
                <w:rFonts w:hint="eastAsia"/>
                <w:color w:val="auto"/>
              </w:rPr>
              <w:t>大营—茨塘片区大营五金建材园</w:t>
            </w:r>
            <w:r>
              <w:rPr>
                <w:color w:val="auto"/>
              </w:rPr>
              <w:t>用地的规划。项目于20</w:t>
            </w:r>
            <w:r>
              <w:rPr>
                <w:rFonts w:hint="eastAsia"/>
                <w:color w:val="auto"/>
              </w:rPr>
              <w:t>20</w:t>
            </w:r>
            <w:r>
              <w:rPr>
                <w:color w:val="auto"/>
              </w:rPr>
              <w:t>年</w:t>
            </w:r>
            <w:r>
              <w:rPr>
                <w:rFonts w:hint="eastAsia"/>
                <w:color w:val="auto"/>
              </w:rPr>
              <w:t>11</w:t>
            </w:r>
            <w:r>
              <w:rPr>
                <w:color w:val="auto"/>
              </w:rPr>
              <w:t>月</w:t>
            </w:r>
            <w:r>
              <w:rPr>
                <w:rFonts w:hint="eastAsia"/>
                <w:color w:val="auto"/>
              </w:rPr>
              <w:t>3</w:t>
            </w:r>
            <w:r>
              <w:rPr>
                <w:color w:val="auto"/>
              </w:rPr>
              <w:t>日取得了</w:t>
            </w:r>
            <w:r>
              <w:rPr>
                <w:rFonts w:hint="eastAsia"/>
                <w:color w:val="auto"/>
              </w:rPr>
              <w:t>富民工业园区招商服务局</w:t>
            </w:r>
            <w:r>
              <w:rPr>
                <w:color w:val="auto"/>
              </w:rPr>
              <w:t>关于同意本项目入园</w:t>
            </w:r>
            <w:r>
              <w:rPr>
                <w:rFonts w:hint="eastAsia"/>
                <w:color w:val="auto"/>
              </w:rPr>
              <w:t>的园区会议纪要及入园证明</w:t>
            </w:r>
            <w:r>
              <w:rPr>
                <w:color w:val="auto"/>
              </w:rPr>
              <w:t>，（详见附件</w:t>
            </w:r>
            <w:r>
              <w:rPr>
                <w:rFonts w:hint="eastAsia"/>
                <w:color w:val="auto"/>
              </w:rPr>
              <w:t>2及</w:t>
            </w:r>
            <w:r>
              <w:rPr>
                <w:color w:val="auto"/>
              </w:rPr>
              <w:t>附件</w:t>
            </w:r>
            <w:r>
              <w:rPr>
                <w:rFonts w:hint="eastAsia"/>
                <w:color w:val="auto"/>
              </w:rPr>
              <w:t>3</w:t>
            </w:r>
            <w:r>
              <w:rPr>
                <w:color w:val="auto"/>
              </w:rPr>
              <w:t>）于20</w:t>
            </w:r>
            <w:r>
              <w:rPr>
                <w:rFonts w:hint="eastAsia"/>
                <w:color w:val="auto"/>
              </w:rPr>
              <w:t>21</w:t>
            </w:r>
            <w:r>
              <w:rPr>
                <w:color w:val="auto"/>
              </w:rPr>
              <w:t>年</w:t>
            </w:r>
            <w:r>
              <w:rPr>
                <w:rFonts w:hint="eastAsia"/>
                <w:color w:val="auto"/>
              </w:rPr>
              <w:t>1</w:t>
            </w:r>
            <w:r>
              <w:rPr>
                <w:color w:val="auto"/>
              </w:rPr>
              <w:t>月</w:t>
            </w:r>
            <w:r>
              <w:rPr>
                <w:rFonts w:hint="eastAsia"/>
                <w:color w:val="auto"/>
              </w:rPr>
              <w:t>5</w:t>
            </w:r>
            <w:r>
              <w:rPr>
                <w:color w:val="auto"/>
              </w:rPr>
              <w:t>日取得了</w:t>
            </w:r>
            <w:r>
              <w:rPr>
                <w:rFonts w:hint="eastAsia"/>
                <w:color w:val="auto"/>
              </w:rPr>
              <w:t>富民县</w:t>
            </w:r>
            <w:r>
              <w:rPr>
                <w:color w:val="auto"/>
              </w:rPr>
              <w:t>发展</w:t>
            </w:r>
            <w:r>
              <w:rPr>
                <w:rFonts w:hint="eastAsia"/>
                <w:color w:val="auto"/>
              </w:rPr>
              <w:t>和</w:t>
            </w:r>
            <w:r>
              <w:rPr>
                <w:color w:val="auto"/>
              </w:rPr>
              <w:t>改革局关于同意本项目立项备案的投资项目备案证（</w:t>
            </w:r>
            <w:r>
              <w:rPr>
                <w:rFonts w:hint="eastAsia"/>
                <w:color w:val="auto"/>
              </w:rPr>
              <w:t>备案号：2101-530124-04-01-516299</w:t>
            </w:r>
            <w:r>
              <w:rPr>
                <w:color w:val="auto"/>
              </w:rPr>
              <w:t>）（详见附件</w:t>
            </w:r>
            <w:r>
              <w:rPr>
                <w:rFonts w:hint="eastAsia"/>
                <w:color w:val="auto"/>
              </w:rPr>
              <w:t>4</w:t>
            </w:r>
            <w:r>
              <w:rPr>
                <w:color w:val="auto"/>
              </w:rPr>
              <w:t>）</w:t>
            </w:r>
            <w:r>
              <w:rPr>
                <w:rFonts w:hint="eastAsia"/>
                <w:color w:val="auto"/>
              </w:rPr>
              <w:t>。</w:t>
            </w:r>
          </w:p>
          <w:p>
            <w:pPr>
              <w:ind w:firstLine="480"/>
              <w:rPr>
                <w:color w:val="auto"/>
              </w:rPr>
            </w:pPr>
            <w:r>
              <w:rPr>
                <w:color w:val="auto"/>
              </w:rPr>
              <w:t>从产业定位及用地规划上分析，本项目均符合《</w:t>
            </w:r>
            <w:r>
              <w:rPr>
                <w:rFonts w:hint="eastAsia"/>
                <w:color w:val="auto"/>
              </w:rPr>
              <w:t>富民工业园区总体规划修编（2015～2030）</w:t>
            </w:r>
            <w:r>
              <w:rPr>
                <w:color w:val="auto"/>
              </w:rPr>
              <w:t>》中</w:t>
            </w:r>
            <w:r>
              <w:rPr>
                <w:rFonts w:hint="eastAsia"/>
                <w:color w:val="auto"/>
              </w:rPr>
              <w:t>大营—茨塘片区大营五金建材园</w:t>
            </w:r>
            <w:r>
              <w:rPr>
                <w:color w:val="auto"/>
              </w:rPr>
              <w:t>规划。同时本项目的建设符合《</w:t>
            </w:r>
            <w:r>
              <w:rPr>
                <w:rFonts w:hint="default"/>
                <w:b w:val="0"/>
                <w:color w:val="auto"/>
                <w:spacing w:val="0"/>
              </w:rPr>
              <w:t>长江经济带发展负面清单指南（试行）</w:t>
            </w:r>
            <w:r>
              <w:rPr>
                <w:color w:val="auto"/>
              </w:rPr>
              <w:t>》的要求，并且能够满足当地环境保护的要求，且不会改变当地的环境功能，因此项目选址、规划合理。</w:t>
            </w:r>
          </w:p>
          <w:p>
            <w:pPr>
              <w:ind w:firstLine="352" w:firstLineChars="147"/>
              <w:contextualSpacing/>
              <w:rPr>
                <w:color w:val="auto"/>
              </w:rPr>
            </w:pPr>
            <w:r>
              <w:rPr>
                <w:color w:val="auto"/>
              </w:rPr>
              <w:t>4、环境质量现状评价结论</w:t>
            </w:r>
          </w:p>
          <w:p>
            <w:pPr>
              <w:ind w:firstLine="480"/>
              <w:rPr>
                <w:color w:val="auto"/>
              </w:rPr>
            </w:pPr>
            <w:r>
              <w:rPr>
                <w:color w:val="auto"/>
              </w:rPr>
              <w:t>建设项目所在地环境空气质量能达到《环境空气质量标准》（GB3095-2012）的二级标准；区域地表水体</w:t>
            </w:r>
            <w:r>
              <w:rPr>
                <w:rFonts w:hint="eastAsia"/>
                <w:color w:val="auto"/>
              </w:rPr>
              <w:t>大营河</w:t>
            </w:r>
            <w:r>
              <w:rPr>
                <w:color w:val="auto"/>
              </w:rPr>
              <w:t>水质达到《地表水环境质量标准》（GB3838-2002）Ⅲ类标准的要求，项目区域声环境质量能满足《声环境质量标准》(GB3096-2008)3类区标准。项目区环境质量状况一般。</w:t>
            </w:r>
          </w:p>
          <w:p>
            <w:pPr>
              <w:ind w:firstLine="352" w:firstLineChars="147"/>
              <w:contextualSpacing/>
              <w:rPr>
                <w:color w:val="auto"/>
              </w:rPr>
            </w:pPr>
            <w:r>
              <w:rPr>
                <w:color w:val="auto"/>
              </w:rPr>
              <w:t>5、施工期环境影响评价结论</w:t>
            </w:r>
          </w:p>
          <w:p>
            <w:pPr>
              <w:ind w:firstLine="480"/>
              <w:rPr>
                <w:color w:val="auto"/>
              </w:rPr>
            </w:pPr>
            <w:r>
              <w:rPr>
                <w:color w:val="auto"/>
              </w:rPr>
              <w:t>建设项目施工期产生的废水、废气、施工噪声、固体废弃物对周围环境有一定的影响，尤其是施工废气和噪声对周围环境有一定负面影响，但随施工期的结束而消除。</w:t>
            </w:r>
          </w:p>
          <w:p>
            <w:pPr>
              <w:ind w:firstLine="352" w:firstLineChars="147"/>
              <w:contextualSpacing/>
              <w:rPr>
                <w:color w:val="auto"/>
              </w:rPr>
            </w:pPr>
            <w:r>
              <w:rPr>
                <w:color w:val="auto"/>
              </w:rPr>
              <w:t>6、运营期环境影响评价结论</w:t>
            </w:r>
          </w:p>
          <w:p>
            <w:pPr>
              <w:ind w:firstLine="480"/>
              <w:contextualSpacing/>
              <w:rPr>
                <w:color w:val="auto"/>
              </w:rPr>
            </w:pPr>
            <w:r>
              <w:rPr>
                <w:color w:val="auto"/>
              </w:rPr>
              <w:t>（1）废水</w:t>
            </w:r>
          </w:p>
          <w:p>
            <w:pPr>
              <w:ind w:firstLine="480"/>
              <w:contextualSpacing/>
              <w:jc w:val="both"/>
              <w:rPr>
                <w:color w:val="auto"/>
              </w:rPr>
            </w:pPr>
            <w:r>
              <w:rPr>
                <w:rFonts w:hint="eastAsia"/>
                <w:color w:val="auto"/>
              </w:rPr>
              <w:t>本项目无生产废水，员工住宿在附近村庄，自由就餐；卫生间使用昆明力线电缆制造有限公司已建成公共卫生间，据调查公共卫生间旁设置了一个总容积为10m</w:t>
            </w:r>
            <w:r>
              <w:rPr>
                <w:rFonts w:hint="eastAsia"/>
                <w:color w:val="auto"/>
                <w:vertAlign w:val="superscript"/>
              </w:rPr>
              <w:t>3</w:t>
            </w:r>
            <w:r>
              <w:rPr>
                <w:rFonts w:hint="eastAsia"/>
                <w:color w:val="auto"/>
              </w:rPr>
              <w:t>的化粪池，卫生间冲厕废水依托昆明力线电缆制造有限公司已建设的化粪池及一体化污水处理设备处理（处理规模为10</w:t>
            </w:r>
            <w:r>
              <w:rPr>
                <w:color w:val="auto"/>
              </w:rPr>
              <w:t>m</w:t>
            </w:r>
            <w:r>
              <w:rPr>
                <w:color w:val="auto"/>
                <w:vertAlign w:val="superscript"/>
              </w:rPr>
              <w:t>3</w:t>
            </w:r>
            <w:r>
              <w:rPr>
                <w:color w:val="auto"/>
              </w:rPr>
              <w:t>/d</w:t>
            </w:r>
            <w:r>
              <w:rPr>
                <w:rFonts w:hint="eastAsia"/>
                <w:color w:val="auto"/>
              </w:rPr>
              <w:t>），达到</w:t>
            </w:r>
            <w:r>
              <w:rPr>
                <w:rFonts w:hint="eastAsia"/>
                <w:color w:val="auto"/>
              </w:rPr>
              <w:t>《城市污水再生利用城市杂用水水质》（GB/T18920-20</w:t>
            </w:r>
            <w:r>
              <w:rPr>
                <w:rFonts w:hint="eastAsia"/>
                <w:color w:val="auto"/>
                <w:lang w:val="en-US" w:eastAsia="zh-CN"/>
              </w:rPr>
              <w:t>20</w:t>
            </w:r>
            <w:r>
              <w:rPr>
                <w:rFonts w:hint="eastAsia"/>
                <w:color w:val="auto"/>
              </w:rPr>
              <w:t>）</w:t>
            </w:r>
            <w:r>
              <w:rPr>
                <w:rFonts w:hint="eastAsia"/>
                <w:color w:val="auto"/>
              </w:rPr>
              <w:t>标准后回用于绿化及道路清扫，不外排。项目无废水外排，不会</w:t>
            </w:r>
            <w:r>
              <w:rPr>
                <w:color w:val="auto"/>
              </w:rPr>
              <w:t>对区域水环境</w:t>
            </w:r>
            <w:r>
              <w:rPr>
                <w:rFonts w:hint="eastAsia"/>
                <w:color w:val="auto"/>
              </w:rPr>
              <w:t>有</w:t>
            </w:r>
            <w:r>
              <w:rPr>
                <w:color w:val="auto"/>
              </w:rPr>
              <w:t>影响。</w:t>
            </w:r>
          </w:p>
          <w:p>
            <w:pPr>
              <w:ind w:firstLine="477" w:firstLineChars="199"/>
              <w:contextualSpacing/>
              <w:rPr>
                <w:color w:val="auto"/>
              </w:rPr>
            </w:pPr>
            <w:r>
              <w:rPr>
                <w:color w:val="auto"/>
              </w:rPr>
              <w:t>（2）废气</w:t>
            </w:r>
          </w:p>
          <w:p>
            <w:pPr>
              <w:ind w:firstLine="480"/>
              <w:rPr>
                <w:color w:val="auto"/>
              </w:rPr>
            </w:pPr>
            <w:r>
              <w:rPr>
                <w:rFonts w:hint="eastAsia"/>
                <w:color w:val="auto"/>
              </w:rPr>
              <w:t>项目运营期生产过程中，切割、打孔过程会产生金属粉尘，焊接过程会产生焊接烟尘，喷塑过程会产生喷塑粉尘；固化过程会产生燃烧废气及固化废气，喷漆过程会产生喷漆废气。金属粉尘无组织排放、焊接烟尘经过多虑筒焊烟净化设备处理后车间无组织排放，喷塑粉尘</w:t>
            </w:r>
            <w:r>
              <w:rPr>
                <w:color w:val="auto"/>
              </w:rPr>
              <w:t>采用</w:t>
            </w:r>
            <w:r>
              <w:rPr>
                <w:rFonts w:hint="eastAsia"/>
                <w:color w:val="auto"/>
              </w:rPr>
              <w:t>二级滤芯脉冲除尘处理</w:t>
            </w:r>
            <w:r>
              <w:rPr>
                <w:color w:val="auto"/>
              </w:rPr>
              <w:t>后由</w:t>
            </w:r>
            <w:r>
              <w:rPr>
                <w:rFonts w:hint="eastAsia"/>
                <w:color w:val="auto"/>
              </w:rPr>
              <w:t>15m高（1#）排气筒</w:t>
            </w:r>
            <w:r>
              <w:rPr>
                <w:color w:val="auto"/>
              </w:rPr>
              <w:t>外排</w:t>
            </w:r>
            <w:r>
              <w:rPr>
                <w:rFonts w:hint="eastAsia"/>
                <w:color w:val="auto"/>
              </w:rPr>
              <w:t>，固化废气经</w:t>
            </w:r>
            <w:r>
              <w:rPr>
                <w:rFonts w:hint="eastAsia"/>
                <w:color w:val="auto"/>
                <w:lang w:val="en-US" w:eastAsia="zh-CN"/>
              </w:rPr>
              <w:t>UV光氧+</w:t>
            </w:r>
            <w:r>
              <w:rPr>
                <w:rFonts w:hint="eastAsia"/>
                <w:color w:val="auto"/>
              </w:rPr>
              <w:t>活性炭吸附装置处理后至15m高（2#）排气筒排放，天然气燃烧废气与固化废气共用一根排气筒，通过一根15m高（2#）排气筒排放，燃烧废气颗粒物、二氧化硫和氮氧化物满足</w:t>
            </w:r>
            <w:r>
              <w:rPr>
                <w:color w:val="auto"/>
              </w:rPr>
              <w:t>GB16297-1996《大气污染物综合排放标准》表2二级标准限值</w:t>
            </w:r>
            <w:r>
              <w:rPr>
                <w:rFonts w:hint="eastAsia"/>
                <w:color w:val="auto"/>
              </w:rPr>
              <w:t>。</w:t>
            </w:r>
            <w:r>
              <w:rPr>
                <w:color w:val="auto"/>
              </w:rPr>
              <w:t>综上所述，运营期各类大气污染物的产生量均不大，且采取了相应的处置措施，经处理后的大气污染物排放量不大，均可实现达标排放，对外环境的影响不大</w:t>
            </w:r>
            <w:r>
              <w:rPr>
                <w:rFonts w:hint="eastAsia"/>
                <w:color w:val="auto"/>
              </w:rPr>
              <w:t>，</w:t>
            </w:r>
            <w:r>
              <w:rPr>
                <w:color w:val="auto"/>
              </w:rPr>
              <w:t>项目运营期废气对环境影响可以接受。</w:t>
            </w:r>
          </w:p>
          <w:p>
            <w:pPr>
              <w:ind w:firstLine="480"/>
              <w:contextualSpacing/>
              <w:rPr>
                <w:color w:val="auto"/>
              </w:rPr>
            </w:pPr>
            <w:r>
              <w:rPr>
                <w:color w:val="auto"/>
              </w:rPr>
              <w:t>（3）固体废弃物</w:t>
            </w:r>
          </w:p>
          <w:p>
            <w:pPr>
              <w:ind w:firstLine="480"/>
              <w:rPr>
                <w:color w:val="auto"/>
              </w:rPr>
            </w:pPr>
            <w:r>
              <w:rPr>
                <w:rFonts w:hint="eastAsia"/>
                <w:color w:val="auto"/>
              </w:rPr>
              <w:t>本项目产生的固体废物主要为一般固废和危险固废。一般固废：机加工生产过程中产生的废金属边角料；焊接工序产生的废焊料和焊渣；喷塑过程中的收尘系统回收塑粉；焊丝、塑粉包装产生的废包装材料及生活垃圾；危险废物：设备保养及维护、机修环节产生的废润滑油、废油桶等；废气处理产生的废活性炭。</w:t>
            </w:r>
          </w:p>
          <w:p>
            <w:pPr>
              <w:ind w:firstLine="480"/>
              <w:rPr>
                <w:color w:val="auto"/>
              </w:rPr>
            </w:pPr>
            <w:r>
              <w:rPr>
                <w:rFonts w:hint="eastAsia"/>
                <w:color w:val="auto"/>
              </w:rPr>
              <w:t>机加工生产过程中产生的废金属边角料部分统一收集后外售；焊接工序产生的废焊料和焊渣，焊丝、塑粉包装产生的废包装材料，统一收集后外售给相关回收单位；喷塑过程中的收尘系统回收塑粉全部回用于喷塑工艺；生活垃圾暂存于项目垃圾桶，然后送至昆明力线电缆公司厂区指定位置，统一由环卫部门清运；设备保养及维护、机修环节产生的废润滑油、废油桶，废气处理产生的废活性炭，</w:t>
            </w:r>
            <w:r>
              <w:rPr>
                <w:color w:val="auto"/>
              </w:rPr>
              <w:t>暂存于</w:t>
            </w:r>
            <w:r>
              <w:rPr>
                <w:rFonts w:hint="eastAsia"/>
                <w:color w:val="auto"/>
              </w:rPr>
              <w:t>危废暂存间</w:t>
            </w:r>
            <w:r>
              <w:rPr>
                <w:color w:val="auto"/>
              </w:rPr>
              <w:t>，定期交由有资质的单位处理处置。</w:t>
            </w:r>
          </w:p>
          <w:p>
            <w:pPr>
              <w:ind w:firstLine="480"/>
              <w:contextualSpacing/>
              <w:rPr>
                <w:color w:val="auto"/>
              </w:rPr>
            </w:pPr>
            <w:r>
              <w:rPr>
                <w:color w:val="auto"/>
              </w:rPr>
              <w:t>因此，项目固体废弃物处置率可达100%，对外环境的影响不大。</w:t>
            </w:r>
          </w:p>
          <w:p>
            <w:pPr>
              <w:ind w:firstLine="480"/>
              <w:contextualSpacing/>
              <w:rPr>
                <w:color w:val="auto"/>
              </w:rPr>
            </w:pPr>
            <w:r>
              <w:rPr>
                <w:color w:val="auto"/>
              </w:rPr>
              <w:t>（4）噪声</w:t>
            </w:r>
          </w:p>
          <w:p>
            <w:pPr>
              <w:ind w:firstLine="480"/>
              <w:rPr>
                <w:color w:val="auto"/>
              </w:rPr>
            </w:pPr>
            <w:r>
              <w:rPr>
                <w:color w:val="auto"/>
              </w:rPr>
              <w:t>项目将</w:t>
            </w:r>
            <w:r>
              <w:rPr>
                <w:rFonts w:hint="eastAsia"/>
                <w:color w:val="auto"/>
              </w:rPr>
              <w:t>剪板机、切割机、锯床、冲床、喷塑设备、空压机、喷枪</w:t>
            </w:r>
            <w:r>
              <w:rPr>
                <w:color w:val="auto"/>
              </w:rPr>
              <w:t>等高产噪均设置与厂房内，并于主要产噪机器上安装减震软垫等降噪措施。在采取本环评报告的工程及管理措施后，项目建成后噪声也可做到达标排放，不会对该区域声环境质量造成大的影响。</w:t>
            </w:r>
          </w:p>
          <w:p>
            <w:pPr>
              <w:ind w:firstLine="0" w:firstLineChars="0"/>
              <w:contextualSpacing/>
              <w:rPr>
                <w:color w:val="auto"/>
              </w:rPr>
            </w:pPr>
            <w:r>
              <w:rPr>
                <w:color w:val="auto"/>
              </w:rPr>
              <w:t>二、环保对策措施</w:t>
            </w:r>
          </w:p>
          <w:p>
            <w:pPr>
              <w:ind w:firstLine="480"/>
              <w:contextualSpacing/>
              <w:rPr>
                <w:color w:val="auto"/>
              </w:rPr>
            </w:pPr>
            <w:r>
              <w:rPr>
                <w:color w:val="auto"/>
              </w:rPr>
              <w:t>（</w:t>
            </w:r>
            <w:r>
              <w:rPr>
                <w:rFonts w:hint="eastAsia"/>
                <w:color w:val="auto"/>
              </w:rPr>
              <w:t>1</w:t>
            </w:r>
            <w:r>
              <w:rPr>
                <w:color w:val="auto"/>
              </w:rPr>
              <w:t>）废气</w:t>
            </w:r>
          </w:p>
          <w:p>
            <w:pPr>
              <w:ind w:firstLine="480"/>
              <w:rPr>
                <w:color w:val="auto"/>
              </w:rPr>
            </w:pPr>
            <w:r>
              <w:rPr>
                <w:color w:val="auto"/>
              </w:rPr>
              <w:t>1）</w:t>
            </w:r>
            <w:r>
              <w:rPr>
                <w:rFonts w:hint="eastAsia"/>
                <w:color w:val="auto"/>
              </w:rPr>
              <w:t>焊接烟尘经过多虑筒焊烟净化设备处理后车间无组织排放</w:t>
            </w:r>
            <w:r>
              <w:rPr>
                <w:color w:val="auto"/>
              </w:rPr>
              <w:t>。</w:t>
            </w:r>
          </w:p>
          <w:p>
            <w:pPr>
              <w:ind w:firstLine="480"/>
              <w:rPr>
                <w:color w:val="auto"/>
              </w:rPr>
            </w:pPr>
            <w:r>
              <w:rPr>
                <w:color w:val="auto"/>
              </w:rPr>
              <w:t>2）</w:t>
            </w:r>
            <w:r>
              <w:rPr>
                <w:rFonts w:hint="eastAsia"/>
                <w:color w:val="auto"/>
              </w:rPr>
              <w:t>喷塑粉尘</w:t>
            </w:r>
            <w:r>
              <w:rPr>
                <w:color w:val="auto"/>
              </w:rPr>
              <w:t>采用</w:t>
            </w:r>
            <w:r>
              <w:rPr>
                <w:rFonts w:hint="eastAsia"/>
                <w:color w:val="auto"/>
              </w:rPr>
              <w:t>二级滤芯脉冲除尘处理</w:t>
            </w:r>
            <w:r>
              <w:rPr>
                <w:color w:val="auto"/>
              </w:rPr>
              <w:t>后由</w:t>
            </w:r>
            <w:r>
              <w:rPr>
                <w:rFonts w:hint="eastAsia"/>
                <w:color w:val="auto"/>
              </w:rPr>
              <w:t>15m高排气筒</w:t>
            </w: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lang w:val="en-US" w:eastAsia="zh-CN"/>
              </w:rPr>
              <w:t>排放</w:t>
            </w:r>
            <w:r>
              <w:rPr>
                <w:color w:val="auto"/>
              </w:rPr>
              <w:t>。</w:t>
            </w:r>
          </w:p>
          <w:p>
            <w:pPr>
              <w:ind w:firstLine="480"/>
              <w:rPr>
                <w:color w:val="auto"/>
              </w:rPr>
            </w:pPr>
            <w:r>
              <w:rPr>
                <w:color w:val="auto"/>
              </w:rPr>
              <w:t>3）</w:t>
            </w:r>
            <w:r>
              <w:rPr>
                <w:rFonts w:hint="eastAsia"/>
                <w:color w:val="auto"/>
                <w:lang w:eastAsia="zh-CN"/>
              </w:rPr>
              <w:t>天然气属于清洁能源，</w:t>
            </w:r>
            <w:r>
              <w:rPr>
                <w:rFonts w:hint="eastAsia"/>
                <w:color w:val="auto"/>
              </w:rPr>
              <w:t>燃烧废气通过一根15m高排气筒</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排放。</w:t>
            </w:r>
          </w:p>
          <w:p>
            <w:pPr>
              <w:ind w:firstLine="480"/>
              <w:rPr>
                <w:color w:val="auto"/>
              </w:rPr>
            </w:pPr>
            <w:r>
              <w:rPr>
                <w:color w:val="auto"/>
              </w:rPr>
              <w:t>4）</w:t>
            </w:r>
            <w:r>
              <w:rPr>
                <w:rFonts w:hint="eastAsia"/>
                <w:color w:val="auto"/>
              </w:rPr>
              <w:t>固化废气经</w:t>
            </w:r>
            <w:r>
              <w:rPr>
                <w:rFonts w:hint="eastAsia"/>
                <w:color w:val="auto"/>
                <w:lang w:val="en-US" w:eastAsia="zh-CN"/>
              </w:rPr>
              <w:t>UV光氧+</w:t>
            </w:r>
            <w:r>
              <w:rPr>
                <w:rFonts w:hint="eastAsia"/>
                <w:color w:val="auto"/>
              </w:rPr>
              <w:t>活性炭吸附设备处理后至15m高排气筒</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排放</w:t>
            </w:r>
            <w:r>
              <w:rPr>
                <w:color w:val="auto"/>
              </w:rPr>
              <w:t>。</w:t>
            </w:r>
          </w:p>
          <w:p>
            <w:pPr>
              <w:ind w:firstLine="480"/>
              <w:rPr>
                <w:color w:val="auto"/>
              </w:rPr>
            </w:pPr>
            <w:r>
              <w:rPr>
                <w:color w:val="auto"/>
              </w:rPr>
              <w:t>5）厂房内加强通风，加速无组织废气排放。</w:t>
            </w:r>
          </w:p>
          <w:p>
            <w:pPr>
              <w:ind w:firstLine="480"/>
              <w:rPr>
                <w:color w:val="auto"/>
              </w:rPr>
            </w:pPr>
            <w:r>
              <w:rPr>
                <w:rFonts w:hint="eastAsia"/>
                <w:color w:val="auto"/>
              </w:rPr>
              <w:t>6</w:t>
            </w:r>
            <w:r>
              <w:rPr>
                <w:color w:val="auto"/>
              </w:rPr>
              <w:t>）</w:t>
            </w:r>
            <w:r>
              <w:rPr>
                <w:rFonts w:hint="eastAsia"/>
                <w:color w:val="auto"/>
              </w:rPr>
              <w:t>定期检查和保养环保设施，并定期更换活性炭，保证其设备净化效率及正常运行。</w:t>
            </w:r>
          </w:p>
          <w:p>
            <w:pPr>
              <w:ind w:firstLine="480"/>
              <w:contextualSpacing/>
              <w:rPr>
                <w:color w:val="auto"/>
              </w:rPr>
            </w:pPr>
            <w:r>
              <w:rPr>
                <w:color w:val="auto"/>
              </w:rPr>
              <w:t>（</w:t>
            </w:r>
            <w:r>
              <w:rPr>
                <w:rFonts w:hint="eastAsia"/>
                <w:color w:val="auto"/>
              </w:rPr>
              <w:t>2</w:t>
            </w:r>
            <w:r>
              <w:rPr>
                <w:color w:val="auto"/>
              </w:rPr>
              <w:t>）噪声</w:t>
            </w:r>
          </w:p>
          <w:p>
            <w:pPr>
              <w:ind w:firstLine="480"/>
              <w:rPr>
                <w:color w:val="auto"/>
              </w:rPr>
            </w:pPr>
            <w:r>
              <w:rPr>
                <w:color w:val="auto"/>
              </w:rPr>
              <w:t>1）主要产噪设备均设置在厂房内，并安装减震垫等降噪措施。</w:t>
            </w:r>
          </w:p>
          <w:p>
            <w:pPr>
              <w:ind w:firstLine="480"/>
              <w:rPr>
                <w:color w:val="auto"/>
              </w:rPr>
            </w:pPr>
            <w:r>
              <w:rPr>
                <w:color w:val="auto"/>
              </w:rPr>
              <w:t>2）合理布设汽车出入口，减少汽车场内运行时间。</w:t>
            </w:r>
          </w:p>
          <w:p>
            <w:pPr>
              <w:ind w:firstLine="480"/>
              <w:contextualSpacing/>
              <w:rPr>
                <w:color w:val="auto"/>
              </w:rPr>
            </w:pPr>
            <w:r>
              <w:rPr>
                <w:color w:val="auto"/>
              </w:rPr>
              <w:t>（</w:t>
            </w:r>
            <w:r>
              <w:rPr>
                <w:rFonts w:hint="eastAsia"/>
                <w:color w:val="auto"/>
              </w:rPr>
              <w:t>3</w:t>
            </w:r>
            <w:r>
              <w:rPr>
                <w:color w:val="auto"/>
              </w:rPr>
              <w:t>）固体废弃物</w:t>
            </w:r>
          </w:p>
          <w:p>
            <w:pPr>
              <w:ind w:firstLine="480"/>
              <w:rPr>
                <w:color w:val="auto"/>
              </w:rPr>
            </w:pPr>
            <w:r>
              <w:rPr>
                <w:rFonts w:hint="eastAsia"/>
                <w:color w:val="auto"/>
              </w:rPr>
              <w:t>1</w:t>
            </w:r>
            <w:r>
              <w:rPr>
                <w:color w:val="auto"/>
              </w:rPr>
              <w:t>）</w:t>
            </w:r>
            <w:r>
              <w:rPr>
                <w:rFonts w:hint="eastAsia"/>
                <w:color w:val="auto"/>
              </w:rPr>
              <w:t>废金属边角料部分统一收集后外售。</w:t>
            </w:r>
          </w:p>
          <w:p>
            <w:pPr>
              <w:ind w:firstLine="480"/>
              <w:rPr>
                <w:color w:val="auto"/>
              </w:rPr>
            </w:pPr>
            <w:r>
              <w:rPr>
                <w:color w:val="auto"/>
              </w:rPr>
              <w:t>2）</w:t>
            </w:r>
            <w:r>
              <w:rPr>
                <w:rFonts w:hint="eastAsia"/>
                <w:color w:val="auto"/>
              </w:rPr>
              <w:t>焊接工序产生的废焊料和焊渣，焊丝、塑粉包装产生的废包装材料，统一收集后外售</w:t>
            </w:r>
            <w:r>
              <w:rPr>
                <w:color w:val="auto"/>
              </w:rPr>
              <w:t>。</w:t>
            </w:r>
          </w:p>
          <w:p>
            <w:pPr>
              <w:ind w:firstLine="480"/>
              <w:rPr>
                <w:color w:val="auto"/>
              </w:rPr>
            </w:pPr>
            <w:r>
              <w:rPr>
                <w:color w:val="auto"/>
              </w:rPr>
              <w:t>3）</w:t>
            </w:r>
            <w:r>
              <w:rPr>
                <w:rFonts w:hint="eastAsia"/>
                <w:color w:val="auto"/>
              </w:rPr>
              <w:t>喷塑过程中的收尘系统回收塑粉全部回用于喷塑工艺</w:t>
            </w:r>
            <w:r>
              <w:rPr>
                <w:color w:val="auto"/>
              </w:rPr>
              <w:t>。</w:t>
            </w:r>
          </w:p>
          <w:p>
            <w:pPr>
              <w:ind w:firstLine="480"/>
              <w:rPr>
                <w:color w:val="auto"/>
              </w:rPr>
            </w:pPr>
            <w:r>
              <w:rPr>
                <w:color w:val="auto"/>
              </w:rPr>
              <w:t>4）</w:t>
            </w:r>
            <w:r>
              <w:rPr>
                <w:rFonts w:hint="eastAsia"/>
                <w:color w:val="auto"/>
              </w:rPr>
              <w:t>生活垃圾暂存于项目垃圾桶，然后送至昆明力线电缆公司厂区指定位置，统一由环卫部门清运。</w:t>
            </w:r>
          </w:p>
          <w:p>
            <w:pPr>
              <w:ind w:firstLine="480"/>
              <w:rPr>
                <w:color w:val="auto"/>
              </w:rPr>
            </w:pPr>
            <w:r>
              <w:rPr>
                <w:color w:val="auto"/>
              </w:rPr>
              <w:t>5）</w:t>
            </w:r>
            <w:r>
              <w:rPr>
                <w:rFonts w:hint="eastAsia"/>
                <w:color w:val="auto"/>
              </w:rPr>
              <w:t>废润滑油、废油桶，</w:t>
            </w:r>
            <w:r>
              <w:rPr>
                <w:color w:val="auto"/>
              </w:rPr>
              <w:t>暂存于</w:t>
            </w:r>
            <w:r>
              <w:rPr>
                <w:rFonts w:hint="eastAsia"/>
                <w:color w:val="auto"/>
              </w:rPr>
              <w:t>危废暂存间</w:t>
            </w:r>
            <w:r>
              <w:rPr>
                <w:color w:val="auto"/>
              </w:rPr>
              <w:t>，定期交由有资质的单位处理处置。</w:t>
            </w:r>
          </w:p>
          <w:p>
            <w:pPr>
              <w:ind w:firstLine="480"/>
              <w:rPr>
                <w:color w:val="auto"/>
              </w:rPr>
            </w:pPr>
            <w:r>
              <w:rPr>
                <w:color w:val="auto"/>
              </w:rPr>
              <w:t>6）</w:t>
            </w:r>
            <w:r>
              <w:rPr>
                <w:rFonts w:hint="eastAsia"/>
                <w:color w:val="auto"/>
              </w:rPr>
              <w:t>废气处理产生的废活性炭，</w:t>
            </w:r>
            <w:r>
              <w:rPr>
                <w:color w:val="auto"/>
              </w:rPr>
              <w:t>暂存于</w:t>
            </w:r>
            <w:r>
              <w:rPr>
                <w:rFonts w:hint="eastAsia"/>
                <w:color w:val="auto"/>
              </w:rPr>
              <w:t>危废暂存间</w:t>
            </w:r>
            <w:r>
              <w:rPr>
                <w:color w:val="auto"/>
              </w:rPr>
              <w:t>，定期交由有资质的单位处理处置</w:t>
            </w:r>
            <w:r>
              <w:rPr>
                <w:rFonts w:hint="eastAsia"/>
                <w:color w:val="auto"/>
              </w:rPr>
              <w:t>。</w:t>
            </w:r>
          </w:p>
          <w:p>
            <w:pPr>
              <w:ind w:firstLine="0" w:firstLineChars="0"/>
              <w:rPr>
                <w:color w:val="auto"/>
              </w:rPr>
            </w:pPr>
            <w:r>
              <w:rPr>
                <w:color w:val="auto"/>
              </w:rPr>
              <w:t>三、评价总结论</w:t>
            </w:r>
          </w:p>
          <w:p>
            <w:pPr>
              <w:ind w:firstLine="480"/>
              <w:contextualSpacing/>
              <w:jc w:val="left"/>
              <w:rPr>
                <w:color w:val="auto"/>
              </w:rPr>
            </w:pPr>
            <w:r>
              <w:rPr>
                <w:color w:val="auto"/>
              </w:rPr>
              <w:t>本项目选址</w:t>
            </w:r>
            <w:r>
              <w:rPr>
                <w:rFonts w:hint="eastAsia"/>
                <w:color w:val="auto"/>
              </w:rPr>
              <w:t>昆明市富民工业园区大营—茨塘片区大营五金建材园昆明力线电缆制造有限公司厂房内</w:t>
            </w:r>
            <w:r>
              <w:rPr>
                <w:color w:val="auto"/>
              </w:rPr>
              <w:t>，本项目为</w:t>
            </w:r>
            <w:r>
              <w:rPr>
                <w:rFonts w:hint="eastAsia"/>
                <w:color w:val="auto"/>
              </w:rPr>
              <w:t>金属结构制造</w:t>
            </w:r>
            <w:r>
              <w:rPr>
                <w:color w:val="auto"/>
              </w:rPr>
              <w:t>，属于</w:t>
            </w:r>
            <w:r>
              <w:rPr>
                <w:rFonts w:hint="eastAsia"/>
                <w:color w:val="auto"/>
              </w:rPr>
              <w:t>金属制品业。</w:t>
            </w:r>
            <w:r>
              <w:rPr>
                <w:color w:val="auto"/>
              </w:rPr>
              <w:t>项目建设符合国家产业政策，符合规划及达标排放、总量控制的原则。且满足《产业结构调整指导目录</w:t>
            </w:r>
            <w:r>
              <w:rPr>
                <w:rFonts w:hint="eastAsia"/>
                <w:color w:val="auto"/>
              </w:rPr>
              <w:t>（</w:t>
            </w:r>
            <w:r>
              <w:rPr>
                <w:color w:val="auto"/>
              </w:rPr>
              <w:t>201</w:t>
            </w:r>
            <w:r>
              <w:rPr>
                <w:rFonts w:hint="eastAsia"/>
                <w:color w:val="auto"/>
              </w:rPr>
              <w:t>9本）</w:t>
            </w:r>
            <w:r>
              <w:rPr>
                <w:color w:val="auto"/>
              </w:rPr>
              <w:t>》、《</w:t>
            </w:r>
            <w:r>
              <w:rPr>
                <w:rFonts w:hint="eastAsia"/>
                <w:color w:val="auto"/>
              </w:rPr>
              <w:t>富民工业园区</w:t>
            </w:r>
            <w:r>
              <w:rPr>
                <w:color w:val="auto"/>
              </w:rPr>
              <w:t>规划》、《</w:t>
            </w:r>
            <w:r>
              <w:rPr>
                <w:rFonts w:hint="default"/>
                <w:b w:val="0"/>
                <w:color w:val="auto"/>
                <w:spacing w:val="0"/>
              </w:rPr>
              <w:t>长江经济带发展负面清单指南（试行）</w:t>
            </w:r>
            <w:r>
              <w:rPr>
                <w:color w:val="auto"/>
              </w:rPr>
              <w:t>》的要求。</w:t>
            </w:r>
          </w:p>
          <w:p>
            <w:pPr>
              <w:ind w:firstLine="480"/>
              <w:rPr>
                <w:color w:val="auto"/>
              </w:rPr>
            </w:pPr>
            <w:r>
              <w:rPr>
                <w:color w:val="auto"/>
              </w:rPr>
              <w:t>项目在建设过程中产生的影响是局部的、暂时的，不累积的，只要采取适当措施，加强施工管理，其对环境的负面影响可大大减缓，能够确保三废达标排放。运营期间，项目建设不会降低当地环境功能。</w:t>
            </w:r>
          </w:p>
          <w:p>
            <w:pPr>
              <w:ind w:firstLine="480"/>
              <w:rPr>
                <w:color w:val="auto"/>
              </w:rPr>
            </w:pPr>
            <w:r>
              <w:rPr>
                <w:color w:val="auto"/>
              </w:rPr>
              <w:t>因此，从环保的角度考虑，项目的建设是可行的。</w:t>
            </w:r>
          </w:p>
          <w:p>
            <w:pPr>
              <w:ind w:firstLine="0" w:firstLineChars="0"/>
              <w:contextualSpacing/>
              <w:rPr>
                <w:color w:val="auto"/>
              </w:rPr>
            </w:pPr>
            <w:r>
              <w:rPr>
                <w:color w:val="auto"/>
              </w:rPr>
              <w:t>四、其他</w:t>
            </w:r>
          </w:p>
          <w:p>
            <w:pPr>
              <w:ind w:firstLine="480"/>
              <w:contextualSpacing/>
              <w:rPr>
                <w:color w:val="auto"/>
              </w:rPr>
            </w:pPr>
            <w:r>
              <w:rPr>
                <w:color w:val="auto"/>
              </w:rPr>
              <w:t>（1）关于“三同时”</w:t>
            </w:r>
          </w:p>
          <w:p>
            <w:pPr>
              <w:ind w:firstLine="480"/>
              <w:contextualSpacing/>
              <w:rPr>
                <w:color w:val="auto"/>
              </w:rPr>
            </w:pPr>
            <w:r>
              <w:rPr>
                <w:color w:val="auto"/>
              </w:rPr>
              <w:t>项目</w:t>
            </w:r>
            <w:r>
              <w:rPr>
                <w:rFonts w:hint="eastAsia"/>
                <w:color w:val="auto"/>
              </w:rPr>
              <w:t>多虑筒焊烟净化设备、脉冲布袋除尘设备、活性炭吸附设备</w:t>
            </w:r>
            <w:r>
              <w:rPr>
                <w:color w:val="auto"/>
              </w:rPr>
              <w:t>等环保设施必须和主体工程同时设计、同时施工、同时投产。</w:t>
            </w:r>
          </w:p>
          <w:p>
            <w:pPr>
              <w:ind w:firstLine="480"/>
              <w:contextualSpacing/>
              <w:rPr>
                <w:color w:val="auto"/>
              </w:rPr>
            </w:pPr>
            <w:r>
              <w:rPr>
                <w:color w:val="auto"/>
              </w:rPr>
              <w:t>（2）“禁磷”、“禁白”，“禁止使用高污染燃料”</w:t>
            </w:r>
          </w:p>
          <w:p>
            <w:pPr>
              <w:ind w:firstLine="480"/>
              <w:contextualSpacing/>
              <w:rPr>
                <w:color w:val="auto"/>
              </w:rPr>
            </w:pPr>
            <w:r>
              <w:rPr>
                <w:color w:val="auto"/>
              </w:rPr>
              <w:t>按照昆明市政府有关“禁磷”、“禁白”、“禁煤”的要求，项目禁止使用含磷洗衣粉和含磷洗涤剂，禁止使用一次性不可降解餐饮器具和塑料袋，禁止使用燃煤污染型能源，应使用电能、液化气等清洁能源。</w:t>
            </w:r>
          </w:p>
          <w:p>
            <w:pPr>
              <w:ind w:firstLine="480"/>
              <w:contextualSpacing/>
              <w:rPr>
                <w:color w:val="auto"/>
              </w:rPr>
            </w:pPr>
            <w:r>
              <w:rPr>
                <w:color w:val="auto"/>
              </w:rPr>
              <w:t>（3）环境管理</w:t>
            </w:r>
          </w:p>
          <w:p>
            <w:pPr>
              <w:ind w:firstLine="480"/>
              <w:contextualSpacing/>
              <w:rPr>
                <w:color w:val="auto"/>
              </w:rPr>
            </w:pPr>
            <w:r>
              <w:rPr>
                <w:color w:val="auto"/>
              </w:rPr>
              <w:t>为了加强项目设置的各种环保设施的运行，项目必须制订相关的环保设施管理制度，设置一到两名专、兼职环保人员对各种环保设施的日常管理及维护工作。</w:t>
            </w:r>
          </w:p>
          <w:p>
            <w:pPr>
              <w:ind w:firstLine="480"/>
              <w:contextualSpacing/>
              <w:rPr>
                <w:color w:val="auto"/>
              </w:rPr>
            </w:pPr>
            <w:r>
              <w:rPr>
                <w:color w:val="auto"/>
              </w:rPr>
              <w:t>（4）环保设施</w:t>
            </w:r>
          </w:p>
          <w:p>
            <w:pPr>
              <w:ind w:firstLine="480"/>
              <w:rPr>
                <w:color w:val="auto"/>
              </w:rPr>
            </w:pPr>
            <w:r>
              <w:rPr>
                <w:color w:val="auto"/>
              </w:rPr>
              <w:t>项目应加强</w:t>
            </w:r>
            <w:r>
              <w:rPr>
                <w:rFonts w:hint="eastAsia"/>
                <w:color w:val="auto"/>
              </w:rPr>
              <w:t>多虑筒焊烟净化设备、脉冲布袋除尘设备、活性炭吸附设备</w:t>
            </w:r>
            <w:r>
              <w:rPr>
                <w:color w:val="auto"/>
              </w:rPr>
              <w:t>等环保设施的管理，定期对环保设施进行维护、检修，确保各项环保设施的正常运行，以保证处理效果，使各项污染物能达标排放。</w:t>
            </w:r>
          </w:p>
          <w:p>
            <w:pPr>
              <w:ind w:firstLine="480"/>
              <w:contextualSpacing/>
              <w:rPr>
                <w:color w:val="auto"/>
              </w:rPr>
            </w:pPr>
            <w:r>
              <w:rPr>
                <w:color w:val="auto"/>
              </w:rPr>
              <w:t>（5）另行报批</w:t>
            </w:r>
          </w:p>
          <w:p>
            <w:pPr>
              <w:ind w:firstLine="480"/>
              <w:contextualSpacing/>
              <w:rPr>
                <w:color w:val="auto"/>
              </w:rPr>
            </w:pPr>
            <w:r>
              <w:rPr>
                <w:color w:val="auto"/>
              </w:rPr>
              <w:t>项目目前处于规划设计阶段，若将来项目建设的实际情况与目前规划有较大的调整，须另行报批环境影响评价报告。本项目环保措施一览表见9-1。</w:t>
            </w:r>
          </w:p>
          <w:p>
            <w:pPr>
              <w:pStyle w:val="48"/>
              <w:ind w:firstLine="422"/>
              <w:rPr>
                <w:color w:val="auto"/>
              </w:rPr>
            </w:pPr>
            <w:r>
              <w:rPr>
                <w:color w:val="auto"/>
              </w:rPr>
              <w:t>表9-1项目环保对策措施一览表</w:t>
            </w:r>
          </w:p>
          <w:tbl>
            <w:tblPr>
              <w:tblStyle w:val="36"/>
              <w:tblW w:w="8878" w:type="dxa"/>
              <w:jc w:val="center"/>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Layout w:type="autofit"/>
              <w:tblCellMar>
                <w:top w:w="0" w:type="dxa"/>
                <w:left w:w="108" w:type="dxa"/>
                <w:bottom w:w="0" w:type="dxa"/>
                <w:right w:w="108" w:type="dxa"/>
              </w:tblCellMar>
            </w:tblPr>
            <w:tblGrid>
              <w:gridCol w:w="885"/>
              <w:gridCol w:w="935"/>
              <w:gridCol w:w="7058"/>
            </w:tblGrid>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885" w:type="dxa"/>
                  <w:vAlign w:val="center"/>
                </w:tcPr>
                <w:p>
                  <w:pPr>
                    <w:pStyle w:val="50"/>
                    <w:rPr>
                      <w:color w:val="auto"/>
                    </w:rPr>
                  </w:pPr>
                  <w:r>
                    <w:rPr>
                      <w:color w:val="auto"/>
                    </w:rPr>
                    <w:t>序号</w:t>
                  </w:r>
                </w:p>
              </w:tc>
              <w:tc>
                <w:tcPr>
                  <w:tcW w:w="935" w:type="dxa"/>
                  <w:vAlign w:val="center"/>
                </w:tcPr>
                <w:p>
                  <w:pPr>
                    <w:pStyle w:val="50"/>
                    <w:rPr>
                      <w:color w:val="auto"/>
                    </w:rPr>
                  </w:pPr>
                  <w:r>
                    <w:rPr>
                      <w:color w:val="auto"/>
                    </w:rPr>
                    <w:t>污染源</w:t>
                  </w:r>
                </w:p>
              </w:tc>
              <w:tc>
                <w:tcPr>
                  <w:tcW w:w="7058" w:type="dxa"/>
                  <w:vAlign w:val="center"/>
                </w:tcPr>
                <w:p>
                  <w:pPr>
                    <w:pStyle w:val="50"/>
                    <w:rPr>
                      <w:color w:val="auto"/>
                    </w:rPr>
                  </w:pPr>
                  <w:r>
                    <w:rPr>
                      <w:color w:val="auto"/>
                    </w:rPr>
                    <w:t>防治对策措施</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90" w:hRule="atLeast"/>
                <w:jc w:val="center"/>
              </w:trPr>
              <w:tc>
                <w:tcPr>
                  <w:tcW w:w="885" w:type="dxa"/>
                  <w:vAlign w:val="center"/>
                </w:tcPr>
                <w:p>
                  <w:pPr>
                    <w:pStyle w:val="50"/>
                    <w:rPr>
                      <w:color w:val="auto"/>
                    </w:rPr>
                  </w:pPr>
                  <w:r>
                    <w:rPr>
                      <w:color w:val="auto"/>
                    </w:rPr>
                    <w:t>一</w:t>
                  </w:r>
                </w:p>
              </w:tc>
              <w:tc>
                <w:tcPr>
                  <w:tcW w:w="7993" w:type="dxa"/>
                  <w:gridSpan w:val="2"/>
                  <w:vAlign w:val="center"/>
                </w:tcPr>
                <w:p>
                  <w:pPr>
                    <w:pStyle w:val="50"/>
                    <w:rPr>
                      <w:color w:val="auto"/>
                    </w:rPr>
                  </w:pPr>
                  <w:r>
                    <w:rPr>
                      <w:color w:val="auto"/>
                    </w:rPr>
                    <w:t>施工期污染防治措施</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411" w:hRule="atLeast"/>
                <w:jc w:val="center"/>
              </w:trPr>
              <w:tc>
                <w:tcPr>
                  <w:tcW w:w="885" w:type="dxa"/>
                  <w:vAlign w:val="center"/>
                </w:tcPr>
                <w:p>
                  <w:pPr>
                    <w:pStyle w:val="50"/>
                    <w:rPr>
                      <w:color w:val="auto"/>
                    </w:rPr>
                  </w:pPr>
                  <w:r>
                    <w:rPr>
                      <w:color w:val="auto"/>
                    </w:rPr>
                    <w:t>1</w:t>
                  </w:r>
                </w:p>
              </w:tc>
              <w:tc>
                <w:tcPr>
                  <w:tcW w:w="935" w:type="dxa"/>
                  <w:vAlign w:val="center"/>
                </w:tcPr>
                <w:p>
                  <w:pPr>
                    <w:pStyle w:val="50"/>
                    <w:rPr>
                      <w:color w:val="auto"/>
                    </w:rPr>
                  </w:pPr>
                  <w:r>
                    <w:rPr>
                      <w:color w:val="auto"/>
                    </w:rPr>
                    <w:t>废气</w:t>
                  </w:r>
                </w:p>
              </w:tc>
              <w:tc>
                <w:tcPr>
                  <w:tcW w:w="7058" w:type="dxa"/>
                  <w:vAlign w:val="center"/>
                </w:tcPr>
                <w:p>
                  <w:pPr>
                    <w:pStyle w:val="50"/>
                    <w:jc w:val="left"/>
                    <w:rPr>
                      <w:color w:val="auto"/>
                    </w:rPr>
                  </w:pPr>
                  <w:r>
                    <w:rPr>
                      <w:color w:val="auto"/>
                    </w:rPr>
                    <w:t>（1）设备安装过程中，加强车间通风换气。</w:t>
                  </w:r>
                </w:p>
                <w:p>
                  <w:pPr>
                    <w:pStyle w:val="50"/>
                    <w:jc w:val="left"/>
                    <w:rPr>
                      <w:color w:val="auto"/>
                    </w:rPr>
                  </w:pPr>
                  <w:r>
                    <w:rPr>
                      <w:color w:val="auto"/>
                    </w:rPr>
                    <w:t>（2）设备安装完成后及时清扫车间，保持车间的洁净度。</w:t>
                  </w:r>
                </w:p>
                <w:p>
                  <w:pPr>
                    <w:pStyle w:val="50"/>
                    <w:jc w:val="left"/>
                    <w:rPr>
                      <w:color w:val="auto"/>
                    </w:rPr>
                  </w:pPr>
                  <w:r>
                    <w:rPr>
                      <w:color w:val="auto"/>
                    </w:rPr>
                    <w:t>（3）加强施工现场扬尘控制。严禁从建筑物高处向下倾倒建筑垃圾。</w:t>
                  </w:r>
                </w:p>
                <w:p>
                  <w:pPr>
                    <w:pStyle w:val="50"/>
                    <w:jc w:val="left"/>
                    <w:rPr>
                      <w:color w:val="auto"/>
                    </w:rPr>
                  </w:pPr>
                  <w:r>
                    <w:rPr>
                      <w:color w:val="auto"/>
                    </w:rPr>
                    <w:t>（4）项目使用应选用油耗低、效率高、废气排放达标的生产设备；加强管理，运输车辆必须尾气达标。</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692" w:hRule="atLeast"/>
                <w:jc w:val="center"/>
              </w:trPr>
              <w:tc>
                <w:tcPr>
                  <w:tcW w:w="885" w:type="dxa"/>
                  <w:vAlign w:val="center"/>
                </w:tcPr>
                <w:p>
                  <w:pPr>
                    <w:pStyle w:val="50"/>
                    <w:rPr>
                      <w:color w:val="auto"/>
                    </w:rPr>
                  </w:pPr>
                  <w:r>
                    <w:rPr>
                      <w:color w:val="auto"/>
                    </w:rPr>
                    <w:t>2</w:t>
                  </w:r>
                </w:p>
              </w:tc>
              <w:tc>
                <w:tcPr>
                  <w:tcW w:w="935" w:type="dxa"/>
                  <w:vAlign w:val="center"/>
                </w:tcPr>
                <w:p>
                  <w:pPr>
                    <w:pStyle w:val="50"/>
                    <w:rPr>
                      <w:color w:val="auto"/>
                    </w:rPr>
                  </w:pPr>
                  <w:r>
                    <w:rPr>
                      <w:color w:val="auto"/>
                    </w:rPr>
                    <w:t>噪声</w:t>
                  </w:r>
                </w:p>
              </w:tc>
              <w:tc>
                <w:tcPr>
                  <w:tcW w:w="7058" w:type="dxa"/>
                  <w:vAlign w:val="center"/>
                </w:tcPr>
                <w:p>
                  <w:pPr>
                    <w:pStyle w:val="50"/>
                    <w:jc w:val="left"/>
                    <w:rPr>
                      <w:color w:val="auto"/>
                    </w:rPr>
                  </w:pPr>
                  <w:r>
                    <w:rPr>
                      <w:color w:val="auto"/>
                    </w:rPr>
                    <w:t>（1）尽量选用低噪声施工设备。减轻设备噪声对周围环境的影响。</w:t>
                  </w:r>
                </w:p>
                <w:p>
                  <w:pPr>
                    <w:pStyle w:val="50"/>
                    <w:jc w:val="both"/>
                    <w:rPr>
                      <w:color w:val="auto"/>
                    </w:rPr>
                  </w:pPr>
                  <w:r>
                    <w:rPr>
                      <w:color w:val="auto"/>
                    </w:rPr>
                    <w:t>（2）建设管理部门应加强对施工场地的噪声管理，施工企业也应对施工噪声进行自律，合理安排工期，减短施工的施工时间；加强对施工人员的管理，避免人为噪声的产生</w:t>
                  </w:r>
                  <w:r>
                    <w:rPr>
                      <w:rFonts w:hint="eastAsia"/>
                      <w:color w:val="auto"/>
                    </w:rPr>
                    <w:t>，</w:t>
                  </w:r>
                  <w:r>
                    <w:rPr>
                      <w:color w:val="auto"/>
                    </w:rPr>
                    <w:t>做到文明施工，避免因施工噪声产生纠纷。</w:t>
                  </w:r>
                </w:p>
                <w:p>
                  <w:pPr>
                    <w:pStyle w:val="50"/>
                    <w:jc w:val="left"/>
                    <w:rPr>
                      <w:color w:val="auto"/>
                    </w:rPr>
                  </w:pPr>
                  <w:r>
                    <w:rPr>
                      <w:color w:val="auto"/>
                    </w:rPr>
                    <w:t>（3）应科学合理地安排施工步骤，优化施工方案，合理安排作业时间，尽量减短噪声持续排放的时间。</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411" w:hRule="atLeast"/>
                <w:jc w:val="center"/>
              </w:trPr>
              <w:tc>
                <w:tcPr>
                  <w:tcW w:w="885" w:type="dxa"/>
                  <w:vAlign w:val="center"/>
                </w:tcPr>
                <w:p>
                  <w:pPr>
                    <w:pStyle w:val="50"/>
                    <w:rPr>
                      <w:color w:val="auto"/>
                    </w:rPr>
                  </w:pPr>
                  <w:r>
                    <w:rPr>
                      <w:color w:val="auto"/>
                    </w:rPr>
                    <w:t>3</w:t>
                  </w:r>
                </w:p>
              </w:tc>
              <w:tc>
                <w:tcPr>
                  <w:tcW w:w="935" w:type="dxa"/>
                  <w:vAlign w:val="center"/>
                </w:tcPr>
                <w:p>
                  <w:pPr>
                    <w:pStyle w:val="50"/>
                    <w:rPr>
                      <w:color w:val="auto"/>
                    </w:rPr>
                  </w:pPr>
                  <w:r>
                    <w:rPr>
                      <w:color w:val="auto"/>
                    </w:rPr>
                    <w:t>固体</w:t>
                  </w:r>
                </w:p>
                <w:p>
                  <w:pPr>
                    <w:pStyle w:val="50"/>
                    <w:rPr>
                      <w:color w:val="auto"/>
                    </w:rPr>
                  </w:pPr>
                  <w:r>
                    <w:rPr>
                      <w:color w:val="auto"/>
                    </w:rPr>
                    <w:t>废物</w:t>
                  </w:r>
                </w:p>
              </w:tc>
              <w:tc>
                <w:tcPr>
                  <w:tcW w:w="7058" w:type="dxa"/>
                  <w:vAlign w:val="center"/>
                </w:tcPr>
                <w:p>
                  <w:pPr>
                    <w:pStyle w:val="50"/>
                    <w:jc w:val="left"/>
                    <w:rPr>
                      <w:color w:val="auto"/>
                    </w:rPr>
                  </w:pPr>
                  <w:r>
                    <w:rPr>
                      <w:color w:val="auto"/>
                    </w:rPr>
                    <w:t>（1）建筑垃圾应严格按照《昆明市人民政府办公厅关于转发昆明市城市建筑垃圾管理实施办法实施细则的通知》((昆政办﹝2011﹞88号)的相关规定进行处置。</w:t>
                  </w:r>
                </w:p>
                <w:p>
                  <w:pPr>
                    <w:pStyle w:val="50"/>
                    <w:jc w:val="left"/>
                    <w:rPr>
                      <w:color w:val="auto"/>
                    </w:rPr>
                  </w:pPr>
                  <w:r>
                    <w:rPr>
                      <w:color w:val="auto"/>
                    </w:rPr>
                    <w:t>（2）执行昆明市人民政府第58号令《昆明市城市垃圾管理办法》规定。</w:t>
                  </w:r>
                </w:p>
                <w:p>
                  <w:pPr>
                    <w:pStyle w:val="50"/>
                    <w:jc w:val="left"/>
                    <w:rPr>
                      <w:color w:val="auto"/>
                    </w:rPr>
                  </w:pPr>
                  <w:r>
                    <w:rPr>
                      <w:color w:val="auto"/>
                    </w:rPr>
                    <w:t>（3）施工期间产生的生活垃圾定期委托当地环卫部门清运。</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90" w:hRule="atLeast"/>
                <w:jc w:val="center"/>
              </w:trPr>
              <w:tc>
                <w:tcPr>
                  <w:tcW w:w="885" w:type="dxa"/>
                  <w:vAlign w:val="center"/>
                </w:tcPr>
                <w:p>
                  <w:pPr>
                    <w:pStyle w:val="50"/>
                    <w:rPr>
                      <w:color w:val="auto"/>
                    </w:rPr>
                  </w:pPr>
                  <w:r>
                    <w:rPr>
                      <w:color w:val="auto"/>
                    </w:rPr>
                    <w:t>二</w:t>
                  </w:r>
                </w:p>
              </w:tc>
              <w:tc>
                <w:tcPr>
                  <w:tcW w:w="7993" w:type="dxa"/>
                  <w:gridSpan w:val="2"/>
                  <w:vAlign w:val="center"/>
                </w:tcPr>
                <w:p>
                  <w:pPr>
                    <w:pStyle w:val="50"/>
                    <w:rPr>
                      <w:color w:val="auto"/>
                    </w:rPr>
                  </w:pPr>
                  <w:r>
                    <w:rPr>
                      <w:color w:val="auto"/>
                    </w:rPr>
                    <w:t>运营期环保对策措施</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1980" w:hRule="atLeast"/>
                <w:jc w:val="center"/>
              </w:trPr>
              <w:tc>
                <w:tcPr>
                  <w:tcW w:w="885" w:type="dxa"/>
                  <w:vAlign w:val="center"/>
                </w:tcPr>
                <w:p>
                  <w:pPr>
                    <w:pStyle w:val="50"/>
                    <w:rPr>
                      <w:color w:val="auto"/>
                    </w:rPr>
                  </w:pPr>
                  <w:r>
                    <w:rPr>
                      <w:rFonts w:hint="eastAsia"/>
                      <w:color w:val="auto"/>
                    </w:rPr>
                    <w:t>1</w:t>
                  </w:r>
                </w:p>
              </w:tc>
              <w:tc>
                <w:tcPr>
                  <w:tcW w:w="935" w:type="dxa"/>
                  <w:vAlign w:val="center"/>
                </w:tcPr>
                <w:p>
                  <w:pPr>
                    <w:pStyle w:val="50"/>
                    <w:rPr>
                      <w:color w:val="auto"/>
                    </w:rPr>
                  </w:pPr>
                  <w:r>
                    <w:rPr>
                      <w:color w:val="auto"/>
                    </w:rPr>
                    <w:t>废气</w:t>
                  </w:r>
                </w:p>
              </w:tc>
              <w:tc>
                <w:tcPr>
                  <w:tcW w:w="7058" w:type="dxa"/>
                  <w:vAlign w:val="center"/>
                </w:tcPr>
                <w:p>
                  <w:pPr>
                    <w:pStyle w:val="50"/>
                    <w:jc w:val="left"/>
                    <w:rPr>
                      <w:color w:val="auto"/>
                    </w:rPr>
                  </w:pPr>
                  <w:r>
                    <w:rPr>
                      <w:color w:val="auto"/>
                    </w:rPr>
                    <w:t>（1）</w:t>
                  </w:r>
                  <w:r>
                    <w:rPr>
                      <w:rFonts w:hint="eastAsia"/>
                      <w:color w:val="auto"/>
                    </w:rPr>
                    <w:t>焊接烟尘经过多虑筒焊烟净化设备处理后车间无组织排放。</w:t>
                  </w:r>
                </w:p>
                <w:p>
                  <w:pPr>
                    <w:pStyle w:val="50"/>
                    <w:jc w:val="left"/>
                    <w:rPr>
                      <w:color w:val="auto"/>
                    </w:rPr>
                  </w:pPr>
                  <w:r>
                    <w:rPr>
                      <w:color w:val="auto"/>
                    </w:rPr>
                    <w:t>（2）</w:t>
                  </w:r>
                  <w:r>
                    <w:rPr>
                      <w:rFonts w:hint="eastAsia"/>
                      <w:color w:val="auto"/>
                    </w:rPr>
                    <w:t>喷塑粉尘采用二级滤芯脉冲除尘处理后由15m高排气筒</w:t>
                  </w: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外排。</w:t>
                  </w:r>
                </w:p>
                <w:p>
                  <w:pPr>
                    <w:pStyle w:val="50"/>
                    <w:jc w:val="left"/>
                    <w:rPr>
                      <w:color w:val="auto"/>
                    </w:rPr>
                  </w:pPr>
                  <w:r>
                    <w:rPr>
                      <w:color w:val="auto"/>
                    </w:rPr>
                    <w:t>（3）</w:t>
                  </w:r>
                  <w:r>
                    <w:rPr>
                      <w:rFonts w:hint="eastAsia"/>
                      <w:color w:val="auto"/>
                      <w:lang w:eastAsia="zh-CN"/>
                    </w:rPr>
                    <w:t>天然气属于清洁能源，</w:t>
                  </w:r>
                  <w:r>
                    <w:rPr>
                      <w:rFonts w:hint="eastAsia"/>
                      <w:color w:val="auto"/>
                    </w:rPr>
                    <w:t>燃烧废气通过一根15m高排气筒</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排放。</w:t>
                  </w:r>
                </w:p>
                <w:p>
                  <w:pPr>
                    <w:pStyle w:val="50"/>
                    <w:jc w:val="left"/>
                    <w:rPr>
                      <w:color w:val="auto"/>
                    </w:rPr>
                  </w:pPr>
                  <w:r>
                    <w:rPr>
                      <w:color w:val="auto"/>
                    </w:rPr>
                    <w:t>（4）</w:t>
                  </w:r>
                  <w:r>
                    <w:rPr>
                      <w:rFonts w:hint="eastAsia"/>
                      <w:color w:val="auto"/>
                    </w:rPr>
                    <w:t>固化废气经</w:t>
                  </w:r>
                  <w:r>
                    <w:rPr>
                      <w:rFonts w:hint="eastAsia"/>
                      <w:color w:val="auto"/>
                      <w:lang w:val="en-US" w:eastAsia="zh-CN"/>
                    </w:rPr>
                    <w:t>UV光氧+</w:t>
                  </w:r>
                  <w:r>
                    <w:rPr>
                      <w:rFonts w:hint="eastAsia"/>
                      <w:color w:val="auto"/>
                    </w:rPr>
                    <w:t>活性炭吸附设备处理后至15m高排气筒</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排放。</w:t>
                  </w:r>
                </w:p>
                <w:p>
                  <w:pPr>
                    <w:pStyle w:val="50"/>
                    <w:jc w:val="left"/>
                    <w:rPr>
                      <w:color w:val="auto"/>
                    </w:rPr>
                  </w:pPr>
                  <w:r>
                    <w:rPr>
                      <w:color w:val="auto"/>
                    </w:rPr>
                    <w:t>（</w:t>
                  </w:r>
                  <w:r>
                    <w:rPr>
                      <w:rFonts w:hint="eastAsia"/>
                      <w:color w:val="auto"/>
                    </w:rPr>
                    <w:t>5</w:t>
                  </w:r>
                  <w:r>
                    <w:rPr>
                      <w:color w:val="auto"/>
                    </w:rPr>
                    <w:t>）</w:t>
                  </w:r>
                  <w:r>
                    <w:rPr>
                      <w:rFonts w:hint="eastAsia"/>
                      <w:color w:val="auto"/>
                    </w:rPr>
                    <w:t>厂房内加强通风，加速无组织废气排放。</w:t>
                  </w:r>
                </w:p>
                <w:p>
                  <w:pPr>
                    <w:pStyle w:val="50"/>
                    <w:jc w:val="left"/>
                    <w:rPr>
                      <w:color w:val="auto"/>
                    </w:rPr>
                  </w:pPr>
                  <w:r>
                    <w:rPr>
                      <w:rFonts w:hint="eastAsia"/>
                      <w:color w:val="auto"/>
                    </w:rPr>
                    <w:t>（6）定期检查和保养环保设施，并定期更换活性炭，保证其设备净化效率及正常运行。</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885" w:type="dxa"/>
                  <w:vAlign w:val="center"/>
                </w:tcPr>
                <w:p>
                  <w:pPr>
                    <w:pStyle w:val="50"/>
                    <w:rPr>
                      <w:color w:val="auto"/>
                    </w:rPr>
                  </w:pPr>
                  <w:r>
                    <w:rPr>
                      <w:color w:val="auto"/>
                    </w:rPr>
                    <w:t>3</w:t>
                  </w:r>
                </w:p>
              </w:tc>
              <w:tc>
                <w:tcPr>
                  <w:tcW w:w="935" w:type="dxa"/>
                  <w:vAlign w:val="center"/>
                </w:tcPr>
                <w:p>
                  <w:pPr>
                    <w:pStyle w:val="50"/>
                    <w:rPr>
                      <w:color w:val="auto"/>
                    </w:rPr>
                  </w:pPr>
                  <w:r>
                    <w:rPr>
                      <w:color w:val="auto"/>
                    </w:rPr>
                    <w:t>噪声</w:t>
                  </w:r>
                </w:p>
              </w:tc>
              <w:tc>
                <w:tcPr>
                  <w:tcW w:w="7058" w:type="dxa"/>
                  <w:vAlign w:val="center"/>
                </w:tcPr>
                <w:p>
                  <w:pPr>
                    <w:pStyle w:val="50"/>
                    <w:jc w:val="left"/>
                    <w:rPr>
                      <w:color w:val="auto"/>
                    </w:rPr>
                  </w:pPr>
                  <w:r>
                    <w:rPr>
                      <w:color w:val="auto"/>
                    </w:rPr>
                    <w:t>（1）主要产噪设备均设置在厂房内，并安装消声器、隔声挡板等降噪措施。</w:t>
                  </w:r>
                </w:p>
                <w:p>
                  <w:pPr>
                    <w:pStyle w:val="50"/>
                    <w:jc w:val="left"/>
                    <w:rPr>
                      <w:color w:val="auto"/>
                    </w:rPr>
                  </w:pPr>
                  <w:r>
                    <w:rPr>
                      <w:color w:val="auto"/>
                    </w:rPr>
                    <w:t>（2）合理布设汽车出入口，减少汽车场内运行时间；设置禁鸣标示，并加强区域内日常管理，禁止鸣笛。</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2532" w:hRule="atLeast"/>
                <w:jc w:val="center"/>
              </w:trPr>
              <w:tc>
                <w:tcPr>
                  <w:tcW w:w="885" w:type="dxa"/>
                  <w:vAlign w:val="center"/>
                </w:tcPr>
                <w:p>
                  <w:pPr>
                    <w:pStyle w:val="50"/>
                    <w:rPr>
                      <w:color w:val="auto"/>
                    </w:rPr>
                  </w:pPr>
                  <w:r>
                    <w:rPr>
                      <w:color w:val="auto"/>
                    </w:rPr>
                    <w:t>4</w:t>
                  </w:r>
                </w:p>
              </w:tc>
              <w:tc>
                <w:tcPr>
                  <w:tcW w:w="935" w:type="dxa"/>
                  <w:vAlign w:val="center"/>
                </w:tcPr>
                <w:p>
                  <w:pPr>
                    <w:pStyle w:val="50"/>
                    <w:rPr>
                      <w:color w:val="auto"/>
                    </w:rPr>
                  </w:pPr>
                  <w:r>
                    <w:rPr>
                      <w:color w:val="auto"/>
                    </w:rPr>
                    <w:t>固体</w:t>
                  </w:r>
                </w:p>
                <w:p>
                  <w:pPr>
                    <w:pStyle w:val="50"/>
                    <w:rPr>
                      <w:color w:val="auto"/>
                    </w:rPr>
                  </w:pPr>
                  <w:r>
                    <w:rPr>
                      <w:color w:val="auto"/>
                    </w:rPr>
                    <w:t>废物</w:t>
                  </w:r>
                </w:p>
              </w:tc>
              <w:tc>
                <w:tcPr>
                  <w:tcW w:w="7058" w:type="dxa"/>
                  <w:vAlign w:val="center"/>
                </w:tcPr>
                <w:p>
                  <w:pPr>
                    <w:pStyle w:val="50"/>
                    <w:jc w:val="left"/>
                    <w:rPr>
                      <w:color w:val="auto"/>
                    </w:rPr>
                  </w:pPr>
                  <w:r>
                    <w:rPr>
                      <w:rFonts w:hint="eastAsia"/>
                      <w:color w:val="auto"/>
                    </w:rPr>
                    <w:t>（1）废金属边角料部分统一收集后外售。</w:t>
                  </w:r>
                </w:p>
                <w:p>
                  <w:pPr>
                    <w:pStyle w:val="50"/>
                    <w:jc w:val="left"/>
                    <w:rPr>
                      <w:color w:val="auto"/>
                    </w:rPr>
                  </w:pPr>
                  <w:r>
                    <w:rPr>
                      <w:rFonts w:hint="eastAsia"/>
                      <w:color w:val="auto"/>
                    </w:rPr>
                    <w:t>（2）焊接工序产生的废焊料和焊渣，焊丝、塑粉包装产生的废包装材料，统一收集后外售。</w:t>
                  </w:r>
                </w:p>
                <w:p>
                  <w:pPr>
                    <w:pStyle w:val="50"/>
                    <w:jc w:val="left"/>
                    <w:rPr>
                      <w:color w:val="auto"/>
                    </w:rPr>
                  </w:pPr>
                  <w:r>
                    <w:rPr>
                      <w:rFonts w:hint="eastAsia"/>
                      <w:color w:val="auto"/>
                    </w:rPr>
                    <w:t>（3）喷塑过程中的收尘系统回收塑粉全部回用于喷塑工艺。</w:t>
                  </w:r>
                </w:p>
                <w:p>
                  <w:pPr>
                    <w:pStyle w:val="50"/>
                    <w:jc w:val="left"/>
                    <w:rPr>
                      <w:color w:val="auto"/>
                    </w:rPr>
                  </w:pPr>
                  <w:r>
                    <w:rPr>
                      <w:rFonts w:hint="eastAsia"/>
                      <w:color w:val="auto"/>
                    </w:rPr>
                    <w:t>（4）生活垃圾暂存于项目垃圾桶，然后送至昆明力线电缆公司厂区指定位置，统一由环卫部门清运。</w:t>
                  </w:r>
                </w:p>
                <w:p>
                  <w:pPr>
                    <w:pStyle w:val="50"/>
                    <w:jc w:val="left"/>
                    <w:rPr>
                      <w:color w:val="auto"/>
                    </w:rPr>
                  </w:pPr>
                  <w:r>
                    <w:rPr>
                      <w:rFonts w:hint="eastAsia"/>
                      <w:color w:val="auto"/>
                    </w:rPr>
                    <w:t>（5）废润滑油、废油桶，暂存于危废暂存间，定期交由有资质的单位处理处置。</w:t>
                  </w:r>
                </w:p>
                <w:p>
                  <w:pPr>
                    <w:pStyle w:val="50"/>
                    <w:jc w:val="left"/>
                    <w:rPr>
                      <w:color w:val="auto"/>
                    </w:rPr>
                  </w:pPr>
                  <w:r>
                    <w:rPr>
                      <w:rFonts w:hint="eastAsia"/>
                      <w:color w:val="auto"/>
                    </w:rPr>
                    <w:t>（6）废气处理产生的废活性炭，暂存于危废暂存间，定期交由有资质的单位处理处置。</w:t>
                  </w:r>
                </w:p>
              </w:tc>
            </w:tr>
            <w:tr>
              <w:tblPrEx>
                <w:tblBorders>
                  <w:top w:val="single" w:color="auto" w:sz="4" w:space="0"/>
                  <w:left w:val="single" w:color="auto" w:sz="4" w:space="0"/>
                  <w:bottom w:val="single" w:color="auto" w:sz="4" w:space="0"/>
                  <w:right w:val="single" w:color="auto" w:sz="4" w:space="0"/>
                  <w:insideH w:val="single" w:color="000000" w:sz="4" w:space="0"/>
                  <w:insideV w:val="single" w:color="000000" w:sz="4" w:space="0"/>
                </w:tblBorders>
                <w:tblCellMar>
                  <w:top w:w="0" w:type="dxa"/>
                  <w:left w:w="108" w:type="dxa"/>
                  <w:bottom w:w="0" w:type="dxa"/>
                  <w:right w:w="108" w:type="dxa"/>
                </w:tblCellMar>
              </w:tblPrEx>
              <w:trPr>
                <w:trHeight w:val="861" w:hRule="atLeast"/>
                <w:jc w:val="center"/>
              </w:trPr>
              <w:tc>
                <w:tcPr>
                  <w:tcW w:w="885" w:type="dxa"/>
                  <w:vAlign w:val="center"/>
                </w:tcPr>
                <w:p>
                  <w:pPr>
                    <w:pStyle w:val="50"/>
                    <w:rPr>
                      <w:color w:val="auto"/>
                    </w:rPr>
                  </w:pPr>
                  <w:r>
                    <w:rPr>
                      <w:rFonts w:hint="eastAsia"/>
                      <w:color w:val="auto"/>
                    </w:rPr>
                    <w:t>5</w:t>
                  </w:r>
                </w:p>
              </w:tc>
              <w:tc>
                <w:tcPr>
                  <w:tcW w:w="935" w:type="dxa"/>
                  <w:vAlign w:val="center"/>
                </w:tcPr>
                <w:p>
                  <w:pPr>
                    <w:pStyle w:val="50"/>
                    <w:rPr>
                      <w:color w:val="auto"/>
                    </w:rPr>
                  </w:pPr>
                  <w:r>
                    <w:rPr>
                      <w:color w:val="auto"/>
                    </w:rPr>
                    <w:t>其他</w:t>
                  </w:r>
                </w:p>
              </w:tc>
              <w:tc>
                <w:tcPr>
                  <w:tcW w:w="7058" w:type="dxa"/>
                  <w:vAlign w:val="center"/>
                </w:tcPr>
                <w:p>
                  <w:pPr>
                    <w:pStyle w:val="50"/>
                    <w:jc w:val="left"/>
                    <w:rPr>
                      <w:color w:val="auto"/>
                    </w:rPr>
                  </w:pPr>
                  <w:r>
                    <w:rPr>
                      <w:color w:val="auto"/>
                    </w:rPr>
                    <w:t>①关于“三同时”</w:t>
                  </w:r>
                </w:p>
                <w:p>
                  <w:pPr>
                    <w:pStyle w:val="50"/>
                    <w:jc w:val="left"/>
                    <w:rPr>
                      <w:color w:val="auto"/>
                    </w:rPr>
                  </w:pPr>
                  <w:r>
                    <w:rPr>
                      <w:rFonts w:hint="eastAsia"/>
                      <w:color w:val="auto"/>
                    </w:rPr>
                    <w:t>项目多虑筒焊烟净化设备、脉冲布袋除尘设备、活性炭吸附设备等环保设施必须和主体工程同时设计、同时施工、同时投产。</w:t>
                  </w:r>
                </w:p>
                <w:p>
                  <w:pPr>
                    <w:pStyle w:val="50"/>
                    <w:jc w:val="left"/>
                    <w:rPr>
                      <w:color w:val="auto"/>
                    </w:rPr>
                  </w:pPr>
                  <w:r>
                    <w:rPr>
                      <w:color w:val="auto"/>
                    </w:rPr>
                    <w:t>②“禁磷”、“禁白”，“禁止使用高污染燃料”</w:t>
                  </w:r>
                </w:p>
                <w:p>
                  <w:pPr>
                    <w:pStyle w:val="50"/>
                    <w:jc w:val="left"/>
                    <w:rPr>
                      <w:color w:val="auto"/>
                    </w:rPr>
                  </w:pPr>
                  <w:r>
                    <w:rPr>
                      <w:color w:val="auto"/>
                    </w:rPr>
                    <w:t>按照昆明市政府有关“禁磷”、“禁白”、“禁煤”的要求，项目禁止使用含磷洗衣粉和含磷洗涤剂，禁止使用一次性不可降解餐饮器具和塑料袋，禁止使用燃煤污染型能源，应使用电能、液化气等清洁能源。</w:t>
                  </w:r>
                </w:p>
                <w:p>
                  <w:pPr>
                    <w:pStyle w:val="50"/>
                    <w:jc w:val="left"/>
                    <w:rPr>
                      <w:color w:val="auto"/>
                    </w:rPr>
                  </w:pPr>
                  <w:r>
                    <w:rPr>
                      <w:color w:val="auto"/>
                    </w:rPr>
                    <w:t>③环境管理</w:t>
                  </w:r>
                </w:p>
                <w:p>
                  <w:pPr>
                    <w:pStyle w:val="50"/>
                    <w:jc w:val="left"/>
                    <w:rPr>
                      <w:color w:val="auto"/>
                    </w:rPr>
                  </w:pPr>
                  <w:r>
                    <w:rPr>
                      <w:color w:val="auto"/>
                    </w:rPr>
                    <w:t>为了加强项目设置的各种环保设施的运行，项目必须制订相关的环保设施管理制度，设置一到两名专、兼职环保人员对各种环保设施的日常管理及维护工作。</w:t>
                  </w:r>
                </w:p>
                <w:p>
                  <w:pPr>
                    <w:pStyle w:val="50"/>
                    <w:jc w:val="left"/>
                    <w:rPr>
                      <w:color w:val="auto"/>
                    </w:rPr>
                  </w:pPr>
                  <w:r>
                    <w:rPr>
                      <w:color w:val="auto"/>
                    </w:rPr>
                    <w:t>④环保设施</w:t>
                  </w:r>
                </w:p>
                <w:p>
                  <w:pPr>
                    <w:pStyle w:val="50"/>
                    <w:jc w:val="both"/>
                    <w:rPr>
                      <w:color w:val="auto"/>
                    </w:rPr>
                  </w:pPr>
                  <w:r>
                    <w:rPr>
                      <w:rFonts w:hint="eastAsia"/>
                      <w:color w:val="auto"/>
                    </w:rPr>
                    <w:t>项目应加强多虑筒焊烟净化设备、脉冲布袋除尘设备、活性炭吸附设备等环保设施的管理，定期对环保设施进行维护、检修，确保各项环保设施的正常运行，以保证处理效果，使各项污染物能达标排放。</w:t>
                  </w:r>
                </w:p>
                <w:p>
                  <w:pPr>
                    <w:pStyle w:val="50"/>
                    <w:jc w:val="left"/>
                    <w:rPr>
                      <w:color w:val="auto"/>
                    </w:rPr>
                  </w:pPr>
                  <w:r>
                    <w:rPr>
                      <w:color w:val="auto"/>
                    </w:rPr>
                    <w:t>⑤另行报批</w:t>
                  </w:r>
                </w:p>
                <w:p>
                  <w:pPr>
                    <w:pStyle w:val="50"/>
                    <w:jc w:val="left"/>
                    <w:rPr>
                      <w:color w:val="auto"/>
                    </w:rPr>
                  </w:pPr>
                  <w:r>
                    <w:rPr>
                      <w:color w:val="auto"/>
                    </w:rPr>
                    <w:t>项目目前处于规划设计阶段，若将来项目建设的实际情况与目前规划有较大的调整，须另行报批环境影响评价报告。</w:t>
                  </w:r>
                </w:p>
              </w:tc>
            </w:tr>
          </w:tbl>
          <w:p>
            <w:pPr>
              <w:ind w:firstLine="480"/>
              <w:contextualSpacing/>
              <w:rPr>
                <w:color w:val="auto"/>
              </w:rPr>
            </w:pPr>
            <w:r>
              <w:rPr>
                <w:color w:val="auto"/>
              </w:rPr>
              <w:t>（6）环境监理</w:t>
            </w:r>
          </w:p>
          <w:p>
            <w:pPr>
              <w:ind w:firstLine="480"/>
              <w:rPr>
                <w:color w:val="auto"/>
              </w:rPr>
            </w:pPr>
            <w:r>
              <w:rPr>
                <w:color w:val="auto"/>
              </w:rPr>
              <w:t>本项目施工期较短，不设置施工期监理，但是在施工期间，应安排专职人员进行环保监督管理，落实设计、环评提出的环保措施。</w:t>
            </w:r>
          </w:p>
          <w:p>
            <w:pPr>
              <w:ind w:firstLine="0" w:firstLineChars="0"/>
              <w:rPr>
                <w:color w:val="auto"/>
              </w:rPr>
            </w:pPr>
            <w:r>
              <w:rPr>
                <w:color w:val="auto"/>
              </w:rPr>
              <w:t>五、环保保护竣工验收</w:t>
            </w:r>
          </w:p>
          <w:p>
            <w:pPr>
              <w:ind w:firstLine="480"/>
              <w:rPr>
                <w:color w:val="auto"/>
              </w:rPr>
            </w:pPr>
            <w:r>
              <w:rPr>
                <w:color w:val="auto"/>
              </w:rPr>
              <w:t>本次环评提出的需要配套建设的环境保护设施，必须与主体工程同时设计、同时施工、同时投产使用。项目竣工后，建设单位应当</w:t>
            </w:r>
            <w:r>
              <w:rPr>
                <w:rFonts w:hint="eastAsia"/>
                <w:color w:val="auto"/>
              </w:rPr>
              <w:t>尽快进行</w:t>
            </w:r>
            <w:r>
              <w:rPr>
                <w:color w:val="auto"/>
              </w:rPr>
              <w:t>本项目需要配套建设的环境保护设施竣工</w:t>
            </w:r>
            <w:r>
              <w:rPr>
                <w:rFonts w:hint="eastAsia"/>
                <w:color w:val="auto"/>
              </w:rPr>
              <w:t>自主</w:t>
            </w:r>
            <w:r>
              <w:rPr>
                <w:color w:val="auto"/>
              </w:rPr>
              <w:t>验收，竣工验收内容见9-2。</w:t>
            </w:r>
          </w:p>
          <w:p>
            <w:pPr>
              <w:pStyle w:val="48"/>
              <w:ind w:firstLine="422"/>
              <w:rPr>
                <w:color w:val="auto"/>
              </w:rPr>
            </w:pPr>
            <w:r>
              <w:rPr>
                <w:color w:val="auto"/>
              </w:rPr>
              <w:t>表9-2  环保设施竣工验收一览表</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41"/>
              <w:gridCol w:w="448"/>
              <w:gridCol w:w="1424"/>
              <w:gridCol w:w="1733"/>
              <w:gridCol w:w="2700"/>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8" w:hRule="atLeast"/>
                <w:jc w:val="center"/>
              </w:trPr>
              <w:tc>
                <w:tcPr>
                  <w:tcW w:w="1246" w:type="pct"/>
                  <w:gridSpan w:val="3"/>
                  <w:vAlign w:val="center"/>
                </w:tcPr>
                <w:p>
                  <w:pPr>
                    <w:pStyle w:val="50"/>
                    <w:rPr>
                      <w:color w:val="auto"/>
                    </w:rPr>
                  </w:pPr>
                  <w:r>
                    <w:rPr>
                      <w:rFonts w:hint="eastAsia"/>
                      <w:color w:val="auto"/>
                    </w:rPr>
                    <w:t>排放源</w:t>
                  </w:r>
                </w:p>
              </w:tc>
              <w:tc>
                <w:tcPr>
                  <w:tcW w:w="976" w:type="pct"/>
                  <w:vAlign w:val="center"/>
                </w:tcPr>
                <w:p>
                  <w:pPr>
                    <w:pStyle w:val="50"/>
                    <w:rPr>
                      <w:color w:val="auto"/>
                    </w:rPr>
                  </w:pPr>
                  <w:r>
                    <w:rPr>
                      <w:rFonts w:hint="eastAsia"/>
                      <w:color w:val="auto"/>
                    </w:rPr>
                    <w:t>污染物名称</w:t>
                  </w:r>
                </w:p>
              </w:tc>
              <w:tc>
                <w:tcPr>
                  <w:tcW w:w="1520" w:type="pct"/>
                  <w:vAlign w:val="center"/>
                </w:tcPr>
                <w:p>
                  <w:pPr>
                    <w:pStyle w:val="50"/>
                    <w:rPr>
                      <w:color w:val="auto"/>
                    </w:rPr>
                  </w:pPr>
                  <w:r>
                    <w:rPr>
                      <w:rFonts w:hint="eastAsia"/>
                      <w:color w:val="auto"/>
                    </w:rPr>
                    <w:t>防治措施</w:t>
                  </w:r>
                </w:p>
              </w:tc>
              <w:tc>
                <w:tcPr>
                  <w:tcW w:w="1257" w:type="pct"/>
                  <w:vAlign w:val="center"/>
                </w:tcPr>
                <w:p>
                  <w:pPr>
                    <w:pStyle w:val="50"/>
                    <w:rPr>
                      <w:color w:val="auto"/>
                    </w:rPr>
                  </w:pPr>
                  <w:r>
                    <w:rPr>
                      <w:rFonts w:hint="eastAsia"/>
                      <w:color w:val="auto"/>
                    </w:rPr>
                    <w:t>预</w:t>
                  </w:r>
                  <w:r>
                    <w:rPr>
                      <w:color w:val="auto"/>
                    </w:rPr>
                    <w:t>处理效果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192" w:type="pct"/>
                  <w:vMerge w:val="restart"/>
                  <w:tcBorders>
                    <w:bottom w:val="single" w:color="auto" w:sz="4" w:space="0"/>
                  </w:tcBorders>
                  <w:vAlign w:val="center"/>
                </w:tcPr>
                <w:p>
                  <w:pPr>
                    <w:pStyle w:val="50"/>
                    <w:rPr>
                      <w:color w:val="auto"/>
                    </w:rPr>
                  </w:pPr>
                  <w:r>
                    <w:rPr>
                      <w:rFonts w:hint="eastAsia"/>
                      <w:color w:val="auto"/>
                    </w:rPr>
                    <w:t>本项目</w:t>
                  </w:r>
                </w:p>
              </w:tc>
              <w:tc>
                <w:tcPr>
                  <w:tcW w:w="252" w:type="pct"/>
                  <w:vMerge w:val="restart"/>
                  <w:vAlign w:val="center"/>
                </w:tcPr>
                <w:p>
                  <w:pPr>
                    <w:pStyle w:val="50"/>
                    <w:rPr>
                      <w:color w:val="auto"/>
                    </w:rPr>
                  </w:pPr>
                </w:p>
                <w:p>
                  <w:pPr>
                    <w:pStyle w:val="50"/>
                    <w:rPr>
                      <w:color w:val="auto"/>
                    </w:rPr>
                  </w:pPr>
                </w:p>
                <w:p>
                  <w:pPr>
                    <w:pStyle w:val="50"/>
                    <w:rPr>
                      <w:color w:val="auto"/>
                    </w:rPr>
                  </w:pPr>
                </w:p>
                <w:p>
                  <w:pPr>
                    <w:pStyle w:val="50"/>
                    <w:jc w:val="both"/>
                    <w:rPr>
                      <w:color w:val="auto"/>
                    </w:rPr>
                  </w:pPr>
                  <w:r>
                    <w:rPr>
                      <w:color w:val="auto"/>
                    </w:rPr>
                    <w:t>废气</w:t>
                  </w:r>
                </w:p>
                <w:p>
                  <w:pPr>
                    <w:pStyle w:val="50"/>
                    <w:rPr>
                      <w:color w:val="auto"/>
                    </w:rPr>
                  </w:pPr>
                </w:p>
              </w:tc>
              <w:tc>
                <w:tcPr>
                  <w:tcW w:w="801" w:type="pct"/>
                  <w:tcBorders>
                    <w:bottom w:val="single" w:color="auto" w:sz="4" w:space="0"/>
                  </w:tcBorders>
                  <w:vAlign w:val="center"/>
                </w:tcPr>
                <w:p>
                  <w:pPr>
                    <w:pStyle w:val="50"/>
                    <w:rPr>
                      <w:color w:val="auto"/>
                    </w:rPr>
                  </w:pPr>
                  <w:r>
                    <w:rPr>
                      <w:rFonts w:hint="eastAsia"/>
                      <w:color w:val="auto"/>
                    </w:rPr>
                    <w:t>焊接烟尘</w:t>
                  </w:r>
                </w:p>
              </w:tc>
              <w:tc>
                <w:tcPr>
                  <w:tcW w:w="976" w:type="pct"/>
                  <w:tcBorders>
                    <w:bottom w:val="single" w:color="auto" w:sz="4" w:space="0"/>
                  </w:tcBorders>
                  <w:vAlign w:val="center"/>
                </w:tcPr>
                <w:p>
                  <w:pPr>
                    <w:spacing w:line="240" w:lineRule="atLeast"/>
                    <w:ind w:firstLine="0" w:firstLineChars="0"/>
                    <w:jc w:val="center"/>
                    <w:rPr>
                      <w:rFonts w:hint="eastAsia"/>
                      <w:color w:val="auto"/>
                      <w:sz w:val="21"/>
                      <w:szCs w:val="21"/>
                    </w:rPr>
                  </w:pPr>
                  <w:r>
                    <w:rPr>
                      <w:rFonts w:hint="eastAsia"/>
                      <w:color w:val="auto"/>
                      <w:sz w:val="21"/>
                      <w:szCs w:val="21"/>
                    </w:rPr>
                    <w:t>颗粒物</w:t>
                  </w:r>
                </w:p>
              </w:tc>
              <w:tc>
                <w:tcPr>
                  <w:tcW w:w="1520" w:type="pct"/>
                  <w:tcBorders>
                    <w:bottom w:val="single" w:color="auto" w:sz="4" w:space="0"/>
                  </w:tcBorders>
                  <w:vAlign w:val="center"/>
                </w:tcPr>
                <w:p>
                  <w:pPr>
                    <w:pStyle w:val="50"/>
                    <w:rPr>
                      <w:color w:val="auto"/>
                    </w:rPr>
                  </w:pPr>
                  <w:r>
                    <w:rPr>
                      <w:rFonts w:hint="eastAsia"/>
                      <w:color w:val="auto"/>
                    </w:rPr>
                    <w:t>经过多虑筒焊烟净化设备处理后车间无组织排放</w:t>
                  </w:r>
                </w:p>
              </w:tc>
              <w:tc>
                <w:tcPr>
                  <w:tcW w:w="1257" w:type="pct"/>
                  <w:vMerge w:val="restart"/>
                  <w:vAlign w:val="center"/>
                </w:tcPr>
                <w:p>
                  <w:pPr>
                    <w:pStyle w:val="50"/>
                    <w:rPr>
                      <w:color w:val="auto"/>
                    </w:rPr>
                  </w:pPr>
                </w:p>
                <w:p>
                  <w:pPr>
                    <w:pStyle w:val="50"/>
                    <w:rPr>
                      <w:color w:val="auto"/>
                    </w:rPr>
                  </w:pPr>
                  <w:r>
                    <w:rPr>
                      <w:rFonts w:hint="eastAsia"/>
                      <w:color w:val="auto"/>
                    </w:rPr>
                    <w:t>达GB16297-1996《大气污染物综合排放标准》表2中二级标准限值要求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7" w:hRule="atLeast"/>
                <w:jc w:val="center"/>
              </w:trPr>
              <w:tc>
                <w:tcPr>
                  <w:tcW w:w="192" w:type="pct"/>
                  <w:vMerge w:val="continue"/>
                  <w:tcBorders>
                    <w:bottom w:val="single" w:color="auto" w:sz="4" w:space="0"/>
                  </w:tcBorders>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喷塑粉尘</w:t>
                  </w:r>
                </w:p>
              </w:tc>
              <w:tc>
                <w:tcPr>
                  <w:tcW w:w="976" w:type="pct"/>
                  <w:tcBorders>
                    <w:bottom w:val="single" w:color="auto" w:sz="4" w:space="0"/>
                  </w:tcBorders>
                  <w:vAlign w:val="center"/>
                </w:tcPr>
                <w:p>
                  <w:pPr>
                    <w:spacing w:line="240" w:lineRule="atLeast"/>
                    <w:ind w:firstLine="0" w:firstLineChars="0"/>
                    <w:jc w:val="center"/>
                    <w:rPr>
                      <w:rFonts w:hint="eastAsia"/>
                      <w:color w:val="auto"/>
                      <w:sz w:val="21"/>
                      <w:szCs w:val="21"/>
                    </w:rPr>
                  </w:pPr>
                  <w:r>
                    <w:rPr>
                      <w:rFonts w:hint="eastAsia"/>
                      <w:color w:val="auto"/>
                      <w:sz w:val="21"/>
                      <w:szCs w:val="21"/>
                    </w:rPr>
                    <w:t>颗粒物</w:t>
                  </w:r>
                </w:p>
              </w:tc>
              <w:tc>
                <w:tcPr>
                  <w:tcW w:w="1520" w:type="pct"/>
                  <w:tcBorders>
                    <w:bottom w:val="single" w:color="auto" w:sz="4" w:space="0"/>
                  </w:tcBorders>
                  <w:vAlign w:val="center"/>
                </w:tcPr>
                <w:p>
                  <w:pPr>
                    <w:pStyle w:val="50"/>
                    <w:rPr>
                      <w:rFonts w:hint="eastAsia" w:eastAsia="宋体"/>
                      <w:color w:val="auto"/>
                      <w:lang w:eastAsia="zh-CN"/>
                    </w:rPr>
                  </w:pPr>
                  <w:r>
                    <w:rPr>
                      <w:rFonts w:hint="eastAsia"/>
                      <w:color w:val="auto"/>
                    </w:rPr>
                    <w:t>采用二级滤芯脉冲除尘处理后由15m高排气筒外排</w:t>
                  </w:r>
                  <w:r>
                    <w:rPr>
                      <w:rFonts w:hint="eastAsia"/>
                      <w:color w:val="auto"/>
                      <w:lang w:eastAsia="zh-CN"/>
                    </w:rPr>
                    <w:t>（</w:t>
                  </w:r>
                  <w:r>
                    <w:rPr>
                      <w:rFonts w:hint="eastAsia"/>
                      <w:color w:val="auto"/>
                      <w:lang w:val="en-US" w:eastAsia="zh-CN"/>
                    </w:rPr>
                    <w:t>1#</w:t>
                  </w:r>
                  <w:r>
                    <w:rPr>
                      <w:rFonts w:hint="eastAsia"/>
                      <w:color w:val="auto"/>
                      <w:lang w:eastAsia="zh-CN"/>
                    </w:rPr>
                    <w:t>）</w:t>
                  </w: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2" w:hRule="atLeast"/>
                <w:jc w:val="center"/>
              </w:trPr>
              <w:tc>
                <w:tcPr>
                  <w:tcW w:w="192" w:type="pct"/>
                  <w:vMerge w:val="continue"/>
                  <w:tcBorders>
                    <w:bottom w:val="single" w:color="auto" w:sz="4" w:space="0"/>
                  </w:tcBorders>
                  <w:vAlign w:val="center"/>
                </w:tcPr>
                <w:p>
                  <w:pPr>
                    <w:pStyle w:val="50"/>
                    <w:rPr>
                      <w:color w:val="auto"/>
                    </w:rPr>
                  </w:pPr>
                </w:p>
              </w:tc>
              <w:tc>
                <w:tcPr>
                  <w:tcW w:w="252" w:type="pct"/>
                  <w:vMerge w:val="continue"/>
                  <w:vAlign w:val="center"/>
                </w:tcPr>
                <w:p>
                  <w:pPr>
                    <w:pStyle w:val="50"/>
                    <w:rPr>
                      <w:color w:val="auto"/>
                    </w:rPr>
                  </w:pPr>
                </w:p>
              </w:tc>
              <w:tc>
                <w:tcPr>
                  <w:tcW w:w="801" w:type="pct"/>
                  <w:tcBorders>
                    <w:bottom w:val="single" w:color="auto" w:sz="4" w:space="0"/>
                  </w:tcBorders>
                  <w:vAlign w:val="center"/>
                </w:tcPr>
                <w:p>
                  <w:pPr>
                    <w:pStyle w:val="50"/>
                    <w:rPr>
                      <w:color w:val="auto"/>
                    </w:rPr>
                  </w:pPr>
                  <w:r>
                    <w:rPr>
                      <w:color w:val="auto"/>
                    </w:rPr>
                    <w:t>固化废气</w:t>
                  </w:r>
                </w:p>
              </w:tc>
              <w:tc>
                <w:tcPr>
                  <w:tcW w:w="976" w:type="pct"/>
                  <w:tcBorders>
                    <w:bottom w:val="single" w:color="auto" w:sz="4" w:space="0"/>
                  </w:tcBorders>
                  <w:vAlign w:val="center"/>
                </w:tcPr>
                <w:p>
                  <w:pPr>
                    <w:spacing w:line="240" w:lineRule="atLeast"/>
                    <w:ind w:firstLine="0" w:firstLineChars="0"/>
                    <w:jc w:val="center"/>
                    <w:rPr>
                      <w:rFonts w:hint="eastAsia"/>
                      <w:color w:val="auto"/>
                      <w:sz w:val="21"/>
                      <w:szCs w:val="21"/>
                    </w:rPr>
                  </w:pPr>
                  <w:r>
                    <w:rPr>
                      <w:rFonts w:hint="eastAsia"/>
                      <w:color w:val="auto"/>
                      <w:sz w:val="21"/>
                      <w:szCs w:val="21"/>
                      <w:lang w:val="en-US" w:eastAsia="zh-CN"/>
                    </w:rPr>
                    <w:t>VOCs（以非甲烷总烃计）</w:t>
                  </w:r>
                </w:p>
              </w:tc>
              <w:tc>
                <w:tcPr>
                  <w:tcW w:w="1520" w:type="pct"/>
                  <w:vMerge w:val="restart"/>
                  <w:vAlign w:val="center"/>
                </w:tcPr>
                <w:p>
                  <w:pPr>
                    <w:pStyle w:val="50"/>
                    <w:rPr>
                      <w:color w:val="auto"/>
                    </w:rPr>
                  </w:pPr>
                  <w:r>
                    <w:rPr>
                      <w:rFonts w:hint="eastAsia"/>
                      <w:color w:val="auto"/>
                      <w:lang w:val="en-US" w:eastAsia="zh-CN"/>
                    </w:rPr>
                    <w:t>固化废气和燃烧废气混合后</w:t>
                  </w:r>
                  <w:r>
                    <w:rPr>
                      <w:rFonts w:hint="eastAsia"/>
                      <w:color w:val="auto"/>
                    </w:rPr>
                    <w:t>经</w:t>
                  </w:r>
                  <w:r>
                    <w:rPr>
                      <w:rFonts w:hint="eastAsia"/>
                      <w:color w:val="auto"/>
                      <w:lang w:val="en-US" w:eastAsia="zh-CN"/>
                    </w:rPr>
                    <w:t>UV光氧+</w:t>
                  </w:r>
                  <w:r>
                    <w:rPr>
                      <w:rFonts w:hint="eastAsia"/>
                      <w:color w:val="auto"/>
                    </w:rPr>
                    <w:t>活性炭吸附设备处理后至15m高排气筒</w:t>
                  </w:r>
                  <w:r>
                    <w:rPr>
                      <w:rFonts w:hint="eastAsia"/>
                      <w:color w:val="auto"/>
                      <w:lang w:eastAsia="zh-CN"/>
                    </w:rPr>
                    <w:t>（</w:t>
                  </w:r>
                  <w:r>
                    <w:rPr>
                      <w:rFonts w:hint="eastAsia"/>
                      <w:color w:val="auto"/>
                      <w:lang w:val="en-US" w:eastAsia="zh-CN"/>
                    </w:rPr>
                    <w:t>2#</w:t>
                  </w:r>
                  <w:r>
                    <w:rPr>
                      <w:rFonts w:hint="eastAsia"/>
                      <w:color w:val="auto"/>
                      <w:lang w:eastAsia="zh-CN"/>
                    </w:rPr>
                    <w:t>）</w:t>
                  </w:r>
                  <w:r>
                    <w:rPr>
                      <w:rFonts w:hint="eastAsia"/>
                      <w:color w:val="auto"/>
                    </w:rPr>
                    <w:t>排放</w:t>
                  </w: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4"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燃烧废气（天然气）</w:t>
                  </w:r>
                </w:p>
              </w:tc>
              <w:tc>
                <w:tcPr>
                  <w:tcW w:w="976" w:type="pct"/>
                  <w:vAlign w:val="center"/>
                </w:tcPr>
                <w:p>
                  <w:pPr>
                    <w:pStyle w:val="50"/>
                    <w:rPr>
                      <w:color w:val="auto"/>
                    </w:rPr>
                  </w:pPr>
                  <w:r>
                    <w:rPr>
                      <w:rFonts w:hint="eastAsia"/>
                      <w:color w:val="auto"/>
                    </w:rPr>
                    <w:t>颗粒物、SO</w:t>
                  </w:r>
                  <w:r>
                    <w:rPr>
                      <w:rFonts w:hint="eastAsia"/>
                      <w:color w:val="auto"/>
                      <w:vertAlign w:val="subscript"/>
                    </w:rPr>
                    <w:t>2</w:t>
                  </w:r>
                  <w:r>
                    <w:rPr>
                      <w:rFonts w:hint="eastAsia"/>
                      <w:color w:val="auto"/>
                    </w:rPr>
                    <w:t>、氮氧化物</w:t>
                  </w:r>
                </w:p>
              </w:tc>
              <w:tc>
                <w:tcPr>
                  <w:tcW w:w="1520" w:type="pct"/>
                  <w:vMerge w:val="continue"/>
                  <w:vAlign w:val="center"/>
                </w:tcPr>
                <w:p>
                  <w:pPr>
                    <w:pStyle w:val="50"/>
                    <w:rPr>
                      <w:color w:val="auto"/>
                    </w:rPr>
                  </w:pPr>
                </w:p>
              </w:tc>
              <w:tc>
                <w:tcPr>
                  <w:tcW w:w="1257" w:type="pct"/>
                  <w:vAlign w:val="center"/>
                </w:tcPr>
                <w:p>
                  <w:pPr>
                    <w:pStyle w:val="50"/>
                    <w:rPr>
                      <w:color w:val="auto"/>
                    </w:rPr>
                  </w:pPr>
                  <w:r>
                    <w:rPr>
                      <w:rFonts w:hint="eastAsia"/>
                      <w:color w:val="auto"/>
                    </w:rPr>
                    <w:t>颗粒物、SO</w:t>
                  </w:r>
                  <w:r>
                    <w:rPr>
                      <w:rFonts w:hint="eastAsia"/>
                      <w:color w:val="auto"/>
                      <w:vertAlign w:val="subscript"/>
                    </w:rPr>
                    <w:t>2</w:t>
                  </w:r>
                  <w:r>
                    <w:rPr>
                      <w:rFonts w:hint="eastAsia"/>
                      <w:color w:val="auto"/>
                    </w:rPr>
                    <w:t>、NOx达GB16297-1996《大气污染物综合排放标准》表2二级标准限值。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4"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无组织废气</w:t>
                  </w:r>
                </w:p>
              </w:tc>
              <w:tc>
                <w:tcPr>
                  <w:tcW w:w="976" w:type="pct"/>
                  <w:vAlign w:val="center"/>
                </w:tcPr>
                <w:p>
                  <w:pPr>
                    <w:pStyle w:val="50"/>
                    <w:rPr>
                      <w:color w:val="auto"/>
                    </w:rPr>
                  </w:pPr>
                  <w:r>
                    <w:rPr>
                      <w:rFonts w:hint="eastAsia"/>
                      <w:color w:val="auto"/>
                    </w:rPr>
                    <w:t>颗粒物</w:t>
                  </w:r>
                </w:p>
              </w:tc>
              <w:tc>
                <w:tcPr>
                  <w:tcW w:w="1520" w:type="pct"/>
                  <w:vAlign w:val="center"/>
                </w:tcPr>
                <w:p>
                  <w:pPr>
                    <w:spacing w:line="240" w:lineRule="atLeast"/>
                    <w:ind w:firstLine="0" w:firstLineChars="0"/>
                    <w:jc w:val="center"/>
                    <w:rPr>
                      <w:color w:val="auto"/>
                    </w:rPr>
                  </w:pPr>
                  <w:r>
                    <w:rPr>
                      <w:rFonts w:hint="eastAsia"/>
                      <w:color w:val="auto"/>
                      <w:sz w:val="21"/>
                      <w:szCs w:val="21"/>
                    </w:rPr>
                    <w:t>加强通风</w:t>
                  </w:r>
                </w:p>
              </w:tc>
              <w:tc>
                <w:tcPr>
                  <w:tcW w:w="1257" w:type="pct"/>
                  <w:vAlign w:val="center"/>
                </w:tcPr>
                <w:p>
                  <w:pPr>
                    <w:pStyle w:val="50"/>
                    <w:rPr>
                      <w:color w:val="auto"/>
                    </w:rPr>
                  </w:pPr>
                  <w:r>
                    <w:rPr>
                      <w:rFonts w:hint="eastAsia"/>
                      <w:color w:val="auto"/>
                    </w:rPr>
                    <w:t>达GB16297-1996《大气污染物综合排放标准》表2中二级标准无组织排放限值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192" w:type="pct"/>
                  <w:vMerge w:val="continue"/>
                  <w:vAlign w:val="center"/>
                </w:tcPr>
                <w:p>
                  <w:pPr>
                    <w:pStyle w:val="50"/>
                    <w:rPr>
                      <w:color w:val="auto"/>
                    </w:rPr>
                  </w:pPr>
                </w:p>
              </w:tc>
              <w:tc>
                <w:tcPr>
                  <w:tcW w:w="252" w:type="pct"/>
                  <w:vMerge w:val="restart"/>
                  <w:vAlign w:val="center"/>
                </w:tcPr>
                <w:p>
                  <w:pPr>
                    <w:pStyle w:val="50"/>
                    <w:rPr>
                      <w:color w:val="auto"/>
                    </w:rPr>
                  </w:pPr>
                  <w:r>
                    <w:rPr>
                      <w:rFonts w:hint="eastAsia"/>
                      <w:color w:val="auto"/>
                    </w:rPr>
                    <w:t>一般</w:t>
                  </w:r>
                </w:p>
                <w:p>
                  <w:pPr>
                    <w:pStyle w:val="50"/>
                    <w:rPr>
                      <w:color w:val="auto"/>
                    </w:rPr>
                  </w:pPr>
                  <w:r>
                    <w:rPr>
                      <w:rFonts w:hint="eastAsia"/>
                      <w:color w:val="auto"/>
                    </w:rPr>
                    <w:t>固体废物</w:t>
                  </w:r>
                </w:p>
              </w:tc>
              <w:tc>
                <w:tcPr>
                  <w:tcW w:w="801" w:type="pct"/>
                  <w:vAlign w:val="center"/>
                </w:tcPr>
                <w:p>
                  <w:pPr>
                    <w:pStyle w:val="50"/>
                    <w:rPr>
                      <w:color w:val="auto"/>
                    </w:rPr>
                  </w:pPr>
                  <w:r>
                    <w:rPr>
                      <w:rFonts w:hint="eastAsia"/>
                      <w:color w:val="auto"/>
                    </w:rPr>
                    <w:t>员工生活</w:t>
                  </w:r>
                </w:p>
              </w:tc>
              <w:tc>
                <w:tcPr>
                  <w:tcW w:w="976" w:type="pct"/>
                  <w:vAlign w:val="center"/>
                </w:tcPr>
                <w:p>
                  <w:pPr>
                    <w:pStyle w:val="50"/>
                    <w:rPr>
                      <w:color w:val="auto"/>
                    </w:rPr>
                  </w:pPr>
                  <w:r>
                    <w:rPr>
                      <w:rFonts w:hint="eastAsia"/>
                      <w:color w:val="auto"/>
                    </w:rPr>
                    <w:t>生活垃圾</w:t>
                  </w:r>
                </w:p>
              </w:tc>
              <w:tc>
                <w:tcPr>
                  <w:tcW w:w="1520" w:type="pct"/>
                  <w:vAlign w:val="center"/>
                </w:tcPr>
                <w:p>
                  <w:pPr>
                    <w:pStyle w:val="50"/>
                    <w:rPr>
                      <w:color w:val="auto"/>
                    </w:rPr>
                  </w:pPr>
                  <w:r>
                    <w:rPr>
                      <w:color w:val="auto"/>
                    </w:rPr>
                    <w:t>集中收集后委托环卫部门</w:t>
                  </w:r>
                  <w:r>
                    <w:rPr>
                      <w:rFonts w:hint="eastAsia"/>
                      <w:color w:val="auto"/>
                    </w:rPr>
                    <w:t>统一清运</w:t>
                  </w:r>
                </w:p>
              </w:tc>
              <w:tc>
                <w:tcPr>
                  <w:tcW w:w="1257" w:type="pct"/>
                  <w:vMerge w:val="restart"/>
                  <w:vAlign w:val="center"/>
                </w:tcPr>
                <w:p>
                  <w:pPr>
                    <w:pStyle w:val="50"/>
                    <w:jc w:val="both"/>
                    <w:rPr>
                      <w:color w:val="auto"/>
                    </w:rPr>
                  </w:pPr>
                </w:p>
                <w:p>
                  <w:pPr>
                    <w:pStyle w:val="50"/>
                    <w:rPr>
                      <w:color w:val="auto"/>
                    </w:rPr>
                  </w:pPr>
                  <w:r>
                    <w:rPr>
                      <w:color w:val="auto"/>
                    </w:rPr>
                    <w:t>固体废物妥善处置，处置率100%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06"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切割、打孔</w:t>
                  </w:r>
                </w:p>
              </w:tc>
              <w:tc>
                <w:tcPr>
                  <w:tcW w:w="976" w:type="pct"/>
                  <w:vAlign w:val="center"/>
                </w:tcPr>
                <w:p>
                  <w:pPr>
                    <w:pStyle w:val="50"/>
                    <w:rPr>
                      <w:color w:val="auto"/>
                    </w:rPr>
                  </w:pPr>
                  <w:r>
                    <w:rPr>
                      <w:rFonts w:hint="eastAsia"/>
                      <w:color w:val="auto"/>
                    </w:rPr>
                    <w:t>废金属边角料</w:t>
                  </w:r>
                </w:p>
              </w:tc>
              <w:tc>
                <w:tcPr>
                  <w:tcW w:w="1520" w:type="pct"/>
                  <w:vMerge w:val="restart"/>
                  <w:vAlign w:val="center"/>
                </w:tcPr>
                <w:p>
                  <w:pPr>
                    <w:pStyle w:val="50"/>
                    <w:rPr>
                      <w:color w:val="auto"/>
                    </w:rPr>
                  </w:pPr>
                  <w:r>
                    <w:rPr>
                      <w:color w:val="auto"/>
                    </w:rPr>
                    <w:t>设置</w:t>
                  </w:r>
                  <w:r>
                    <w:rPr>
                      <w:rFonts w:hint="eastAsia"/>
                      <w:color w:val="auto"/>
                    </w:rPr>
                    <w:t>面积6</w:t>
                  </w:r>
                  <w:r>
                    <w:rPr>
                      <w:color w:val="auto"/>
                    </w:rPr>
                    <w:t>m</w:t>
                  </w:r>
                  <w:r>
                    <w:rPr>
                      <w:color w:val="auto"/>
                      <w:vertAlign w:val="superscript"/>
                    </w:rPr>
                    <w:t>2</w:t>
                  </w:r>
                  <w:r>
                    <w:rPr>
                      <w:color w:val="auto"/>
                    </w:rPr>
                    <w:t>的</w:t>
                  </w:r>
                  <w:r>
                    <w:rPr>
                      <w:rFonts w:hint="eastAsia"/>
                      <w:color w:val="auto"/>
                    </w:rPr>
                    <w:t>一般固废暂存间</w:t>
                  </w:r>
                  <w:r>
                    <w:rPr>
                      <w:color w:val="auto"/>
                    </w:rPr>
                    <w:t>，</w:t>
                  </w:r>
                  <w:r>
                    <w:rPr>
                      <w:rFonts w:hint="eastAsia"/>
                      <w:color w:val="auto"/>
                    </w:rPr>
                    <w:t>统一收集后外售，</w:t>
                  </w:r>
                  <w:r>
                    <w:rPr>
                      <w:color w:val="auto"/>
                    </w:rPr>
                    <w:t>综合利用</w:t>
                  </w: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54"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焊接</w:t>
                  </w:r>
                </w:p>
              </w:tc>
              <w:tc>
                <w:tcPr>
                  <w:tcW w:w="976" w:type="pct"/>
                  <w:vAlign w:val="center"/>
                </w:tcPr>
                <w:p>
                  <w:pPr>
                    <w:pStyle w:val="50"/>
                    <w:rPr>
                      <w:color w:val="auto"/>
                    </w:rPr>
                  </w:pPr>
                  <w:r>
                    <w:rPr>
                      <w:rFonts w:hint="eastAsia"/>
                      <w:color w:val="auto"/>
                    </w:rPr>
                    <w:t>焊渣</w:t>
                  </w:r>
                </w:p>
              </w:tc>
              <w:tc>
                <w:tcPr>
                  <w:tcW w:w="1520" w:type="pct"/>
                  <w:vMerge w:val="continue"/>
                  <w:vAlign w:val="center"/>
                </w:tcPr>
                <w:p>
                  <w:pPr>
                    <w:pStyle w:val="50"/>
                    <w:rPr>
                      <w:color w:val="auto"/>
                    </w:rPr>
                  </w:pP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24"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物料包装</w:t>
                  </w:r>
                </w:p>
              </w:tc>
              <w:tc>
                <w:tcPr>
                  <w:tcW w:w="976" w:type="pct"/>
                  <w:vAlign w:val="center"/>
                </w:tcPr>
                <w:p>
                  <w:pPr>
                    <w:pStyle w:val="50"/>
                    <w:rPr>
                      <w:color w:val="auto"/>
                    </w:rPr>
                  </w:pPr>
                  <w:r>
                    <w:rPr>
                      <w:rFonts w:hint="eastAsia"/>
                      <w:color w:val="auto"/>
                    </w:rPr>
                    <w:t>废包装材料</w:t>
                  </w:r>
                </w:p>
              </w:tc>
              <w:tc>
                <w:tcPr>
                  <w:tcW w:w="1520" w:type="pct"/>
                  <w:vMerge w:val="continue"/>
                  <w:vAlign w:val="center"/>
                </w:tcPr>
                <w:p>
                  <w:pPr>
                    <w:pStyle w:val="50"/>
                    <w:rPr>
                      <w:color w:val="auto"/>
                    </w:rPr>
                  </w:pP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99"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喷塑</w:t>
                  </w:r>
                </w:p>
              </w:tc>
              <w:tc>
                <w:tcPr>
                  <w:tcW w:w="976" w:type="pct"/>
                  <w:vAlign w:val="center"/>
                </w:tcPr>
                <w:p>
                  <w:pPr>
                    <w:pStyle w:val="50"/>
                    <w:rPr>
                      <w:color w:val="auto"/>
                    </w:rPr>
                  </w:pPr>
                  <w:r>
                    <w:rPr>
                      <w:rFonts w:hint="eastAsia"/>
                      <w:color w:val="auto"/>
                    </w:rPr>
                    <w:t>收尘系统回收塑粉</w:t>
                  </w:r>
                </w:p>
              </w:tc>
              <w:tc>
                <w:tcPr>
                  <w:tcW w:w="1520" w:type="pct"/>
                  <w:vAlign w:val="center"/>
                </w:tcPr>
                <w:p>
                  <w:pPr>
                    <w:pStyle w:val="50"/>
                    <w:rPr>
                      <w:color w:val="auto"/>
                    </w:rPr>
                  </w:pPr>
                  <w:r>
                    <w:rPr>
                      <w:rFonts w:hint="eastAsia"/>
                      <w:color w:val="auto"/>
                    </w:rPr>
                    <w:t>回用于喷塑工艺</w:t>
                  </w: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192" w:type="pct"/>
                  <w:vMerge w:val="continue"/>
                  <w:vAlign w:val="center"/>
                </w:tcPr>
                <w:p>
                  <w:pPr>
                    <w:pStyle w:val="50"/>
                    <w:rPr>
                      <w:color w:val="auto"/>
                    </w:rPr>
                  </w:pPr>
                </w:p>
              </w:tc>
              <w:tc>
                <w:tcPr>
                  <w:tcW w:w="252" w:type="pct"/>
                  <w:vMerge w:val="restart"/>
                  <w:vAlign w:val="center"/>
                </w:tcPr>
                <w:p>
                  <w:pPr>
                    <w:pStyle w:val="50"/>
                    <w:rPr>
                      <w:color w:val="auto"/>
                    </w:rPr>
                  </w:pPr>
                  <w:r>
                    <w:rPr>
                      <w:rFonts w:hint="eastAsia"/>
                      <w:color w:val="auto"/>
                    </w:rPr>
                    <w:t>危险固废</w:t>
                  </w:r>
                </w:p>
              </w:tc>
              <w:tc>
                <w:tcPr>
                  <w:tcW w:w="801" w:type="pct"/>
                  <w:vAlign w:val="center"/>
                </w:tcPr>
                <w:p>
                  <w:pPr>
                    <w:pStyle w:val="50"/>
                    <w:rPr>
                      <w:color w:val="auto"/>
                    </w:rPr>
                  </w:pPr>
                  <w:r>
                    <w:rPr>
                      <w:rFonts w:hint="eastAsia"/>
                      <w:color w:val="auto"/>
                    </w:rPr>
                    <w:t>机加工</w:t>
                  </w:r>
                </w:p>
              </w:tc>
              <w:tc>
                <w:tcPr>
                  <w:tcW w:w="976" w:type="pct"/>
                  <w:vAlign w:val="center"/>
                </w:tcPr>
                <w:p>
                  <w:pPr>
                    <w:pStyle w:val="50"/>
                    <w:rPr>
                      <w:color w:val="auto"/>
                    </w:rPr>
                  </w:pPr>
                  <w:r>
                    <w:rPr>
                      <w:rFonts w:hint="eastAsia"/>
                      <w:color w:val="auto"/>
                    </w:rPr>
                    <w:t>废润滑油</w:t>
                  </w:r>
                </w:p>
              </w:tc>
              <w:tc>
                <w:tcPr>
                  <w:tcW w:w="1520" w:type="pct"/>
                  <w:vMerge w:val="restart"/>
                  <w:vAlign w:val="center"/>
                </w:tcPr>
                <w:p>
                  <w:pPr>
                    <w:pStyle w:val="50"/>
                    <w:rPr>
                      <w:color w:val="auto"/>
                    </w:rPr>
                  </w:pPr>
                  <w:r>
                    <w:rPr>
                      <w:color w:val="auto"/>
                    </w:rPr>
                    <w:t>设置1间</w:t>
                  </w:r>
                  <w:r>
                    <w:rPr>
                      <w:rFonts w:hint="eastAsia"/>
                      <w:color w:val="auto"/>
                    </w:rPr>
                    <w:t>5</w:t>
                  </w:r>
                  <w:r>
                    <w:rPr>
                      <w:color w:val="auto"/>
                    </w:rPr>
                    <w:t>m</w:t>
                  </w:r>
                  <w:r>
                    <w:rPr>
                      <w:color w:val="auto"/>
                      <w:vertAlign w:val="superscript"/>
                    </w:rPr>
                    <w:t>2</w:t>
                  </w:r>
                  <w:r>
                    <w:rPr>
                      <w:color w:val="auto"/>
                    </w:rPr>
                    <w:t>危废暂存间暂存，定期委托有资质单位处置</w:t>
                  </w: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机加工</w:t>
                  </w:r>
                </w:p>
              </w:tc>
              <w:tc>
                <w:tcPr>
                  <w:tcW w:w="976" w:type="pct"/>
                  <w:vAlign w:val="center"/>
                </w:tcPr>
                <w:p>
                  <w:pPr>
                    <w:pStyle w:val="50"/>
                    <w:rPr>
                      <w:color w:val="auto"/>
                    </w:rPr>
                  </w:pPr>
                  <w:r>
                    <w:rPr>
                      <w:rFonts w:hint="eastAsia"/>
                      <w:color w:val="auto"/>
                    </w:rPr>
                    <w:t>废油桶</w:t>
                  </w:r>
                </w:p>
              </w:tc>
              <w:tc>
                <w:tcPr>
                  <w:tcW w:w="1520" w:type="pct"/>
                  <w:vMerge w:val="continue"/>
                  <w:vAlign w:val="center"/>
                </w:tcPr>
                <w:p>
                  <w:pPr>
                    <w:pStyle w:val="50"/>
                    <w:rPr>
                      <w:color w:val="auto"/>
                    </w:rPr>
                  </w:pP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65" w:hRule="atLeast"/>
                <w:jc w:val="center"/>
              </w:trPr>
              <w:tc>
                <w:tcPr>
                  <w:tcW w:w="192" w:type="pct"/>
                  <w:vMerge w:val="continue"/>
                  <w:vAlign w:val="center"/>
                </w:tcPr>
                <w:p>
                  <w:pPr>
                    <w:pStyle w:val="50"/>
                    <w:rPr>
                      <w:color w:val="auto"/>
                    </w:rPr>
                  </w:pPr>
                </w:p>
              </w:tc>
              <w:tc>
                <w:tcPr>
                  <w:tcW w:w="252" w:type="pct"/>
                  <w:vMerge w:val="continue"/>
                  <w:vAlign w:val="center"/>
                </w:tcPr>
                <w:p>
                  <w:pPr>
                    <w:pStyle w:val="50"/>
                    <w:rPr>
                      <w:color w:val="auto"/>
                    </w:rPr>
                  </w:pPr>
                </w:p>
              </w:tc>
              <w:tc>
                <w:tcPr>
                  <w:tcW w:w="801" w:type="pct"/>
                  <w:vAlign w:val="center"/>
                </w:tcPr>
                <w:p>
                  <w:pPr>
                    <w:pStyle w:val="50"/>
                    <w:rPr>
                      <w:color w:val="auto"/>
                    </w:rPr>
                  </w:pPr>
                  <w:r>
                    <w:rPr>
                      <w:rFonts w:hint="eastAsia"/>
                      <w:color w:val="auto"/>
                    </w:rPr>
                    <w:t>废气处理</w:t>
                  </w:r>
                </w:p>
              </w:tc>
              <w:tc>
                <w:tcPr>
                  <w:tcW w:w="976" w:type="pct"/>
                  <w:vAlign w:val="center"/>
                </w:tcPr>
                <w:p>
                  <w:pPr>
                    <w:pStyle w:val="50"/>
                    <w:rPr>
                      <w:color w:val="auto"/>
                    </w:rPr>
                  </w:pPr>
                  <w:r>
                    <w:rPr>
                      <w:rFonts w:hint="eastAsia"/>
                      <w:color w:val="auto"/>
                    </w:rPr>
                    <w:t>废活性炭</w:t>
                  </w:r>
                </w:p>
              </w:tc>
              <w:tc>
                <w:tcPr>
                  <w:tcW w:w="1520" w:type="pct"/>
                  <w:vMerge w:val="continue"/>
                  <w:vAlign w:val="center"/>
                </w:tcPr>
                <w:p>
                  <w:pPr>
                    <w:pStyle w:val="50"/>
                    <w:rPr>
                      <w:color w:val="auto"/>
                    </w:rPr>
                  </w:pPr>
                </w:p>
              </w:tc>
              <w:tc>
                <w:tcPr>
                  <w:tcW w:w="1257" w:type="pct"/>
                  <w:vMerge w:val="continue"/>
                  <w:vAlign w:val="center"/>
                </w:tcPr>
                <w:p>
                  <w:pPr>
                    <w:pStyle w:val="50"/>
                    <w:rPr>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880" w:hRule="atLeast"/>
                <w:jc w:val="center"/>
              </w:trPr>
              <w:tc>
                <w:tcPr>
                  <w:tcW w:w="192" w:type="pct"/>
                  <w:vMerge w:val="continue"/>
                  <w:vAlign w:val="center"/>
                </w:tcPr>
                <w:p>
                  <w:pPr>
                    <w:pStyle w:val="50"/>
                    <w:rPr>
                      <w:color w:val="auto"/>
                    </w:rPr>
                  </w:pPr>
                </w:p>
              </w:tc>
              <w:tc>
                <w:tcPr>
                  <w:tcW w:w="1054" w:type="pct"/>
                  <w:gridSpan w:val="2"/>
                  <w:vAlign w:val="center"/>
                </w:tcPr>
                <w:p>
                  <w:pPr>
                    <w:pStyle w:val="50"/>
                    <w:rPr>
                      <w:color w:val="auto"/>
                    </w:rPr>
                  </w:pPr>
                  <w:r>
                    <w:rPr>
                      <w:color w:val="auto"/>
                    </w:rPr>
                    <w:t>噪声</w:t>
                  </w:r>
                </w:p>
              </w:tc>
              <w:tc>
                <w:tcPr>
                  <w:tcW w:w="976" w:type="pct"/>
                  <w:vAlign w:val="center"/>
                </w:tcPr>
                <w:p>
                  <w:pPr>
                    <w:pStyle w:val="50"/>
                    <w:rPr>
                      <w:color w:val="auto"/>
                    </w:rPr>
                  </w:pPr>
                  <w:r>
                    <w:rPr>
                      <w:color w:val="auto"/>
                    </w:rPr>
                    <w:t>生产设备均设置在厂房内，并安装减震软垫等降噪措施</w:t>
                  </w:r>
                </w:p>
              </w:tc>
              <w:tc>
                <w:tcPr>
                  <w:tcW w:w="1520" w:type="pct"/>
                  <w:vAlign w:val="center"/>
                </w:tcPr>
                <w:p>
                  <w:pPr>
                    <w:pStyle w:val="50"/>
                    <w:rPr>
                      <w:color w:val="auto"/>
                    </w:rPr>
                  </w:pPr>
                  <w:r>
                    <w:rPr>
                      <w:color w:val="auto"/>
                    </w:rPr>
                    <w:t>减震软垫</w:t>
                  </w:r>
                </w:p>
              </w:tc>
              <w:tc>
                <w:tcPr>
                  <w:tcW w:w="1257" w:type="pct"/>
                  <w:vAlign w:val="center"/>
                </w:tcPr>
                <w:p>
                  <w:pPr>
                    <w:pStyle w:val="50"/>
                    <w:rPr>
                      <w:color w:val="auto"/>
                    </w:rPr>
                  </w:pPr>
                  <w:r>
                    <w:rPr>
                      <w:color w:val="auto"/>
                    </w:rPr>
                    <w:t>项目厂界四周达（GB12348-2008）《工业企业厂界环境噪声排放标准》中3类区标准</w:t>
                  </w:r>
                </w:p>
              </w:tc>
            </w:tr>
          </w:tbl>
          <w:p>
            <w:pPr>
              <w:ind w:firstLine="0" w:firstLineChars="0"/>
              <w:contextualSpacing/>
              <w:rPr>
                <w:color w:val="auto"/>
              </w:rPr>
            </w:pPr>
            <w:r>
              <w:rPr>
                <w:color w:val="auto"/>
              </w:rPr>
              <w:t>六、环境监测</w:t>
            </w:r>
          </w:p>
          <w:p>
            <w:pPr>
              <w:ind w:firstLine="480"/>
              <w:rPr>
                <w:color w:val="auto"/>
              </w:rPr>
            </w:pPr>
            <w:r>
              <w:rPr>
                <w:color w:val="auto"/>
              </w:rPr>
              <w:t>环境监测是企业搞好环境管理，促进污染治理实施政策运行的重要保障。通过定期的环境监测，可以及时发现问题、解决问题，从而有力于监督各项环保措施的落实。本项目运营期环境监测计划见表9-3。</w:t>
            </w:r>
          </w:p>
          <w:p>
            <w:pPr>
              <w:pStyle w:val="48"/>
              <w:ind w:firstLine="422"/>
              <w:rPr>
                <w:color w:val="auto"/>
              </w:rPr>
            </w:pPr>
            <w:r>
              <w:rPr>
                <w:color w:val="auto"/>
              </w:rPr>
              <w:t>表9-3 项目运营期监测计划一览表</w:t>
            </w:r>
          </w:p>
          <w:tbl>
            <w:tblPr>
              <w:tblStyle w:val="36"/>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655"/>
              <w:gridCol w:w="981"/>
              <w:gridCol w:w="2578"/>
              <w:gridCol w:w="1404"/>
              <w:gridCol w:w="2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500" w:type="dxa"/>
                  <w:vAlign w:val="center"/>
                </w:tcPr>
                <w:p>
                  <w:pPr>
                    <w:pStyle w:val="50"/>
                    <w:rPr>
                      <w:color w:val="auto"/>
                    </w:rPr>
                  </w:pPr>
                  <w:r>
                    <w:rPr>
                      <w:color w:val="auto"/>
                    </w:rPr>
                    <w:t>对象</w:t>
                  </w:r>
                </w:p>
              </w:tc>
              <w:tc>
                <w:tcPr>
                  <w:tcW w:w="655" w:type="dxa"/>
                  <w:vAlign w:val="center"/>
                </w:tcPr>
                <w:p>
                  <w:pPr>
                    <w:pStyle w:val="50"/>
                    <w:rPr>
                      <w:color w:val="auto"/>
                    </w:rPr>
                  </w:pPr>
                  <w:r>
                    <w:rPr>
                      <w:color w:val="auto"/>
                    </w:rPr>
                    <w:t>监测地点</w:t>
                  </w:r>
                </w:p>
              </w:tc>
              <w:tc>
                <w:tcPr>
                  <w:tcW w:w="981" w:type="dxa"/>
                  <w:vAlign w:val="center"/>
                </w:tcPr>
                <w:p>
                  <w:pPr>
                    <w:pStyle w:val="50"/>
                    <w:rPr>
                      <w:color w:val="auto"/>
                    </w:rPr>
                  </w:pPr>
                  <w:r>
                    <w:rPr>
                      <w:color w:val="auto"/>
                    </w:rPr>
                    <w:t>监测项目</w:t>
                  </w:r>
                </w:p>
              </w:tc>
              <w:tc>
                <w:tcPr>
                  <w:tcW w:w="2578" w:type="dxa"/>
                  <w:vAlign w:val="center"/>
                </w:tcPr>
                <w:p>
                  <w:pPr>
                    <w:pStyle w:val="50"/>
                    <w:rPr>
                      <w:color w:val="auto"/>
                    </w:rPr>
                  </w:pPr>
                  <w:r>
                    <w:rPr>
                      <w:color w:val="auto"/>
                    </w:rPr>
                    <w:t>监测方法</w:t>
                  </w:r>
                </w:p>
              </w:tc>
              <w:tc>
                <w:tcPr>
                  <w:tcW w:w="1404" w:type="dxa"/>
                  <w:vAlign w:val="center"/>
                </w:tcPr>
                <w:p>
                  <w:pPr>
                    <w:pStyle w:val="50"/>
                    <w:rPr>
                      <w:color w:val="auto"/>
                    </w:rPr>
                  </w:pPr>
                  <w:r>
                    <w:rPr>
                      <w:color w:val="auto"/>
                    </w:rPr>
                    <w:t>监测频率</w:t>
                  </w:r>
                </w:p>
              </w:tc>
              <w:tc>
                <w:tcPr>
                  <w:tcW w:w="2739" w:type="dxa"/>
                  <w:vAlign w:val="center"/>
                </w:tcPr>
                <w:p>
                  <w:pPr>
                    <w:pStyle w:val="50"/>
                    <w:rPr>
                      <w:color w:val="auto"/>
                    </w:rPr>
                  </w:pPr>
                  <w:r>
                    <w:rPr>
                      <w:color w:val="auto"/>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500" w:type="dxa"/>
                  <w:vMerge w:val="restart"/>
                  <w:vAlign w:val="center"/>
                </w:tcPr>
                <w:p>
                  <w:pPr>
                    <w:pStyle w:val="50"/>
                    <w:rPr>
                      <w:color w:val="auto"/>
                    </w:rPr>
                  </w:pPr>
                  <w:r>
                    <w:rPr>
                      <w:color w:val="auto"/>
                    </w:rPr>
                    <w:t>大气环境</w:t>
                  </w:r>
                </w:p>
              </w:tc>
              <w:tc>
                <w:tcPr>
                  <w:tcW w:w="655" w:type="dxa"/>
                  <w:vAlign w:val="center"/>
                </w:tcPr>
                <w:p>
                  <w:pPr>
                    <w:pStyle w:val="50"/>
                    <w:rPr>
                      <w:color w:val="auto"/>
                    </w:rPr>
                  </w:pPr>
                  <w:r>
                    <w:rPr>
                      <w:color w:val="auto"/>
                    </w:rPr>
                    <w:t>1#</w:t>
                  </w:r>
                  <w:r>
                    <w:rPr>
                      <w:rFonts w:hint="eastAsia"/>
                      <w:color w:val="auto"/>
                    </w:rPr>
                    <w:t>排气筒</w:t>
                  </w:r>
                </w:p>
              </w:tc>
              <w:tc>
                <w:tcPr>
                  <w:tcW w:w="981" w:type="dxa"/>
                  <w:vAlign w:val="center"/>
                </w:tcPr>
                <w:p>
                  <w:pPr>
                    <w:pStyle w:val="50"/>
                    <w:rPr>
                      <w:color w:val="auto"/>
                    </w:rPr>
                  </w:pPr>
                  <w:r>
                    <w:rPr>
                      <w:color w:val="auto"/>
                    </w:rPr>
                    <w:t>颗粒物</w:t>
                  </w:r>
                </w:p>
              </w:tc>
              <w:tc>
                <w:tcPr>
                  <w:tcW w:w="2578" w:type="dxa"/>
                  <w:vAlign w:val="center"/>
                </w:tcPr>
                <w:p>
                  <w:pPr>
                    <w:pStyle w:val="50"/>
                    <w:rPr>
                      <w:color w:val="auto"/>
                    </w:rPr>
                  </w:pPr>
                  <w:r>
                    <w:rPr>
                      <w:rFonts w:hint="eastAsia"/>
                      <w:color w:val="auto"/>
                    </w:rPr>
                    <w:t>颗粒物按照（GB/T 16157-1996）《固定污染源排气中颗粒物和气态污染物采样方法》进行；</w:t>
                  </w:r>
                  <w:r>
                    <w:rPr>
                      <w:color w:val="auto"/>
                    </w:rPr>
                    <w:t>非甲烷总烃按照（HJ/T 38</w:t>
                  </w:r>
                  <w:r>
                    <w:rPr>
                      <w:rFonts w:hint="eastAsia"/>
                      <w:color w:val="auto"/>
                    </w:rPr>
                    <w:t>-1999</w:t>
                  </w:r>
                  <w:r>
                    <w:rPr>
                      <w:color w:val="auto"/>
                    </w:rPr>
                    <w:t>）《固定污染源排气中非甲烷总烃的测定 气相色谱法》进行</w:t>
                  </w:r>
                </w:p>
              </w:tc>
              <w:tc>
                <w:tcPr>
                  <w:tcW w:w="1404" w:type="dxa"/>
                  <w:vAlign w:val="center"/>
                </w:tcPr>
                <w:p>
                  <w:pPr>
                    <w:pStyle w:val="50"/>
                    <w:rPr>
                      <w:color w:val="auto"/>
                    </w:rPr>
                  </w:pPr>
                  <w:r>
                    <w:rPr>
                      <w:rFonts w:hint="eastAsia"/>
                      <w:color w:val="auto"/>
                    </w:rPr>
                    <w:t>每年监测1次，每次2天，</w:t>
                  </w:r>
                  <w:r>
                    <w:rPr>
                      <w:color w:val="auto"/>
                    </w:rPr>
                    <w:t>每天监测3次</w:t>
                  </w:r>
                </w:p>
                <w:p>
                  <w:pPr>
                    <w:pStyle w:val="50"/>
                    <w:widowControl/>
                    <w:rPr>
                      <w:color w:val="auto"/>
                    </w:rPr>
                  </w:pPr>
                </w:p>
              </w:tc>
              <w:tc>
                <w:tcPr>
                  <w:tcW w:w="2739" w:type="dxa"/>
                  <w:vAlign w:val="center"/>
                </w:tcPr>
                <w:p>
                  <w:pPr>
                    <w:pStyle w:val="50"/>
                    <w:jc w:val="both"/>
                    <w:rPr>
                      <w:color w:val="auto"/>
                    </w:rPr>
                  </w:pPr>
                  <w:r>
                    <w:rPr>
                      <w:rFonts w:hint="eastAsia"/>
                      <w:color w:val="auto"/>
                    </w:rPr>
                    <w:t>GB16297-1996《大气污染物综合排放标准》表2中二级标准限值要求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00" w:type="dxa"/>
                  <w:vMerge w:val="continue"/>
                  <w:vAlign w:val="center"/>
                </w:tcPr>
                <w:p>
                  <w:pPr>
                    <w:pStyle w:val="50"/>
                    <w:rPr>
                      <w:color w:val="auto"/>
                    </w:rPr>
                  </w:pPr>
                </w:p>
              </w:tc>
              <w:tc>
                <w:tcPr>
                  <w:tcW w:w="655" w:type="dxa"/>
                  <w:vAlign w:val="center"/>
                </w:tcPr>
                <w:p>
                  <w:pPr>
                    <w:pStyle w:val="50"/>
                    <w:rPr>
                      <w:color w:val="auto"/>
                    </w:rPr>
                  </w:pPr>
                  <w:r>
                    <w:rPr>
                      <w:rFonts w:hint="eastAsia"/>
                      <w:color w:val="auto"/>
                    </w:rPr>
                    <w:t>2</w:t>
                  </w:r>
                  <w:r>
                    <w:rPr>
                      <w:color w:val="auto"/>
                    </w:rPr>
                    <w:t>#</w:t>
                  </w:r>
                  <w:r>
                    <w:rPr>
                      <w:rFonts w:hint="eastAsia"/>
                      <w:color w:val="auto"/>
                    </w:rPr>
                    <w:t>排气筒</w:t>
                  </w:r>
                </w:p>
              </w:tc>
              <w:tc>
                <w:tcPr>
                  <w:tcW w:w="981" w:type="dxa"/>
                  <w:vAlign w:val="center"/>
                </w:tcPr>
                <w:p>
                  <w:pPr>
                    <w:pStyle w:val="50"/>
                    <w:rPr>
                      <w:color w:val="auto"/>
                    </w:rPr>
                  </w:pPr>
                  <w:r>
                    <w:rPr>
                      <w:color w:val="auto"/>
                    </w:rPr>
                    <w:t>颗粒物、</w:t>
                  </w:r>
                  <w:r>
                    <w:rPr>
                      <w:rFonts w:hint="eastAsia"/>
                      <w:color w:val="auto"/>
                    </w:rPr>
                    <w:t>SO</w:t>
                  </w:r>
                  <w:r>
                    <w:rPr>
                      <w:rFonts w:hint="eastAsia"/>
                      <w:color w:val="auto"/>
                      <w:vertAlign w:val="subscript"/>
                    </w:rPr>
                    <w:t>2</w:t>
                  </w:r>
                  <w:r>
                    <w:rPr>
                      <w:rFonts w:hint="eastAsia"/>
                      <w:color w:val="auto"/>
                    </w:rPr>
                    <w:t>、氮氧化物、</w:t>
                  </w:r>
                  <w:r>
                    <w:rPr>
                      <w:rFonts w:hint="eastAsia"/>
                      <w:color w:val="auto"/>
                      <w:lang w:val="en-US" w:eastAsia="zh-CN"/>
                    </w:rPr>
                    <w:t>VOCs（以非甲烷总烃计）</w:t>
                  </w:r>
                </w:p>
              </w:tc>
              <w:tc>
                <w:tcPr>
                  <w:tcW w:w="2578" w:type="dxa"/>
                  <w:vAlign w:val="center"/>
                </w:tcPr>
                <w:p>
                  <w:pPr>
                    <w:pStyle w:val="50"/>
                    <w:jc w:val="both"/>
                    <w:rPr>
                      <w:color w:val="auto"/>
                    </w:rPr>
                  </w:pPr>
                  <w:r>
                    <w:rPr>
                      <w:rFonts w:hint="eastAsia"/>
                      <w:color w:val="auto"/>
                    </w:rPr>
                    <w:t>按GB5468或GB/T16157、HJ/T57-2017、HJ693-2014规定执行</w:t>
                  </w:r>
                </w:p>
              </w:tc>
              <w:tc>
                <w:tcPr>
                  <w:tcW w:w="1404" w:type="dxa"/>
                  <w:vAlign w:val="center"/>
                </w:tcPr>
                <w:p>
                  <w:pPr>
                    <w:pStyle w:val="50"/>
                    <w:rPr>
                      <w:color w:val="auto"/>
                    </w:rPr>
                  </w:pPr>
                  <w:r>
                    <w:rPr>
                      <w:rFonts w:hint="eastAsia"/>
                      <w:color w:val="auto"/>
                    </w:rPr>
                    <w:t>每年监测1次，每次2天，</w:t>
                  </w:r>
                  <w:r>
                    <w:rPr>
                      <w:color w:val="auto"/>
                    </w:rPr>
                    <w:t>每天监测3次</w:t>
                  </w:r>
                </w:p>
              </w:tc>
              <w:tc>
                <w:tcPr>
                  <w:tcW w:w="2739" w:type="dxa"/>
                  <w:vAlign w:val="center"/>
                </w:tcPr>
                <w:p>
                  <w:pPr>
                    <w:pStyle w:val="50"/>
                    <w:rPr>
                      <w:color w:val="auto"/>
                    </w:rPr>
                  </w:pPr>
                  <w:r>
                    <w:rPr>
                      <w:rFonts w:hint="eastAsia"/>
                      <w:color w:val="auto"/>
                    </w:rPr>
                    <w:t>颗粒物、SO2、NOx执行GB16297-1996《大气污染物综合排放标准》表2二级标准限值；非甲烷总烃执行GB16297-1996《大气污染物综合排放标准》表2中二级标准限值要求。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500" w:type="dxa"/>
                  <w:vMerge w:val="continue"/>
                  <w:vAlign w:val="center"/>
                </w:tcPr>
                <w:p>
                  <w:pPr>
                    <w:pStyle w:val="50"/>
                    <w:rPr>
                      <w:color w:val="auto"/>
                    </w:rPr>
                  </w:pPr>
                </w:p>
              </w:tc>
              <w:tc>
                <w:tcPr>
                  <w:tcW w:w="655" w:type="dxa"/>
                  <w:vAlign w:val="center"/>
                </w:tcPr>
                <w:p>
                  <w:pPr>
                    <w:pStyle w:val="50"/>
                    <w:rPr>
                      <w:color w:val="auto"/>
                    </w:rPr>
                  </w:pPr>
                  <w:r>
                    <w:rPr>
                      <w:rFonts w:hint="eastAsia"/>
                      <w:color w:val="auto"/>
                    </w:rPr>
                    <w:t>厂界下风向</w:t>
                  </w:r>
                </w:p>
              </w:tc>
              <w:tc>
                <w:tcPr>
                  <w:tcW w:w="981" w:type="dxa"/>
                  <w:vAlign w:val="center"/>
                </w:tcPr>
                <w:p>
                  <w:pPr>
                    <w:pStyle w:val="50"/>
                    <w:rPr>
                      <w:color w:val="auto"/>
                    </w:rPr>
                  </w:pPr>
                  <w:r>
                    <w:rPr>
                      <w:color w:val="auto"/>
                    </w:rPr>
                    <w:t>颗粒物、</w:t>
                  </w:r>
                </w:p>
              </w:tc>
              <w:tc>
                <w:tcPr>
                  <w:tcW w:w="2578" w:type="dxa"/>
                  <w:vAlign w:val="center"/>
                </w:tcPr>
                <w:p>
                  <w:pPr>
                    <w:pStyle w:val="50"/>
                    <w:rPr>
                      <w:color w:val="auto"/>
                    </w:rPr>
                  </w:pPr>
                  <w:r>
                    <w:rPr>
                      <w:rFonts w:hint="eastAsia"/>
                      <w:color w:val="auto"/>
                    </w:rPr>
                    <w:t>按照（HJ-T55-2000）《大气污染物无组织排放检测技术导则》进行</w:t>
                  </w:r>
                </w:p>
              </w:tc>
              <w:tc>
                <w:tcPr>
                  <w:tcW w:w="1404" w:type="dxa"/>
                  <w:vAlign w:val="center"/>
                </w:tcPr>
                <w:p>
                  <w:pPr>
                    <w:pStyle w:val="50"/>
                    <w:rPr>
                      <w:color w:val="auto"/>
                    </w:rPr>
                  </w:pPr>
                  <w:r>
                    <w:rPr>
                      <w:rFonts w:hint="eastAsia"/>
                      <w:color w:val="auto"/>
                    </w:rPr>
                    <w:t>每年监测1次，每次2天，</w:t>
                  </w:r>
                  <w:r>
                    <w:rPr>
                      <w:color w:val="auto"/>
                    </w:rPr>
                    <w:t>每天监测3次</w:t>
                  </w:r>
                </w:p>
              </w:tc>
              <w:tc>
                <w:tcPr>
                  <w:tcW w:w="2739" w:type="dxa"/>
                  <w:vAlign w:val="center"/>
                </w:tcPr>
                <w:p>
                  <w:pPr>
                    <w:pStyle w:val="50"/>
                    <w:rPr>
                      <w:color w:val="auto"/>
                    </w:rPr>
                  </w:pPr>
                  <w:r>
                    <w:rPr>
                      <w:rFonts w:hint="eastAsia"/>
                      <w:color w:val="auto"/>
                    </w:rPr>
                    <w:t>GB16297-1996《大气污染物综合排放标准》表2中二级标准无组织排放限值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500" w:type="dxa"/>
                  <w:vAlign w:val="center"/>
                </w:tcPr>
                <w:p>
                  <w:pPr>
                    <w:pStyle w:val="50"/>
                    <w:rPr>
                      <w:color w:val="auto"/>
                    </w:rPr>
                  </w:pPr>
                </w:p>
              </w:tc>
              <w:tc>
                <w:tcPr>
                  <w:tcW w:w="655" w:type="dxa"/>
                  <w:vAlign w:val="center"/>
                </w:tcPr>
                <w:p>
                  <w:pPr>
                    <w:pStyle w:val="50"/>
                    <w:rPr>
                      <w:color w:val="auto"/>
                    </w:rPr>
                  </w:pPr>
                  <w:r>
                    <w:rPr>
                      <w:rFonts w:hint="eastAsia"/>
                      <w:color w:val="auto"/>
                    </w:rPr>
                    <w:t>厂区内</w:t>
                  </w:r>
                </w:p>
              </w:tc>
              <w:tc>
                <w:tcPr>
                  <w:tcW w:w="981" w:type="dxa"/>
                  <w:vAlign w:val="center"/>
                </w:tcPr>
                <w:p>
                  <w:pPr>
                    <w:pStyle w:val="50"/>
                    <w:rPr>
                      <w:color w:val="auto"/>
                    </w:rPr>
                  </w:pPr>
                  <w:r>
                    <w:rPr>
                      <w:rFonts w:hint="eastAsia"/>
                      <w:color w:val="auto"/>
                    </w:rPr>
                    <w:t>非甲烷总烃</w:t>
                  </w:r>
                </w:p>
              </w:tc>
              <w:tc>
                <w:tcPr>
                  <w:tcW w:w="2578" w:type="dxa"/>
                  <w:vAlign w:val="center"/>
                </w:tcPr>
                <w:p>
                  <w:pPr>
                    <w:pStyle w:val="50"/>
                    <w:rPr>
                      <w:color w:val="auto"/>
                    </w:rPr>
                  </w:pPr>
                  <w:r>
                    <w:rPr>
                      <w:rFonts w:hint="eastAsia"/>
                      <w:color w:val="auto"/>
                    </w:rPr>
                    <w:t>按照HJ 604或HJ 1012规定执行</w:t>
                  </w:r>
                </w:p>
              </w:tc>
              <w:tc>
                <w:tcPr>
                  <w:tcW w:w="1404" w:type="dxa"/>
                  <w:vAlign w:val="center"/>
                </w:tcPr>
                <w:p>
                  <w:pPr>
                    <w:pStyle w:val="50"/>
                    <w:rPr>
                      <w:color w:val="auto"/>
                    </w:rPr>
                  </w:pPr>
                  <w:r>
                    <w:rPr>
                      <w:color w:val="auto"/>
                    </w:rPr>
                    <w:t>每年监测1次，连续监测2天，每天监测3次</w:t>
                  </w:r>
                </w:p>
              </w:tc>
              <w:tc>
                <w:tcPr>
                  <w:tcW w:w="2739" w:type="dxa"/>
                  <w:vAlign w:val="center"/>
                </w:tcPr>
                <w:p>
                  <w:pPr>
                    <w:pStyle w:val="50"/>
                    <w:rPr>
                      <w:color w:val="auto"/>
                    </w:rPr>
                  </w:pPr>
                  <w:r>
                    <w:rPr>
                      <w:color w:val="auto"/>
                    </w:rPr>
                    <w:t>厂区内非甲烷总烃执行《挥发性有机物无组织排放控制标准》(GB37822-2019)无组织排放限值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500" w:type="dxa"/>
                  <w:vAlign w:val="center"/>
                </w:tcPr>
                <w:p>
                  <w:pPr>
                    <w:pStyle w:val="50"/>
                    <w:rPr>
                      <w:color w:val="auto"/>
                    </w:rPr>
                  </w:pPr>
                  <w:r>
                    <w:rPr>
                      <w:color w:val="auto"/>
                    </w:rPr>
                    <w:t>声环境</w:t>
                  </w:r>
                </w:p>
              </w:tc>
              <w:tc>
                <w:tcPr>
                  <w:tcW w:w="655" w:type="dxa"/>
                  <w:vAlign w:val="center"/>
                </w:tcPr>
                <w:p>
                  <w:pPr>
                    <w:pStyle w:val="50"/>
                    <w:rPr>
                      <w:color w:val="auto"/>
                    </w:rPr>
                  </w:pPr>
                  <w:r>
                    <w:rPr>
                      <w:rFonts w:hint="eastAsia"/>
                      <w:color w:val="auto"/>
                    </w:rPr>
                    <w:t>厂界四周</w:t>
                  </w:r>
                </w:p>
              </w:tc>
              <w:tc>
                <w:tcPr>
                  <w:tcW w:w="981" w:type="dxa"/>
                  <w:vAlign w:val="center"/>
                </w:tcPr>
                <w:p>
                  <w:pPr>
                    <w:pStyle w:val="50"/>
                    <w:rPr>
                      <w:color w:val="auto"/>
                    </w:rPr>
                  </w:pPr>
                  <w:r>
                    <w:rPr>
                      <w:rFonts w:hint="eastAsia"/>
                      <w:color w:val="auto"/>
                    </w:rPr>
                    <w:t>噪声</w:t>
                  </w:r>
                </w:p>
              </w:tc>
              <w:tc>
                <w:tcPr>
                  <w:tcW w:w="2578" w:type="dxa"/>
                  <w:vAlign w:val="center"/>
                </w:tcPr>
                <w:p>
                  <w:pPr>
                    <w:pStyle w:val="50"/>
                    <w:rPr>
                      <w:color w:val="auto"/>
                    </w:rPr>
                  </w:pPr>
                  <w:r>
                    <w:rPr>
                      <w:rFonts w:hint="eastAsia"/>
                      <w:color w:val="auto"/>
                    </w:rPr>
                    <w:t>按照（HJ640-2012）《环境噪声监测技术规范城市声环境常规监测》进行</w:t>
                  </w:r>
                </w:p>
              </w:tc>
              <w:tc>
                <w:tcPr>
                  <w:tcW w:w="1404" w:type="dxa"/>
                  <w:vAlign w:val="center"/>
                </w:tcPr>
                <w:p>
                  <w:pPr>
                    <w:pStyle w:val="50"/>
                    <w:rPr>
                      <w:color w:val="auto"/>
                    </w:rPr>
                  </w:pPr>
                  <w:r>
                    <w:rPr>
                      <w:rFonts w:hint="eastAsia"/>
                      <w:color w:val="auto"/>
                    </w:rPr>
                    <w:t>每年监测1次，每次连续监测两天，每天昼间监测1次</w:t>
                  </w:r>
                </w:p>
              </w:tc>
              <w:tc>
                <w:tcPr>
                  <w:tcW w:w="2739" w:type="dxa"/>
                  <w:vAlign w:val="center"/>
                </w:tcPr>
                <w:p>
                  <w:pPr>
                    <w:pStyle w:val="50"/>
                    <w:rPr>
                      <w:color w:val="auto"/>
                    </w:rPr>
                  </w:pPr>
                  <w:r>
                    <w:rPr>
                      <w:rFonts w:hint="eastAsia"/>
                      <w:color w:val="auto"/>
                    </w:rPr>
                    <w:t>项目场界噪声达到（GB12348-2008）《工业企业厂界环境噪声排放标准》中3类区标准</w:t>
                  </w:r>
                </w:p>
              </w:tc>
            </w:tr>
          </w:tbl>
          <w:p>
            <w:pPr>
              <w:ind w:firstLine="0" w:firstLineChars="0"/>
              <w:contextualSpacing/>
              <w:rPr>
                <w:color w:val="auto"/>
              </w:rPr>
            </w:pPr>
            <w:r>
              <w:rPr>
                <w:color w:val="auto"/>
              </w:rPr>
              <w:t>七、建议</w:t>
            </w:r>
          </w:p>
          <w:p>
            <w:pPr>
              <w:ind w:firstLine="480"/>
              <w:contextualSpacing/>
              <w:rPr>
                <w:color w:val="auto"/>
              </w:rPr>
            </w:pPr>
            <w:r>
              <w:rPr>
                <w:color w:val="auto"/>
              </w:rPr>
              <w:t>1、加强操作人员的防护，减小噪声和有害气体对人体健康的危害。</w:t>
            </w:r>
          </w:p>
          <w:p>
            <w:pPr>
              <w:ind w:firstLine="480"/>
              <w:contextualSpacing/>
              <w:rPr>
                <w:color w:val="auto"/>
              </w:rPr>
            </w:pPr>
            <w:r>
              <w:rPr>
                <w:color w:val="auto"/>
              </w:rPr>
              <w:t>2、企业应加强环保设施的日常管理、维护，建立健全环保设施的运行管理制度，定期检查制度、设备维护和检修制度，确保环保设施的高效、正常运转，尽量减少和避免事故排放。在当地环保部门的指导下，定期对污染源进行监测，并建立污染源管理档案，确保污染物达标排放。</w:t>
            </w:r>
          </w:p>
          <w:p>
            <w:pPr>
              <w:ind w:firstLine="480"/>
              <w:contextualSpacing/>
              <w:rPr>
                <w:color w:val="auto"/>
              </w:rPr>
            </w:pPr>
            <w:r>
              <w:rPr>
                <w:color w:val="auto"/>
              </w:rPr>
              <w:t>3、项目管理者应严格执行本环评所提出的环境污染处理方法，建立完善的环保管理制度，确保各项环保措施落实到位。</w:t>
            </w:r>
          </w:p>
          <w:p>
            <w:pPr>
              <w:ind w:firstLine="480"/>
              <w:contextualSpacing/>
              <w:rPr>
                <w:color w:val="auto"/>
              </w:rPr>
            </w:pPr>
            <w:r>
              <w:rPr>
                <w:color w:val="auto"/>
              </w:rPr>
              <w:t>4、项目目前处于规划设计阶段，若将来项目建设的实际情况与目前规划有较大的调整，须另行报批环境影响评价报告。</w:t>
            </w:r>
          </w:p>
          <w:p>
            <w:pPr>
              <w:ind w:firstLine="0" w:firstLineChars="0"/>
              <w:rPr>
                <w:color w:val="auto"/>
              </w:rPr>
            </w:pPr>
          </w:p>
          <w:p>
            <w:pPr>
              <w:pStyle w:val="17"/>
              <w:rPr>
                <w:color w:val="auto"/>
              </w:rPr>
            </w:pPr>
          </w:p>
          <w:p>
            <w:pPr>
              <w:rPr>
                <w:color w:val="auto"/>
              </w:rPr>
            </w:pPr>
          </w:p>
          <w:p>
            <w:pPr>
              <w:pStyle w:val="17"/>
              <w:rPr>
                <w:color w:val="auto"/>
              </w:rPr>
            </w:pPr>
          </w:p>
          <w:p>
            <w:pPr>
              <w:rPr>
                <w:color w:val="auto"/>
              </w:rPr>
            </w:pPr>
          </w:p>
          <w:p>
            <w:pPr>
              <w:pStyle w:val="17"/>
              <w:rPr>
                <w:color w:val="auto"/>
              </w:rPr>
            </w:pPr>
          </w:p>
          <w:p>
            <w:pPr>
              <w:pStyle w:val="17"/>
              <w:ind w:firstLine="0" w:firstLineChars="0"/>
              <w:rPr>
                <w:color w:val="auto"/>
              </w:rPr>
            </w:pPr>
          </w:p>
          <w:p>
            <w:pPr>
              <w:pStyle w:val="17"/>
              <w:ind w:firstLine="0" w:firstLineChars="0"/>
              <w:rPr>
                <w:color w:val="auto"/>
              </w:rPr>
            </w:pPr>
          </w:p>
        </w:tc>
      </w:tr>
    </w:tbl>
    <w:p>
      <w:pPr>
        <w:ind w:firstLine="0" w:firstLineChars="0"/>
        <w:contextualSpacing/>
        <w:rPr>
          <w:b/>
          <w:bCs/>
          <w:color w:val="auto"/>
        </w:rPr>
        <w:sectPr>
          <w:type w:val="continuous"/>
          <w:pgSz w:w="11906" w:h="16838"/>
          <w:pgMar w:top="1276" w:right="1800" w:bottom="1418" w:left="1800" w:header="851" w:footer="992" w:gutter="0"/>
          <w:cols w:space="720" w:num="1"/>
          <w:docGrid w:type="lines" w:linePitch="312" w:charSpace="0"/>
        </w:sectPr>
      </w:pPr>
    </w:p>
    <w:p>
      <w:pPr>
        <w:pStyle w:val="23"/>
        <w:ind w:firstLineChars="0"/>
        <w:rPr>
          <w:rFonts w:ascii="Times New Roman" w:hAnsi="Times New Roman"/>
          <w:color w:val="auto"/>
        </w:rPr>
        <w:sectPr>
          <w:type w:val="continuous"/>
          <w:pgSz w:w="11906" w:h="16838"/>
          <w:pgMar w:top="1440" w:right="1701" w:bottom="1440" w:left="1701" w:header="851" w:footer="992" w:gutter="0"/>
          <w:cols w:space="720" w:num="1"/>
          <w:docGrid w:type="lines" w:linePitch="312" w:charSpace="0"/>
        </w:sectPr>
      </w:pPr>
    </w:p>
    <w:tbl>
      <w:tblPr>
        <w:tblStyle w:val="3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8720" w:type="dxa"/>
          </w:tcPr>
          <w:p>
            <w:pPr>
              <w:rPr>
                <w:color w:val="auto"/>
                <w:sz w:val="28"/>
                <w:szCs w:val="28"/>
              </w:rPr>
            </w:pPr>
            <w:r>
              <w:rPr>
                <w:b/>
                <w:bCs/>
                <w:color w:val="auto"/>
                <w:sz w:val="28"/>
                <w:szCs w:val="28"/>
              </w:rPr>
              <w:t>预审意见</w:t>
            </w:r>
            <w:r>
              <w:rPr>
                <w:color w:val="auto"/>
                <w:sz w:val="28"/>
                <w:szCs w:val="28"/>
              </w:rPr>
              <w:t>：</w:t>
            </w:r>
          </w:p>
          <w:p>
            <w:pPr>
              <w:ind w:firstLine="560"/>
              <w:rPr>
                <w:color w:val="auto"/>
                <w:sz w:val="28"/>
                <w:szCs w:val="28"/>
                <w:u w:val="single"/>
              </w:rPr>
            </w:pPr>
          </w:p>
          <w:p>
            <w:pPr>
              <w:ind w:firstLine="560"/>
              <w:rPr>
                <w:color w:val="auto"/>
                <w:sz w:val="28"/>
                <w:szCs w:val="28"/>
                <w:u w:val="single"/>
              </w:rPr>
            </w:pPr>
          </w:p>
          <w:p>
            <w:pPr>
              <w:ind w:firstLine="560"/>
              <w:rPr>
                <w:color w:val="auto"/>
                <w:sz w:val="28"/>
                <w:szCs w:val="28"/>
                <w:u w:val="single"/>
              </w:rPr>
            </w:pPr>
          </w:p>
          <w:p>
            <w:pPr>
              <w:pStyle w:val="35"/>
              <w:ind w:left="0" w:leftChars="0" w:firstLine="0" w:firstLineChars="0"/>
              <w:rPr>
                <w:color w:val="auto"/>
              </w:rPr>
            </w:pPr>
          </w:p>
          <w:p>
            <w:pPr>
              <w:pStyle w:val="35"/>
              <w:ind w:left="0" w:leftChars="0" w:firstLine="0" w:firstLineChars="0"/>
              <w:rPr>
                <w:color w:val="auto"/>
              </w:rPr>
            </w:pPr>
          </w:p>
          <w:p>
            <w:pPr>
              <w:pStyle w:val="35"/>
              <w:ind w:left="480"/>
              <w:rPr>
                <w:color w:val="auto"/>
              </w:rPr>
            </w:pPr>
          </w:p>
          <w:p>
            <w:pPr>
              <w:ind w:firstLine="560"/>
              <w:rPr>
                <w:color w:val="auto"/>
                <w:sz w:val="28"/>
                <w:szCs w:val="28"/>
                <w:u w:val="single"/>
              </w:rPr>
            </w:pPr>
          </w:p>
          <w:p>
            <w:pPr>
              <w:pStyle w:val="35"/>
              <w:ind w:left="480"/>
              <w:rPr>
                <w:color w:val="auto"/>
              </w:rPr>
            </w:pPr>
          </w:p>
          <w:p>
            <w:pPr>
              <w:ind w:firstLine="560"/>
              <w:jc w:val="center"/>
              <w:rPr>
                <w:color w:val="auto"/>
                <w:sz w:val="28"/>
                <w:szCs w:val="28"/>
              </w:rPr>
            </w:pPr>
            <w:r>
              <w:rPr>
                <w:color w:val="auto"/>
                <w:sz w:val="28"/>
                <w:szCs w:val="28"/>
              </w:rPr>
              <w:t xml:space="preserve">                                                  公  章</w:t>
            </w:r>
          </w:p>
          <w:p>
            <w:pPr>
              <w:ind w:firstLine="560"/>
              <w:jc w:val="right"/>
              <w:rPr>
                <w:color w:val="auto"/>
                <w:sz w:val="28"/>
                <w:szCs w:val="28"/>
                <w:u w:val="single"/>
              </w:rPr>
            </w:pPr>
          </w:p>
          <w:p>
            <w:pPr>
              <w:ind w:firstLine="560"/>
              <w:rPr>
                <w:color w:val="auto"/>
                <w:sz w:val="28"/>
                <w:szCs w:val="28"/>
              </w:rPr>
            </w:pPr>
            <w:r>
              <w:rPr>
                <w:color w:val="auto"/>
                <w:sz w:val="28"/>
                <w:szCs w:val="28"/>
              </w:rPr>
              <w:t>经办人：                                       年  月  日</w:t>
            </w:r>
          </w:p>
          <w:p>
            <w:pPr>
              <w:ind w:firstLine="560"/>
              <w:rPr>
                <w:color w:val="auto"/>
                <w:sz w:val="28"/>
                <w:szCs w:val="28"/>
              </w:rPr>
            </w:pPr>
          </w:p>
          <w:p>
            <w:pPr>
              <w:ind w:firstLine="560"/>
              <w:rPr>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8720" w:type="dxa"/>
          </w:tcPr>
          <w:p>
            <w:pPr>
              <w:rPr>
                <w:color w:val="auto"/>
                <w:sz w:val="28"/>
                <w:szCs w:val="28"/>
              </w:rPr>
            </w:pPr>
            <w:r>
              <w:rPr>
                <w:b/>
                <w:bCs/>
                <w:color w:val="auto"/>
                <w:sz w:val="28"/>
                <w:szCs w:val="28"/>
              </w:rPr>
              <w:t>下一级环境保护行政主管部门审查意见</w:t>
            </w:r>
            <w:r>
              <w:rPr>
                <w:color w:val="auto"/>
                <w:sz w:val="28"/>
                <w:szCs w:val="28"/>
              </w:rPr>
              <w:t>：</w:t>
            </w:r>
          </w:p>
          <w:p>
            <w:pPr>
              <w:ind w:firstLine="560"/>
              <w:rPr>
                <w:color w:val="auto"/>
                <w:sz w:val="28"/>
                <w:szCs w:val="28"/>
              </w:rPr>
            </w:pPr>
          </w:p>
          <w:p>
            <w:pPr>
              <w:ind w:firstLine="560"/>
              <w:rPr>
                <w:color w:val="auto"/>
                <w:sz w:val="28"/>
                <w:szCs w:val="28"/>
                <w:u w:val="single"/>
              </w:rPr>
            </w:pPr>
          </w:p>
          <w:p>
            <w:pPr>
              <w:ind w:firstLine="560"/>
              <w:rPr>
                <w:color w:val="auto"/>
                <w:sz w:val="28"/>
                <w:szCs w:val="28"/>
                <w:u w:val="single"/>
              </w:rPr>
            </w:pPr>
          </w:p>
          <w:p>
            <w:pPr>
              <w:ind w:firstLine="0" w:firstLineChars="0"/>
              <w:jc w:val="right"/>
              <w:rPr>
                <w:color w:val="auto"/>
                <w:sz w:val="28"/>
                <w:szCs w:val="28"/>
              </w:rPr>
            </w:pPr>
          </w:p>
          <w:p>
            <w:pPr>
              <w:pStyle w:val="35"/>
              <w:ind w:left="480"/>
              <w:rPr>
                <w:color w:val="auto"/>
              </w:rPr>
            </w:pPr>
          </w:p>
          <w:p>
            <w:pPr>
              <w:ind w:firstLine="0" w:firstLineChars="0"/>
              <w:jc w:val="right"/>
              <w:rPr>
                <w:color w:val="auto"/>
                <w:sz w:val="28"/>
                <w:szCs w:val="28"/>
              </w:rPr>
            </w:pPr>
          </w:p>
          <w:p>
            <w:pPr>
              <w:pStyle w:val="34"/>
              <w:ind w:firstLine="0" w:firstLineChars="0"/>
              <w:rPr>
                <w:color w:val="auto"/>
                <w:sz w:val="28"/>
                <w:szCs w:val="28"/>
              </w:rPr>
            </w:pPr>
          </w:p>
          <w:p>
            <w:pPr>
              <w:ind w:firstLine="480"/>
              <w:rPr>
                <w:color w:val="auto"/>
              </w:rPr>
            </w:pPr>
          </w:p>
          <w:p>
            <w:pPr>
              <w:ind w:firstLine="0" w:firstLineChars="0"/>
              <w:jc w:val="right"/>
              <w:rPr>
                <w:color w:val="auto"/>
                <w:sz w:val="28"/>
                <w:szCs w:val="28"/>
              </w:rPr>
            </w:pPr>
            <w:r>
              <w:rPr>
                <w:color w:val="auto"/>
                <w:sz w:val="28"/>
                <w:szCs w:val="28"/>
              </w:rPr>
              <w:t>公  章</w:t>
            </w:r>
          </w:p>
          <w:p>
            <w:pPr>
              <w:ind w:firstLine="560"/>
              <w:jc w:val="right"/>
              <w:rPr>
                <w:color w:val="auto"/>
                <w:sz w:val="28"/>
                <w:szCs w:val="28"/>
                <w:u w:val="single"/>
              </w:rPr>
            </w:pPr>
          </w:p>
          <w:p>
            <w:pPr>
              <w:ind w:firstLine="560"/>
              <w:jc w:val="right"/>
              <w:rPr>
                <w:color w:val="auto"/>
                <w:sz w:val="28"/>
                <w:szCs w:val="28"/>
              </w:rPr>
            </w:pPr>
            <w:r>
              <w:rPr>
                <w:color w:val="auto"/>
                <w:sz w:val="28"/>
                <w:szCs w:val="28"/>
              </w:rPr>
              <w:t>经办人：                                      年  月  日</w:t>
            </w:r>
          </w:p>
          <w:p>
            <w:pPr>
              <w:rPr>
                <w:b/>
                <w:bCs/>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4" w:hRule="atLeast"/>
        </w:trPr>
        <w:tc>
          <w:tcPr>
            <w:tcW w:w="8720" w:type="dxa"/>
          </w:tcPr>
          <w:p>
            <w:pPr>
              <w:adjustRightInd/>
              <w:snapToGrid/>
              <w:ind w:firstLine="560"/>
              <w:jc w:val="left"/>
              <w:rPr>
                <w:color w:val="auto"/>
                <w:sz w:val="28"/>
                <w:szCs w:val="28"/>
              </w:rPr>
            </w:pPr>
            <w:r>
              <w:rPr>
                <w:color w:val="auto"/>
                <w:sz w:val="28"/>
                <w:szCs w:val="28"/>
              </w:rPr>
              <w:t>审批意见：</w:t>
            </w: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0" w:firstLineChars="0"/>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p>
          <w:p>
            <w:pPr>
              <w:ind w:firstLine="560" w:firstLineChars="0"/>
              <w:jc w:val="right"/>
              <w:rPr>
                <w:color w:val="auto"/>
                <w:sz w:val="28"/>
                <w:szCs w:val="28"/>
              </w:rPr>
            </w:pPr>
            <w:r>
              <w:rPr>
                <w:color w:val="auto"/>
                <w:sz w:val="28"/>
                <w:szCs w:val="28"/>
              </w:rPr>
              <w:t xml:space="preserve">                                       公  章</w:t>
            </w:r>
          </w:p>
          <w:p>
            <w:pPr>
              <w:ind w:firstLine="560" w:firstLineChars="0"/>
              <w:jc w:val="right"/>
              <w:rPr>
                <w:color w:val="auto"/>
                <w:sz w:val="28"/>
                <w:szCs w:val="28"/>
              </w:rPr>
            </w:pPr>
          </w:p>
          <w:p>
            <w:pPr>
              <w:ind w:firstLine="560" w:firstLineChars="0"/>
              <w:jc w:val="right"/>
              <w:rPr>
                <w:color w:val="auto"/>
              </w:rPr>
            </w:pPr>
            <w:r>
              <w:rPr>
                <w:color w:val="auto"/>
                <w:sz w:val="28"/>
                <w:szCs w:val="28"/>
              </w:rPr>
              <w:t>经办人：                                      年  月  日</w:t>
            </w:r>
          </w:p>
          <w:p>
            <w:pPr>
              <w:ind w:firstLine="480"/>
              <w:rPr>
                <w:color w:val="auto"/>
              </w:rPr>
            </w:pPr>
          </w:p>
          <w:p>
            <w:pPr>
              <w:ind w:firstLine="0" w:firstLineChars="0"/>
              <w:jc w:val="left"/>
              <w:rPr>
                <w:color w:val="auto"/>
              </w:rPr>
            </w:pPr>
          </w:p>
        </w:tc>
      </w:tr>
    </w:tbl>
    <w:p>
      <w:pPr>
        <w:ind w:firstLine="0" w:firstLineChars="0"/>
        <w:rPr>
          <w:color w:val="auto"/>
        </w:rPr>
      </w:pPr>
    </w:p>
    <w:p>
      <w:pPr>
        <w:ind w:firstLine="0" w:firstLineChars="0"/>
        <w:rPr>
          <w:color w:val="auto"/>
        </w:rPr>
      </w:pPr>
    </w:p>
    <w:sectPr>
      <w:type w:val="continuous"/>
      <w:pgSz w:w="11906" w:h="16838"/>
      <w:pgMar w:top="1440" w:right="1701" w:bottom="1440" w:left="1701"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071">
      <wne:acd wne:acdName="acd0"/>
    </wne:keymap>
    <wne:keymap wne:kcmPrimary="0073">
      <wne:acd wne:acdName="acd1"/>
    </wne:keymap>
    <wne:keymap wne:kcmPrimary="0074">
      <wne:acd wne:acdName="acd2"/>
    </wne:keymap>
  </wne:keymaps>
  <wne:acds>
    <wne:acd wne:argValue="AQAAAAIA" wne:acdName="acd0" wne:fciIndexBasedOn="0065"/>
    <wne:acd wne:argValue="AgBoiDxo" wne:acdName="acd1" wne:fciIndexBasedOn="0065"/>
    <wne:acd wne:argValue="AgBoiDRZ"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金山简标宋">
    <w:altName w:val="宋体"/>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firstLine="360"/>
    </w:pPr>
    <w:r>
      <w:pict>
        <v:shape id="_x0000_s2049" o:spid="_x0000_s2049" o:spt="202" type="#_x0000_t202" style="position:absolute;left:0pt;margin-top:0pt;height:15.5pt;width:27.05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path/>
          <v:fill on="f" focussize="0,0"/>
          <v:stroke on="f" weight="0.5pt" joinstyle="miter"/>
          <v:imagedata o:title=""/>
          <o:lock v:ext="edit"/>
          <v:textbox inset="0mm,0mm,0mm,0mm" style="mso-fit-shape-to-text:t;">
            <w:txbxContent>
              <w:p>
                <w:pPr>
                  <w:pStyle w:val="21"/>
                  <w:ind w:firstLine="360"/>
                </w:pPr>
                <w:r>
                  <w:rPr>
                    <w:rFonts w:hint="eastAsia"/>
                  </w:rPr>
                  <w:fldChar w:fldCharType="begin"/>
                </w:r>
                <w:r>
                  <w:rPr>
                    <w:rFonts w:hint="eastAsia"/>
                  </w:rPr>
                  <w:instrText xml:space="preserve"> PAGE  \* MERGEFORMAT </w:instrText>
                </w:r>
                <w:r>
                  <w:rPr>
                    <w:rFonts w:hint="eastAsia"/>
                  </w:rPr>
                  <w:fldChar w:fldCharType="separate"/>
                </w:r>
                <w:r>
                  <w:t>67</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45F368"/>
    <w:multiLevelType w:val="singleLevel"/>
    <w:tmpl w:val="3E45F368"/>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hideSpellingErrors/>
  <w:documentProtection w:enforcement="0"/>
  <w:defaultTabStop w:val="420"/>
  <w:drawingGridHorizontalSpacing w:val="103"/>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0159"/>
    <w:rsid w:val="0000024B"/>
    <w:rsid w:val="0000033D"/>
    <w:rsid w:val="00000425"/>
    <w:rsid w:val="000004BC"/>
    <w:rsid w:val="000009F7"/>
    <w:rsid w:val="00000D31"/>
    <w:rsid w:val="000011A9"/>
    <w:rsid w:val="00001386"/>
    <w:rsid w:val="000014BA"/>
    <w:rsid w:val="00001BC0"/>
    <w:rsid w:val="00001F4C"/>
    <w:rsid w:val="00002376"/>
    <w:rsid w:val="000027CC"/>
    <w:rsid w:val="00002907"/>
    <w:rsid w:val="00002B26"/>
    <w:rsid w:val="00002B32"/>
    <w:rsid w:val="00002E87"/>
    <w:rsid w:val="00003580"/>
    <w:rsid w:val="000039E4"/>
    <w:rsid w:val="00003B5F"/>
    <w:rsid w:val="00003BED"/>
    <w:rsid w:val="00003C3F"/>
    <w:rsid w:val="00003D4F"/>
    <w:rsid w:val="00003F72"/>
    <w:rsid w:val="000041B6"/>
    <w:rsid w:val="00004306"/>
    <w:rsid w:val="00004695"/>
    <w:rsid w:val="000048A5"/>
    <w:rsid w:val="00004E05"/>
    <w:rsid w:val="00004EFB"/>
    <w:rsid w:val="00004F96"/>
    <w:rsid w:val="00004FEB"/>
    <w:rsid w:val="00005295"/>
    <w:rsid w:val="00005312"/>
    <w:rsid w:val="00005474"/>
    <w:rsid w:val="00005831"/>
    <w:rsid w:val="000058DA"/>
    <w:rsid w:val="00005B73"/>
    <w:rsid w:val="00005C98"/>
    <w:rsid w:val="00005E12"/>
    <w:rsid w:val="00005F02"/>
    <w:rsid w:val="0000606B"/>
    <w:rsid w:val="00006445"/>
    <w:rsid w:val="00006852"/>
    <w:rsid w:val="000068BB"/>
    <w:rsid w:val="000068E0"/>
    <w:rsid w:val="000069AA"/>
    <w:rsid w:val="00006FD7"/>
    <w:rsid w:val="000070A8"/>
    <w:rsid w:val="000076BB"/>
    <w:rsid w:val="00007CCF"/>
    <w:rsid w:val="00007DAC"/>
    <w:rsid w:val="000100F7"/>
    <w:rsid w:val="00010525"/>
    <w:rsid w:val="0001062A"/>
    <w:rsid w:val="0001080C"/>
    <w:rsid w:val="00010ACB"/>
    <w:rsid w:val="00010CAB"/>
    <w:rsid w:val="00010E6A"/>
    <w:rsid w:val="00010F5F"/>
    <w:rsid w:val="0001124B"/>
    <w:rsid w:val="0001190B"/>
    <w:rsid w:val="00011CB7"/>
    <w:rsid w:val="0001215A"/>
    <w:rsid w:val="0001217E"/>
    <w:rsid w:val="00012404"/>
    <w:rsid w:val="00012815"/>
    <w:rsid w:val="00012B29"/>
    <w:rsid w:val="0001339B"/>
    <w:rsid w:val="000134A0"/>
    <w:rsid w:val="00013586"/>
    <w:rsid w:val="000138CA"/>
    <w:rsid w:val="00013CF1"/>
    <w:rsid w:val="000144BD"/>
    <w:rsid w:val="000146CD"/>
    <w:rsid w:val="0001479E"/>
    <w:rsid w:val="000148FB"/>
    <w:rsid w:val="00014D00"/>
    <w:rsid w:val="00014D93"/>
    <w:rsid w:val="00014DF7"/>
    <w:rsid w:val="00014E06"/>
    <w:rsid w:val="00014F6C"/>
    <w:rsid w:val="00015167"/>
    <w:rsid w:val="00015484"/>
    <w:rsid w:val="000159D8"/>
    <w:rsid w:val="00015CA8"/>
    <w:rsid w:val="00015F43"/>
    <w:rsid w:val="000161D4"/>
    <w:rsid w:val="00016330"/>
    <w:rsid w:val="00016414"/>
    <w:rsid w:val="00016484"/>
    <w:rsid w:val="0001668B"/>
    <w:rsid w:val="0001694F"/>
    <w:rsid w:val="00016E49"/>
    <w:rsid w:val="000172D9"/>
    <w:rsid w:val="00017719"/>
    <w:rsid w:val="00017952"/>
    <w:rsid w:val="00017A38"/>
    <w:rsid w:val="000201A9"/>
    <w:rsid w:val="0002067D"/>
    <w:rsid w:val="000206FC"/>
    <w:rsid w:val="00020718"/>
    <w:rsid w:val="00020832"/>
    <w:rsid w:val="00020CD3"/>
    <w:rsid w:val="00020D7F"/>
    <w:rsid w:val="00020FD4"/>
    <w:rsid w:val="00021380"/>
    <w:rsid w:val="000217F3"/>
    <w:rsid w:val="000221D0"/>
    <w:rsid w:val="000229B9"/>
    <w:rsid w:val="00022A14"/>
    <w:rsid w:val="00022B07"/>
    <w:rsid w:val="00022E67"/>
    <w:rsid w:val="0002334B"/>
    <w:rsid w:val="00023554"/>
    <w:rsid w:val="000236B4"/>
    <w:rsid w:val="00023E0F"/>
    <w:rsid w:val="00023FD0"/>
    <w:rsid w:val="000241F2"/>
    <w:rsid w:val="0002432E"/>
    <w:rsid w:val="00024470"/>
    <w:rsid w:val="000244FA"/>
    <w:rsid w:val="0002494A"/>
    <w:rsid w:val="000249BA"/>
    <w:rsid w:val="00024B14"/>
    <w:rsid w:val="00024B83"/>
    <w:rsid w:val="00024E7F"/>
    <w:rsid w:val="000253F2"/>
    <w:rsid w:val="00025587"/>
    <w:rsid w:val="00025623"/>
    <w:rsid w:val="00025F8B"/>
    <w:rsid w:val="00026200"/>
    <w:rsid w:val="0002624B"/>
    <w:rsid w:val="0002649D"/>
    <w:rsid w:val="000265CD"/>
    <w:rsid w:val="00026774"/>
    <w:rsid w:val="0002692A"/>
    <w:rsid w:val="00026C2E"/>
    <w:rsid w:val="00026EB8"/>
    <w:rsid w:val="0002734B"/>
    <w:rsid w:val="00027B92"/>
    <w:rsid w:val="00027BDA"/>
    <w:rsid w:val="00027E78"/>
    <w:rsid w:val="00027E82"/>
    <w:rsid w:val="00027FAD"/>
    <w:rsid w:val="00030214"/>
    <w:rsid w:val="0003083D"/>
    <w:rsid w:val="00030A03"/>
    <w:rsid w:val="00030B19"/>
    <w:rsid w:val="00030BDE"/>
    <w:rsid w:val="00030DF1"/>
    <w:rsid w:val="00030E19"/>
    <w:rsid w:val="00031139"/>
    <w:rsid w:val="00031268"/>
    <w:rsid w:val="00031379"/>
    <w:rsid w:val="0003156F"/>
    <w:rsid w:val="000318F0"/>
    <w:rsid w:val="00031CB7"/>
    <w:rsid w:val="00031EFB"/>
    <w:rsid w:val="000321B5"/>
    <w:rsid w:val="0003248D"/>
    <w:rsid w:val="0003250B"/>
    <w:rsid w:val="00032637"/>
    <w:rsid w:val="00033525"/>
    <w:rsid w:val="0003361B"/>
    <w:rsid w:val="000336AD"/>
    <w:rsid w:val="000338A0"/>
    <w:rsid w:val="00034522"/>
    <w:rsid w:val="00034D43"/>
    <w:rsid w:val="0003589E"/>
    <w:rsid w:val="00035AAF"/>
    <w:rsid w:val="00035B68"/>
    <w:rsid w:val="00035EB1"/>
    <w:rsid w:val="00036004"/>
    <w:rsid w:val="00036134"/>
    <w:rsid w:val="00036172"/>
    <w:rsid w:val="0003624E"/>
    <w:rsid w:val="0003659D"/>
    <w:rsid w:val="000365C2"/>
    <w:rsid w:val="00036A0B"/>
    <w:rsid w:val="00036BBF"/>
    <w:rsid w:val="00036E2A"/>
    <w:rsid w:val="00036EAE"/>
    <w:rsid w:val="00037748"/>
    <w:rsid w:val="00037BAA"/>
    <w:rsid w:val="00037C88"/>
    <w:rsid w:val="000406DA"/>
    <w:rsid w:val="000408DE"/>
    <w:rsid w:val="00040CA0"/>
    <w:rsid w:val="00040F74"/>
    <w:rsid w:val="00040F7B"/>
    <w:rsid w:val="00040FEE"/>
    <w:rsid w:val="000413B3"/>
    <w:rsid w:val="0004177B"/>
    <w:rsid w:val="00041EB2"/>
    <w:rsid w:val="0004220E"/>
    <w:rsid w:val="000424A2"/>
    <w:rsid w:val="0004259F"/>
    <w:rsid w:val="000427E6"/>
    <w:rsid w:val="000429A6"/>
    <w:rsid w:val="000429AF"/>
    <w:rsid w:val="00042CCC"/>
    <w:rsid w:val="00042D3F"/>
    <w:rsid w:val="00043985"/>
    <w:rsid w:val="00043A1E"/>
    <w:rsid w:val="00043D77"/>
    <w:rsid w:val="000441A8"/>
    <w:rsid w:val="00044B25"/>
    <w:rsid w:val="00044BC4"/>
    <w:rsid w:val="000459E4"/>
    <w:rsid w:val="00045A43"/>
    <w:rsid w:val="00045E6C"/>
    <w:rsid w:val="00045F7B"/>
    <w:rsid w:val="00046083"/>
    <w:rsid w:val="0004657E"/>
    <w:rsid w:val="00046750"/>
    <w:rsid w:val="00046AA1"/>
    <w:rsid w:val="00047179"/>
    <w:rsid w:val="0004717E"/>
    <w:rsid w:val="000477C2"/>
    <w:rsid w:val="000479D9"/>
    <w:rsid w:val="00047B7A"/>
    <w:rsid w:val="00047CA0"/>
    <w:rsid w:val="00050153"/>
    <w:rsid w:val="00050174"/>
    <w:rsid w:val="00050428"/>
    <w:rsid w:val="00050529"/>
    <w:rsid w:val="00050679"/>
    <w:rsid w:val="00050748"/>
    <w:rsid w:val="000509D4"/>
    <w:rsid w:val="00050E5B"/>
    <w:rsid w:val="0005108D"/>
    <w:rsid w:val="000512E7"/>
    <w:rsid w:val="000516D1"/>
    <w:rsid w:val="00051E0E"/>
    <w:rsid w:val="00052255"/>
    <w:rsid w:val="000527C6"/>
    <w:rsid w:val="00052849"/>
    <w:rsid w:val="00052939"/>
    <w:rsid w:val="000529EA"/>
    <w:rsid w:val="0005338A"/>
    <w:rsid w:val="000534DD"/>
    <w:rsid w:val="000537AA"/>
    <w:rsid w:val="000537AE"/>
    <w:rsid w:val="00053CD0"/>
    <w:rsid w:val="00053DB8"/>
    <w:rsid w:val="00053F25"/>
    <w:rsid w:val="00054341"/>
    <w:rsid w:val="0005452F"/>
    <w:rsid w:val="00054B24"/>
    <w:rsid w:val="00054BD5"/>
    <w:rsid w:val="00054ED7"/>
    <w:rsid w:val="000550F4"/>
    <w:rsid w:val="000551C5"/>
    <w:rsid w:val="000553D1"/>
    <w:rsid w:val="00055731"/>
    <w:rsid w:val="000557F9"/>
    <w:rsid w:val="000559E4"/>
    <w:rsid w:val="00055A92"/>
    <w:rsid w:val="00056105"/>
    <w:rsid w:val="000561FF"/>
    <w:rsid w:val="000564C4"/>
    <w:rsid w:val="00056A3E"/>
    <w:rsid w:val="00057632"/>
    <w:rsid w:val="000579BF"/>
    <w:rsid w:val="00057AC7"/>
    <w:rsid w:val="00057B34"/>
    <w:rsid w:val="00057EB2"/>
    <w:rsid w:val="0006000A"/>
    <w:rsid w:val="00060113"/>
    <w:rsid w:val="00060446"/>
    <w:rsid w:val="0006049F"/>
    <w:rsid w:val="0006058D"/>
    <w:rsid w:val="00060B94"/>
    <w:rsid w:val="00060F1A"/>
    <w:rsid w:val="000611C5"/>
    <w:rsid w:val="000611DD"/>
    <w:rsid w:val="000611F4"/>
    <w:rsid w:val="00061912"/>
    <w:rsid w:val="00061A22"/>
    <w:rsid w:val="00061AB2"/>
    <w:rsid w:val="00061C31"/>
    <w:rsid w:val="00061C89"/>
    <w:rsid w:val="00061C90"/>
    <w:rsid w:val="00061D20"/>
    <w:rsid w:val="00062075"/>
    <w:rsid w:val="0006259F"/>
    <w:rsid w:val="0006264D"/>
    <w:rsid w:val="000626CC"/>
    <w:rsid w:val="00062A75"/>
    <w:rsid w:val="000637CD"/>
    <w:rsid w:val="000638C6"/>
    <w:rsid w:val="00063917"/>
    <w:rsid w:val="00064013"/>
    <w:rsid w:val="000643C6"/>
    <w:rsid w:val="00064BF9"/>
    <w:rsid w:val="00064D7C"/>
    <w:rsid w:val="00064DA9"/>
    <w:rsid w:val="00064E5D"/>
    <w:rsid w:val="0006509A"/>
    <w:rsid w:val="00065C65"/>
    <w:rsid w:val="0006633E"/>
    <w:rsid w:val="000663E4"/>
    <w:rsid w:val="00066F12"/>
    <w:rsid w:val="0006750C"/>
    <w:rsid w:val="00067B34"/>
    <w:rsid w:val="00067B36"/>
    <w:rsid w:val="00067F06"/>
    <w:rsid w:val="00070054"/>
    <w:rsid w:val="0007010F"/>
    <w:rsid w:val="0007015C"/>
    <w:rsid w:val="00070414"/>
    <w:rsid w:val="0007049B"/>
    <w:rsid w:val="000705F4"/>
    <w:rsid w:val="0007071E"/>
    <w:rsid w:val="000709A5"/>
    <w:rsid w:val="00070DEC"/>
    <w:rsid w:val="00070F73"/>
    <w:rsid w:val="00070F7C"/>
    <w:rsid w:val="000711F3"/>
    <w:rsid w:val="0007144D"/>
    <w:rsid w:val="00071C85"/>
    <w:rsid w:val="00071F2E"/>
    <w:rsid w:val="00072014"/>
    <w:rsid w:val="000721FA"/>
    <w:rsid w:val="0007221E"/>
    <w:rsid w:val="000722D1"/>
    <w:rsid w:val="0007233C"/>
    <w:rsid w:val="000726EA"/>
    <w:rsid w:val="0007294B"/>
    <w:rsid w:val="000729A1"/>
    <w:rsid w:val="00072AC1"/>
    <w:rsid w:val="00072AE4"/>
    <w:rsid w:val="00072B87"/>
    <w:rsid w:val="00072DA6"/>
    <w:rsid w:val="00073168"/>
    <w:rsid w:val="0007363F"/>
    <w:rsid w:val="00073A32"/>
    <w:rsid w:val="00073AAB"/>
    <w:rsid w:val="00073B8F"/>
    <w:rsid w:val="00073BC0"/>
    <w:rsid w:val="00073E2F"/>
    <w:rsid w:val="000741B0"/>
    <w:rsid w:val="000745A8"/>
    <w:rsid w:val="000745E0"/>
    <w:rsid w:val="00074B37"/>
    <w:rsid w:val="0007508C"/>
    <w:rsid w:val="000757F5"/>
    <w:rsid w:val="00075B30"/>
    <w:rsid w:val="00075B98"/>
    <w:rsid w:val="00075EBE"/>
    <w:rsid w:val="0007650D"/>
    <w:rsid w:val="00076914"/>
    <w:rsid w:val="00076A66"/>
    <w:rsid w:val="00076AD8"/>
    <w:rsid w:val="00076DAD"/>
    <w:rsid w:val="00077322"/>
    <w:rsid w:val="0007733E"/>
    <w:rsid w:val="00077754"/>
    <w:rsid w:val="00077C8A"/>
    <w:rsid w:val="00077D6A"/>
    <w:rsid w:val="00077E18"/>
    <w:rsid w:val="00077EF6"/>
    <w:rsid w:val="000800FD"/>
    <w:rsid w:val="000809CA"/>
    <w:rsid w:val="00080D83"/>
    <w:rsid w:val="00080E4A"/>
    <w:rsid w:val="0008105A"/>
    <w:rsid w:val="0008131F"/>
    <w:rsid w:val="0008153A"/>
    <w:rsid w:val="000815CC"/>
    <w:rsid w:val="00081E61"/>
    <w:rsid w:val="00082545"/>
    <w:rsid w:val="000826B9"/>
    <w:rsid w:val="000826C4"/>
    <w:rsid w:val="00082D7F"/>
    <w:rsid w:val="00082DBE"/>
    <w:rsid w:val="00082E1E"/>
    <w:rsid w:val="00082E40"/>
    <w:rsid w:val="000834F1"/>
    <w:rsid w:val="000835BC"/>
    <w:rsid w:val="000836BD"/>
    <w:rsid w:val="00083792"/>
    <w:rsid w:val="000839D8"/>
    <w:rsid w:val="0008449E"/>
    <w:rsid w:val="00085114"/>
    <w:rsid w:val="000853D4"/>
    <w:rsid w:val="0008558B"/>
    <w:rsid w:val="00085A9E"/>
    <w:rsid w:val="00085DB7"/>
    <w:rsid w:val="00085F31"/>
    <w:rsid w:val="00086068"/>
    <w:rsid w:val="0008624B"/>
    <w:rsid w:val="000864F1"/>
    <w:rsid w:val="0008657E"/>
    <w:rsid w:val="00086886"/>
    <w:rsid w:val="00086AA2"/>
    <w:rsid w:val="00086F19"/>
    <w:rsid w:val="0008785A"/>
    <w:rsid w:val="000878B6"/>
    <w:rsid w:val="00087B9D"/>
    <w:rsid w:val="00087DA0"/>
    <w:rsid w:val="00087FD1"/>
    <w:rsid w:val="0009040A"/>
    <w:rsid w:val="000906ED"/>
    <w:rsid w:val="000909D0"/>
    <w:rsid w:val="00090C90"/>
    <w:rsid w:val="00090D25"/>
    <w:rsid w:val="0009105B"/>
    <w:rsid w:val="00091663"/>
    <w:rsid w:val="00092116"/>
    <w:rsid w:val="000921FA"/>
    <w:rsid w:val="000923E2"/>
    <w:rsid w:val="000925C3"/>
    <w:rsid w:val="000928A7"/>
    <w:rsid w:val="0009297E"/>
    <w:rsid w:val="00092C86"/>
    <w:rsid w:val="00092F53"/>
    <w:rsid w:val="0009362A"/>
    <w:rsid w:val="00093656"/>
    <w:rsid w:val="000937E5"/>
    <w:rsid w:val="00093B95"/>
    <w:rsid w:val="00093B98"/>
    <w:rsid w:val="00093C6B"/>
    <w:rsid w:val="00093D0D"/>
    <w:rsid w:val="00094005"/>
    <w:rsid w:val="00094405"/>
    <w:rsid w:val="00094543"/>
    <w:rsid w:val="00094DE0"/>
    <w:rsid w:val="00094E49"/>
    <w:rsid w:val="00094EC3"/>
    <w:rsid w:val="000956CF"/>
    <w:rsid w:val="00095A99"/>
    <w:rsid w:val="00095AC2"/>
    <w:rsid w:val="00095AFE"/>
    <w:rsid w:val="00095B28"/>
    <w:rsid w:val="00095ECC"/>
    <w:rsid w:val="00095F6B"/>
    <w:rsid w:val="00096565"/>
    <w:rsid w:val="00096596"/>
    <w:rsid w:val="0009668C"/>
    <w:rsid w:val="00096A4B"/>
    <w:rsid w:val="00096CA5"/>
    <w:rsid w:val="00096E84"/>
    <w:rsid w:val="00096F49"/>
    <w:rsid w:val="000977B1"/>
    <w:rsid w:val="000979B1"/>
    <w:rsid w:val="00097DA9"/>
    <w:rsid w:val="000A0110"/>
    <w:rsid w:val="000A0686"/>
    <w:rsid w:val="000A0C5A"/>
    <w:rsid w:val="000A0CA2"/>
    <w:rsid w:val="000A0EA5"/>
    <w:rsid w:val="000A13A8"/>
    <w:rsid w:val="000A1697"/>
    <w:rsid w:val="000A1E14"/>
    <w:rsid w:val="000A26F1"/>
    <w:rsid w:val="000A2AD1"/>
    <w:rsid w:val="000A2C61"/>
    <w:rsid w:val="000A2E44"/>
    <w:rsid w:val="000A2F7F"/>
    <w:rsid w:val="000A2FC7"/>
    <w:rsid w:val="000A31F3"/>
    <w:rsid w:val="000A3253"/>
    <w:rsid w:val="000A3662"/>
    <w:rsid w:val="000A36DC"/>
    <w:rsid w:val="000A37F2"/>
    <w:rsid w:val="000A3856"/>
    <w:rsid w:val="000A38E9"/>
    <w:rsid w:val="000A408C"/>
    <w:rsid w:val="000A41CA"/>
    <w:rsid w:val="000A478D"/>
    <w:rsid w:val="000A482F"/>
    <w:rsid w:val="000A4B1D"/>
    <w:rsid w:val="000A5010"/>
    <w:rsid w:val="000A582C"/>
    <w:rsid w:val="000A5882"/>
    <w:rsid w:val="000A5C4C"/>
    <w:rsid w:val="000A5DC8"/>
    <w:rsid w:val="000A606A"/>
    <w:rsid w:val="000A6D9B"/>
    <w:rsid w:val="000A7435"/>
    <w:rsid w:val="000A7715"/>
    <w:rsid w:val="000A792C"/>
    <w:rsid w:val="000A7A51"/>
    <w:rsid w:val="000A7B37"/>
    <w:rsid w:val="000A7D69"/>
    <w:rsid w:val="000A7FFB"/>
    <w:rsid w:val="000B0288"/>
    <w:rsid w:val="000B02A3"/>
    <w:rsid w:val="000B0321"/>
    <w:rsid w:val="000B05DC"/>
    <w:rsid w:val="000B076B"/>
    <w:rsid w:val="000B0A33"/>
    <w:rsid w:val="000B1294"/>
    <w:rsid w:val="000B14E5"/>
    <w:rsid w:val="000B15C4"/>
    <w:rsid w:val="000B1731"/>
    <w:rsid w:val="000B18BA"/>
    <w:rsid w:val="000B1A09"/>
    <w:rsid w:val="000B1C15"/>
    <w:rsid w:val="000B1DC2"/>
    <w:rsid w:val="000B207B"/>
    <w:rsid w:val="000B24C2"/>
    <w:rsid w:val="000B26DF"/>
    <w:rsid w:val="000B2D45"/>
    <w:rsid w:val="000B2EFB"/>
    <w:rsid w:val="000B2F72"/>
    <w:rsid w:val="000B301D"/>
    <w:rsid w:val="000B324E"/>
    <w:rsid w:val="000B336C"/>
    <w:rsid w:val="000B3667"/>
    <w:rsid w:val="000B3676"/>
    <w:rsid w:val="000B3BB8"/>
    <w:rsid w:val="000B4264"/>
    <w:rsid w:val="000B4668"/>
    <w:rsid w:val="000B4685"/>
    <w:rsid w:val="000B49D0"/>
    <w:rsid w:val="000B4C29"/>
    <w:rsid w:val="000B5260"/>
    <w:rsid w:val="000B5448"/>
    <w:rsid w:val="000B5736"/>
    <w:rsid w:val="000B5841"/>
    <w:rsid w:val="000B5E34"/>
    <w:rsid w:val="000B5E85"/>
    <w:rsid w:val="000B5FA7"/>
    <w:rsid w:val="000B618B"/>
    <w:rsid w:val="000B6278"/>
    <w:rsid w:val="000B63BD"/>
    <w:rsid w:val="000B704C"/>
    <w:rsid w:val="000B70FF"/>
    <w:rsid w:val="000B732C"/>
    <w:rsid w:val="000B76BD"/>
    <w:rsid w:val="000B7A26"/>
    <w:rsid w:val="000C00C1"/>
    <w:rsid w:val="000C00C8"/>
    <w:rsid w:val="000C071F"/>
    <w:rsid w:val="000C09F6"/>
    <w:rsid w:val="000C10AB"/>
    <w:rsid w:val="000C1187"/>
    <w:rsid w:val="000C1E2C"/>
    <w:rsid w:val="000C1F72"/>
    <w:rsid w:val="000C1FC2"/>
    <w:rsid w:val="000C2172"/>
    <w:rsid w:val="000C2397"/>
    <w:rsid w:val="000C23E5"/>
    <w:rsid w:val="000C2873"/>
    <w:rsid w:val="000C2DED"/>
    <w:rsid w:val="000C2E6F"/>
    <w:rsid w:val="000C2EC4"/>
    <w:rsid w:val="000C3234"/>
    <w:rsid w:val="000C32C7"/>
    <w:rsid w:val="000C338F"/>
    <w:rsid w:val="000C3B2B"/>
    <w:rsid w:val="000C3BEF"/>
    <w:rsid w:val="000C3D82"/>
    <w:rsid w:val="000C3DAE"/>
    <w:rsid w:val="000C4295"/>
    <w:rsid w:val="000C4545"/>
    <w:rsid w:val="000C479C"/>
    <w:rsid w:val="000C486F"/>
    <w:rsid w:val="000C48E7"/>
    <w:rsid w:val="000C4C9C"/>
    <w:rsid w:val="000C4D86"/>
    <w:rsid w:val="000C4E9B"/>
    <w:rsid w:val="000C5017"/>
    <w:rsid w:val="000C5198"/>
    <w:rsid w:val="000C53AF"/>
    <w:rsid w:val="000C55D1"/>
    <w:rsid w:val="000C56A8"/>
    <w:rsid w:val="000C57DB"/>
    <w:rsid w:val="000C5B34"/>
    <w:rsid w:val="000C5BC1"/>
    <w:rsid w:val="000C5EC3"/>
    <w:rsid w:val="000C64BC"/>
    <w:rsid w:val="000C6F35"/>
    <w:rsid w:val="000C75C7"/>
    <w:rsid w:val="000C7654"/>
    <w:rsid w:val="000C7B42"/>
    <w:rsid w:val="000C7CD7"/>
    <w:rsid w:val="000C7D2B"/>
    <w:rsid w:val="000C7F47"/>
    <w:rsid w:val="000D033A"/>
    <w:rsid w:val="000D050C"/>
    <w:rsid w:val="000D0568"/>
    <w:rsid w:val="000D06CF"/>
    <w:rsid w:val="000D07DD"/>
    <w:rsid w:val="000D0D46"/>
    <w:rsid w:val="000D0D70"/>
    <w:rsid w:val="000D0F7C"/>
    <w:rsid w:val="000D0FD5"/>
    <w:rsid w:val="000D17DA"/>
    <w:rsid w:val="000D1873"/>
    <w:rsid w:val="000D1B09"/>
    <w:rsid w:val="000D1D85"/>
    <w:rsid w:val="000D1E3A"/>
    <w:rsid w:val="000D2269"/>
    <w:rsid w:val="000D2869"/>
    <w:rsid w:val="000D2AB8"/>
    <w:rsid w:val="000D2E19"/>
    <w:rsid w:val="000D32D5"/>
    <w:rsid w:val="000D37C9"/>
    <w:rsid w:val="000D38B5"/>
    <w:rsid w:val="000D3ED1"/>
    <w:rsid w:val="000D3FAE"/>
    <w:rsid w:val="000D4507"/>
    <w:rsid w:val="000D45BB"/>
    <w:rsid w:val="000D45BF"/>
    <w:rsid w:val="000D460F"/>
    <w:rsid w:val="000D4883"/>
    <w:rsid w:val="000D4935"/>
    <w:rsid w:val="000D4A61"/>
    <w:rsid w:val="000D4CED"/>
    <w:rsid w:val="000D4D8C"/>
    <w:rsid w:val="000D5191"/>
    <w:rsid w:val="000D5406"/>
    <w:rsid w:val="000D5735"/>
    <w:rsid w:val="000D5C4E"/>
    <w:rsid w:val="000D61AC"/>
    <w:rsid w:val="000D61F7"/>
    <w:rsid w:val="000D620E"/>
    <w:rsid w:val="000D6293"/>
    <w:rsid w:val="000D6477"/>
    <w:rsid w:val="000D6480"/>
    <w:rsid w:val="000D660E"/>
    <w:rsid w:val="000D66B4"/>
    <w:rsid w:val="000D6A83"/>
    <w:rsid w:val="000D6A92"/>
    <w:rsid w:val="000D724C"/>
    <w:rsid w:val="000D7263"/>
    <w:rsid w:val="000D7AFE"/>
    <w:rsid w:val="000D7B76"/>
    <w:rsid w:val="000D7CE2"/>
    <w:rsid w:val="000D7F8C"/>
    <w:rsid w:val="000E004D"/>
    <w:rsid w:val="000E0127"/>
    <w:rsid w:val="000E0401"/>
    <w:rsid w:val="000E0785"/>
    <w:rsid w:val="000E09D3"/>
    <w:rsid w:val="000E09FB"/>
    <w:rsid w:val="000E0B63"/>
    <w:rsid w:val="000E0CEF"/>
    <w:rsid w:val="000E0E44"/>
    <w:rsid w:val="000E0E72"/>
    <w:rsid w:val="000E1340"/>
    <w:rsid w:val="000E138F"/>
    <w:rsid w:val="000E185E"/>
    <w:rsid w:val="000E19F9"/>
    <w:rsid w:val="000E1AE2"/>
    <w:rsid w:val="000E1F7E"/>
    <w:rsid w:val="000E25D0"/>
    <w:rsid w:val="000E26D0"/>
    <w:rsid w:val="000E2C63"/>
    <w:rsid w:val="000E2D77"/>
    <w:rsid w:val="000E3673"/>
    <w:rsid w:val="000E3A5B"/>
    <w:rsid w:val="000E3C6C"/>
    <w:rsid w:val="000E4091"/>
    <w:rsid w:val="000E4259"/>
    <w:rsid w:val="000E441E"/>
    <w:rsid w:val="000E445D"/>
    <w:rsid w:val="000E4476"/>
    <w:rsid w:val="000E48DE"/>
    <w:rsid w:val="000E525A"/>
    <w:rsid w:val="000E5279"/>
    <w:rsid w:val="000E5348"/>
    <w:rsid w:val="000E542A"/>
    <w:rsid w:val="000E5511"/>
    <w:rsid w:val="000E570C"/>
    <w:rsid w:val="000E57AD"/>
    <w:rsid w:val="000E5C05"/>
    <w:rsid w:val="000E5CA7"/>
    <w:rsid w:val="000E5DA7"/>
    <w:rsid w:val="000E5DEB"/>
    <w:rsid w:val="000E5E58"/>
    <w:rsid w:val="000E5E7B"/>
    <w:rsid w:val="000E620A"/>
    <w:rsid w:val="000E634E"/>
    <w:rsid w:val="000E6508"/>
    <w:rsid w:val="000E651B"/>
    <w:rsid w:val="000E6814"/>
    <w:rsid w:val="000E6BC8"/>
    <w:rsid w:val="000E6BDA"/>
    <w:rsid w:val="000E7057"/>
    <w:rsid w:val="000E7526"/>
    <w:rsid w:val="000E7598"/>
    <w:rsid w:val="000E7A50"/>
    <w:rsid w:val="000E7FDD"/>
    <w:rsid w:val="000F0244"/>
    <w:rsid w:val="000F042B"/>
    <w:rsid w:val="000F0704"/>
    <w:rsid w:val="000F07BF"/>
    <w:rsid w:val="000F0853"/>
    <w:rsid w:val="000F0B0C"/>
    <w:rsid w:val="000F0D02"/>
    <w:rsid w:val="000F0D4C"/>
    <w:rsid w:val="000F1010"/>
    <w:rsid w:val="000F118B"/>
    <w:rsid w:val="000F1778"/>
    <w:rsid w:val="000F1EE4"/>
    <w:rsid w:val="000F2864"/>
    <w:rsid w:val="000F297A"/>
    <w:rsid w:val="000F2FF9"/>
    <w:rsid w:val="000F36AC"/>
    <w:rsid w:val="000F3B5A"/>
    <w:rsid w:val="000F3F8C"/>
    <w:rsid w:val="000F468A"/>
    <w:rsid w:val="000F4850"/>
    <w:rsid w:val="000F48EF"/>
    <w:rsid w:val="000F4912"/>
    <w:rsid w:val="000F4A2E"/>
    <w:rsid w:val="000F4D98"/>
    <w:rsid w:val="000F4DE1"/>
    <w:rsid w:val="000F5012"/>
    <w:rsid w:val="000F5552"/>
    <w:rsid w:val="000F5713"/>
    <w:rsid w:val="000F5E70"/>
    <w:rsid w:val="000F5EA2"/>
    <w:rsid w:val="000F5EBD"/>
    <w:rsid w:val="000F61C1"/>
    <w:rsid w:val="000F6218"/>
    <w:rsid w:val="000F6304"/>
    <w:rsid w:val="000F64A3"/>
    <w:rsid w:val="000F65B9"/>
    <w:rsid w:val="000F67B1"/>
    <w:rsid w:val="000F691C"/>
    <w:rsid w:val="000F6BF8"/>
    <w:rsid w:val="000F6C90"/>
    <w:rsid w:val="000F6CC0"/>
    <w:rsid w:val="000F7315"/>
    <w:rsid w:val="000F7D9E"/>
    <w:rsid w:val="000F7DA1"/>
    <w:rsid w:val="000F7FA0"/>
    <w:rsid w:val="001000C9"/>
    <w:rsid w:val="00100235"/>
    <w:rsid w:val="001002FD"/>
    <w:rsid w:val="001006E2"/>
    <w:rsid w:val="00100777"/>
    <w:rsid w:val="001007CB"/>
    <w:rsid w:val="0010097F"/>
    <w:rsid w:val="001013FF"/>
    <w:rsid w:val="00101924"/>
    <w:rsid w:val="00101DE0"/>
    <w:rsid w:val="00102C0E"/>
    <w:rsid w:val="00102C6E"/>
    <w:rsid w:val="00102FF1"/>
    <w:rsid w:val="00103004"/>
    <w:rsid w:val="001037DD"/>
    <w:rsid w:val="00103C4E"/>
    <w:rsid w:val="00103C61"/>
    <w:rsid w:val="00103FB0"/>
    <w:rsid w:val="00103FF6"/>
    <w:rsid w:val="001043A9"/>
    <w:rsid w:val="001046C9"/>
    <w:rsid w:val="00104B72"/>
    <w:rsid w:val="00104E59"/>
    <w:rsid w:val="001054B8"/>
    <w:rsid w:val="001054FD"/>
    <w:rsid w:val="0010574F"/>
    <w:rsid w:val="00105A19"/>
    <w:rsid w:val="00106304"/>
    <w:rsid w:val="00106B8E"/>
    <w:rsid w:val="00106D13"/>
    <w:rsid w:val="00106E7B"/>
    <w:rsid w:val="0010717A"/>
    <w:rsid w:val="00107424"/>
    <w:rsid w:val="0010763D"/>
    <w:rsid w:val="001076B3"/>
    <w:rsid w:val="0010770F"/>
    <w:rsid w:val="00107873"/>
    <w:rsid w:val="001078AB"/>
    <w:rsid w:val="00107B16"/>
    <w:rsid w:val="00107C97"/>
    <w:rsid w:val="00107CC8"/>
    <w:rsid w:val="00110A59"/>
    <w:rsid w:val="00111338"/>
    <w:rsid w:val="0011152F"/>
    <w:rsid w:val="001116E5"/>
    <w:rsid w:val="001117E7"/>
    <w:rsid w:val="00111BE9"/>
    <w:rsid w:val="00111EA3"/>
    <w:rsid w:val="00112157"/>
    <w:rsid w:val="001124F1"/>
    <w:rsid w:val="0011272E"/>
    <w:rsid w:val="001128F7"/>
    <w:rsid w:val="00112AAD"/>
    <w:rsid w:val="00112B7B"/>
    <w:rsid w:val="00113391"/>
    <w:rsid w:val="001135D9"/>
    <w:rsid w:val="0011384E"/>
    <w:rsid w:val="0011394D"/>
    <w:rsid w:val="00113B7B"/>
    <w:rsid w:val="001142DA"/>
    <w:rsid w:val="00114D7C"/>
    <w:rsid w:val="00114E90"/>
    <w:rsid w:val="00115021"/>
    <w:rsid w:val="00115378"/>
    <w:rsid w:val="001164A7"/>
    <w:rsid w:val="00116864"/>
    <w:rsid w:val="00116875"/>
    <w:rsid w:val="0011785F"/>
    <w:rsid w:val="0011790E"/>
    <w:rsid w:val="00117AB3"/>
    <w:rsid w:val="00117B2D"/>
    <w:rsid w:val="00117B6D"/>
    <w:rsid w:val="00117D69"/>
    <w:rsid w:val="00117E07"/>
    <w:rsid w:val="00117F62"/>
    <w:rsid w:val="0012042B"/>
    <w:rsid w:val="001205C1"/>
    <w:rsid w:val="0012085D"/>
    <w:rsid w:val="00120D1D"/>
    <w:rsid w:val="00120EE0"/>
    <w:rsid w:val="00120F06"/>
    <w:rsid w:val="001210B2"/>
    <w:rsid w:val="001210D0"/>
    <w:rsid w:val="0012121D"/>
    <w:rsid w:val="00121262"/>
    <w:rsid w:val="00121351"/>
    <w:rsid w:val="00121459"/>
    <w:rsid w:val="001214B0"/>
    <w:rsid w:val="001216A9"/>
    <w:rsid w:val="00121904"/>
    <w:rsid w:val="00121C5F"/>
    <w:rsid w:val="00121FC3"/>
    <w:rsid w:val="00121FF4"/>
    <w:rsid w:val="001223C3"/>
    <w:rsid w:val="001224D1"/>
    <w:rsid w:val="001228EB"/>
    <w:rsid w:val="00122ED0"/>
    <w:rsid w:val="00123150"/>
    <w:rsid w:val="00123190"/>
    <w:rsid w:val="001238DB"/>
    <w:rsid w:val="00123A60"/>
    <w:rsid w:val="00123BAD"/>
    <w:rsid w:val="00123C87"/>
    <w:rsid w:val="00123D32"/>
    <w:rsid w:val="00123F8C"/>
    <w:rsid w:val="00124122"/>
    <w:rsid w:val="00124805"/>
    <w:rsid w:val="00124ADA"/>
    <w:rsid w:val="001259F1"/>
    <w:rsid w:val="00125C00"/>
    <w:rsid w:val="00125DFF"/>
    <w:rsid w:val="00125E53"/>
    <w:rsid w:val="00126041"/>
    <w:rsid w:val="0012633F"/>
    <w:rsid w:val="00126A5F"/>
    <w:rsid w:val="00126D92"/>
    <w:rsid w:val="00126FCC"/>
    <w:rsid w:val="001272B0"/>
    <w:rsid w:val="00127A2D"/>
    <w:rsid w:val="00127B7D"/>
    <w:rsid w:val="00127EAB"/>
    <w:rsid w:val="001301D8"/>
    <w:rsid w:val="0013023A"/>
    <w:rsid w:val="001302A9"/>
    <w:rsid w:val="0013058C"/>
    <w:rsid w:val="00130A4E"/>
    <w:rsid w:val="00130A61"/>
    <w:rsid w:val="00130BAE"/>
    <w:rsid w:val="00130D12"/>
    <w:rsid w:val="00130D9B"/>
    <w:rsid w:val="001313D1"/>
    <w:rsid w:val="00131640"/>
    <w:rsid w:val="00131A0F"/>
    <w:rsid w:val="00131BEA"/>
    <w:rsid w:val="0013207D"/>
    <w:rsid w:val="001320E0"/>
    <w:rsid w:val="00132319"/>
    <w:rsid w:val="00132B7B"/>
    <w:rsid w:val="0013302A"/>
    <w:rsid w:val="00133931"/>
    <w:rsid w:val="00133C25"/>
    <w:rsid w:val="00133D71"/>
    <w:rsid w:val="0013404F"/>
    <w:rsid w:val="00134139"/>
    <w:rsid w:val="00134290"/>
    <w:rsid w:val="001342DA"/>
    <w:rsid w:val="00134BE4"/>
    <w:rsid w:val="00134C36"/>
    <w:rsid w:val="00134C6D"/>
    <w:rsid w:val="00135344"/>
    <w:rsid w:val="00135C4F"/>
    <w:rsid w:val="00135C80"/>
    <w:rsid w:val="00135E4B"/>
    <w:rsid w:val="00135FB8"/>
    <w:rsid w:val="00136222"/>
    <w:rsid w:val="00136751"/>
    <w:rsid w:val="0013683A"/>
    <w:rsid w:val="0013695A"/>
    <w:rsid w:val="00136B0D"/>
    <w:rsid w:val="00136B51"/>
    <w:rsid w:val="00136C7B"/>
    <w:rsid w:val="00136CCB"/>
    <w:rsid w:val="00137215"/>
    <w:rsid w:val="0013725E"/>
    <w:rsid w:val="00137553"/>
    <w:rsid w:val="0013757A"/>
    <w:rsid w:val="001375D3"/>
    <w:rsid w:val="001379A3"/>
    <w:rsid w:val="001379AB"/>
    <w:rsid w:val="00137C36"/>
    <w:rsid w:val="00137FA2"/>
    <w:rsid w:val="00140102"/>
    <w:rsid w:val="001403F5"/>
    <w:rsid w:val="00140797"/>
    <w:rsid w:val="00140918"/>
    <w:rsid w:val="00140985"/>
    <w:rsid w:val="00140D07"/>
    <w:rsid w:val="00140EA5"/>
    <w:rsid w:val="00140ECE"/>
    <w:rsid w:val="00140F11"/>
    <w:rsid w:val="00141131"/>
    <w:rsid w:val="001411B6"/>
    <w:rsid w:val="00141256"/>
    <w:rsid w:val="001415EA"/>
    <w:rsid w:val="00141DC6"/>
    <w:rsid w:val="001420C2"/>
    <w:rsid w:val="001421B7"/>
    <w:rsid w:val="001429D9"/>
    <w:rsid w:val="00143221"/>
    <w:rsid w:val="0014330F"/>
    <w:rsid w:val="001434D0"/>
    <w:rsid w:val="001436E4"/>
    <w:rsid w:val="00143833"/>
    <w:rsid w:val="00143BAD"/>
    <w:rsid w:val="00143EF8"/>
    <w:rsid w:val="001440AB"/>
    <w:rsid w:val="001442CA"/>
    <w:rsid w:val="001443B6"/>
    <w:rsid w:val="00144498"/>
    <w:rsid w:val="00144650"/>
    <w:rsid w:val="00144673"/>
    <w:rsid w:val="00144CB9"/>
    <w:rsid w:val="00145101"/>
    <w:rsid w:val="0014522D"/>
    <w:rsid w:val="00145328"/>
    <w:rsid w:val="00145489"/>
    <w:rsid w:val="00145692"/>
    <w:rsid w:val="0014594A"/>
    <w:rsid w:val="00145AEF"/>
    <w:rsid w:val="00145B2E"/>
    <w:rsid w:val="00145C46"/>
    <w:rsid w:val="00145D7E"/>
    <w:rsid w:val="00146282"/>
    <w:rsid w:val="001469F2"/>
    <w:rsid w:val="00146BFB"/>
    <w:rsid w:val="00146DBA"/>
    <w:rsid w:val="00146DBD"/>
    <w:rsid w:val="00146DD6"/>
    <w:rsid w:val="00146E27"/>
    <w:rsid w:val="00146E3C"/>
    <w:rsid w:val="001473E9"/>
    <w:rsid w:val="001475A0"/>
    <w:rsid w:val="001476C2"/>
    <w:rsid w:val="00147AA6"/>
    <w:rsid w:val="00147C96"/>
    <w:rsid w:val="001501B5"/>
    <w:rsid w:val="00150469"/>
    <w:rsid w:val="00150720"/>
    <w:rsid w:val="00150991"/>
    <w:rsid w:val="00150B9B"/>
    <w:rsid w:val="00150C13"/>
    <w:rsid w:val="00150DE1"/>
    <w:rsid w:val="00151670"/>
    <w:rsid w:val="00151698"/>
    <w:rsid w:val="001516F0"/>
    <w:rsid w:val="001520D6"/>
    <w:rsid w:val="00152114"/>
    <w:rsid w:val="001522D4"/>
    <w:rsid w:val="00152526"/>
    <w:rsid w:val="00152727"/>
    <w:rsid w:val="00152F61"/>
    <w:rsid w:val="00153AE5"/>
    <w:rsid w:val="00153B29"/>
    <w:rsid w:val="00153B84"/>
    <w:rsid w:val="00153F3D"/>
    <w:rsid w:val="00154D51"/>
    <w:rsid w:val="00154E0F"/>
    <w:rsid w:val="00155299"/>
    <w:rsid w:val="00155533"/>
    <w:rsid w:val="001556DE"/>
    <w:rsid w:val="00155707"/>
    <w:rsid w:val="00155B85"/>
    <w:rsid w:val="00155C70"/>
    <w:rsid w:val="00156681"/>
    <w:rsid w:val="00156855"/>
    <w:rsid w:val="00156882"/>
    <w:rsid w:val="001568CD"/>
    <w:rsid w:val="0015693C"/>
    <w:rsid w:val="00156AE2"/>
    <w:rsid w:val="001572A0"/>
    <w:rsid w:val="001577FC"/>
    <w:rsid w:val="00157AFD"/>
    <w:rsid w:val="00157D95"/>
    <w:rsid w:val="00157DEF"/>
    <w:rsid w:val="00160291"/>
    <w:rsid w:val="001603E5"/>
    <w:rsid w:val="001604A7"/>
    <w:rsid w:val="0016066A"/>
    <w:rsid w:val="0016086E"/>
    <w:rsid w:val="00160965"/>
    <w:rsid w:val="00160ACB"/>
    <w:rsid w:val="001610B9"/>
    <w:rsid w:val="00161215"/>
    <w:rsid w:val="00161578"/>
    <w:rsid w:val="0016169B"/>
    <w:rsid w:val="00161A45"/>
    <w:rsid w:val="00161B3C"/>
    <w:rsid w:val="001622CC"/>
    <w:rsid w:val="00162345"/>
    <w:rsid w:val="00162392"/>
    <w:rsid w:val="00162795"/>
    <w:rsid w:val="00162A54"/>
    <w:rsid w:val="00162A78"/>
    <w:rsid w:val="00162CE0"/>
    <w:rsid w:val="00162E8C"/>
    <w:rsid w:val="0016368B"/>
    <w:rsid w:val="001637F4"/>
    <w:rsid w:val="0016384A"/>
    <w:rsid w:val="00163AA4"/>
    <w:rsid w:val="00163AFD"/>
    <w:rsid w:val="001641EB"/>
    <w:rsid w:val="001642B9"/>
    <w:rsid w:val="00164562"/>
    <w:rsid w:val="001648A6"/>
    <w:rsid w:val="00164963"/>
    <w:rsid w:val="001649DE"/>
    <w:rsid w:val="00164F8E"/>
    <w:rsid w:val="00165239"/>
    <w:rsid w:val="00165342"/>
    <w:rsid w:val="001655E7"/>
    <w:rsid w:val="00165C89"/>
    <w:rsid w:val="00165EA5"/>
    <w:rsid w:val="00166192"/>
    <w:rsid w:val="001662B3"/>
    <w:rsid w:val="00166425"/>
    <w:rsid w:val="001664A8"/>
    <w:rsid w:val="0016658D"/>
    <w:rsid w:val="00166636"/>
    <w:rsid w:val="0016696C"/>
    <w:rsid w:val="0016699C"/>
    <w:rsid w:val="001669A4"/>
    <w:rsid w:val="00166CA3"/>
    <w:rsid w:val="001677C0"/>
    <w:rsid w:val="0016780E"/>
    <w:rsid w:val="00167935"/>
    <w:rsid w:val="00167B83"/>
    <w:rsid w:val="00167C45"/>
    <w:rsid w:val="0017062B"/>
    <w:rsid w:val="00170647"/>
    <w:rsid w:val="00170880"/>
    <w:rsid w:val="00170920"/>
    <w:rsid w:val="001709EA"/>
    <w:rsid w:val="001710DC"/>
    <w:rsid w:val="0017112D"/>
    <w:rsid w:val="00171177"/>
    <w:rsid w:val="0017183B"/>
    <w:rsid w:val="001719BC"/>
    <w:rsid w:val="00171AD5"/>
    <w:rsid w:val="00171DDE"/>
    <w:rsid w:val="001723F1"/>
    <w:rsid w:val="00172520"/>
    <w:rsid w:val="00172566"/>
    <w:rsid w:val="001725EE"/>
    <w:rsid w:val="00172689"/>
    <w:rsid w:val="0017286A"/>
    <w:rsid w:val="00172A27"/>
    <w:rsid w:val="00172AB5"/>
    <w:rsid w:val="00172DC4"/>
    <w:rsid w:val="001731B1"/>
    <w:rsid w:val="001732DB"/>
    <w:rsid w:val="0017332C"/>
    <w:rsid w:val="0017341B"/>
    <w:rsid w:val="001735FE"/>
    <w:rsid w:val="0017360B"/>
    <w:rsid w:val="00174676"/>
    <w:rsid w:val="00174744"/>
    <w:rsid w:val="001748D2"/>
    <w:rsid w:val="001749EC"/>
    <w:rsid w:val="00174CFD"/>
    <w:rsid w:val="00174E9D"/>
    <w:rsid w:val="001754A8"/>
    <w:rsid w:val="001755A7"/>
    <w:rsid w:val="0017582D"/>
    <w:rsid w:val="00175864"/>
    <w:rsid w:val="00175865"/>
    <w:rsid w:val="00175A21"/>
    <w:rsid w:val="00175C27"/>
    <w:rsid w:val="00175E58"/>
    <w:rsid w:val="00175F8F"/>
    <w:rsid w:val="00176144"/>
    <w:rsid w:val="0017615F"/>
    <w:rsid w:val="0017623A"/>
    <w:rsid w:val="0017626D"/>
    <w:rsid w:val="0017659D"/>
    <w:rsid w:val="00176955"/>
    <w:rsid w:val="00176AAF"/>
    <w:rsid w:val="00176ACD"/>
    <w:rsid w:val="00176B2A"/>
    <w:rsid w:val="00177A4E"/>
    <w:rsid w:val="00177C0D"/>
    <w:rsid w:val="00177E0D"/>
    <w:rsid w:val="00177F1F"/>
    <w:rsid w:val="00177FE4"/>
    <w:rsid w:val="00180248"/>
    <w:rsid w:val="00181727"/>
    <w:rsid w:val="00181883"/>
    <w:rsid w:val="00181BE4"/>
    <w:rsid w:val="00181DCC"/>
    <w:rsid w:val="0018210E"/>
    <w:rsid w:val="00182540"/>
    <w:rsid w:val="001830D8"/>
    <w:rsid w:val="001833B7"/>
    <w:rsid w:val="00183E91"/>
    <w:rsid w:val="00183FD0"/>
    <w:rsid w:val="00183FDF"/>
    <w:rsid w:val="001844E0"/>
    <w:rsid w:val="00184588"/>
    <w:rsid w:val="0018463C"/>
    <w:rsid w:val="00184826"/>
    <w:rsid w:val="00184D9B"/>
    <w:rsid w:val="00185794"/>
    <w:rsid w:val="001857AC"/>
    <w:rsid w:val="00185B29"/>
    <w:rsid w:val="00185CCD"/>
    <w:rsid w:val="00185F78"/>
    <w:rsid w:val="0018671C"/>
    <w:rsid w:val="00186721"/>
    <w:rsid w:val="00186B8D"/>
    <w:rsid w:val="00186B99"/>
    <w:rsid w:val="00186D25"/>
    <w:rsid w:val="00186DCE"/>
    <w:rsid w:val="00187056"/>
    <w:rsid w:val="00187144"/>
    <w:rsid w:val="00187353"/>
    <w:rsid w:val="001873C3"/>
    <w:rsid w:val="00187DE4"/>
    <w:rsid w:val="00190081"/>
    <w:rsid w:val="00190422"/>
    <w:rsid w:val="00190B53"/>
    <w:rsid w:val="00190CB6"/>
    <w:rsid w:val="00190E98"/>
    <w:rsid w:val="00191067"/>
    <w:rsid w:val="00191223"/>
    <w:rsid w:val="00191488"/>
    <w:rsid w:val="0019151D"/>
    <w:rsid w:val="00191610"/>
    <w:rsid w:val="0019173B"/>
    <w:rsid w:val="001917E0"/>
    <w:rsid w:val="0019183C"/>
    <w:rsid w:val="0019199C"/>
    <w:rsid w:val="00191A42"/>
    <w:rsid w:val="00191BD2"/>
    <w:rsid w:val="00191BD6"/>
    <w:rsid w:val="00192100"/>
    <w:rsid w:val="00192550"/>
    <w:rsid w:val="0019256C"/>
    <w:rsid w:val="00192740"/>
    <w:rsid w:val="00192809"/>
    <w:rsid w:val="001934A7"/>
    <w:rsid w:val="001937EF"/>
    <w:rsid w:val="00193BA0"/>
    <w:rsid w:val="00193DA5"/>
    <w:rsid w:val="00194359"/>
    <w:rsid w:val="001944B6"/>
    <w:rsid w:val="001945A9"/>
    <w:rsid w:val="00194974"/>
    <w:rsid w:val="001949C6"/>
    <w:rsid w:val="00194E50"/>
    <w:rsid w:val="00195425"/>
    <w:rsid w:val="0019545D"/>
    <w:rsid w:val="00195468"/>
    <w:rsid w:val="0019546F"/>
    <w:rsid w:val="00195535"/>
    <w:rsid w:val="001956D0"/>
    <w:rsid w:val="001958BE"/>
    <w:rsid w:val="0019593A"/>
    <w:rsid w:val="00195B7A"/>
    <w:rsid w:val="00195BFA"/>
    <w:rsid w:val="00195D0C"/>
    <w:rsid w:val="00195EFF"/>
    <w:rsid w:val="00196085"/>
    <w:rsid w:val="001963E3"/>
    <w:rsid w:val="001967DA"/>
    <w:rsid w:val="00196868"/>
    <w:rsid w:val="0019701E"/>
    <w:rsid w:val="001971C4"/>
    <w:rsid w:val="001975B9"/>
    <w:rsid w:val="00197706"/>
    <w:rsid w:val="00197A32"/>
    <w:rsid w:val="001A01A6"/>
    <w:rsid w:val="001A01BD"/>
    <w:rsid w:val="001A0314"/>
    <w:rsid w:val="001A035A"/>
    <w:rsid w:val="001A069C"/>
    <w:rsid w:val="001A0831"/>
    <w:rsid w:val="001A0ACE"/>
    <w:rsid w:val="001A123D"/>
    <w:rsid w:val="001A1313"/>
    <w:rsid w:val="001A1619"/>
    <w:rsid w:val="001A175D"/>
    <w:rsid w:val="001A1B16"/>
    <w:rsid w:val="001A2478"/>
    <w:rsid w:val="001A24C2"/>
    <w:rsid w:val="001A2514"/>
    <w:rsid w:val="001A27A4"/>
    <w:rsid w:val="001A29BA"/>
    <w:rsid w:val="001A2DEA"/>
    <w:rsid w:val="001A319E"/>
    <w:rsid w:val="001A3524"/>
    <w:rsid w:val="001A3A8A"/>
    <w:rsid w:val="001A3BBC"/>
    <w:rsid w:val="001A4306"/>
    <w:rsid w:val="001A4617"/>
    <w:rsid w:val="001A48C3"/>
    <w:rsid w:val="001A4D89"/>
    <w:rsid w:val="001A50C6"/>
    <w:rsid w:val="001A5193"/>
    <w:rsid w:val="001A53F6"/>
    <w:rsid w:val="001A5446"/>
    <w:rsid w:val="001A5761"/>
    <w:rsid w:val="001A5762"/>
    <w:rsid w:val="001A5B6D"/>
    <w:rsid w:val="001A5E9F"/>
    <w:rsid w:val="001A625C"/>
    <w:rsid w:val="001A64D8"/>
    <w:rsid w:val="001A65F1"/>
    <w:rsid w:val="001A68E4"/>
    <w:rsid w:val="001A6BCE"/>
    <w:rsid w:val="001A6C22"/>
    <w:rsid w:val="001A6C84"/>
    <w:rsid w:val="001A6D55"/>
    <w:rsid w:val="001A74F0"/>
    <w:rsid w:val="001A7840"/>
    <w:rsid w:val="001B002B"/>
    <w:rsid w:val="001B013F"/>
    <w:rsid w:val="001B029A"/>
    <w:rsid w:val="001B03D3"/>
    <w:rsid w:val="001B05B3"/>
    <w:rsid w:val="001B0865"/>
    <w:rsid w:val="001B109C"/>
    <w:rsid w:val="001B112A"/>
    <w:rsid w:val="001B15AC"/>
    <w:rsid w:val="001B1763"/>
    <w:rsid w:val="001B1BF0"/>
    <w:rsid w:val="001B1DCE"/>
    <w:rsid w:val="001B2054"/>
    <w:rsid w:val="001B215F"/>
    <w:rsid w:val="001B2239"/>
    <w:rsid w:val="001B2501"/>
    <w:rsid w:val="001B2519"/>
    <w:rsid w:val="001B25CD"/>
    <w:rsid w:val="001B2710"/>
    <w:rsid w:val="001B2998"/>
    <w:rsid w:val="001B29BF"/>
    <w:rsid w:val="001B2B7C"/>
    <w:rsid w:val="001B2D59"/>
    <w:rsid w:val="001B2D61"/>
    <w:rsid w:val="001B30B1"/>
    <w:rsid w:val="001B325E"/>
    <w:rsid w:val="001B3468"/>
    <w:rsid w:val="001B36E4"/>
    <w:rsid w:val="001B3808"/>
    <w:rsid w:val="001B3B31"/>
    <w:rsid w:val="001B3C69"/>
    <w:rsid w:val="001B3D3F"/>
    <w:rsid w:val="001B3E83"/>
    <w:rsid w:val="001B41A8"/>
    <w:rsid w:val="001B480E"/>
    <w:rsid w:val="001B4DDC"/>
    <w:rsid w:val="001B55C5"/>
    <w:rsid w:val="001B56AC"/>
    <w:rsid w:val="001B5CEA"/>
    <w:rsid w:val="001B5E50"/>
    <w:rsid w:val="001B6053"/>
    <w:rsid w:val="001B6746"/>
    <w:rsid w:val="001B698F"/>
    <w:rsid w:val="001B6F63"/>
    <w:rsid w:val="001B7133"/>
    <w:rsid w:val="001B7256"/>
    <w:rsid w:val="001B73D0"/>
    <w:rsid w:val="001B7725"/>
    <w:rsid w:val="001B796C"/>
    <w:rsid w:val="001B79B4"/>
    <w:rsid w:val="001B7E50"/>
    <w:rsid w:val="001B7F3A"/>
    <w:rsid w:val="001C001C"/>
    <w:rsid w:val="001C0396"/>
    <w:rsid w:val="001C08CF"/>
    <w:rsid w:val="001C09E4"/>
    <w:rsid w:val="001C0B63"/>
    <w:rsid w:val="001C0C51"/>
    <w:rsid w:val="001C0E0C"/>
    <w:rsid w:val="001C1228"/>
    <w:rsid w:val="001C1626"/>
    <w:rsid w:val="001C1F6E"/>
    <w:rsid w:val="001C2203"/>
    <w:rsid w:val="001C232B"/>
    <w:rsid w:val="001C2704"/>
    <w:rsid w:val="001C2C82"/>
    <w:rsid w:val="001C39CF"/>
    <w:rsid w:val="001C3C86"/>
    <w:rsid w:val="001C3D21"/>
    <w:rsid w:val="001C445A"/>
    <w:rsid w:val="001C481F"/>
    <w:rsid w:val="001C49FE"/>
    <w:rsid w:val="001C5137"/>
    <w:rsid w:val="001C5169"/>
    <w:rsid w:val="001C590B"/>
    <w:rsid w:val="001C59BA"/>
    <w:rsid w:val="001C5A2C"/>
    <w:rsid w:val="001C5C1F"/>
    <w:rsid w:val="001C6006"/>
    <w:rsid w:val="001C6597"/>
    <w:rsid w:val="001C67A4"/>
    <w:rsid w:val="001C6C42"/>
    <w:rsid w:val="001C7052"/>
    <w:rsid w:val="001C7078"/>
    <w:rsid w:val="001C720D"/>
    <w:rsid w:val="001C77F6"/>
    <w:rsid w:val="001C7945"/>
    <w:rsid w:val="001C7F3C"/>
    <w:rsid w:val="001D0734"/>
    <w:rsid w:val="001D118D"/>
    <w:rsid w:val="001D1BEF"/>
    <w:rsid w:val="001D1C84"/>
    <w:rsid w:val="001D2247"/>
    <w:rsid w:val="001D2745"/>
    <w:rsid w:val="001D28A7"/>
    <w:rsid w:val="001D2CDC"/>
    <w:rsid w:val="001D338D"/>
    <w:rsid w:val="001D33CF"/>
    <w:rsid w:val="001D340B"/>
    <w:rsid w:val="001D3AA6"/>
    <w:rsid w:val="001D3C27"/>
    <w:rsid w:val="001D40B7"/>
    <w:rsid w:val="001D4A75"/>
    <w:rsid w:val="001D4BD1"/>
    <w:rsid w:val="001D4BFB"/>
    <w:rsid w:val="001D4C9E"/>
    <w:rsid w:val="001D4E92"/>
    <w:rsid w:val="001D4F1F"/>
    <w:rsid w:val="001D55EF"/>
    <w:rsid w:val="001D5706"/>
    <w:rsid w:val="001D6298"/>
    <w:rsid w:val="001D6314"/>
    <w:rsid w:val="001D6CE8"/>
    <w:rsid w:val="001D6E35"/>
    <w:rsid w:val="001D6F08"/>
    <w:rsid w:val="001D70EE"/>
    <w:rsid w:val="001D79E0"/>
    <w:rsid w:val="001E0279"/>
    <w:rsid w:val="001E03F9"/>
    <w:rsid w:val="001E05EE"/>
    <w:rsid w:val="001E090B"/>
    <w:rsid w:val="001E097B"/>
    <w:rsid w:val="001E0988"/>
    <w:rsid w:val="001E1161"/>
    <w:rsid w:val="001E11D6"/>
    <w:rsid w:val="001E158D"/>
    <w:rsid w:val="001E15AE"/>
    <w:rsid w:val="001E1769"/>
    <w:rsid w:val="001E1AE2"/>
    <w:rsid w:val="001E1B07"/>
    <w:rsid w:val="001E2250"/>
    <w:rsid w:val="001E28F3"/>
    <w:rsid w:val="001E2CD0"/>
    <w:rsid w:val="001E2D32"/>
    <w:rsid w:val="001E3162"/>
    <w:rsid w:val="001E319B"/>
    <w:rsid w:val="001E31C9"/>
    <w:rsid w:val="001E346D"/>
    <w:rsid w:val="001E38E8"/>
    <w:rsid w:val="001E3B5D"/>
    <w:rsid w:val="001E3BCC"/>
    <w:rsid w:val="001E3CF8"/>
    <w:rsid w:val="001E3D86"/>
    <w:rsid w:val="001E3F77"/>
    <w:rsid w:val="001E42F8"/>
    <w:rsid w:val="001E43B2"/>
    <w:rsid w:val="001E4587"/>
    <w:rsid w:val="001E4C19"/>
    <w:rsid w:val="001E4EC9"/>
    <w:rsid w:val="001E51DA"/>
    <w:rsid w:val="001E5523"/>
    <w:rsid w:val="001E5541"/>
    <w:rsid w:val="001E586D"/>
    <w:rsid w:val="001E5955"/>
    <w:rsid w:val="001E5E56"/>
    <w:rsid w:val="001E605F"/>
    <w:rsid w:val="001E634B"/>
    <w:rsid w:val="001E6759"/>
    <w:rsid w:val="001E68CD"/>
    <w:rsid w:val="001E6900"/>
    <w:rsid w:val="001E6EB3"/>
    <w:rsid w:val="001E6F48"/>
    <w:rsid w:val="001E7852"/>
    <w:rsid w:val="001E7981"/>
    <w:rsid w:val="001E7A5E"/>
    <w:rsid w:val="001E7E67"/>
    <w:rsid w:val="001E7F97"/>
    <w:rsid w:val="001F006D"/>
    <w:rsid w:val="001F080F"/>
    <w:rsid w:val="001F082D"/>
    <w:rsid w:val="001F08CB"/>
    <w:rsid w:val="001F0BBD"/>
    <w:rsid w:val="001F0C1F"/>
    <w:rsid w:val="001F0DEF"/>
    <w:rsid w:val="001F0EBC"/>
    <w:rsid w:val="001F1104"/>
    <w:rsid w:val="001F1236"/>
    <w:rsid w:val="001F14A6"/>
    <w:rsid w:val="001F1668"/>
    <w:rsid w:val="001F2138"/>
    <w:rsid w:val="001F21A9"/>
    <w:rsid w:val="001F241B"/>
    <w:rsid w:val="001F2A85"/>
    <w:rsid w:val="001F3030"/>
    <w:rsid w:val="001F3828"/>
    <w:rsid w:val="001F39DD"/>
    <w:rsid w:val="001F3B3E"/>
    <w:rsid w:val="001F3CE9"/>
    <w:rsid w:val="001F3E12"/>
    <w:rsid w:val="001F46DA"/>
    <w:rsid w:val="001F474A"/>
    <w:rsid w:val="001F4A2E"/>
    <w:rsid w:val="001F4B03"/>
    <w:rsid w:val="001F4EB0"/>
    <w:rsid w:val="001F4FE4"/>
    <w:rsid w:val="001F523B"/>
    <w:rsid w:val="001F56A9"/>
    <w:rsid w:val="001F56EE"/>
    <w:rsid w:val="001F57B0"/>
    <w:rsid w:val="001F5824"/>
    <w:rsid w:val="001F5D7B"/>
    <w:rsid w:val="001F6796"/>
    <w:rsid w:val="001F6A94"/>
    <w:rsid w:val="001F7290"/>
    <w:rsid w:val="001F7321"/>
    <w:rsid w:val="001F73C5"/>
    <w:rsid w:val="001F7412"/>
    <w:rsid w:val="001F7BAF"/>
    <w:rsid w:val="001F7E4B"/>
    <w:rsid w:val="0020024D"/>
    <w:rsid w:val="00200283"/>
    <w:rsid w:val="002003C9"/>
    <w:rsid w:val="002005D0"/>
    <w:rsid w:val="00200604"/>
    <w:rsid w:val="00200EE7"/>
    <w:rsid w:val="002010C2"/>
    <w:rsid w:val="00201119"/>
    <w:rsid w:val="002016A7"/>
    <w:rsid w:val="00201A4D"/>
    <w:rsid w:val="00201C0C"/>
    <w:rsid w:val="00201D53"/>
    <w:rsid w:val="00201F4D"/>
    <w:rsid w:val="00201F92"/>
    <w:rsid w:val="00202444"/>
    <w:rsid w:val="002030BF"/>
    <w:rsid w:val="00203135"/>
    <w:rsid w:val="00203851"/>
    <w:rsid w:val="0020387C"/>
    <w:rsid w:val="00203A6C"/>
    <w:rsid w:val="00203A7A"/>
    <w:rsid w:val="00203D4D"/>
    <w:rsid w:val="00203DD9"/>
    <w:rsid w:val="00203E44"/>
    <w:rsid w:val="0020432E"/>
    <w:rsid w:val="002043DF"/>
    <w:rsid w:val="002047C6"/>
    <w:rsid w:val="00204C39"/>
    <w:rsid w:val="00205061"/>
    <w:rsid w:val="002050C1"/>
    <w:rsid w:val="002051ED"/>
    <w:rsid w:val="002052A2"/>
    <w:rsid w:val="00205482"/>
    <w:rsid w:val="002056D9"/>
    <w:rsid w:val="002065E4"/>
    <w:rsid w:val="002067E7"/>
    <w:rsid w:val="0020688C"/>
    <w:rsid w:val="00206B15"/>
    <w:rsid w:val="00207298"/>
    <w:rsid w:val="00207322"/>
    <w:rsid w:val="00207500"/>
    <w:rsid w:val="00207685"/>
    <w:rsid w:val="002079FD"/>
    <w:rsid w:val="00207F80"/>
    <w:rsid w:val="00210233"/>
    <w:rsid w:val="002106DE"/>
    <w:rsid w:val="002107B8"/>
    <w:rsid w:val="00210807"/>
    <w:rsid w:val="002109D7"/>
    <w:rsid w:val="00210A14"/>
    <w:rsid w:val="00210A57"/>
    <w:rsid w:val="00210DC0"/>
    <w:rsid w:val="0021107F"/>
    <w:rsid w:val="00211669"/>
    <w:rsid w:val="002117FF"/>
    <w:rsid w:val="0021183B"/>
    <w:rsid w:val="00211A33"/>
    <w:rsid w:val="00211E21"/>
    <w:rsid w:val="00211E6A"/>
    <w:rsid w:val="002120BF"/>
    <w:rsid w:val="002120C7"/>
    <w:rsid w:val="00212307"/>
    <w:rsid w:val="0021289C"/>
    <w:rsid w:val="00212C4F"/>
    <w:rsid w:val="00212D0A"/>
    <w:rsid w:val="00212D5A"/>
    <w:rsid w:val="00212E47"/>
    <w:rsid w:val="0021321D"/>
    <w:rsid w:val="00213829"/>
    <w:rsid w:val="00213A45"/>
    <w:rsid w:val="00213B59"/>
    <w:rsid w:val="002140A0"/>
    <w:rsid w:val="00214951"/>
    <w:rsid w:val="00214CAE"/>
    <w:rsid w:val="00214D1F"/>
    <w:rsid w:val="00214FF1"/>
    <w:rsid w:val="00215549"/>
    <w:rsid w:val="0021583B"/>
    <w:rsid w:val="002159AA"/>
    <w:rsid w:val="00215C19"/>
    <w:rsid w:val="00215D23"/>
    <w:rsid w:val="00215D9B"/>
    <w:rsid w:val="00215E2E"/>
    <w:rsid w:val="00215FA1"/>
    <w:rsid w:val="00216191"/>
    <w:rsid w:val="0021646D"/>
    <w:rsid w:val="0021657E"/>
    <w:rsid w:val="00216835"/>
    <w:rsid w:val="00216995"/>
    <w:rsid w:val="00217157"/>
    <w:rsid w:val="002171F1"/>
    <w:rsid w:val="00217393"/>
    <w:rsid w:val="002175FB"/>
    <w:rsid w:val="002177D4"/>
    <w:rsid w:val="0021784B"/>
    <w:rsid w:val="00217A4E"/>
    <w:rsid w:val="00217A58"/>
    <w:rsid w:val="00217AFC"/>
    <w:rsid w:val="00217F3C"/>
    <w:rsid w:val="00217FB5"/>
    <w:rsid w:val="0022011E"/>
    <w:rsid w:val="00220B1A"/>
    <w:rsid w:val="00220B84"/>
    <w:rsid w:val="00220C62"/>
    <w:rsid w:val="00220D05"/>
    <w:rsid w:val="00220E48"/>
    <w:rsid w:val="00220F22"/>
    <w:rsid w:val="002211D1"/>
    <w:rsid w:val="002211FA"/>
    <w:rsid w:val="002218AE"/>
    <w:rsid w:val="0022196D"/>
    <w:rsid w:val="00221D87"/>
    <w:rsid w:val="00221E7A"/>
    <w:rsid w:val="00221FD8"/>
    <w:rsid w:val="002221E6"/>
    <w:rsid w:val="00222671"/>
    <w:rsid w:val="00222705"/>
    <w:rsid w:val="00222774"/>
    <w:rsid w:val="00222F8A"/>
    <w:rsid w:val="00223248"/>
    <w:rsid w:val="0022324F"/>
    <w:rsid w:val="002238BB"/>
    <w:rsid w:val="00223B3F"/>
    <w:rsid w:val="00223B55"/>
    <w:rsid w:val="00223B7B"/>
    <w:rsid w:val="0022423F"/>
    <w:rsid w:val="002243B6"/>
    <w:rsid w:val="00224628"/>
    <w:rsid w:val="00224655"/>
    <w:rsid w:val="00224793"/>
    <w:rsid w:val="00224920"/>
    <w:rsid w:val="00224977"/>
    <w:rsid w:val="00224B13"/>
    <w:rsid w:val="00225009"/>
    <w:rsid w:val="002250ED"/>
    <w:rsid w:val="0022510F"/>
    <w:rsid w:val="002253A8"/>
    <w:rsid w:val="00225433"/>
    <w:rsid w:val="002257FA"/>
    <w:rsid w:val="002268A7"/>
    <w:rsid w:val="002269D4"/>
    <w:rsid w:val="00226C99"/>
    <w:rsid w:val="002277DB"/>
    <w:rsid w:val="002278E0"/>
    <w:rsid w:val="00227B37"/>
    <w:rsid w:val="00227E28"/>
    <w:rsid w:val="00227F7F"/>
    <w:rsid w:val="002301BB"/>
    <w:rsid w:val="002301C0"/>
    <w:rsid w:val="002302DC"/>
    <w:rsid w:val="00230371"/>
    <w:rsid w:val="00230531"/>
    <w:rsid w:val="002305C6"/>
    <w:rsid w:val="00230FB9"/>
    <w:rsid w:val="00231155"/>
    <w:rsid w:val="00231261"/>
    <w:rsid w:val="00231287"/>
    <w:rsid w:val="0023150C"/>
    <w:rsid w:val="002317B7"/>
    <w:rsid w:val="00231A6B"/>
    <w:rsid w:val="00231C1B"/>
    <w:rsid w:val="00231D6E"/>
    <w:rsid w:val="002323AA"/>
    <w:rsid w:val="00232412"/>
    <w:rsid w:val="00232414"/>
    <w:rsid w:val="0023263D"/>
    <w:rsid w:val="00232673"/>
    <w:rsid w:val="00232DD4"/>
    <w:rsid w:val="00233450"/>
    <w:rsid w:val="0023354F"/>
    <w:rsid w:val="0023358E"/>
    <w:rsid w:val="002335D4"/>
    <w:rsid w:val="00233A0C"/>
    <w:rsid w:val="00233B76"/>
    <w:rsid w:val="00233C71"/>
    <w:rsid w:val="00234053"/>
    <w:rsid w:val="00234934"/>
    <w:rsid w:val="00234C4D"/>
    <w:rsid w:val="00234EBE"/>
    <w:rsid w:val="00234F21"/>
    <w:rsid w:val="002351F1"/>
    <w:rsid w:val="00235526"/>
    <w:rsid w:val="0023576F"/>
    <w:rsid w:val="00235806"/>
    <w:rsid w:val="00235851"/>
    <w:rsid w:val="00235A12"/>
    <w:rsid w:val="00235B9B"/>
    <w:rsid w:val="00235BD9"/>
    <w:rsid w:val="002360A1"/>
    <w:rsid w:val="002361A8"/>
    <w:rsid w:val="0023637C"/>
    <w:rsid w:val="002363CA"/>
    <w:rsid w:val="00236639"/>
    <w:rsid w:val="00236804"/>
    <w:rsid w:val="002368AB"/>
    <w:rsid w:val="002368E5"/>
    <w:rsid w:val="00236A01"/>
    <w:rsid w:val="00236CC5"/>
    <w:rsid w:val="002371CC"/>
    <w:rsid w:val="00237372"/>
    <w:rsid w:val="00237410"/>
    <w:rsid w:val="00237631"/>
    <w:rsid w:val="00237918"/>
    <w:rsid w:val="00237934"/>
    <w:rsid w:val="00237AF1"/>
    <w:rsid w:val="00237D9C"/>
    <w:rsid w:val="00240291"/>
    <w:rsid w:val="002403DC"/>
    <w:rsid w:val="00240542"/>
    <w:rsid w:val="002408BF"/>
    <w:rsid w:val="00240A39"/>
    <w:rsid w:val="00240E22"/>
    <w:rsid w:val="002411A7"/>
    <w:rsid w:val="002411C8"/>
    <w:rsid w:val="00241338"/>
    <w:rsid w:val="00241360"/>
    <w:rsid w:val="00241B01"/>
    <w:rsid w:val="00241B50"/>
    <w:rsid w:val="00241E62"/>
    <w:rsid w:val="00241F18"/>
    <w:rsid w:val="00241F2E"/>
    <w:rsid w:val="00241F62"/>
    <w:rsid w:val="00242244"/>
    <w:rsid w:val="00242649"/>
    <w:rsid w:val="00242671"/>
    <w:rsid w:val="002427AD"/>
    <w:rsid w:val="00242C76"/>
    <w:rsid w:val="00242FA1"/>
    <w:rsid w:val="00243345"/>
    <w:rsid w:val="00243844"/>
    <w:rsid w:val="0024387E"/>
    <w:rsid w:val="00243B92"/>
    <w:rsid w:val="00243F9F"/>
    <w:rsid w:val="00244224"/>
    <w:rsid w:val="002444D8"/>
    <w:rsid w:val="00244857"/>
    <w:rsid w:val="002449C8"/>
    <w:rsid w:val="0024595F"/>
    <w:rsid w:val="00245CAD"/>
    <w:rsid w:val="00245E4F"/>
    <w:rsid w:val="00245E6C"/>
    <w:rsid w:val="002460E0"/>
    <w:rsid w:val="0024624C"/>
    <w:rsid w:val="00246316"/>
    <w:rsid w:val="002463F6"/>
    <w:rsid w:val="0024658E"/>
    <w:rsid w:val="00246792"/>
    <w:rsid w:val="002468B8"/>
    <w:rsid w:val="00246D00"/>
    <w:rsid w:val="00246F60"/>
    <w:rsid w:val="00247189"/>
    <w:rsid w:val="002473F5"/>
    <w:rsid w:val="0024755C"/>
    <w:rsid w:val="00250080"/>
    <w:rsid w:val="0025054D"/>
    <w:rsid w:val="00250583"/>
    <w:rsid w:val="00250608"/>
    <w:rsid w:val="00250781"/>
    <w:rsid w:val="00250CCE"/>
    <w:rsid w:val="00250D86"/>
    <w:rsid w:val="00250DC7"/>
    <w:rsid w:val="00250E5F"/>
    <w:rsid w:val="002512D1"/>
    <w:rsid w:val="00251472"/>
    <w:rsid w:val="00251702"/>
    <w:rsid w:val="00251836"/>
    <w:rsid w:val="00251CDB"/>
    <w:rsid w:val="00251D45"/>
    <w:rsid w:val="0025230E"/>
    <w:rsid w:val="00253065"/>
    <w:rsid w:val="00253533"/>
    <w:rsid w:val="0025366E"/>
    <w:rsid w:val="002538E4"/>
    <w:rsid w:val="00253B2D"/>
    <w:rsid w:val="00253B9F"/>
    <w:rsid w:val="00253CA5"/>
    <w:rsid w:val="00253E4F"/>
    <w:rsid w:val="00253E69"/>
    <w:rsid w:val="00254350"/>
    <w:rsid w:val="00254811"/>
    <w:rsid w:val="00254A02"/>
    <w:rsid w:val="00254AB8"/>
    <w:rsid w:val="00254ED8"/>
    <w:rsid w:val="00255B77"/>
    <w:rsid w:val="0025618C"/>
    <w:rsid w:val="00256291"/>
    <w:rsid w:val="0025695E"/>
    <w:rsid w:val="00256968"/>
    <w:rsid w:val="002569E8"/>
    <w:rsid w:val="00256C43"/>
    <w:rsid w:val="00256F98"/>
    <w:rsid w:val="00257024"/>
    <w:rsid w:val="0025721A"/>
    <w:rsid w:val="002572E3"/>
    <w:rsid w:val="002577E1"/>
    <w:rsid w:val="0025781C"/>
    <w:rsid w:val="002579CA"/>
    <w:rsid w:val="00257F84"/>
    <w:rsid w:val="00260114"/>
    <w:rsid w:val="00260284"/>
    <w:rsid w:val="0026044F"/>
    <w:rsid w:val="00260491"/>
    <w:rsid w:val="00260558"/>
    <w:rsid w:val="0026060C"/>
    <w:rsid w:val="00260A9E"/>
    <w:rsid w:val="00260D60"/>
    <w:rsid w:val="002610F1"/>
    <w:rsid w:val="00261242"/>
    <w:rsid w:val="0026147F"/>
    <w:rsid w:val="00261963"/>
    <w:rsid w:val="00261F1F"/>
    <w:rsid w:val="0026218B"/>
    <w:rsid w:val="00262235"/>
    <w:rsid w:val="002624B7"/>
    <w:rsid w:val="002625CA"/>
    <w:rsid w:val="00262A22"/>
    <w:rsid w:val="00262B03"/>
    <w:rsid w:val="00262DE1"/>
    <w:rsid w:val="00262E31"/>
    <w:rsid w:val="00263437"/>
    <w:rsid w:val="00263C74"/>
    <w:rsid w:val="00263DF2"/>
    <w:rsid w:val="00263EE0"/>
    <w:rsid w:val="00264120"/>
    <w:rsid w:val="00264122"/>
    <w:rsid w:val="002642EA"/>
    <w:rsid w:val="00264313"/>
    <w:rsid w:val="00264892"/>
    <w:rsid w:val="00264A1E"/>
    <w:rsid w:val="00264DB4"/>
    <w:rsid w:val="00265066"/>
    <w:rsid w:val="002650CB"/>
    <w:rsid w:val="002653D7"/>
    <w:rsid w:val="002659C4"/>
    <w:rsid w:val="002659E2"/>
    <w:rsid w:val="00265A3A"/>
    <w:rsid w:val="00265D99"/>
    <w:rsid w:val="00265DC9"/>
    <w:rsid w:val="00266325"/>
    <w:rsid w:val="00266718"/>
    <w:rsid w:val="00266AB1"/>
    <w:rsid w:val="00266F58"/>
    <w:rsid w:val="00266FE3"/>
    <w:rsid w:val="0026701F"/>
    <w:rsid w:val="00270154"/>
    <w:rsid w:val="00270217"/>
    <w:rsid w:val="00270606"/>
    <w:rsid w:val="00270948"/>
    <w:rsid w:val="00270B46"/>
    <w:rsid w:val="00270DE9"/>
    <w:rsid w:val="00271364"/>
    <w:rsid w:val="00271370"/>
    <w:rsid w:val="002717D6"/>
    <w:rsid w:val="002717D7"/>
    <w:rsid w:val="002718C4"/>
    <w:rsid w:val="00271AC7"/>
    <w:rsid w:val="00271C1F"/>
    <w:rsid w:val="00271E75"/>
    <w:rsid w:val="00271EF4"/>
    <w:rsid w:val="002722EC"/>
    <w:rsid w:val="002724C2"/>
    <w:rsid w:val="0027270D"/>
    <w:rsid w:val="00272889"/>
    <w:rsid w:val="00272E94"/>
    <w:rsid w:val="002732A7"/>
    <w:rsid w:val="002732D9"/>
    <w:rsid w:val="002733F5"/>
    <w:rsid w:val="00273992"/>
    <w:rsid w:val="00273F52"/>
    <w:rsid w:val="002740A5"/>
    <w:rsid w:val="00274255"/>
    <w:rsid w:val="002742CC"/>
    <w:rsid w:val="002742E3"/>
    <w:rsid w:val="00274307"/>
    <w:rsid w:val="00274472"/>
    <w:rsid w:val="002749B1"/>
    <w:rsid w:val="002749FF"/>
    <w:rsid w:val="00274E61"/>
    <w:rsid w:val="00274EDF"/>
    <w:rsid w:val="002755A5"/>
    <w:rsid w:val="00275931"/>
    <w:rsid w:val="00275B74"/>
    <w:rsid w:val="0027675F"/>
    <w:rsid w:val="00276789"/>
    <w:rsid w:val="00276A4D"/>
    <w:rsid w:val="00276BC0"/>
    <w:rsid w:val="00276CE6"/>
    <w:rsid w:val="0027714A"/>
    <w:rsid w:val="0027745F"/>
    <w:rsid w:val="0027765F"/>
    <w:rsid w:val="00277C93"/>
    <w:rsid w:val="00277EB7"/>
    <w:rsid w:val="00277EC1"/>
    <w:rsid w:val="00280121"/>
    <w:rsid w:val="0028078D"/>
    <w:rsid w:val="002807E4"/>
    <w:rsid w:val="002809F5"/>
    <w:rsid w:val="002815CB"/>
    <w:rsid w:val="00281807"/>
    <w:rsid w:val="0028195A"/>
    <w:rsid w:val="00281A58"/>
    <w:rsid w:val="00281CFD"/>
    <w:rsid w:val="002822AC"/>
    <w:rsid w:val="0028244E"/>
    <w:rsid w:val="00282568"/>
    <w:rsid w:val="002825A0"/>
    <w:rsid w:val="00282694"/>
    <w:rsid w:val="00282715"/>
    <w:rsid w:val="0028323E"/>
    <w:rsid w:val="00283261"/>
    <w:rsid w:val="0028355F"/>
    <w:rsid w:val="00283833"/>
    <w:rsid w:val="00283881"/>
    <w:rsid w:val="002838A8"/>
    <w:rsid w:val="002839DF"/>
    <w:rsid w:val="00283AC9"/>
    <w:rsid w:val="00283AD2"/>
    <w:rsid w:val="00283B2C"/>
    <w:rsid w:val="00284009"/>
    <w:rsid w:val="0028432C"/>
    <w:rsid w:val="002844D8"/>
    <w:rsid w:val="002845CD"/>
    <w:rsid w:val="00284871"/>
    <w:rsid w:val="002849E6"/>
    <w:rsid w:val="00284C61"/>
    <w:rsid w:val="00284D92"/>
    <w:rsid w:val="002852BB"/>
    <w:rsid w:val="00285A18"/>
    <w:rsid w:val="00285C7B"/>
    <w:rsid w:val="00286367"/>
    <w:rsid w:val="002863B8"/>
    <w:rsid w:val="002864B4"/>
    <w:rsid w:val="0028685B"/>
    <w:rsid w:val="00286ACC"/>
    <w:rsid w:val="00287416"/>
    <w:rsid w:val="002874A3"/>
    <w:rsid w:val="0028799F"/>
    <w:rsid w:val="00287A6B"/>
    <w:rsid w:val="00287F2A"/>
    <w:rsid w:val="00290094"/>
    <w:rsid w:val="002901D6"/>
    <w:rsid w:val="00290636"/>
    <w:rsid w:val="00290700"/>
    <w:rsid w:val="0029072F"/>
    <w:rsid w:val="002908C6"/>
    <w:rsid w:val="00290ECF"/>
    <w:rsid w:val="002920DF"/>
    <w:rsid w:val="002921D4"/>
    <w:rsid w:val="0029231B"/>
    <w:rsid w:val="00292519"/>
    <w:rsid w:val="002926A5"/>
    <w:rsid w:val="00292818"/>
    <w:rsid w:val="002929BD"/>
    <w:rsid w:val="00292C97"/>
    <w:rsid w:val="00292D06"/>
    <w:rsid w:val="00292F3E"/>
    <w:rsid w:val="00293028"/>
    <w:rsid w:val="00293489"/>
    <w:rsid w:val="00293A50"/>
    <w:rsid w:val="00293ACC"/>
    <w:rsid w:val="00293BB1"/>
    <w:rsid w:val="00293DA7"/>
    <w:rsid w:val="00294216"/>
    <w:rsid w:val="00294506"/>
    <w:rsid w:val="0029460A"/>
    <w:rsid w:val="002946E6"/>
    <w:rsid w:val="00294C93"/>
    <w:rsid w:val="00294D1E"/>
    <w:rsid w:val="00295150"/>
    <w:rsid w:val="00295600"/>
    <w:rsid w:val="002956B5"/>
    <w:rsid w:val="00295827"/>
    <w:rsid w:val="00295B1A"/>
    <w:rsid w:val="00295BE6"/>
    <w:rsid w:val="00295E51"/>
    <w:rsid w:val="00295F13"/>
    <w:rsid w:val="00295F44"/>
    <w:rsid w:val="00296208"/>
    <w:rsid w:val="0029664E"/>
    <w:rsid w:val="0029684E"/>
    <w:rsid w:val="00297072"/>
    <w:rsid w:val="002977A8"/>
    <w:rsid w:val="0029791C"/>
    <w:rsid w:val="00297B5A"/>
    <w:rsid w:val="00297C84"/>
    <w:rsid w:val="00297CCF"/>
    <w:rsid w:val="00297D23"/>
    <w:rsid w:val="00297FF0"/>
    <w:rsid w:val="002A053F"/>
    <w:rsid w:val="002A09C4"/>
    <w:rsid w:val="002A0BBA"/>
    <w:rsid w:val="002A0BD8"/>
    <w:rsid w:val="002A0F8A"/>
    <w:rsid w:val="002A161F"/>
    <w:rsid w:val="002A2022"/>
    <w:rsid w:val="002A2106"/>
    <w:rsid w:val="002A21C9"/>
    <w:rsid w:val="002A2382"/>
    <w:rsid w:val="002A2420"/>
    <w:rsid w:val="002A2992"/>
    <w:rsid w:val="002A2C8C"/>
    <w:rsid w:val="002A2E05"/>
    <w:rsid w:val="002A2F51"/>
    <w:rsid w:val="002A3087"/>
    <w:rsid w:val="002A33E8"/>
    <w:rsid w:val="002A3528"/>
    <w:rsid w:val="002A396B"/>
    <w:rsid w:val="002A39A3"/>
    <w:rsid w:val="002A39EE"/>
    <w:rsid w:val="002A3A79"/>
    <w:rsid w:val="002A4063"/>
    <w:rsid w:val="002A40D2"/>
    <w:rsid w:val="002A4121"/>
    <w:rsid w:val="002A451A"/>
    <w:rsid w:val="002A4601"/>
    <w:rsid w:val="002A4F45"/>
    <w:rsid w:val="002A5097"/>
    <w:rsid w:val="002A5514"/>
    <w:rsid w:val="002A5581"/>
    <w:rsid w:val="002A5601"/>
    <w:rsid w:val="002A5930"/>
    <w:rsid w:val="002A59CD"/>
    <w:rsid w:val="002A59F5"/>
    <w:rsid w:val="002A5BF4"/>
    <w:rsid w:val="002A5F28"/>
    <w:rsid w:val="002A60AD"/>
    <w:rsid w:val="002A61F6"/>
    <w:rsid w:val="002A6376"/>
    <w:rsid w:val="002A64A5"/>
    <w:rsid w:val="002A660A"/>
    <w:rsid w:val="002A665D"/>
    <w:rsid w:val="002A6DF9"/>
    <w:rsid w:val="002A7097"/>
    <w:rsid w:val="002A711A"/>
    <w:rsid w:val="002A7245"/>
    <w:rsid w:val="002A75F9"/>
    <w:rsid w:val="002A79A9"/>
    <w:rsid w:val="002A7A4B"/>
    <w:rsid w:val="002A7C85"/>
    <w:rsid w:val="002A7D16"/>
    <w:rsid w:val="002A7DFC"/>
    <w:rsid w:val="002A7DFD"/>
    <w:rsid w:val="002A7E2D"/>
    <w:rsid w:val="002A7EAA"/>
    <w:rsid w:val="002A7F3E"/>
    <w:rsid w:val="002B02CA"/>
    <w:rsid w:val="002B0589"/>
    <w:rsid w:val="002B0819"/>
    <w:rsid w:val="002B0AA7"/>
    <w:rsid w:val="002B0E27"/>
    <w:rsid w:val="002B0FCA"/>
    <w:rsid w:val="002B1046"/>
    <w:rsid w:val="002B10E9"/>
    <w:rsid w:val="002B15A2"/>
    <w:rsid w:val="002B18A8"/>
    <w:rsid w:val="002B18B0"/>
    <w:rsid w:val="002B1945"/>
    <w:rsid w:val="002B1EE9"/>
    <w:rsid w:val="002B2127"/>
    <w:rsid w:val="002B2455"/>
    <w:rsid w:val="002B25A9"/>
    <w:rsid w:val="002B29F9"/>
    <w:rsid w:val="002B2F82"/>
    <w:rsid w:val="002B3434"/>
    <w:rsid w:val="002B34CF"/>
    <w:rsid w:val="002B35D4"/>
    <w:rsid w:val="002B3CD0"/>
    <w:rsid w:val="002B3E30"/>
    <w:rsid w:val="002B3FF9"/>
    <w:rsid w:val="002B400E"/>
    <w:rsid w:val="002B46E1"/>
    <w:rsid w:val="002B4C83"/>
    <w:rsid w:val="002B4CC5"/>
    <w:rsid w:val="002B579D"/>
    <w:rsid w:val="002B5869"/>
    <w:rsid w:val="002B6376"/>
    <w:rsid w:val="002B6997"/>
    <w:rsid w:val="002B6A8F"/>
    <w:rsid w:val="002B731D"/>
    <w:rsid w:val="002B7D34"/>
    <w:rsid w:val="002C03ED"/>
    <w:rsid w:val="002C07ED"/>
    <w:rsid w:val="002C1083"/>
    <w:rsid w:val="002C11D8"/>
    <w:rsid w:val="002C151B"/>
    <w:rsid w:val="002C178B"/>
    <w:rsid w:val="002C17EF"/>
    <w:rsid w:val="002C18F9"/>
    <w:rsid w:val="002C1979"/>
    <w:rsid w:val="002C1EFD"/>
    <w:rsid w:val="002C1F08"/>
    <w:rsid w:val="002C2273"/>
    <w:rsid w:val="002C2A8C"/>
    <w:rsid w:val="002C2D41"/>
    <w:rsid w:val="002C30F8"/>
    <w:rsid w:val="002C30FA"/>
    <w:rsid w:val="002C352B"/>
    <w:rsid w:val="002C3A43"/>
    <w:rsid w:val="002C3AB5"/>
    <w:rsid w:val="002C3AF4"/>
    <w:rsid w:val="002C3BA7"/>
    <w:rsid w:val="002C3C4F"/>
    <w:rsid w:val="002C3CAD"/>
    <w:rsid w:val="002C3FAD"/>
    <w:rsid w:val="002C4196"/>
    <w:rsid w:val="002C44A1"/>
    <w:rsid w:val="002C4600"/>
    <w:rsid w:val="002C463D"/>
    <w:rsid w:val="002C4951"/>
    <w:rsid w:val="002C4EB2"/>
    <w:rsid w:val="002C50E8"/>
    <w:rsid w:val="002C5138"/>
    <w:rsid w:val="002C53CC"/>
    <w:rsid w:val="002C564A"/>
    <w:rsid w:val="002C56B0"/>
    <w:rsid w:val="002C5DA0"/>
    <w:rsid w:val="002C5DC4"/>
    <w:rsid w:val="002C6319"/>
    <w:rsid w:val="002C636C"/>
    <w:rsid w:val="002C6742"/>
    <w:rsid w:val="002C6848"/>
    <w:rsid w:val="002C6E37"/>
    <w:rsid w:val="002C706E"/>
    <w:rsid w:val="002C72B0"/>
    <w:rsid w:val="002C7305"/>
    <w:rsid w:val="002C7792"/>
    <w:rsid w:val="002C78E4"/>
    <w:rsid w:val="002C7E3E"/>
    <w:rsid w:val="002D001E"/>
    <w:rsid w:val="002D09A0"/>
    <w:rsid w:val="002D0A8D"/>
    <w:rsid w:val="002D0F08"/>
    <w:rsid w:val="002D143B"/>
    <w:rsid w:val="002D1891"/>
    <w:rsid w:val="002D1AB3"/>
    <w:rsid w:val="002D1B85"/>
    <w:rsid w:val="002D1EB5"/>
    <w:rsid w:val="002D1FAC"/>
    <w:rsid w:val="002D210C"/>
    <w:rsid w:val="002D27BA"/>
    <w:rsid w:val="002D287C"/>
    <w:rsid w:val="002D2C9D"/>
    <w:rsid w:val="002D368E"/>
    <w:rsid w:val="002D36DC"/>
    <w:rsid w:val="002D395F"/>
    <w:rsid w:val="002D400D"/>
    <w:rsid w:val="002D405A"/>
    <w:rsid w:val="002D42DA"/>
    <w:rsid w:val="002D49A4"/>
    <w:rsid w:val="002D4A0E"/>
    <w:rsid w:val="002D4A86"/>
    <w:rsid w:val="002D4B95"/>
    <w:rsid w:val="002D4F84"/>
    <w:rsid w:val="002D564F"/>
    <w:rsid w:val="002D5747"/>
    <w:rsid w:val="002D574C"/>
    <w:rsid w:val="002D5C4C"/>
    <w:rsid w:val="002D5C72"/>
    <w:rsid w:val="002D5CAC"/>
    <w:rsid w:val="002D5D35"/>
    <w:rsid w:val="002D5F8C"/>
    <w:rsid w:val="002D6193"/>
    <w:rsid w:val="002D61CA"/>
    <w:rsid w:val="002D62E0"/>
    <w:rsid w:val="002D63E2"/>
    <w:rsid w:val="002D6792"/>
    <w:rsid w:val="002D68E8"/>
    <w:rsid w:val="002D6B71"/>
    <w:rsid w:val="002D7824"/>
    <w:rsid w:val="002D7CFD"/>
    <w:rsid w:val="002D7D6C"/>
    <w:rsid w:val="002D7FC3"/>
    <w:rsid w:val="002E0020"/>
    <w:rsid w:val="002E04C0"/>
    <w:rsid w:val="002E05B1"/>
    <w:rsid w:val="002E0D69"/>
    <w:rsid w:val="002E0ED2"/>
    <w:rsid w:val="002E1312"/>
    <w:rsid w:val="002E1693"/>
    <w:rsid w:val="002E19C0"/>
    <w:rsid w:val="002E1D6A"/>
    <w:rsid w:val="002E1F05"/>
    <w:rsid w:val="002E1F96"/>
    <w:rsid w:val="002E21F0"/>
    <w:rsid w:val="002E2538"/>
    <w:rsid w:val="002E2962"/>
    <w:rsid w:val="002E2A45"/>
    <w:rsid w:val="002E2BFF"/>
    <w:rsid w:val="002E2DAE"/>
    <w:rsid w:val="002E2FC0"/>
    <w:rsid w:val="002E3306"/>
    <w:rsid w:val="002E3506"/>
    <w:rsid w:val="002E362A"/>
    <w:rsid w:val="002E382A"/>
    <w:rsid w:val="002E3859"/>
    <w:rsid w:val="002E41B7"/>
    <w:rsid w:val="002E4207"/>
    <w:rsid w:val="002E448C"/>
    <w:rsid w:val="002E4528"/>
    <w:rsid w:val="002E4742"/>
    <w:rsid w:val="002E4905"/>
    <w:rsid w:val="002E4CA8"/>
    <w:rsid w:val="002E52BB"/>
    <w:rsid w:val="002E5381"/>
    <w:rsid w:val="002E592C"/>
    <w:rsid w:val="002E5A48"/>
    <w:rsid w:val="002E5C16"/>
    <w:rsid w:val="002E5F48"/>
    <w:rsid w:val="002E6274"/>
    <w:rsid w:val="002E63D6"/>
    <w:rsid w:val="002E6809"/>
    <w:rsid w:val="002E6A15"/>
    <w:rsid w:val="002E6F57"/>
    <w:rsid w:val="002E70D5"/>
    <w:rsid w:val="002E7246"/>
    <w:rsid w:val="002E7910"/>
    <w:rsid w:val="002F027E"/>
    <w:rsid w:val="002F0EA0"/>
    <w:rsid w:val="002F109C"/>
    <w:rsid w:val="002F2044"/>
    <w:rsid w:val="002F207E"/>
    <w:rsid w:val="002F280F"/>
    <w:rsid w:val="002F3392"/>
    <w:rsid w:val="002F3679"/>
    <w:rsid w:val="002F3680"/>
    <w:rsid w:val="002F3892"/>
    <w:rsid w:val="002F3BF1"/>
    <w:rsid w:val="002F3E03"/>
    <w:rsid w:val="002F433D"/>
    <w:rsid w:val="002F4430"/>
    <w:rsid w:val="002F4531"/>
    <w:rsid w:val="002F4C6F"/>
    <w:rsid w:val="002F5214"/>
    <w:rsid w:val="002F523C"/>
    <w:rsid w:val="002F5757"/>
    <w:rsid w:val="002F64F2"/>
    <w:rsid w:val="002F6AD1"/>
    <w:rsid w:val="002F7191"/>
    <w:rsid w:val="002F7300"/>
    <w:rsid w:val="002F7490"/>
    <w:rsid w:val="002F7B36"/>
    <w:rsid w:val="002F7D3A"/>
    <w:rsid w:val="002F7DE6"/>
    <w:rsid w:val="002F7E52"/>
    <w:rsid w:val="003006E1"/>
    <w:rsid w:val="00300C02"/>
    <w:rsid w:val="00300CAE"/>
    <w:rsid w:val="00300CC1"/>
    <w:rsid w:val="00300E12"/>
    <w:rsid w:val="00301061"/>
    <w:rsid w:val="0030120E"/>
    <w:rsid w:val="00301466"/>
    <w:rsid w:val="003019D0"/>
    <w:rsid w:val="00301F6E"/>
    <w:rsid w:val="00302121"/>
    <w:rsid w:val="003025B5"/>
    <w:rsid w:val="003025D1"/>
    <w:rsid w:val="0030292A"/>
    <w:rsid w:val="003029D3"/>
    <w:rsid w:val="00302A6C"/>
    <w:rsid w:val="00302A92"/>
    <w:rsid w:val="003030EC"/>
    <w:rsid w:val="003032D9"/>
    <w:rsid w:val="003033E0"/>
    <w:rsid w:val="003033F4"/>
    <w:rsid w:val="0030367A"/>
    <w:rsid w:val="003038EF"/>
    <w:rsid w:val="00303A87"/>
    <w:rsid w:val="00303BE8"/>
    <w:rsid w:val="00303C7F"/>
    <w:rsid w:val="003040F6"/>
    <w:rsid w:val="003046D5"/>
    <w:rsid w:val="0030474C"/>
    <w:rsid w:val="003047F6"/>
    <w:rsid w:val="00304927"/>
    <w:rsid w:val="00304957"/>
    <w:rsid w:val="00305036"/>
    <w:rsid w:val="0030523A"/>
    <w:rsid w:val="0030528F"/>
    <w:rsid w:val="003058A4"/>
    <w:rsid w:val="00306016"/>
    <w:rsid w:val="0030606C"/>
    <w:rsid w:val="003060A5"/>
    <w:rsid w:val="003060B5"/>
    <w:rsid w:val="00306134"/>
    <w:rsid w:val="00306473"/>
    <w:rsid w:val="003065BB"/>
    <w:rsid w:val="00306B2D"/>
    <w:rsid w:val="00306DA2"/>
    <w:rsid w:val="00307709"/>
    <w:rsid w:val="003079D0"/>
    <w:rsid w:val="00307F88"/>
    <w:rsid w:val="00310B89"/>
    <w:rsid w:val="00310BA3"/>
    <w:rsid w:val="00310BB0"/>
    <w:rsid w:val="00310BB5"/>
    <w:rsid w:val="00310C77"/>
    <w:rsid w:val="00310D1B"/>
    <w:rsid w:val="00310EF6"/>
    <w:rsid w:val="00310F42"/>
    <w:rsid w:val="00311917"/>
    <w:rsid w:val="00311D4D"/>
    <w:rsid w:val="00312064"/>
    <w:rsid w:val="0031258E"/>
    <w:rsid w:val="0031265C"/>
    <w:rsid w:val="00312861"/>
    <w:rsid w:val="00312891"/>
    <w:rsid w:val="00312941"/>
    <w:rsid w:val="00312AB0"/>
    <w:rsid w:val="00312ADB"/>
    <w:rsid w:val="00312C79"/>
    <w:rsid w:val="00312DA3"/>
    <w:rsid w:val="00312DBA"/>
    <w:rsid w:val="00313063"/>
    <w:rsid w:val="00313125"/>
    <w:rsid w:val="0031327B"/>
    <w:rsid w:val="0031328B"/>
    <w:rsid w:val="00313309"/>
    <w:rsid w:val="00313364"/>
    <w:rsid w:val="00313518"/>
    <w:rsid w:val="00313D9C"/>
    <w:rsid w:val="00313F8F"/>
    <w:rsid w:val="00314412"/>
    <w:rsid w:val="003144A8"/>
    <w:rsid w:val="003144C3"/>
    <w:rsid w:val="0031454E"/>
    <w:rsid w:val="003145BB"/>
    <w:rsid w:val="003147CA"/>
    <w:rsid w:val="00314E5A"/>
    <w:rsid w:val="00314F9F"/>
    <w:rsid w:val="003158C2"/>
    <w:rsid w:val="003158F1"/>
    <w:rsid w:val="00315D58"/>
    <w:rsid w:val="00315E88"/>
    <w:rsid w:val="00316068"/>
    <w:rsid w:val="00316106"/>
    <w:rsid w:val="003162FA"/>
    <w:rsid w:val="00316551"/>
    <w:rsid w:val="003166A8"/>
    <w:rsid w:val="0031693D"/>
    <w:rsid w:val="00317099"/>
    <w:rsid w:val="003173EE"/>
    <w:rsid w:val="00317653"/>
    <w:rsid w:val="00317815"/>
    <w:rsid w:val="00317A86"/>
    <w:rsid w:val="00317AAC"/>
    <w:rsid w:val="00317EEE"/>
    <w:rsid w:val="00317F42"/>
    <w:rsid w:val="0032004B"/>
    <w:rsid w:val="00320164"/>
    <w:rsid w:val="00320659"/>
    <w:rsid w:val="003207DD"/>
    <w:rsid w:val="00320B14"/>
    <w:rsid w:val="00320B21"/>
    <w:rsid w:val="003214D5"/>
    <w:rsid w:val="00321622"/>
    <w:rsid w:val="00321BFB"/>
    <w:rsid w:val="00321D1B"/>
    <w:rsid w:val="00322058"/>
    <w:rsid w:val="0032237A"/>
    <w:rsid w:val="0032251E"/>
    <w:rsid w:val="003226B2"/>
    <w:rsid w:val="003228FD"/>
    <w:rsid w:val="00322982"/>
    <w:rsid w:val="00322AA0"/>
    <w:rsid w:val="00322AC7"/>
    <w:rsid w:val="00322C60"/>
    <w:rsid w:val="00322F75"/>
    <w:rsid w:val="003234CB"/>
    <w:rsid w:val="0032370E"/>
    <w:rsid w:val="003237CE"/>
    <w:rsid w:val="003239A0"/>
    <w:rsid w:val="00323C6A"/>
    <w:rsid w:val="00323DF7"/>
    <w:rsid w:val="00323EAD"/>
    <w:rsid w:val="00324125"/>
    <w:rsid w:val="003243A3"/>
    <w:rsid w:val="0032463D"/>
    <w:rsid w:val="00324648"/>
    <w:rsid w:val="0032465E"/>
    <w:rsid w:val="003248EF"/>
    <w:rsid w:val="00324A15"/>
    <w:rsid w:val="00324A94"/>
    <w:rsid w:val="00324E13"/>
    <w:rsid w:val="0032509F"/>
    <w:rsid w:val="003251E1"/>
    <w:rsid w:val="0032521A"/>
    <w:rsid w:val="00325742"/>
    <w:rsid w:val="00325902"/>
    <w:rsid w:val="003259F8"/>
    <w:rsid w:val="00325A82"/>
    <w:rsid w:val="00325B4B"/>
    <w:rsid w:val="00325D7D"/>
    <w:rsid w:val="00325E68"/>
    <w:rsid w:val="003267A5"/>
    <w:rsid w:val="0032689E"/>
    <w:rsid w:val="00326B13"/>
    <w:rsid w:val="00326C08"/>
    <w:rsid w:val="00326DFB"/>
    <w:rsid w:val="0032712E"/>
    <w:rsid w:val="00327566"/>
    <w:rsid w:val="00327BA5"/>
    <w:rsid w:val="00327CE7"/>
    <w:rsid w:val="00327E83"/>
    <w:rsid w:val="00327EED"/>
    <w:rsid w:val="003300E4"/>
    <w:rsid w:val="003309F1"/>
    <w:rsid w:val="003312CD"/>
    <w:rsid w:val="00331367"/>
    <w:rsid w:val="003313D5"/>
    <w:rsid w:val="003314E1"/>
    <w:rsid w:val="003315B6"/>
    <w:rsid w:val="003316D6"/>
    <w:rsid w:val="00331860"/>
    <w:rsid w:val="00331F30"/>
    <w:rsid w:val="0033207F"/>
    <w:rsid w:val="0033210B"/>
    <w:rsid w:val="00332332"/>
    <w:rsid w:val="003323ED"/>
    <w:rsid w:val="003324A8"/>
    <w:rsid w:val="00332985"/>
    <w:rsid w:val="003329AF"/>
    <w:rsid w:val="00333795"/>
    <w:rsid w:val="00333C4F"/>
    <w:rsid w:val="00333F08"/>
    <w:rsid w:val="003344D6"/>
    <w:rsid w:val="003344E5"/>
    <w:rsid w:val="0033453F"/>
    <w:rsid w:val="0033470B"/>
    <w:rsid w:val="003348D5"/>
    <w:rsid w:val="003354CE"/>
    <w:rsid w:val="00335B49"/>
    <w:rsid w:val="0033600A"/>
    <w:rsid w:val="00336113"/>
    <w:rsid w:val="0033659F"/>
    <w:rsid w:val="003369BC"/>
    <w:rsid w:val="00336E92"/>
    <w:rsid w:val="00336F9B"/>
    <w:rsid w:val="00337616"/>
    <w:rsid w:val="00337680"/>
    <w:rsid w:val="00337794"/>
    <w:rsid w:val="00337ACB"/>
    <w:rsid w:val="00337B6A"/>
    <w:rsid w:val="00337D49"/>
    <w:rsid w:val="0034023C"/>
    <w:rsid w:val="0034027B"/>
    <w:rsid w:val="003403FA"/>
    <w:rsid w:val="003404CA"/>
    <w:rsid w:val="0034060E"/>
    <w:rsid w:val="00340711"/>
    <w:rsid w:val="00340A40"/>
    <w:rsid w:val="00340A69"/>
    <w:rsid w:val="00340ACF"/>
    <w:rsid w:val="00340C15"/>
    <w:rsid w:val="003411D0"/>
    <w:rsid w:val="0034120D"/>
    <w:rsid w:val="003415A3"/>
    <w:rsid w:val="003420A8"/>
    <w:rsid w:val="003422F7"/>
    <w:rsid w:val="0034239B"/>
    <w:rsid w:val="00342B24"/>
    <w:rsid w:val="00342C30"/>
    <w:rsid w:val="00342F57"/>
    <w:rsid w:val="00342F58"/>
    <w:rsid w:val="00342F93"/>
    <w:rsid w:val="00343111"/>
    <w:rsid w:val="00343214"/>
    <w:rsid w:val="003435F0"/>
    <w:rsid w:val="003439A0"/>
    <w:rsid w:val="00343BCF"/>
    <w:rsid w:val="00343D72"/>
    <w:rsid w:val="00343D76"/>
    <w:rsid w:val="00343FAE"/>
    <w:rsid w:val="00343FFC"/>
    <w:rsid w:val="00344010"/>
    <w:rsid w:val="00344377"/>
    <w:rsid w:val="00344E04"/>
    <w:rsid w:val="00344E46"/>
    <w:rsid w:val="00345155"/>
    <w:rsid w:val="00345185"/>
    <w:rsid w:val="00345301"/>
    <w:rsid w:val="00345393"/>
    <w:rsid w:val="0034556A"/>
    <w:rsid w:val="0034648A"/>
    <w:rsid w:val="003464A5"/>
    <w:rsid w:val="0034684F"/>
    <w:rsid w:val="00346A64"/>
    <w:rsid w:val="00346C08"/>
    <w:rsid w:val="00346CC7"/>
    <w:rsid w:val="00346D06"/>
    <w:rsid w:val="00346F01"/>
    <w:rsid w:val="00347151"/>
    <w:rsid w:val="003471E2"/>
    <w:rsid w:val="0034757D"/>
    <w:rsid w:val="00347621"/>
    <w:rsid w:val="003476A9"/>
    <w:rsid w:val="00347800"/>
    <w:rsid w:val="00347EDC"/>
    <w:rsid w:val="003500DB"/>
    <w:rsid w:val="003502AC"/>
    <w:rsid w:val="00350610"/>
    <w:rsid w:val="00350615"/>
    <w:rsid w:val="00350694"/>
    <w:rsid w:val="00350855"/>
    <w:rsid w:val="00350915"/>
    <w:rsid w:val="0035097F"/>
    <w:rsid w:val="00350A19"/>
    <w:rsid w:val="00350E4C"/>
    <w:rsid w:val="00350F21"/>
    <w:rsid w:val="00350F73"/>
    <w:rsid w:val="00351475"/>
    <w:rsid w:val="00351509"/>
    <w:rsid w:val="003519B6"/>
    <w:rsid w:val="00351B78"/>
    <w:rsid w:val="00351CD9"/>
    <w:rsid w:val="00351E8E"/>
    <w:rsid w:val="00351FBD"/>
    <w:rsid w:val="00352603"/>
    <w:rsid w:val="003528A1"/>
    <w:rsid w:val="00352A74"/>
    <w:rsid w:val="00352D45"/>
    <w:rsid w:val="00352D4F"/>
    <w:rsid w:val="00352ECF"/>
    <w:rsid w:val="00353009"/>
    <w:rsid w:val="00353460"/>
    <w:rsid w:val="003539E7"/>
    <w:rsid w:val="00353A65"/>
    <w:rsid w:val="00353EB7"/>
    <w:rsid w:val="00353FC4"/>
    <w:rsid w:val="003541F5"/>
    <w:rsid w:val="00354297"/>
    <w:rsid w:val="00354498"/>
    <w:rsid w:val="00354AB1"/>
    <w:rsid w:val="00354BDF"/>
    <w:rsid w:val="00354E89"/>
    <w:rsid w:val="0035504E"/>
    <w:rsid w:val="003552C2"/>
    <w:rsid w:val="0035558B"/>
    <w:rsid w:val="003555E1"/>
    <w:rsid w:val="00355936"/>
    <w:rsid w:val="003559CE"/>
    <w:rsid w:val="00355C7F"/>
    <w:rsid w:val="00355CE4"/>
    <w:rsid w:val="00355CEF"/>
    <w:rsid w:val="00355E7F"/>
    <w:rsid w:val="0035630E"/>
    <w:rsid w:val="003569F9"/>
    <w:rsid w:val="00356A47"/>
    <w:rsid w:val="00356B69"/>
    <w:rsid w:val="00357270"/>
    <w:rsid w:val="003572C7"/>
    <w:rsid w:val="00357402"/>
    <w:rsid w:val="00357816"/>
    <w:rsid w:val="00357876"/>
    <w:rsid w:val="003578F5"/>
    <w:rsid w:val="00357A3A"/>
    <w:rsid w:val="003601BB"/>
    <w:rsid w:val="003604DE"/>
    <w:rsid w:val="00360838"/>
    <w:rsid w:val="00361220"/>
    <w:rsid w:val="00361280"/>
    <w:rsid w:val="003614C3"/>
    <w:rsid w:val="0036151E"/>
    <w:rsid w:val="00361A1E"/>
    <w:rsid w:val="00361BC2"/>
    <w:rsid w:val="00361BD8"/>
    <w:rsid w:val="00362169"/>
    <w:rsid w:val="00362775"/>
    <w:rsid w:val="00362CF6"/>
    <w:rsid w:val="00362D89"/>
    <w:rsid w:val="00362D9D"/>
    <w:rsid w:val="00362FC2"/>
    <w:rsid w:val="00363068"/>
    <w:rsid w:val="003630C9"/>
    <w:rsid w:val="0036337A"/>
    <w:rsid w:val="003634A7"/>
    <w:rsid w:val="003634AB"/>
    <w:rsid w:val="00363755"/>
    <w:rsid w:val="00363BAD"/>
    <w:rsid w:val="00363E0B"/>
    <w:rsid w:val="00363E75"/>
    <w:rsid w:val="003649BF"/>
    <w:rsid w:val="00364A5E"/>
    <w:rsid w:val="00364F01"/>
    <w:rsid w:val="0036502D"/>
    <w:rsid w:val="00365444"/>
    <w:rsid w:val="00365495"/>
    <w:rsid w:val="0036572A"/>
    <w:rsid w:val="00365D75"/>
    <w:rsid w:val="00366249"/>
    <w:rsid w:val="003664CF"/>
    <w:rsid w:val="003667BF"/>
    <w:rsid w:val="00366B7F"/>
    <w:rsid w:val="00366BF7"/>
    <w:rsid w:val="00366F13"/>
    <w:rsid w:val="00367081"/>
    <w:rsid w:val="0036714B"/>
    <w:rsid w:val="003671A2"/>
    <w:rsid w:val="00367F08"/>
    <w:rsid w:val="00370358"/>
    <w:rsid w:val="00370393"/>
    <w:rsid w:val="00370480"/>
    <w:rsid w:val="00370B6C"/>
    <w:rsid w:val="00370BB2"/>
    <w:rsid w:val="00370E2A"/>
    <w:rsid w:val="00371306"/>
    <w:rsid w:val="003713E4"/>
    <w:rsid w:val="003713FB"/>
    <w:rsid w:val="00371415"/>
    <w:rsid w:val="003714BA"/>
    <w:rsid w:val="00371539"/>
    <w:rsid w:val="00371892"/>
    <w:rsid w:val="00371D1A"/>
    <w:rsid w:val="00371E1D"/>
    <w:rsid w:val="00372158"/>
    <w:rsid w:val="003721BE"/>
    <w:rsid w:val="003722B6"/>
    <w:rsid w:val="0037260C"/>
    <w:rsid w:val="00372D12"/>
    <w:rsid w:val="00373246"/>
    <w:rsid w:val="003733BD"/>
    <w:rsid w:val="003738E3"/>
    <w:rsid w:val="003738F8"/>
    <w:rsid w:val="00373912"/>
    <w:rsid w:val="00373E62"/>
    <w:rsid w:val="00374021"/>
    <w:rsid w:val="003741E7"/>
    <w:rsid w:val="00374415"/>
    <w:rsid w:val="0037454A"/>
    <w:rsid w:val="003745AE"/>
    <w:rsid w:val="0037489C"/>
    <w:rsid w:val="00374D3C"/>
    <w:rsid w:val="00375018"/>
    <w:rsid w:val="0037508C"/>
    <w:rsid w:val="003754DD"/>
    <w:rsid w:val="0037571A"/>
    <w:rsid w:val="003760D7"/>
    <w:rsid w:val="003764B7"/>
    <w:rsid w:val="003765B6"/>
    <w:rsid w:val="003765CF"/>
    <w:rsid w:val="0037665E"/>
    <w:rsid w:val="003768CD"/>
    <w:rsid w:val="00376D0A"/>
    <w:rsid w:val="003776B7"/>
    <w:rsid w:val="003778B5"/>
    <w:rsid w:val="00377927"/>
    <w:rsid w:val="00377BEF"/>
    <w:rsid w:val="00377F2D"/>
    <w:rsid w:val="00377F64"/>
    <w:rsid w:val="00380027"/>
    <w:rsid w:val="003800BB"/>
    <w:rsid w:val="003803AC"/>
    <w:rsid w:val="003806B1"/>
    <w:rsid w:val="00381273"/>
    <w:rsid w:val="003813EA"/>
    <w:rsid w:val="003815F3"/>
    <w:rsid w:val="003817E1"/>
    <w:rsid w:val="003819CB"/>
    <w:rsid w:val="00381AB0"/>
    <w:rsid w:val="00381BA1"/>
    <w:rsid w:val="003820CB"/>
    <w:rsid w:val="0038219B"/>
    <w:rsid w:val="003825C9"/>
    <w:rsid w:val="00382956"/>
    <w:rsid w:val="00382AEA"/>
    <w:rsid w:val="00382B39"/>
    <w:rsid w:val="00382BAE"/>
    <w:rsid w:val="00382BD1"/>
    <w:rsid w:val="003830FC"/>
    <w:rsid w:val="003831E0"/>
    <w:rsid w:val="003831E8"/>
    <w:rsid w:val="0038322C"/>
    <w:rsid w:val="003834AC"/>
    <w:rsid w:val="003834B7"/>
    <w:rsid w:val="00383673"/>
    <w:rsid w:val="00383902"/>
    <w:rsid w:val="003839A5"/>
    <w:rsid w:val="00383BEE"/>
    <w:rsid w:val="00384496"/>
    <w:rsid w:val="00384969"/>
    <w:rsid w:val="00384F72"/>
    <w:rsid w:val="0038521F"/>
    <w:rsid w:val="003852E4"/>
    <w:rsid w:val="003853A2"/>
    <w:rsid w:val="003853B7"/>
    <w:rsid w:val="003857A7"/>
    <w:rsid w:val="003857E4"/>
    <w:rsid w:val="0038580F"/>
    <w:rsid w:val="0038587F"/>
    <w:rsid w:val="00385964"/>
    <w:rsid w:val="00385B0A"/>
    <w:rsid w:val="00385BF8"/>
    <w:rsid w:val="00385FFA"/>
    <w:rsid w:val="00386285"/>
    <w:rsid w:val="0038643B"/>
    <w:rsid w:val="00387303"/>
    <w:rsid w:val="00387930"/>
    <w:rsid w:val="00387D66"/>
    <w:rsid w:val="003901DF"/>
    <w:rsid w:val="003901EE"/>
    <w:rsid w:val="0039025D"/>
    <w:rsid w:val="00390498"/>
    <w:rsid w:val="0039064B"/>
    <w:rsid w:val="0039068F"/>
    <w:rsid w:val="00391A5E"/>
    <w:rsid w:val="00391B0C"/>
    <w:rsid w:val="00391B6C"/>
    <w:rsid w:val="00391B74"/>
    <w:rsid w:val="00391C48"/>
    <w:rsid w:val="00391F74"/>
    <w:rsid w:val="0039209B"/>
    <w:rsid w:val="00392269"/>
    <w:rsid w:val="003922E9"/>
    <w:rsid w:val="00392466"/>
    <w:rsid w:val="00392607"/>
    <w:rsid w:val="00392755"/>
    <w:rsid w:val="0039277A"/>
    <w:rsid w:val="0039288B"/>
    <w:rsid w:val="00392A30"/>
    <w:rsid w:val="00392A49"/>
    <w:rsid w:val="00392D7D"/>
    <w:rsid w:val="003931DE"/>
    <w:rsid w:val="0039358A"/>
    <w:rsid w:val="00393AC3"/>
    <w:rsid w:val="00393B9F"/>
    <w:rsid w:val="00393BCB"/>
    <w:rsid w:val="0039409A"/>
    <w:rsid w:val="00394260"/>
    <w:rsid w:val="003943AC"/>
    <w:rsid w:val="003943AD"/>
    <w:rsid w:val="003946CD"/>
    <w:rsid w:val="00394848"/>
    <w:rsid w:val="003948E9"/>
    <w:rsid w:val="00394A1D"/>
    <w:rsid w:val="00394C3A"/>
    <w:rsid w:val="00394C6D"/>
    <w:rsid w:val="0039506B"/>
    <w:rsid w:val="00395165"/>
    <w:rsid w:val="00395749"/>
    <w:rsid w:val="0039579A"/>
    <w:rsid w:val="00395AE5"/>
    <w:rsid w:val="00395F5C"/>
    <w:rsid w:val="00395F9D"/>
    <w:rsid w:val="003962F7"/>
    <w:rsid w:val="0039653A"/>
    <w:rsid w:val="0039676A"/>
    <w:rsid w:val="00396CC8"/>
    <w:rsid w:val="00396D4D"/>
    <w:rsid w:val="0039714D"/>
    <w:rsid w:val="003971D6"/>
    <w:rsid w:val="0039745B"/>
    <w:rsid w:val="003976AE"/>
    <w:rsid w:val="00397B6F"/>
    <w:rsid w:val="00397D14"/>
    <w:rsid w:val="00397D88"/>
    <w:rsid w:val="00397EB9"/>
    <w:rsid w:val="003A017A"/>
    <w:rsid w:val="003A0D94"/>
    <w:rsid w:val="003A1471"/>
    <w:rsid w:val="003A1949"/>
    <w:rsid w:val="003A1DEA"/>
    <w:rsid w:val="003A3A64"/>
    <w:rsid w:val="003A3B2D"/>
    <w:rsid w:val="003A3D45"/>
    <w:rsid w:val="003A3F9C"/>
    <w:rsid w:val="003A5467"/>
    <w:rsid w:val="003A56E6"/>
    <w:rsid w:val="003A572F"/>
    <w:rsid w:val="003A583F"/>
    <w:rsid w:val="003A5C07"/>
    <w:rsid w:val="003A5D7B"/>
    <w:rsid w:val="003A5EC0"/>
    <w:rsid w:val="003A66DC"/>
    <w:rsid w:val="003A67B7"/>
    <w:rsid w:val="003A69B5"/>
    <w:rsid w:val="003A6C11"/>
    <w:rsid w:val="003A6DEE"/>
    <w:rsid w:val="003A6E25"/>
    <w:rsid w:val="003A7169"/>
    <w:rsid w:val="003A74E7"/>
    <w:rsid w:val="003A74F6"/>
    <w:rsid w:val="003A7513"/>
    <w:rsid w:val="003A76F3"/>
    <w:rsid w:val="003A7B15"/>
    <w:rsid w:val="003A7BD5"/>
    <w:rsid w:val="003B0064"/>
    <w:rsid w:val="003B031F"/>
    <w:rsid w:val="003B0C57"/>
    <w:rsid w:val="003B0FD0"/>
    <w:rsid w:val="003B104D"/>
    <w:rsid w:val="003B134C"/>
    <w:rsid w:val="003B1728"/>
    <w:rsid w:val="003B189E"/>
    <w:rsid w:val="003B1A6E"/>
    <w:rsid w:val="003B1D43"/>
    <w:rsid w:val="003B1D80"/>
    <w:rsid w:val="003B25B5"/>
    <w:rsid w:val="003B2982"/>
    <w:rsid w:val="003B29F3"/>
    <w:rsid w:val="003B2DD7"/>
    <w:rsid w:val="003B2E54"/>
    <w:rsid w:val="003B3098"/>
    <w:rsid w:val="003B30D7"/>
    <w:rsid w:val="003B32CC"/>
    <w:rsid w:val="003B3330"/>
    <w:rsid w:val="003B3598"/>
    <w:rsid w:val="003B41DD"/>
    <w:rsid w:val="003B45FB"/>
    <w:rsid w:val="003B46AF"/>
    <w:rsid w:val="003B499C"/>
    <w:rsid w:val="003B4E16"/>
    <w:rsid w:val="003B566E"/>
    <w:rsid w:val="003B5676"/>
    <w:rsid w:val="003B5F97"/>
    <w:rsid w:val="003B6712"/>
    <w:rsid w:val="003B6811"/>
    <w:rsid w:val="003B6855"/>
    <w:rsid w:val="003B6A63"/>
    <w:rsid w:val="003B6A8A"/>
    <w:rsid w:val="003B6DBA"/>
    <w:rsid w:val="003B701C"/>
    <w:rsid w:val="003B7590"/>
    <w:rsid w:val="003B76E8"/>
    <w:rsid w:val="003B7855"/>
    <w:rsid w:val="003B7B62"/>
    <w:rsid w:val="003B7D73"/>
    <w:rsid w:val="003B7F88"/>
    <w:rsid w:val="003C0123"/>
    <w:rsid w:val="003C025B"/>
    <w:rsid w:val="003C0484"/>
    <w:rsid w:val="003C07F2"/>
    <w:rsid w:val="003C085A"/>
    <w:rsid w:val="003C0A24"/>
    <w:rsid w:val="003C0A69"/>
    <w:rsid w:val="003C0E2F"/>
    <w:rsid w:val="003C139B"/>
    <w:rsid w:val="003C1549"/>
    <w:rsid w:val="003C19AC"/>
    <w:rsid w:val="003C1B10"/>
    <w:rsid w:val="003C1DCC"/>
    <w:rsid w:val="003C21DE"/>
    <w:rsid w:val="003C232B"/>
    <w:rsid w:val="003C24B5"/>
    <w:rsid w:val="003C26FF"/>
    <w:rsid w:val="003C2B26"/>
    <w:rsid w:val="003C2BF7"/>
    <w:rsid w:val="003C2D45"/>
    <w:rsid w:val="003C2EC8"/>
    <w:rsid w:val="003C31DC"/>
    <w:rsid w:val="003C32DD"/>
    <w:rsid w:val="003C3520"/>
    <w:rsid w:val="003C3773"/>
    <w:rsid w:val="003C388F"/>
    <w:rsid w:val="003C3CB6"/>
    <w:rsid w:val="003C3CC8"/>
    <w:rsid w:val="003C3D7B"/>
    <w:rsid w:val="003C3E95"/>
    <w:rsid w:val="003C3EA2"/>
    <w:rsid w:val="003C448B"/>
    <w:rsid w:val="003C480C"/>
    <w:rsid w:val="003C4A73"/>
    <w:rsid w:val="003C5098"/>
    <w:rsid w:val="003C50A0"/>
    <w:rsid w:val="003C5304"/>
    <w:rsid w:val="003C59B5"/>
    <w:rsid w:val="003C5D0A"/>
    <w:rsid w:val="003C5E86"/>
    <w:rsid w:val="003C5ECB"/>
    <w:rsid w:val="003C64C1"/>
    <w:rsid w:val="003C6773"/>
    <w:rsid w:val="003C6808"/>
    <w:rsid w:val="003C6939"/>
    <w:rsid w:val="003C6994"/>
    <w:rsid w:val="003C6A12"/>
    <w:rsid w:val="003C6A67"/>
    <w:rsid w:val="003C6DEB"/>
    <w:rsid w:val="003C6E06"/>
    <w:rsid w:val="003C6E9B"/>
    <w:rsid w:val="003C729D"/>
    <w:rsid w:val="003C7453"/>
    <w:rsid w:val="003C779E"/>
    <w:rsid w:val="003C78D5"/>
    <w:rsid w:val="003C7A35"/>
    <w:rsid w:val="003C7B7D"/>
    <w:rsid w:val="003C7C05"/>
    <w:rsid w:val="003C7F12"/>
    <w:rsid w:val="003D02BA"/>
    <w:rsid w:val="003D044B"/>
    <w:rsid w:val="003D0560"/>
    <w:rsid w:val="003D07E7"/>
    <w:rsid w:val="003D08BE"/>
    <w:rsid w:val="003D09EA"/>
    <w:rsid w:val="003D1522"/>
    <w:rsid w:val="003D15E9"/>
    <w:rsid w:val="003D1BF1"/>
    <w:rsid w:val="003D1F42"/>
    <w:rsid w:val="003D219F"/>
    <w:rsid w:val="003D2846"/>
    <w:rsid w:val="003D2A5E"/>
    <w:rsid w:val="003D34F9"/>
    <w:rsid w:val="003D35D1"/>
    <w:rsid w:val="003D36AF"/>
    <w:rsid w:val="003D3799"/>
    <w:rsid w:val="003D3AB7"/>
    <w:rsid w:val="003D3D68"/>
    <w:rsid w:val="003D3FFC"/>
    <w:rsid w:val="003D4207"/>
    <w:rsid w:val="003D4501"/>
    <w:rsid w:val="003D4FE3"/>
    <w:rsid w:val="003D4FF5"/>
    <w:rsid w:val="003D50EB"/>
    <w:rsid w:val="003D57E2"/>
    <w:rsid w:val="003D57F1"/>
    <w:rsid w:val="003D5D9B"/>
    <w:rsid w:val="003D627D"/>
    <w:rsid w:val="003D64CD"/>
    <w:rsid w:val="003D68E8"/>
    <w:rsid w:val="003D690B"/>
    <w:rsid w:val="003D6927"/>
    <w:rsid w:val="003D7101"/>
    <w:rsid w:val="003D72D8"/>
    <w:rsid w:val="003D74BA"/>
    <w:rsid w:val="003D7512"/>
    <w:rsid w:val="003D7525"/>
    <w:rsid w:val="003D7662"/>
    <w:rsid w:val="003D7686"/>
    <w:rsid w:val="003D7D49"/>
    <w:rsid w:val="003D7F57"/>
    <w:rsid w:val="003E0104"/>
    <w:rsid w:val="003E01DF"/>
    <w:rsid w:val="003E01ED"/>
    <w:rsid w:val="003E0725"/>
    <w:rsid w:val="003E090A"/>
    <w:rsid w:val="003E0B23"/>
    <w:rsid w:val="003E0BC0"/>
    <w:rsid w:val="003E0CBB"/>
    <w:rsid w:val="003E0D99"/>
    <w:rsid w:val="003E1DE3"/>
    <w:rsid w:val="003E1F6B"/>
    <w:rsid w:val="003E21B8"/>
    <w:rsid w:val="003E2383"/>
    <w:rsid w:val="003E244B"/>
    <w:rsid w:val="003E24FB"/>
    <w:rsid w:val="003E2536"/>
    <w:rsid w:val="003E2DA7"/>
    <w:rsid w:val="003E2E43"/>
    <w:rsid w:val="003E3123"/>
    <w:rsid w:val="003E34E0"/>
    <w:rsid w:val="003E352D"/>
    <w:rsid w:val="003E357C"/>
    <w:rsid w:val="003E372F"/>
    <w:rsid w:val="003E3B41"/>
    <w:rsid w:val="003E3CBE"/>
    <w:rsid w:val="003E3DD9"/>
    <w:rsid w:val="003E41A8"/>
    <w:rsid w:val="003E472A"/>
    <w:rsid w:val="003E4AF2"/>
    <w:rsid w:val="003E4CB3"/>
    <w:rsid w:val="003E4DAF"/>
    <w:rsid w:val="003E5431"/>
    <w:rsid w:val="003E56DA"/>
    <w:rsid w:val="003E5716"/>
    <w:rsid w:val="003E5B1B"/>
    <w:rsid w:val="003E5BC5"/>
    <w:rsid w:val="003E5CCB"/>
    <w:rsid w:val="003E5D66"/>
    <w:rsid w:val="003E5DE2"/>
    <w:rsid w:val="003E5DFD"/>
    <w:rsid w:val="003E6066"/>
    <w:rsid w:val="003E6E40"/>
    <w:rsid w:val="003E73A6"/>
    <w:rsid w:val="003E74C3"/>
    <w:rsid w:val="003E76B1"/>
    <w:rsid w:val="003E7771"/>
    <w:rsid w:val="003E7822"/>
    <w:rsid w:val="003E7AB5"/>
    <w:rsid w:val="003E7BC4"/>
    <w:rsid w:val="003E7ED5"/>
    <w:rsid w:val="003E7EF6"/>
    <w:rsid w:val="003F028D"/>
    <w:rsid w:val="003F0745"/>
    <w:rsid w:val="003F08D7"/>
    <w:rsid w:val="003F0A71"/>
    <w:rsid w:val="003F11D2"/>
    <w:rsid w:val="003F1763"/>
    <w:rsid w:val="003F194E"/>
    <w:rsid w:val="003F229D"/>
    <w:rsid w:val="003F241B"/>
    <w:rsid w:val="003F2BD4"/>
    <w:rsid w:val="003F2E48"/>
    <w:rsid w:val="003F2F86"/>
    <w:rsid w:val="003F3014"/>
    <w:rsid w:val="003F3242"/>
    <w:rsid w:val="003F3291"/>
    <w:rsid w:val="003F36F8"/>
    <w:rsid w:val="003F37D1"/>
    <w:rsid w:val="003F3811"/>
    <w:rsid w:val="003F3C36"/>
    <w:rsid w:val="003F3E3A"/>
    <w:rsid w:val="003F4091"/>
    <w:rsid w:val="003F4283"/>
    <w:rsid w:val="003F4378"/>
    <w:rsid w:val="003F4822"/>
    <w:rsid w:val="003F4915"/>
    <w:rsid w:val="003F4945"/>
    <w:rsid w:val="003F4A6B"/>
    <w:rsid w:val="003F4AB9"/>
    <w:rsid w:val="003F4B5C"/>
    <w:rsid w:val="003F4BD1"/>
    <w:rsid w:val="003F4F86"/>
    <w:rsid w:val="003F52E6"/>
    <w:rsid w:val="003F539C"/>
    <w:rsid w:val="003F552D"/>
    <w:rsid w:val="003F5600"/>
    <w:rsid w:val="003F5820"/>
    <w:rsid w:val="003F5828"/>
    <w:rsid w:val="003F5B69"/>
    <w:rsid w:val="003F5BCF"/>
    <w:rsid w:val="003F61B7"/>
    <w:rsid w:val="003F64F9"/>
    <w:rsid w:val="003F6600"/>
    <w:rsid w:val="003F66EC"/>
    <w:rsid w:val="003F680E"/>
    <w:rsid w:val="003F6A8B"/>
    <w:rsid w:val="003F6C97"/>
    <w:rsid w:val="003F6F85"/>
    <w:rsid w:val="003F718F"/>
    <w:rsid w:val="003F766A"/>
    <w:rsid w:val="003F7761"/>
    <w:rsid w:val="003F7A78"/>
    <w:rsid w:val="003F7A90"/>
    <w:rsid w:val="003F7F0D"/>
    <w:rsid w:val="00400385"/>
    <w:rsid w:val="0040097B"/>
    <w:rsid w:val="00400A27"/>
    <w:rsid w:val="00400BE8"/>
    <w:rsid w:val="00400F0B"/>
    <w:rsid w:val="00400F77"/>
    <w:rsid w:val="00400FE6"/>
    <w:rsid w:val="0040112D"/>
    <w:rsid w:val="00401703"/>
    <w:rsid w:val="0040180A"/>
    <w:rsid w:val="00401893"/>
    <w:rsid w:val="00401A45"/>
    <w:rsid w:val="00401CCF"/>
    <w:rsid w:val="00401D76"/>
    <w:rsid w:val="00401DC2"/>
    <w:rsid w:val="00401DCA"/>
    <w:rsid w:val="00401E60"/>
    <w:rsid w:val="00401EBB"/>
    <w:rsid w:val="004021C4"/>
    <w:rsid w:val="004023F3"/>
    <w:rsid w:val="00402594"/>
    <w:rsid w:val="004027DC"/>
    <w:rsid w:val="0040294E"/>
    <w:rsid w:val="00402A6D"/>
    <w:rsid w:val="00402AD5"/>
    <w:rsid w:val="00402C7C"/>
    <w:rsid w:val="00402CBA"/>
    <w:rsid w:val="00402FBA"/>
    <w:rsid w:val="004030EA"/>
    <w:rsid w:val="00403172"/>
    <w:rsid w:val="004032A0"/>
    <w:rsid w:val="0040347E"/>
    <w:rsid w:val="00403A2C"/>
    <w:rsid w:val="00403B71"/>
    <w:rsid w:val="00404133"/>
    <w:rsid w:val="00404289"/>
    <w:rsid w:val="004042B8"/>
    <w:rsid w:val="00404935"/>
    <w:rsid w:val="00404A39"/>
    <w:rsid w:val="00404CBA"/>
    <w:rsid w:val="00404D97"/>
    <w:rsid w:val="00404DB9"/>
    <w:rsid w:val="004050B4"/>
    <w:rsid w:val="00405291"/>
    <w:rsid w:val="00405332"/>
    <w:rsid w:val="0040538C"/>
    <w:rsid w:val="00405591"/>
    <w:rsid w:val="004057FC"/>
    <w:rsid w:val="004058F3"/>
    <w:rsid w:val="00405B01"/>
    <w:rsid w:val="00405C31"/>
    <w:rsid w:val="00405E60"/>
    <w:rsid w:val="0040632E"/>
    <w:rsid w:val="00406438"/>
    <w:rsid w:val="00406562"/>
    <w:rsid w:val="0040658E"/>
    <w:rsid w:val="00406634"/>
    <w:rsid w:val="00406A39"/>
    <w:rsid w:val="00406CCF"/>
    <w:rsid w:val="00406D41"/>
    <w:rsid w:val="00406E80"/>
    <w:rsid w:val="00407109"/>
    <w:rsid w:val="00407269"/>
    <w:rsid w:val="004076A4"/>
    <w:rsid w:val="004076E3"/>
    <w:rsid w:val="004079D6"/>
    <w:rsid w:val="00407E6D"/>
    <w:rsid w:val="00407E9B"/>
    <w:rsid w:val="00407F7C"/>
    <w:rsid w:val="00410168"/>
    <w:rsid w:val="004104CA"/>
    <w:rsid w:val="00410518"/>
    <w:rsid w:val="0041068B"/>
    <w:rsid w:val="0041086D"/>
    <w:rsid w:val="00410939"/>
    <w:rsid w:val="004109A0"/>
    <w:rsid w:val="004109E8"/>
    <w:rsid w:val="00410EE7"/>
    <w:rsid w:val="0041115C"/>
    <w:rsid w:val="004111AB"/>
    <w:rsid w:val="0041141C"/>
    <w:rsid w:val="00411540"/>
    <w:rsid w:val="0041177E"/>
    <w:rsid w:val="004119E9"/>
    <w:rsid w:val="00411C07"/>
    <w:rsid w:val="00411EBF"/>
    <w:rsid w:val="00412D85"/>
    <w:rsid w:val="00412FDF"/>
    <w:rsid w:val="00412FEF"/>
    <w:rsid w:val="004133F0"/>
    <w:rsid w:val="004139E5"/>
    <w:rsid w:val="00413A0F"/>
    <w:rsid w:val="0041400E"/>
    <w:rsid w:val="004141E8"/>
    <w:rsid w:val="0041427A"/>
    <w:rsid w:val="004144F5"/>
    <w:rsid w:val="0041480D"/>
    <w:rsid w:val="0041483A"/>
    <w:rsid w:val="00414B8C"/>
    <w:rsid w:val="00414FE1"/>
    <w:rsid w:val="0041502A"/>
    <w:rsid w:val="004150BD"/>
    <w:rsid w:val="00415335"/>
    <w:rsid w:val="004154E1"/>
    <w:rsid w:val="00415C43"/>
    <w:rsid w:val="0041641D"/>
    <w:rsid w:val="00416D91"/>
    <w:rsid w:val="00417A3B"/>
    <w:rsid w:val="00417AE9"/>
    <w:rsid w:val="00417B73"/>
    <w:rsid w:val="00417C68"/>
    <w:rsid w:val="00417FDF"/>
    <w:rsid w:val="00420052"/>
    <w:rsid w:val="004203D9"/>
    <w:rsid w:val="004204C5"/>
    <w:rsid w:val="00420B31"/>
    <w:rsid w:val="00420C6F"/>
    <w:rsid w:val="00420E8E"/>
    <w:rsid w:val="00420FD4"/>
    <w:rsid w:val="0042106A"/>
    <w:rsid w:val="00421386"/>
    <w:rsid w:val="004213E2"/>
    <w:rsid w:val="004213F0"/>
    <w:rsid w:val="00421EB2"/>
    <w:rsid w:val="00421F22"/>
    <w:rsid w:val="00422356"/>
    <w:rsid w:val="00422AD4"/>
    <w:rsid w:val="00422C05"/>
    <w:rsid w:val="00422C1B"/>
    <w:rsid w:val="004231EC"/>
    <w:rsid w:val="00423B3D"/>
    <w:rsid w:val="00423BFF"/>
    <w:rsid w:val="00423D94"/>
    <w:rsid w:val="00423FC2"/>
    <w:rsid w:val="0042419C"/>
    <w:rsid w:val="0042438A"/>
    <w:rsid w:val="004245D5"/>
    <w:rsid w:val="0042462D"/>
    <w:rsid w:val="0042474E"/>
    <w:rsid w:val="00424859"/>
    <w:rsid w:val="004248A4"/>
    <w:rsid w:val="00424DA0"/>
    <w:rsid w:val="00424F59"/>
    <w:rsid w:val="00425426"/>
    <w:rsid w:val="004257B4"/>
    <w:rsid w:val="0042582D"/>
    <w:rsid w:val="00425918"/>
    <w:rsid w:val="004263D4"/>
    <w:rsid w:val="00426CD0"/>
    <w:rsid w:val="00426F63"/>
    <w:rsid w:val="004270B0"/>
    <w:rsid w:val="00427328"/>
    <w:rsid w:val="00427B5D"/>
    <w:rsid w:val="00427EDA"/>
    <w:rsid w:val="0043076F"/>
    <w:rsid w:val="0043084C"/>
    <w:rsid w:val="00430AAA"/>
    <w:rsid w:val="00430D07"/>
    <w:rsid w:val="00431020"/>
    <w:rsid w:val="0043107C"/>
    <w:rsid w:val="00431450"/>
    <w:rsid w:val="0043180D"/>
    <w:rsid w:val="0043188E"/>
    <w:rsid w:val="00431AB7"/>
    <w:rsid w:val="00431FB0"/>
    <w:rsid w:val="00432094"/>
    <w:rsid w:val="0043229F"/>
    <w:rsid w:val="004328BF"/>
    <w:rsid w:val="00432B33"/>
    <w:rsid w:val="00432D12"/>
    <w:rsid w:val="00432E0F"/>
    <w:rsid w:val="00432FDF"/>
    <w:rsid w:val="004331BC"/>
    <w:rsid w:val="00433ABD"/>
    <w:rsid w:val="00433C4B"/>
    <w:rsid w:val="00434026"/>
    <w:rsid w:val="004342EF"/>
    <w:rsid w:val="0043453D"/>
    <w:rsid w:val="00434603"/>
    <w:rsid w:val="00434DA4"/>
    <w:rsid w:val="00434FA0"/>
    <w:rsid w:val="00435152"/>
    <w:rsid w:val="00435178"/>
    <w:rsid w:val="00435379"/>
    <w:rsid w:val="00435556"/>
    <w:rsid w:val="0043557E"/>
    <w:rsid w:val="004357AE"/>
    <w:rsid w:val="00435BA1"/>
    <w:rsid w:val="00435D25"/>
    <w:rsid w:val="0043635A"/>
    <w:rsid w:val="004364FC"/>
    <w:rsid w:val="00436857"/>
    <w:rsid w:val="00436B50"/>
    <w:rsid w:val="00436C03"/>
    <w:rsid w:val="00436D0D"/>
    <w:rsid w:val="00436DFC"/>
    <w:rsid w:val="00436FFF"/>
    <w:rsid w:val="004373C8"/>
    <w:rsid w:val="004378C0"/>
    <w:rsid w:val="00437B7D"/>
    <w:rsid w:val="00437E53"/>
    <w:rsid w:val="00437F79"/>
    <w:rsid w:val="00440027"/>
    <w:rsid w:val="0044060F"/>
    <w:rsid w:val="004408A2"/>
    <w:rsid w:val="00441283"/>
    <w:rsid w:val="004413F3"/>
    <w:rsid w:val="0044159F"/>
    <w:rsid w:val="0044170E"/>
    <w:rsid w:val="00441985"/>
    <w:rsid w:val="00441A27"/>
    <w:rsid w:val="00441D39"/>
    <w:rsid w:val="00442D50"/>
    <w:rsid w:val="00443384"/>
    <w:rsid w:val="004434DC"/>
    <w:rsid w:val="004434FF"/>
    <w:rsid w:val="00443EEF"/>
    <w:rsid w:val="004444B5"/>
    <w:rsid w:val="004449D2"/>
    <w:rsid w:val="004449D6"/>
    <w:rsid w:val="00444CB4"/>
    <w:rsid w:val="00444DDA"/>
    <w:rsid w:val="00444E57"/>
    <w:rsid w:val="0044518A"/>
    <w:rsid w:val="00445199"/>
    <w:rsid w:val="0044526E"/>
    <w:rsid w:val="00445351"/>
    <w:rsid w:val="00445437"/>
    <w:rsid w:val="00445BAA"/>
    <w:rsid w:val="00445D0E"/>
    <w:rsid w:val="00445E1C"/>
    <w:rsid w:val="0044603F"/>
    <w:rsid w:val="00446201"/>
    <w:rsid w:val="00446311"/>
    <w:rsid w:val="0044631D"/>
    <w:rsid w:val="00446355"/>
    <w:rsid w:val="0044638F"/>
    <w:rsid w:val="00446440"/>
    <w:rsid w:val="00446694"/>
    <w:rsid w:val="004466A2"/>
    <w:rsid w:val="00446721"/>
    <w:rsid w:val="00446CA2"/>
    <w:rsid w:val="0044719A"/>
    <w:rsid w:val="00447369"/>
    <w:rsid w:val="004475B0"/>
    <w:rsid w:val="00447815"/>
    <w:rsid w:val="00447859"/>
    <w:rsid w:val="004478F1"/>
    <w:rsid w:val="00447995"/>
    <w:rsid w:val="00447C5C"/>
    <w:rsid w:val="00447EBD"/>
    <w:rsid w:val="00450087"/>
    <w:rsid w:val="004502B0"/>
    <w:rsid w:val="004507C3"/>
    <w:rsid w:val="00450D49"/>
    <w:rsid w:val="004511CD"/>
    <w:rsid w:val="004515FB"/>
    <w:rsid w:val="00451786"/>
    <w:rsid w:val="00451793"/>
    <w:rsid w:val="00451CFC"/>
    <w:rsid w:val="00451D4D"/>
    <w:rsid w:val="00452000"/>
    <w:rsid w:val="00452002"/>
    <w:rsid w:val="00452137"/>
    <w:rsid w:val="004524F3"/>
    <w:rsid w:val="00452511"/>
    <w:rsid w:val="00452589"/>
    <w:rsid w:val="004526CF"/>
    <w:rsid w:val="00452770"/>
    <w:rsid w:val="00452C98"/>
    <w:rsid w:val="0045315D"/>
    <w:rsid w:val="004531E2"/>
    <w:rsid w:val="00453901"/>
    <w:rsid w:val="004539D4"/>
    <w:rsid w:val="00453C16"/>
    <w:rsid w:val="00453D69"/>
    <w:rsid w:val="0045417F"/>
    <w:rsid w:val="004544C1"/>
    <w:rsid w:val="00454832"/>
    <w:rsid w:val="0045496A"/>
    <w:rsid w:val="00454BA3"/>
    <w:rsid w:val="00454DF8"/>
    <w:rsid w:val="004550F8"/>
    <w:rsid w:val="004551DC"/>
    <w:rsid w:val="00455370"/>
    <w:rsid w:val="00455AFD"/>
    <w:rsid w:val="00455B19"/>
    <w:rsid w:val="004562E1"/>
    <w:rsid w:val="00456473"/>
    <w:rsid w:val="00456636"/>
    <w:rsid w:val="004568CB"/>
    <w:rsid w:val="00456B90"/>
    <w:rsid w:val="00457357"/>
    <w:rsid w:val="00457678"/>
    <w:rsid w:val="004577F2"/>
    <w:rsid w:val="00457E39"/>
    <w:rsid w:val="00460300"/>
    <w:rsid w:val="004606F3"/>
    <w:rsid w:val="004607F9"/>
    <w:rsid w:val="004609E2"/>
    <w:rsid w:val="00460A43"/>
    <w:rsid w:val="00461087"/>
    <w:rsid w:val="004613AA"/>
    <w:rsid w:val="0046167A"/>
    <w:rsid w:val="004618F8"/>
    <w:rsid w:val="0046199D"/>
    <w:rsid w:val="00462060"/>
    <w:rsid w:val="004620F4"/>
    <w:rsid w:val="004624C5"/>
    <w:rsid w:val="00462C10"/>
    <w:rsid w:val="0046309B"/>
    <w:rsid w:val="004630D8"/>
    <w:rsid w:val="00463322"/>
    <w:rsid w:val="004635E9"/>
    <w:rsid w:val="0046373F"/>
    <w:rsid w:val="004639F0"/>
    <w:rsid w:val="00463D25"/>
    <w:rsid w:val="00463F80"/>
    <w:rsid w:val="0046469E"/>
    <w:rsid w:val="00464881"/>
    <w:rsid w:val="004649AB"/>
    <w:rsid w:val="00464E41"/>
    <w:rsid w:val="0046524F"/>
    <w:rsid w:val="00465575"/>
    <w:rsid w:val="004655E1"/>
    <w:rsid w:val="00465795"/>
    <w:rsid w:val="0046586B"/>
    <w:rsid w:val="00465AC7"/>
    <w:rsid w:val="00465B47"/>
    <w:rsid w:val="00465CEF"/>
    <w:rsid w:val="00466329"/>
    <w:rsid w:val="00466505"/>
    <w:rsid w:val="00466580"/>
    <w:rsid w:val="00466C5E"/>
    <w:rsid w:val="004674EC"/>
    <w:rsid w:val="00467803"/>
    <w:rsid w:val="00467A41"/>
    <w:rsid w:val="00467A67"/>
    <w:rsid w:val="00467BA9"/>
    <w:rsid w:val="00467C03"/>
    <w:rsid w:val="00467D81"/>
    <w:rsid w:val="00467E81"/>
    <w:rsid w:val="0047005D"/>
    <w:rsid w:val="00470A0D"/>
    <w:rsid w:val="00471311"/>
    <w:rsid w:val="00471535"/>
    <w:rsid w:val="004722A0"/>
    <w:rsid w:val="00472378"/>
    <w:rsid w:val="004729FD"/>
    <w:rsid w:val="00472AA5"/>
    <w:rsid w:val="00472BF5"/>
    <w:rsid w:val="0047356B"/>
    <w:rsid w:val="004747C7"/>
    <w:rsid w:val="00474979"/>
    <w:rsid w:val="00474AC7"/>
    <w:rsid w:val="00474B89"/>
    <w:rsid w:val="00474D74"/>
    <w:rsid w:val="00474DA5"/>
    <w:rsid w:val="004750DC"/>
    <w:rsid w:val="004751F0"/>
    <w:rsid w:val="00475318"/>
    <w:rsid w:val="004754EA"/>
    <w:rsid w:val="00475E88"/>
    <w:rsid w:val="00475E96"/>
    <w:rsid w:val="004760E2"/>
    <w:rsid w:val="0047633E"/>
    <w:rsid w:val="00476B27"/>
    <w:rsid w:val="0047701D"/>
    <w:rsid w:val="004777D5"/>
    <w:rsid w:val="00480064"/>
    <w:rsid w:val="004800E9"/>
    <w:rsid w:val="0048029C"/>
    <w:rsid w:val="004804B1"/>
    <w:rsid w:val="00480580"/>
    <w:rsid w:val="004805F4"/>
    <w:rsid w:val="00480621"/>
    <w:rsid w:val="004807BF"/>
    <w:rsid w:val="004809A3"/>
    <w:rsid w:val="00481080"/>
    <w:rsid w:val="00481253"/>
    <w:rsid w:val="004812C6"/>
    <w:rsid w:val="00481373"/>
    <w:rsid w:val="004816EC"/>
    <w:rsid w:val="00481740"/>
    <w:rsid w:val="00481C97"/>
    <w:rsid w:val="00482420"/>
    <w:rsid w:val="004824DD"/>
    <w:rsid w:val="00482727"/>
    <w:rsid w:val="00482A81"/>
    <w:rsid w:val="00482EDA"/>
    <w:rsid w:val="00483234"/>
    <w:rsid w:val="004832DD"/>
    <w:rsid w:val="00483AFF"/>
    <w:rsid w:val="00483CE8"/>
    <w:rsid w:val="00483F5C"/>
    <w:rsid w:val="00484097"/>
    <w:rsid w:val="00484159"/>
    <w:rsid w:val="004842A6"/>
    <w:rsid w:val="004842FF"/>
    <w:rsid w:val="0048472E"/>
    <w:rsid w:val="004847D6"/>
    <w:rsid w:val="004847F9"/>
    <w:rsid w:val="00484D13"/>
    <w:rsid w:val="004850D5"/>
    <w:rsid w:val="004857A5"/>
    <w:rsid w:val="004859D3"/>
    <w:rsid w:val="00485A5A"/>
    <w:rsid w:val="00485C9D"/>
    <w:rsid w:val="00485D96"/>
    <w:rsid w:val="00485F81"/>
    <w:rsid w:val="00485FB0"/>
    <w:rsid w:val="00486015"/>
    <w:rsid w:val="004861CD"/>
    <w:rsid w:val="004865D3"/>
    <w:rsid w:val="00486601"/>
    <w:rsid w:val="00486BA6"/>
    <w:rsid w:val="00486DF4"/>
    <w:rsid w:val="00486F20"/>
    <w:rsid w:val="00486F70"/>
    <w:rsid w:val="00486FB2"/>
    <w:rsid w:val="00487171"/>
    <w:rsid w:val="004872E0"/>
    <w:rsid w:val="00487C84"/>
    <w:rsid w:val="00487DD3"/>
    <w:rsid w:val="00490584"/>
    <w:rsid w:val="0049074D"/>
    <w:rsid w:val="00490885"/>
    <w:rsid w:val="00491B18"/>
    <w:rsid w:val="00491CCE"/>
    <w:rsid w:val="004922B5"/>
    <w:rsid w:val="0049248F"/>
    <w:rsid w:val="0049268C"/>
    <w:rsid w:val="004927C0"/>
    <w:rsid w:val="004929B9"/>
    <w:rsid w:val="00492A65"/>
    <w:rsid w:val="00492B85"/>
    <w:rsid w:val="00492BEE"/>
    <w:rsid w:val="00492DBB"/>
    <w:rsid w:val="00493002"/>
    <w:rsid w:val="00493466"/>
    <w:rsid w:val="00493745"/>
    <w:rsid w:val="0049397E"/>
    <w:rsid w:val="004939AE"/>
    <w:rsid w:val="00493A76"/>
    <w:rsid w:val="00493D1A"/>
    <w:rsid w:val="00493F9C"/>
    <w:rsid w:val="00493FF1"/>
    <w:rsid w:val="004940D6"/>
    <w:rsid w:val="00494712"/>
    <w:rsid w:val="00494A04"/>
    <w:rsid w:val="00494A7E"/>
    <w:rsid w:val="004950F4"/>
    <w:rsid w:val="004951C0"/>
    <w:rsid w:val="00495208"/>
    <w:rsid w:val="0049521D"/>
    <w:rsid w:val="00495A5A"/>
    <w:rsid w:val="00495FDB"/>
    <w:rsid w:val="0049623D"/>
    <w:rsid w:val="00496399"/>
    <w:rsid w:val="00496435"/>
    <w:rsid w:val="004965A3"/>
    <w:rsid w:val="004965F3"/>
    <w:rsid w:val="0049668C"/>
    <w:rsid w:val="004970CE"/>
    <w:rsid w:val="00497215"/>
    <w:rsid w:val="00497650"/>
    <w:rsid w:val="00497705"/>
    <w:rsid w:val="00497804"/>
    <w:rsid w:val="004978DF"/>
    <w:rsid w:val="00497916"/>
    <w:rsid w:val="00497957"/>
    <w:rsid w:val="004A0356"/>
    <w:rsid w:val="004A0660"/>
    <w:rsid w:val="004A0CB1"/>
    <w:rsid w:val="004A0D64"/>
    <w:rsid w:val="004A0E48"/>
    <w:rsid w:val="004A11D4"/>
    <w:rsid w:val="004A13C6"/>
    <w:rsid w:val="004A16BA"/>
    <w:rsid w:val="004A1A35"/>
    <w:rsid w:val="004A1C11"/>
    <w:rsid w:val="004A1C9B"/>
    <w:rsid w:val="004A1CB6"/>
    <w:rsid w:val="004A212F"/>
    <w:rsid w:val="004A25BB"/>
    <w:rsid w:val="004A266F"/>
    <w:rsid w:val="004A287B"/>
    <w:rsid w:val="004A298F"/>
    <w:rsid w:val="004A2A0B"/>
    <w:rsid w:val="004A3BB3"/>
    <w:rsid w:val="004A3C42"/>
    <w:rsid w:val="004A3DCF"/>
    <w:rsid w:val="004A4013"/>
    <w:rsid w:val="004A4456"/>
    <w:rsid w:val="004A4616"/>
    <w:rsid w:val="004A4658"/>
    <w:rsid w:val="004A46C8"/>
    <w:rsid w:val="004A49AD"/>
    <w:rsid w:val="004A4C20"/>
    <w:rsid w:val="004A4E48"/>
    <w:rsid w:val="004A50C2"/>
    <w:rsid w:val="004A50E4"/>
    <w:rsid w:val="004A5383"/>
    <w:rsid w:val="004A555A"/>
    <w:rsid w:val="004A55B6"/>
    <w:rsid w:val="004A56C6"/>
    <w:rsid w:val="004A613C"/>
    <w:rsid w:val="004A640F"/>
    <w:rsid w:val="004A6608"/>
    <w:rsid w:val="004A6A8A"/>
    <w:rsid w:val="004A6C17"/>
    <w:rsid w:val="004A6C75"/>
    <w:rsid w:val="004A6D1F"/>
    <w:rsid w:val="004A77CF"/>
    <w:rsid w:val="004B0292"/>
    <w:rsid w:val="004B04C0"/>
    <w:rsid w:val="004B08D2"/>
    <w:rsid w:val="004B0A23"/>
    <w:rsid w:val="004B0AE9"/>
    <w:rsid w:val="004B0DA7"/>
    <w:rsid w:val="004B1134"/>
    <w:rsid w:val="004B11D6"/>
    <w:rsid w:val="004B161B"/>
    <w:rsid w:val="004B1635"/>
    <w:rsid w:val="004B166C"/>
    <w:rsid w:val="004B16B5"/>
    <w:rsid w:val="004B1B5C"/>
    <w:rsid w:val="004B1B99"/>
    <w:rsid w:val="004B1D0B"/>
    <w:rsid w:val="004B21C6"/>
    <w:rsid w:val="004B2686"/>
    <w:rsid w:val="004B27BB"/>
    <w:rsid w:val="004B28A5"/>
    <w:rsid w:val="004B35CD"/>
    <w:rsid w:val="004B3674"/>
    <w:rsid w:val="004B375E"/>
    <w:rsid w:val="004B37A1"/>
    <w:rsid w:val="004B38F3"/>
    <w:rsid w:val="004B39A9"/>
    <w:rsid w:val="004B3A9D"/>
    <w:rsid w:val="004B4228"/>
    <w:rsid w:val="004B44AA"/>
    <w:rsid w:val="004B47EE"/>
    <w:rsid w:val="004B4AC2"/>
    <w:rsid w:val="004B4FAA"/>
    <w:rsid w:val="004B5310"/>
    <w:rsid w:val="004B542D"/>
    <w:rsid w:val="004B54DC"/>
    <w:rsid w:val="004B576B"/>
    <w:rsid w:val="004B5882"/>
    <w:rsid w:val="004B59B6"/>
    <w:rsid w:val="004B5C8F"/>
    <w:rsid w:val="004B6949"/>
    <w:rsid w:val="004B69F5"/>
    <w:rsid w:val="004B6B54"/>
    <w:rsid w:val="004B6B70"/>
    <w:rsid w:val="004B6D44"/>
    <w:rsid w:val="004B6D9D"/>
    <w:rsid w:val="004B7516"/>
    <w:rsid w:val="004B765D"/>
    <w:rsid w:val="004B7764"/>
    <w:rsid w:val="004B784A"/>
    <w:rsid w:val="004B7AA4"/>
    <w:rsid w:val="004B7DB6"/>
    <w:rsid w:val="004B7E75"/>
    <w:rsid w:val="004B7EC6"/>
    <w:rsid w:val="004B7ED5"/>
    <w:rsid w:val="004C02BF"/>
    <w:rsid w:val="004C0702"/>
    <w:rsid w:val="004C083B"/>
    <w:rsid w:val="004C08DD"/>
    <w:rsid w:val="004C0998"/>
    <w:rsid w:val="004C099F"/>
    <w:rsid w:val="004C0A77"/>
    <w:rsid w:val="004C0BDF"/>
    <w:rsid w:val="004C1050"/>
    <w:rsid w:val="004C1176"/>
    <w:rsid w:val="004C12AA"/>
    <w:rsid w:val="004C145A"/>
    <w:rsid w:val="004C1529"/>
    <w:rsid w:val="004C164F"/>
    <w:rsid w:val="004C17C2"/>
    <w:rsid w:val="004C187E"/>
    <w:rsid w:val="004C1FE4"/>
    <w:rsid w:val="004C2249"/>
    <w:rsid w:val="004C260C"/>
    <w:rsid w:val="004C29BC"/>
    <w:rsid w:val="004C2AAE"/>
    <w:rsid w:val="004C2B1E"/>
    <w:rsid w:val="004C2BFD"/>
    <w:rsid w:val="004C3934"/>
    <w:rsid w:val="004C3A31"/>
    <w:rsid w:val="004C3C01"/>
    <w:rsid w:val="004C3D55"/>
    <w:rsid w:val="004C3F5F"/>
    <w:rsid w:val="004C40A9"/>
    <w:rsid w:val="004C40B3"/>
    <w:rsid w:val="004C4227"/>
    <w:rsid w:val="004C42AB"/>
    <w:rsid w:val="004C44FF"/>
    <w:rsid w:val="004C4522"/>
    <w:rsid w:val="004C45DF"/>
    <w:rsid w:val="004C4740"/>
    <w:rsid w:val="004C4897"/>
    <w:rsid w:val="004C4FC7"/>
    <w:rsid w:val="004C517B"/>
    <w:rsid w:val="004C51DF"/>
    <w:rsid w:val="004C532A"/>
    <w:rsid w:val="004C5A57"/>
    <w:rsid w:val="004C5B58"/>
    <w:rsid w:val="004C5BEE"/>
    <w:rsid w:val="004C601B"/>
    <w:rsid w:val="004C6423"/>
    <w:rsid w:val="004C6604"/>
    <w:rsid w:val="004C67D0"/>
    <w:rsid w:val="004C6C5E"/>
    <w:rsid w:val="004C6DE5"/>
    <w:rsid w:val="004D021A"/>
    <w:rsid w:val="004D047D"/>
    <w:rsid w:val="004D048E"/>
    <w:rsid w:val="004D0583"/>
    <w:rsid w:val="004D06A8"/>
    <w:rsid w:val="004D081C"/>
    <w:rsid w:val="004D082E"/>
    <w:rsid w:val="004D0911"/>
    <w:rsid w:val="004D0A58"/>
    <w:rsid w:val="004D10A9"/>
    <w:rsid w:val="004D14B2"/>
    <w:rsid w:val="004D17EB"/>
    <w:rsid w:val="004D1842"/>
    <w:rsid w:val="004D1BB5"/>
    <w:rsid w:val="004D1D7B"/>
    <w:rsid w:val="004D1ED7"/>
    <w:rsid w:val="004D2163"/>
    <w:rsid w:val="004D2203"/>
    <w:rsid w:val="004D2224"/>
    <w:rsid w:val="004D22E7"/>
    <w:rsid w:val="004D2569"/>
    <w:rsid w:val="004D28CB"/>
    <w:rsid w:val="004D28DB"/>
    <w:rsid w:val="004D2975"/>
    <w:rsid w:val="004D2C77"/>
    <w:rsid w:val="004D2D5F"/>
    <w:rsid w:val="004D2D7D"/>
    <w:rsid w:val="004D33AF"/>
    <w:rsid w:val="004D343C"/>
    <w:rsid w:val="004D3459"/>
    <w:rsid w:val="004D34FD"/>
    <w:rsid w:val="004D3688"/>
    <w:rsid w:val="004D36C9"/>
    <w:rsid w:val="004D3B5A"/>
    <w:rsid w:val="004D3CD7"/>
    <w:rsid w:val="004D3FA8"/>
    <w:rsid w:val="004D4469"/>
    <w:rsid w:val="004D4640"/>
    <w:rsid w:val="004D4A2C"/>
    <w:rsid w:val="004D4F58"/>
    <w:rsid w:val="004D5101"/>
    <w:rsid w:val="004D55BE"/>
    <w:rsid w:val="004D56F2"/>
    <w:rsid w:val="004D5869"/>
    <w:rsid w:val="004D59D4"/>
    <w:rsid w:val="004D5A08"/>
    <w:rsid w:val="004D5A8C"/>
    <w:rsid w:val="004D5BC2"/>
    <w:rsid w:val="004D680D"/>
    <w:rsid w:val="004D68D2"/>
    <w:rsid w:val="004D69BC"/>
    <w:rsid w:val="004D6B34"/>
    <w:rsid w:val="004D6BA6"/>
    <w:rsid w:val="004D6BD8"/>
    <w:rsid w:val="004D7145"/>
    <w:rsid w:val="004D729A"/>
    <w:rsid w:val="004D73D9"/>
    <w:rsid w:val="004D77BA"/>
    <w:rsid w:val="004D7C8C"/>
    <w:rsid w:val="004E0307"/>
    <w:rsid w:val="004E051C"/>
    <w:rsid w:val="004E0597"/>
    <w:rsid w:val="004E080C"/>
    <w:rsid w:val="004E09EB"/>
    <w:rsid w:val="004E12A6"/>
    <w:rsid w:val="004E1C25"/>
    <w:rsid w:val="004E1CC2"/>
    <w:rsid w:val="004E2072"/>
    <w:rsid w:val="004E2496"/>
    <w:rsid w:val="004E2797"/>
    <w:rsid w:val="004E2920"/>
    <w:rsid w:val="004E29C8"/>
    <w:rsid w:val="004E2BB0"/>
    <w:rsid w:val="004E2BEC"/>
    <w:rsid w:val="004E32E5"/>
    <w:rsid w:val="004E346B"/>
    <w:rsid w:val="004E3506"/>
    <w:rsid w:val="004E3841"/>
    <w:rsid w:val="004E3A0E"/>
    <w:rsid w:val="004E3C29"/>
    <w:rsid w:val="004E3E79"/>
    <w:rsid w:val="004E41F9"/>
    <w:rsid w:val="004E42EF"/>
    <w:rsid w:val="004E45E7"/>
    <w:rsid w:val="004E4633"/>
    <w:rsid w:val="004E4B1D"/>
    <w:rsid w:val="004E4CF2"/>
    <w:rsid w:val="004E4F5A"/>
    <w:rsid w:val="004E501D"/>
    <w:rsid w:val="004E511F"/>
    <w:rsid w:val="004E570E"/>
    <w:rsid w:val="004E5CEA"/>
    <w:rsid w:val="004E669B"/>
    <w:rsid w:val="004E669E"/>
    <w:rsid w:val="004E680F"/>
    <w:rsid w:val="004E73F7"/>
    <w:rsid w:val="004E7AD3"/>
    <w:rsid w:val="004E7F5A"/>
    <w:rsid w:val="004E7F8C"/>
    <w:rsid w:val="004F06C2"/>
    <w:rsid w:val="004F0870"/>
    <w:rsid w:val="004F08DF"/>
    <w:rsid w:val="004F0A0F"/>
    <w:rsid w:val="004F0D17"/>
    <w:rsid w:val="004F0DA9"/>
    <w:rsid w:val="004F0DFD"/>
    <w:rsid w:val="004F0E1F"/>
    <w:rsid w:val="004F1161"/>
    <w:rsid w:val="004F12A3"/>
    <w:rsid w:val="004F1821"/>
    <w:rsid w:val="004F1DE0"/>
    <w:rsid w:val="004F1F35"/>
    <w:rsid w:val="004F206F"/>
    <w:rsid w:val="004F23E8"/>
    <w:rsid w:val="004F26DE"/>
    <w:rsid w:val="004F2A30"/>
    <w:rsid w:val="004F2A9D"/>
    <w:rsid w:val="004F33B7"/>
    <w:rsid w:val="004F344C"/>
    <w:rsid w:val="004F3631"/>
    <w:rsid w:val="004F3A6F"/>
    <w:rsid w:val="004F4284"/>
    <w:rsid w:val="004F4293"/>
    <w:rsid w:val="004F4307"/>
    <w:rsid w:val="004F433D"/>
    <w:rsid w:val="004F454F"/>
    <w:rsid w:val="004F4A1B"/>
    <w:rsid w:val="004F4B45"/>
    <w:rsid w:val="004F4D7A"/>
    <w:rsid w:val="004F55DA"/>
    <w:rsid w:val="004F565B"/>
    <w:rsid w:val="004F57A5"/>
    <w:rsid w:val="004F590F"/>
    <w:rsid w:val="004F594B"/>
    <w:rsid w:val="004F5E18"/>
    <w:rsid w:val="004F5E7B"/>
    <w:rsid w:val="004F68EC"/>
    <w:rsid w:val="004F69D3"/>
    <w:rsid w:val="004F71AA"/>
    <w:rsid w:val="004F7513"/>
    <w:rsid w:val="0050040C"/>
    <w:rsid w:val="00500AF7"/>
    <w:rsid w:val="00500B66"/>
    <w:rsid w:val="00500C30"/>
    <w:rsid w:val="00500D77"/>
    <w:rsid w:val="00500F17"/>
    <w:rsid w:val="00500F2A"/>
    <w:rsid w:val="00500FAD"/>
    <w:rsid w:val="005014A5"/>
    <w:rsid w:val="005015F3"/>
    <w:rsid w:val="005018DB"/>
    <w:rsid w:val="0050195F"/>
    <w:rsid w:val="00502157"/>
    <w:rsid w:val="00502277"/>
    <w:rsid w:val="00502721"/>
    <w:rsid w:val="00502974"/>
    <w:rsid w:val="00502BBA"/>
    <w:rsid w:val="00502CB0"/>
    <w:rsid w:val="005031F7"/>
    <w:rsid w:val="005034AD"/>
    <w:rsid w:val="005036D4"/>
    <w:rsid w:val="00503C75"/>
    <w:rsid w:val="00503F44"/>
    <w:rsid w:val="0050420A"/>
    <w:rsid w:val="00504743"/>
    <w:rsid w:val="00504ABC"/>
    <w:rsid w:val="00504EAC"/>
    <w:rsid w:val="00504EFF"/>
    <w:rsid w:val="00504FC6"/>
    <w:rsid w:val="00505220"/>
    <w:rsid w:val="00505436"/>
    <w:rsid w:val="00505AD8"/>
    <w:rsid w:val="00505EF7"/>
    <w:rsid w:val="00506234"/>
    <w:rsid w:val="00506276"/>
    <w:rsid w:val="005063A1"/>
    <w:rsid w:val="005063DE"/>
    <w:rsid w:val="0050691B"/>
    <w:rsid w:val="005069CC"/>
    <w:rsid w:val="00506CB8"/>
    <w:rsid w:val="00506DB3"/>
    <w:rsid w:val="00507023"/>
    <w:rsid w:val="00507A5A"/>
    <w:rsid w:val="00507DF3"/>
    <w:rsid w:val="00507EF4"/>
    <w:rsid w:val="00507F35"/>
    <w:rsid w:val="005100DC"/>
    <w:rsid w:val="0051021B"/>
    <w:rsid w:val="005102AA"/>
    <w:rsid w:val="005103BE"/>
    <w:rsid w:val="005106F8"/>
    <w:rsid w:val="005108E9"/>
    <w:rsid w:val="00510A72"/>
    <w:rsid w:val="005113AD"/>
    <w:rsid w:val="00511415"/>
    <w:rsid w:val="00511B92"/>
    <w:rsid w:val="00511DCC"/>
    <w:rsid w:val="00511F86"/>
    <w:rsid w:val="005120DE"/>
    <w:rsid w:val="00512627"/>
    <w:rsid w:val="00512D29"/>
    <w:rsid w:val="00512DC3"/>
    <w:rsid w:val="00513280"/>
    <w:rsid w:val="00513756"/>
    <w:rsid w:val="00513919"/>
    <w:rsid w:val="005139F1"/>
    <w:rsid w:val="00513E1F"/>
    <w:rsid w:val="0051475B"/>
    <w:rsid w:val="00514765"/>
    <w:rsid w:val="00514AA2"/>
    <w:rsid w:val="00514DA3"/>
    <w:rsid w:val="00514E0C"/>
    <w:rsid w:val="00515022"/>
    <w:rsid w:val="0051503E"/>
    <w:rsid w:val="0051531E"/>
    <w:rsid w:val="005158EB"/>
    <w:rsid w:val="005160C0"/>
    <w:rsid w:val="0051679F"/>
    <w:rsid w:val="00516A42"/>
    <w:rsid w:val="00516A85"/>
    <w:rsid w:val="0051721E"/>
    <w:rsid w:val="0051765C"/>
    <w:rsid w:val="005176B1"/>
    <w:rsid w:val="005177F3"/>
    <w:rsid w:val="00517A9A"/>
    <w:rsid w:val="00517B84"/>
    <w:rsid w:val="00517BBC"/>
    <w:rsid w:val="00517C09"/>
    <w:rsid w:val="00517D01"/>
    <w:rsid w:val="00517EDC"/>
    <w:rsid w:val="0052019A"/>
    <w:rsid w:val="005202A3"/>
    <w:rsid w:val="00520782"/>
    <w:rsid w:val="005214A7"/>
    <w:rsid w:val="00521DC4"/>
    <w:rsid w:val="00521F5B"/>
    <w:rsid w:val="00522199"/>
    <w:rsid w:val="005225A8"/>
    <w:rsid w:val="00522607"/>
    <w:rsid w:val="00522A6B"/>
    <w:rsid w:val="00522DC8"/>
    <w:rsid w:val="00523134"/>
    <w:rsid w:val="00523466"/>
    <w:rsid w:val="005234BF"/>
    <w:rsid w:val="00523991"/>
    <w:rsid w:val="005239C7"/>
    <w:rsid w:val="00523B24"/>
    <w:rsid w:val="00523CF4"/>
    <w:rsid w:val="005241AE"/>
    <w:rsid w:val="005241E5"/>
    <w:rsid w:val="005246E6"/>
    <w:rsid w:val="0052529D"/>
    <w:rsid w:val="00525352"/>
    <w:rsid w:val="005255BF"/>
    <w:rsid w:val="00525640"/>
    <w:rsid w:val="00525A90"/>
    <w:rsid w:val="00525A96"/>
    <w:rsid w:val="00525BD6"/>
    <w:rsid w:val="00525C11"/>
    <w:rsid w:val="00525E24"/>
    <w:rsid w:val="00525E80"/>
    <w:rsid w:val="00526043"/>
    <w:rsid w:val="0052605E"/>
    <w:rsid w:val="0052614C"/>
    <w:rsid w:val="00526267"/>
    <w:rsid w:val="00526518"/>
    <w:rsid w:val="00526680"/>
    <w:rsid w:val="00526A76"/>
    <w:rsid w:val="00526E96"/>
    <w:rsid w:val="0052704C"/>
    <w:rsid w:val="00527104"/>
    <w:rsid w:val="00527128"/>
    <w:rsid w:val="0052777D"/>
    <w:rsid w:val="00527915"/>
    <w:rsid w:val="005279E3"/>
    <w:rsid w:val="00527D0D"/>
    <w:rsid w:val="00527D56"/>
    <w:rsid w:val="00530634"/>
    <w:rsid w:val="00530CAD"/>
    <w:rsid w:val="00530F9C"/>
    <w:rsid w:val="00530FBF"/>
    <w:rsid w:val="005318E3"/>
    <w:rsid w:val="00531A52"/>
    <w:rsid w:val="005326BC"/>
    <w:rsid w:val="00532732"/>
    <w:rsid w:val="005328AD"/>
    <w:rsid w:val="00532BCE"/>
    <w:rsid w:val="00532F96"/>
    <w:rsid w:val="005331C4"/>
    <w:rsid w:val="005335A3"/>
    <w:rsid w:val="0053366F"/>
    <w:rsid w:val="00533906"/>
    <w:rsid w:val="00533CE3"/>
    <w:rsid w:val="00533DE5"/>
    <w:rsid w:val="00533FF4"/>
    <w:rsid w:val="0053405B"/>
    <w:rsid w:val="00534591"/>
    <w:rsid w:val="005345E6"/>
    <w:rsid w:val="00534638"/>
    <w:rsid w:val="00534809"/>
    <w:rsid w:val="00534C01"/>
    <w:rsid w:val="00534CAF"/>
    <w:rsid w:val="00534CBA"/>
    <w:rsid w:val="00534CCC"/>
    <w:rsid w:val="00534DE1"/>
    <w:rsid w:val="00534EB6"/>
    <w:rsid w:val="00535235"/>
    <w:rsid w:val="0053527A"/>
    <w:rsid w:val="005358EC"/>
    <w:rsid w:val="005358F5"/>
    <w:rsid w:val="00535B21"/>
    <w:rsid w:val="005360F1"/>
    <w:rsid w:val="00536102"/>
    <w:rsid w:val="00536465"/>
    <w:rsid w:val="00536751"/>
    <w:rsid w:val="00536CF9"/>
    <w:rsid w:val="00537153"/>
    <w:rsid w:val="0053785A"/>
    <w:rsid w:val="00537C4C"/>
    <w:rsid w:val="00537F07"/>
    <w:rsid w:val="00537F3E"/>
    <w:rsid w:val="00540372"/>
    <w:rsid w:val="005406F5"/>
    <w:rsid w:val="005408C2"/>
    <w:rsid w:val="005408D3"/>
    <w:rsid w:val="005408FD"/>
    <w:rsid w:val="00540C0C"/>
    <w:rsid w:val="00540E10"/>
    <w:rsid w:val="00540E32"/>
    <w:rsid w:val="0054107B"/>
    <w:rsid w:val="005413B4"/>
    <w:rsid w:val="005413EA"/>
    <w:rsid w:val="00541447"/>
    <w:rsid w:val="00541573"/>
    <w:rsid w:val="00541B2B"/>
    <w:rsid w:val="00541BCE"/>
    <w:rsid w:val="00541FF3"/>
    <w:rsid w:val="005422DD"/>
    <w:rsid w:val="00542330"/>
    <w:rsid w:val="00542575"/>
    <w:rsid w:val="00542577"/>
    <w:rsid w:val="0054259D"/>
    <w:rsid w:val="00542645"/>
    <w:rsid w:val="005426DB"/>
    <w:rsid w:val="0054276C"/>
    <w:rsid w:val="00542836"/>
    <w:rsid w:val="00542E5C"/>
    <w:rsid w:val="00542EF4"/>
    <w:rsid w:val="00542F06"/>
    <w:rsid w:val="005431C2"/>
    <w:rsid w:val="005431E7"/>
    <w:rsid w:val="005433F4"/>
    <w:rsid w:val="00543474"/>
    <w:rsid w:val="00543691"/>
    <w:rsid w:val="00543868"/>
    <w:rsid w:val="005438D6"/>
    <w:rsid w:val="00543952"/>
    <w:rsid w:val="00544005"/>
    <w:rsid w:val="0054406C"/>
    <w:rsid w:val="0054422D"/>
    <w:rsid w:val="005442B5"/>
    <w:rsid w:val="005446DB"/>
    <w:rsid w:val="00544780"/>
    <w:rsid w:val="00544ADC"/>
    <w:rsid w:val="00544C37"/>
    <w:rsid w:val="00544CAC"/>
    <w:rsid w:val="0054507D"/>
    <w:rsid w:val="00545469"/>
    <w:rsid w:val="00545D60"/>
    <w:rsid w:val="00546580"/>
    <w:rsid w:val="005466D9"/>
    <w:rsid w:val="00546781"/>
    <w:rsid w:val="00546B0C"/>
    <w:rsid w:val="00547104"/>
    <w:rsid w:val="00547208"/>
    <w:rsid w:val="005473E5"/>
    <w:rsid w:val="005473F4"/>
    <w:rsid w:val="00547433"/>
    <w:rsid w:val="00547546"/>
    <w:rsid w:val="00547793"/>
    <w:rsid w:val="00547CDF"/>
    <w:rsid w:val="00547DA2"/>
    <w:rsid w:val="00547E65"/>
    <w:rsid w:val="00547FC3"/>
    <w:rsid w:val="00550069"/>
    <w:rsid w:val="0055045E"/>
    <w:rsid w:val="005507B6"/>
    <w:rsid w:val="00550DFC"/>
    <w:rsid w:val="00550F63"/>
    <w:rsid w:val="00551023"/>
    <w:rsid w:val="00551369"/>
    <w:rsid w:val="00551393"/>
    <w:rsid w:val="005515CA"/>
    <w:rsid w:val="005517D9"/>
    <w:rsid w:val="00551B2F"/>
    <w:rsid w:val="00551B71"/>
    <w:rsid w:val="00551E4F"/>
    <w:rsid w:val="00552508"/>
    <w:rsid w:val="00552D3A"/>
    <w:rsid w:val="00552D5E"/>
    <w:rsid w:val="00553048"/>
    <w:rsid w:val="005530A5"/>
    <w:rsid w:val="005533B9"/>
    <w:rsid w:val="00553908"/>
    <w:rsid w:val="00553B57"/>
    <w:rsid w:val="00553C8B"/>
    <w:rsid w:val="005543CF"/>
    <w:rsid w:val="00554659"/>
    <w:rsid w:val="005546B0"/>
    <w:rsid w:val="005546B8"/>
    <w:rsid w:val="005547F9"/>
    <w:rsid w:val="00554BB0"/>
    <w:rsid w:val="00554FB2"/>
    <w:rsid w:val="0055503F"/>
    <w:rsid w:val="005550F5"/>
    <w:rsid w:val="00555839"/>
    <w:rsid w:val="005559E4"/>
    <w:rsid w:val="00555A02"/>
    <w:rsid w:val="00555BA8"/>
    <w:rsid w:val="00555F6C"/>
    <w:rsid w:val="00555F6D"/>
    <w:rsid w:val="00556688"/>
    <w:rsid w:val="00556759"/>
    <w:rsid w:val="005568BF"/>
    <w:rsid w:val="00556B56"/>
    <w:rsid w:val="0055705A"/>
    <w:rsid w:val="00557218"/>
    <w:rsid w:val="005573AB"/>
    <w:rsid w:val="00557596"/>
    <w:rsid w:val="00557632"/>
    <w:rsid w:val="00557928"/>
    <w:rsid w:val="00557C1C"/>
    <w:rsid w:val="00560879"/>
    <w:rsid w:val="00560958"/>
    <w:rsid w:val="00560A72"/>
    <w:rsid w:val="00560B7B"/>
    <w:rsid w:val="00561250"/>
    <w:rsid w:val="0056126C"/>
    <w:rsid w:val="00561360"/>
    <w:rsid w:val="0056141D"/>
    <w:rsid w:val="00561533"/>
    <w:rsid w:val="00561569"/>
    <w:rsid w:val="00561A96"/>
    <w:rsid w:val="00561C24"/>
    <w:rsid w:val="00561C5E"/>
    <w:rsid w:val="00561C75"/>
    <w:rsid w:val="00561E21"/>
    <w:rsid w:val="00561F31"/>
    <w:rsid w:val="00561F3A"/>
    <w:rsid w:val="00562508"/>
    <w:rsid w:val="005626CB"/>
    <w:rsid w:val="005627BE"/>
    <w:rsid w:val="005629AA"/>
    <w:rsid w:val="00562ABA"/>
    <w:rsid w:val="00562D51"/>
    <w:rsid w:val="0056316D"/>
    <w:rsid w:val="00563643"/>
    <w:rsid w:val="00563764"/>
    <w:rsid w:val="00564061"/>
    <w:rsid w:val="005640D3"/>
    <w:rsid w:val="0056431B"/>
    <w:rsid w:val="00564748"/>
    <w:rsid w:val="00564BB1"/>
    <w:rsid w:val="005659A3"/>
    <w:rsid w:val="00565CCC"/>
    <w:rsid w:val="005660C5"/>
    <w:rsid w:val="00566385"/>
    <w:rsid w:val="0056642F"/>
    <w:rsid w:val="00566554"/>
    <w:rsid w:val="0056657E"/>
    <w:rsid w:val="00566814"/>
    <w:rsid w:val="00566CA9"/>
    <w:rsid w:val="00566D9D"/>
    <w:rsid w:val="00566EC5"/>
    <w:rsid w:val="00566F64"/>
    <w:rsid w:val="00567520"/>
    <w:rsid w:val="0056765C"/>
    <w:rsid w:val="00567712"/>
    <w:rsid w:val="00567882"/>
    <w:rsid w:val="0057000C"/>
    <w:rsid w:val="00570414"/>
    <w:rsid w:val="0057043C"/>
    <w:rsid w:val="00570C1B"/>
    <w:rsid w:val="00570E8F"/>
    <w:rsid w:val="005710AB"/>
    <w:rsid w:val="005715D0"/>
    <w:rsid w:val="00571F19"/>
    <w:rsid w:val="00571F5D"/>
    <w:rsid w:val="00572064"/>
    <w:rsid w:val="0057208D"/>
    <w:rsid w:val="00572091"/>
    <w:rsid w:val="005721A9"/>
    <w:rsid w:val="00572203"/>
    <w:rsid w:val="00572482"/>
    <w:rsid w:val="005724AD"/>
    <w:rsid w:val="0057257B"/>
    <w:rsid w:val="00572E50"/>
    <w:rsid w:val="00572FCD"/>
    <w:rsid w:val="00573088"/>
    <w:rsid w:val="005730F0"/>
    <w:rsid w:val="005732F4"/>
    <w:rsid w:val="005733E2"/>
    <w:rsid w:val="0057370E"/>
    <w:rsid w:val="00574496"/>
    <w:rsid w:val="0057458E"/>
    <w:rsid w:val="00574652"/>
    <w:rsid w:val="005746ED"/>
    <w:rsid w:val="00574A4D"/>
    <w:rsid w:val="00574A6A"/>
    <w:rsid w:val="00574D9F"/>
    <w:rsid w:val="00575389"/>
    <w:rsid w:val="00575CF4"/>
    <w:rsid w:val="00576010"/>
    <w:rsid w:val="00576530"/>
    <w:rsid w:val="0057656E"/>
    <w:rsid w:val="00576604"/>
    <w:rsid w:val="00576A8D"/>
    <w:rsid w:val="00576FFD"/>
    <w:rsid w:val="00577240"/>
    <w:rsid w:val="00577954"/>
    <w:rsid w:val="00577A79"/>
    <w:rsid w:val="00577C34"/>
    <w:rsid w:val="00577C80"/>
    <w:rsid w:val="00580230"/>
    <w:rsid w:val="00580CF8"/>
    <w:rsid w:val="00580E4B"/>
    <w:rsid w:val="00580FF2"/>
    <w:rsid w:val="00581132"/>
    <w:rsid w:val="00581317"/>
    <w:rsid w:val="0058160D"/>
    <w:rsid w:val="005817E7"/>
    <w:rsid w:val="00581C67"/>
    <w:rsid w:val="00581CFD"/>
    <w:rsid w:val="00581E5D"/>
    <w:rsid w:val="00582210"/>
    <w:rsid w:val="00582275"/>
    <w:rsid w:val="00582731"/>
    <w:rsid w:val="0058274E"/>
    <w:rsid w:val="005828AB"/>
    <w:rsid w:val="00582926"/>
    <w:rsid w:val="00582C2A"/>
    <w:rsid w:val="00582C48"/>
    <w:rsid w:val="00583479"/>
    <w:rsid w:val="00583547"/>
    <w:rsid w:val="005837AB"/>
    <w:rsid w:val="005837E2"/>
    <w:rsid w:val="005837E7"/>
    <w:rsid w:val="00583BA4"/>
    <w:rsid w:val="00583CC2"/>
    <w:rsid w:val="005840B7"/>
    <w:rsid w:val="00584201"/>
    <w:rsid w:val="005843C3"/>
    <w:rsid w:val="00584629"/>
    <w:rsid w:val="005846E2"/>
    <w:rsid w:val="00584EA4"/>
    <w:rsid w:val="005854B3"/>
    <w:rsid w:val="00585F11"/>
    <w:rsid w:val="00586230"/>
    <w:rsid w:val="00586360"/>
    <w:rsid w:val="00586773"/>
    <w:rsid w:val="00586D91"/>
    <w:rsid w:val="00586E08"/>
    <w:rsid w:val="00586F9B"/>
    <w:rsid w:val="00587039"/>
    <w:rsid w:val="005873D1"/>
    <w:rsid w:val="0058767B"/>
    <w:rsid w:val="005876D9"/>
    <w:rsid w:val="005876EC"/>
    <w:rsid w:val="0058781A"/>
    <w:rsid w:val="00587BC1"/>
    <w:rsid w:val="00587BCD"/>
    <w:rsid w:val="00587C73"/>
    <w:rsid w:val="0059048A"/>
    <w:rsid w:val="00590761"/>
    <w:rsid w:val="00590799"/>
    <w:rsid w:val="00590EC7"/>
    <w:rsid w:val="00590FA6"/>
    <w:rsid w:val="005910B4"/>
    <w:rsid w:val="00591135"/>
    <w:rsid w:val="00591189"/>
    <w:rsid w:val="0059128D"/>
    <w:rsid w:val="005914BE"/>
    <w:rsid w:val="005914F8"/>
    <w:rsid w:val="00591972"/>
    <w:rsid w:val="005923D4"/>
    <w:rsid w:val="005925E5"/>
    <w:rsid w:val="00592D06"/>
    <w:rsid w:val="00592D46"/>
    <w:rsid w:val="00593372"/>
    <w:rsid w:val="005937E8"/>
    <w:rsid w:val="00593A85"/>
    <w:rsid w:val="00593C68"/>
    <w:rsid w:val="0059446E"/>
    <w:rsid w:val="005945C3"/>
    <w:rsid w:val="005945EF"/>
    <w:rsid w:val="0059461E"/>
    <w:rsid w:val="0059463A"/>
    <w:rsid w:val="0059538A"/>
    <w:rsid w:val="005956EB"/>
    <w:rsid w:val="00596792"/>
    <w:rsid w:val="00596A8F"/>
    <w:rsid w:val="00596B49"/>
    <w:rsid w:val="00596B50"/>
    <w:rsid w:val="00596F6D"/>
    <w:rsid w:val="0059713C"/>
    <w:rsid w:val="005972B9"/>
    <w:rsid w:val="00597713"/>
    <w:rsid w:val="00597760"/>
    <w:rsid w:val="005977F6"/>
    <w:rsid w:val="0059786C"/>
    <w:rsid w:val="00597B47"/>
    <w:rsid w:val="00597CED"/>
    <w:rsid w:val="005A048B"/>
    <w:rsid w:val="005A08F7"/>
    <w:rsid w:val="005A0ADE"/>
    <w:rsid w:val="005A0C27"/>
    <w:rsid w:val="005A0D36"/>
    <w:rsid w:val="005A0EC2"/>
    <w:rsid w:val="005A105F"/>
    <w:rsid w:val="005A154E"/>
    <w:rsid w:val="005A178B"/>
    <w:rsid w:val="005A189B"/>
    <w:rsid w:val="005A1CEB"/>
    <w:rsid w:val="005A1F1C"/>
    <w:rsid w:val="005A1F4A"/>
    <w:rsid w:val="005A2660"/>
    <w:rsid w:val="005A2A08"/>
    <w:rsid w:val="005A2A41"/>
    <w:rsid w:val="005A2A60"/>
    <w:rsid w:val="005A2B27"/>
    <w:rsid w:val="005A2C81"/>
    <w:rsid w:val="005A354A"/>
    <w:rsid w:val="005A3705"/>
    <w:rsid w:val="005A37E4"/>
    <w:rsid w:val="005A3983"/>
    <w:rsid w:val="005A3F59"/>
    <w:rsid w:val="005A4391"/>
    <w:rsid w:val="005A44FA"/>
    <w:rsid w:val="005A49E7"/>
    <w:rsid w:val="005A51F8"/>
    <w:rsid w:val="005A5730"/>
    <w:rsid w:val="005A57E7"/>
    <w:rsid w:val="005A5F85"/>
    <w:rsid w:val="005A5FA4"/>
    <w:rsid w:val="005A5FC6"/>
    <w:rsid w:val="005A6096"/>
    <w:rsid w:val="005A64BE"/>
    <w:rsid w:val="005A65FF"/>
    <w:rsid w:val="005A6736"/>
    <w:rsid w:val="005A67AE"/>
    <w:rsid w:val="005A6B9E"/>
    <w:rsid w:val="005A6C03"/>
    <w:rsid w:val="005A75BD"/>
    <w:rsid w:val="005A765B"/>
    <w:rsid w:val="005A76D5"/>
    <w:rsid w:val="005A7858"/>
    <w:rsid w:val="005A7A6F"/>
    <w:rsid w:val="005B000A"/>
    <w:rsid w:val="005B001F"/>
    <w:rsid w:val="005B00FC"/>
    <w:rsid w:val="005B02FB"/>
    <w:rsid w:val="005B0601"/>
    <w:rsid w:val="005B0671"/>
    <w:rsid w:val="005B07E1"/>
    <w:rsid w:val="005B08A6"/>
    <w:rsid w:val="005B092F"/>
    <w:rsid w:val="005B0999"/>
    <w:rsid w:val="005B09E6"/>
    <w:rsid w:val="005B11A8"/>
    <w:rsid w:val="005B130C"/>
    <w:rsid w:val="005B149B"/>
    <w:rsid w:val="005B14B4"/>
    <w:rsid w:val="005B1589"/>
    <w:rsid w:val="005B169E"/>
    <w:rsid w:val="005B1741"/>
    <w:rsid w:val="005B18CC"/>
    <w:rsid w:val="005B18FF"/>
    <w:rsid w:val="005B19A3"/>
    <w:rsid w:val="005B1B23"/>
    <w:rsid w:val="005B1BCF"/>
    <w:rsid w:val="005B273F"/>
    <w:rsid w:val="005B28F2"/>
    <w:rsid w:val="005B3094"/>
    <w:rsid w:val="005B345B"/>
    <w:rsid w:val="005B361A"/>
    <w:rsid w:val="005B3830"/>
    <w:rsid w:val="005B3E09"/>
    <w:rsid w:val="005B42DF"/>
    <w:rsid w:val="005B46DC"/>
    <w:rsid w:val="005B4873"/>
    <w:rsid w:val="005B4A57"/>
    <w:rsid w:val="005B4B3D"/>
    <w:rsid w:val="005B4C55"/>
    <w:rsid w:val="005B4EDE"/>
    <w:rsid w:val="005B523A"/>
    <w:rsid w:val="005B527D"/>
    <w:rsid w:val="005B5363"/>
    <w:rsid w:val="005B55D7"/>
    <w:rsid w:val="005B578F"/>
    <w:rsid w:val="005B58D5"/>
    <w:rsid w:val="005B5E3B"/>
    <w:rsid w:val="005B5F51"/>
    <w:rsid w:val="005B60E1"/>
    <w:rsid w:val="005B6270"/>
    <w:rsid w:val="005B6963"/>
    <w:rsid w:val="005B696F"/>
    <w:rsid w:val="005B69A2"/>
    <w:rsid w:val="005B6D5F"/>
    <w:rsid w:val="005B6DBD"/>
    <w:rsid w:val="005B6F39"/>
    <w:rsid w:val="005B73F0"/>
    <w:rsid w:val="005B77B6"/>
    <w:rsid w:val="005B77BA"/>
    <w:rsid w:val="005B7DDB"/>
    <w:rsid w:val="005B7E1F"/>
    <w:rsid w:val="005C018E"/>
    <w:rsid w:val="005C0666"/>
    <w:rsid w:val="005C10FA"/>
    <w:rsid w:val="005C149B"/>
    <w:rsid w:val="005C1B44"/>
    <w:rsid w:val="005C1E93"/>
    <w:rsid w:val="005C2392"/>
    <w:rsid w:val="005C2782"/>
    <w:rsid w:val="005C27AD"/>
    <w:rsid w:val="005C2925"/>
    <w:rsid w:val="005C298C"/>
    <w:rsid w:val="005C29C3"/>
    <w:rsid w:val="005C2F16"/>
    <w:rsid w:val="005C3516"/>
    <w:rsid w:val="005C3588"/>
    <w:rsid w:val="005C3800"/>
    <w:rsid w:val="005C419E"/>
    <w:rsid w:val="005C430B"/>
    <w:rsid w:val="005C4362"/>
    <w:rsid w:val="005C4529"/>
    <w:rsid w:val="005C4570"/>
    <w:rsid w:val="005C4575"/>
    <w:rsid w:val="005C46CF"/>
    <w:rsid w:val="005C47B9"/>
    <w:rsid w:val="005C4BF4"/>
    <w:rsid w:val="005C4C98"/>
    <w:rsid w:val="005C4F20"/>
    <w:rsid w:val="005C50D6"/>
    <w:rsid w:val="005C516B"/>
    <w:rsid w:val="005C5B5F"/>
    <w:rsid w:val="005C5BBB"/>
    <w:rsid w:val="005C5D2D"/>
    <w:rsid w:val="005C5F97"/>
    <w:rsid w:val="005C61C5"/>
    <w:rsid w:val="005C63D5"/>
    <w:rsid w:val="005C668C"/>
    <w:rsid w:val="005C6C15"/>
    <w:rsid w:val="005C6E8F"/>
    <w:rsid w:val="005C6E9C"/>
    <w:rsid w:val="005C7B4D"/>
    <w:rsid w:val="005C7C36"/>
    <w:rsid w:val="005C7DE8"/>
    <w:rsid w:val="005D0110"/>
    <w:rsid w:val="005D013D"/>
    <w:rsid w:val="005D02F2"/>
    <w:rsid w:val="005D0310"/>
    <w:rsid w:val="005D0444"/>
    <w:rsid w:val="005D046E"/>
    <w:rsid w:val="005D0C68"/>
    <w:rsid w:val="005D0F0B"/>
    <w:rsid w:val="005D1205"/>
    <w:rsid w:val="005D18C1"/>
    <w:rsid w:val="005D2423"/>
    <w:rsid w:val="005D2637"/>
    <w:rsid w:val="005D2B0C"/>
    <w:rsid w:val="005D32C9"/>
    <w:rsid w:val="005D3567"/>
    <w:rsid w:val="005D3B31"/>
    <w:rsid w:val="005D3E84"/>
    <w:rsid w:val="005D3E8D"/>
    <w:rsid w:val="005D41BD"/>
    <w:rsid w:val="005D4216"/>
    <w:rsid w:val="005D43A7"/>
    <w:rsid w:val="005D44BE"/>
    <w:rsid w:val="005D4636"/>
    <w:rsid w:val="005D4A96"/>
    <w:rsid w:val="005D4C2C"/>
    <w:rsid w:val="005D4DC0"/>
    <w:rsid w:val="005D4F5A"/>
    <w:rsid w:val="005D50A9"/>
    <w:rsid w:val="005D52C7"/>
    <w:rsid w:val="005D5562"/>
    <w:rsid w:val="005D55AC"/>
    <w:rsid w:val="005D5769"/>
    <w:rsid w:val="005D5E5F"/>
    <w:rsid w:val="005D63E6"/>
    <w:rsid w:val="005D6E87"/>
    <w:rsid w:val="005D70E6"/>
    <w:rsid w:val="005D710C"/>
    <w:rsid w:val="005D72D1"/>
    <w:rsid w:val="005D7407"/>
    <w:rsid w:val="005D759D"/>
    <w:rsid w:val="005D7646"/>
    <w:rsid w:val="005D7AA0"/>
    <w:rsid w:val="005D7B6B"/>
    <w:rsid w:val="005D7D0F"/>
    <w:rsid w:val="005D7E08"/>
    <w:rsid w:val="005E066A"/>
    <w:rsid w:val="005E0E0E"/>
    <w:rsid w:val="005E146B"/>
    <w:rsid w:val="005E14EF"/>
    <w:rsid w:val="005E14FB"/>
    <w:rsid w:val="005E16E6"/>
    <w:rsid w:val="005E18AA"/>
    <w:rsid w:val="005E1AFE"/>
    <w:rsid w:val="005E1F6F"/>
    <w:rsid w:val="005E22C8"/>
    <w:rsid w:val="005E248D"/>
    <w:rsid w:val="005E27BA"/>
    <w:rsid w:val="005E2949"/>
    <w:rsid w:val="005E2CD3"/>
    <w:rsid w:val="005E2F56"/>
    <w:rsid w:val="005E3035"/>
    <w:rsid w:val="005E38AD"/>
    <w:rsid w:val="005E396C"/>
    <w:rsid w:val="005E39BC"/>
    <w:rsid w:val="005E4297"/>
    <w:rsid w:val="005E4329"/>
    <w:rsid w:val="005E433E"/>
    <w:rsid w:val="005E4424"/>
    <w:rsid w:val="005E4645"/>
    <w:rsid w:val="005E485D"/>
    <w:rsid w:val="005E49A7"/>
    <w:rsid w:val="005E4CC6"/>
    <w:rsid w:val="005E4D0E"/>
    <w:rsid w:val="005E4ECB"/>
    <w:rsid w:val="005E5075"/>
    <w:rsid w:val="005E52B7"/>
    <w:rsid w:val="005E551C"/>
    <w:rsid w:val="005E56A3"/>
    <w:rsid w:val="005E5835"/>
    <w:rsid w:val="005E5A27"/>
    <w:rsid w:val="005E6015"/>
    <w:rsid w:val="005E648D"/>
    <w:rsid w:val="005E65C8"/>
    <w:rsid w:val="005E6614"/>
    <w:rsid w:val="005E6900"/>
    <w:rsid w:val="005E7102"/>
    <w:rsid w:val="005E73C1"/>
    <w:rsid w:val="005E74EE"/>
    <w:rsid w:val="005E7659"/>
    <w:rsid w:val="005E7849"/>
    <w:rsid w:val="005E7EAC"/>
    <w:rsid w:val="005E7FCD"/>
    <w:rsid w:val="005F02B0"/>
    <w:rsid w:val="005F0754"/>
    <w:rsid w:val="005F0C21"/>
    <w:rsid w:val="005F0DEB"/>
    <w:rsid w:val="005F15AE"/>
    <w:rsid w:val="005F1A5A"/>
    <w:rsid w:val="005F1F97"/>
    <w:rsid w:val="005F22F6"/>
    <w:rsid w:val="005F268A"/>
    <w:rsid w:val="005F2956"/>
    <w:rsid w:val="005F29F7"/>
    <w:rsid w:val="005F2F1E"/>
    <w:rsid w:val="005F2FF0"/>
    <w:rsid w:val="005F306B"/>
    <w:rsid w:val="005F345E"/>
    <w:rsid w:val="005F36EF"/>
    <w:rsid w:val="005F36F5"/>
    <w:rsid w:val="005F375F"/>
    <w:rsid w:val="005F3BC6"/>
    <w:rsid w:val="005F3E74"/>
    <w:rsid w:val="005F401F"/>
    <w:rsid w:val="005F4320"/>
    <w:rsid w:val="005F44D6"/>
    <w:rsid w:val="005F458E"/>
    <w:rsid w:val="005F4814"/>
    <w:rsid w:val="005F48ED"/>
    <w:rsid w:val="005F4DF6"/>
    <w:rsid w:val="005F4EE0"/>
    <w:rsid w:val="005F5266"/>
    <w:rsid w:val="005F5323"/>
    <w:rsid w:val="005F5443"/>
    <w:rsid w:val="005F5852"/>
    <w:rsid w:val="005F5A31"/>
    <w:rsid w:val="005F5AC1"/>
    <w:rsid w:val="005F5CA8"/>
    <w:rsid w:val="005F5D85"/>
    <w:rsid w:val="005F5ECC"/>
    <w:rsid w:val="005F6017"/>
    <w:rsid w:val="005F6464"/>
    <w:rsid w:val="005F6977"/>
    <w:rsid w:val="005F782B"/>
    <w:rsid w:val="005F78C0"/>
    <w:rsid w:val="005F78D6"/>
    <w:rsid w:val="005F7921"/>
    <w:rsid w:val="005F7945"/>
    <w:rsid w:val="005F7E07"/>
    <w:rsid w:val="006000A5"/>
    <w:rsid w:val="0060029A"/>
    <w:rsid w:val="00600437"/>
    <w:rsid w:val="00600466"/>
    <w:rsid w:val="006005C9"/>
    <w:rsid w:val="00600679"/>
    <w:rsid w:val="006006C2"/>
    <w:rsid w:val="006006CE"/>
    <w:rsid w:val="006007AE"/>
    <w:rsid w:val="00600A13"/>
    <w:rsid w:val="00600AD4"/>
    <w:rsid w:val="00600BEA"/>
    <w:rsid w:val="0060110D"/>
    <w:rsid w:val="0060112B"/>
    <w:rsid w:val="00601200"/>
    <w:rsid w:val="006016C7"/>
    <w:rsid w:val="006016D6"/>
    <w:rsid w:val="00601765"/>
    <w:rsid w:val="006018E6"/>
    <w:rsid w:val="00601BE2"/>
    <w:rsid w:val="00601C25"/>
    <w:rsid w:val="006025E2"/>
    <w:rsid w:val="00602DA1"/>
    <w:rsid w:val="00602DB0"/>
    <w:rsid w:val="0060316C"/>
    <w:rsid w:val="0060332F"/>
    <w:rsid w:val="006034E2"/>
    <w:rsid w:val="00603C29"/>
    <w:rsid w:val="00603C72"/>
    <w:rsid w:val="00603D32"/>
    <w:rsid w:val="00603FE7"/>
    <w:rsid w:val="006042C5"/>
    <w:rsid w:val="00604602"/>
    <w:rsid w:val="0060477B"/>
    <w:rsid w:val="00604869"/>
    <w:rsid w:val="00604BC7"/>
    <w:rsid w:val="00604DD4"/>
    <w:rsid w:val="00604FA9"/>
    <w:rsid w:val="006051AF"/>
    <w:rsid w:val="006052D9"/>
    <w:rsid w:val="006054A3"/>
    <w:rsid w:val="0060561C"/>
    <w:rsid w:val="0060595F"/>
    <w:rsid w:val="006059C5"/>
    <w:rsid w:val="00605C24"/>
    <w:rsid w:val="00605D33"/>
    <w:rsid w:val="00605E1D"/>
    <w:rsid w:val="00605EDA"/>
    <w:rsid w:val="00605F8E"/>
    <w:rsid w:val="006061BC"/>
    <w:rsid w:val="006061CE"/>
    <w:rsid w:val="006061FD"/>
    <w:rsid w:val="0060699D"/>
    <w:rsid w:val="00606EAC"/>
    <w:rsid w:val="006071D3"/>
    <w:rsid w:val="0060725A"/>
    <w:rsid w:val="0060748B"/>
    <w:rsid w:val="006078C1"/>
    <w:rsid w:val="00607940"/>
    <w:rsid w:val="00607A4B"/>
    <w:rsid w:val="00607E44"/>
    <w:rsid w:val="0061004C"/>
    <w:rsid w:val="0061013A"/>
    <w:rsid w:val="0061018B"/>
    <w:rsid w:val="00610200"/>
    <w:rsid w:val="006104A4"/>
    <w:rsid w:val="0061070E"/>
    <w:rsid w:val="0061085E"/>
    <w:rsid w:val="00610A22"/>
    <w:rsid w:val="00610D01"/>
    <w:rsid w:val="00610D86"/>
    <w:rsid w:val="00611051"/>
    <w:rsid w:val="0061136B"/>
    <w:rsid w:val="00611BBF"/>
    <w:rsid w:val="00611F0B"/>
    <w:rsid w:val="00612374"/>
    <w:rsid w:val="00612508"/>
    <w:rsid w:val="00612C64"/>
    <w:rsid w:val="006134E5"/>
    <w:rsid w:val="00613594"/>
    <w:rsid w:val="006135D4"/>
    <w:rsid w:val="00613716"/>
    <w:rsid w:val="006137CA"/>
    <w:rsid w:val="00613EE4"/>
    <w:rsid w:val="00614068"/>
    <w:rsid w:val="00614129"/>
    <w:rsid w:val="00614169"/>
    <w:rsid w:val="00614240"/>
    <w:rsid w:val="0061429F"/>
    <w:rsid w:val="0061431B"/>
    <w:rsid w:val="00614428"/>
    <w:rsid w:val="006145C8"/>
    <w:rsid w:val="00614854"/>
    <w:rsid w:val="00614C36"/>
    <w:rsid w:val="00614FF5"/>
    <w:rsid w:val="0061564E"/>
    <w:rsid w:val="0061572E"/>
    <w:rsid w:val="00615AFF"/>
    <w:rsid w:val="00615C16"/>
    <w:rsid w:val="00615CCA"/>
    <w:rsid w:val="00615E97"/>
    <w:rsid w:val="0061608F"/>
    <w:rsid w:val="00616260"/>
    <w:rsid w:val="00616272"/>
    <w:rsid w:val="006167D7"/>
    <w:rsid w:val="00616EC7"/>
    <w:rsid w:val="0061741C"/>
    <w:rsid w:val="00617B89"/>
    <w:rsid w:val="00617CB4"/>
    <w:rsid w:val="00617DF9"/>
    <w:rsid w:val="00617EAE"/>
    <w:rsid w:val="006206C5"/>
    <w:rsid w:val="00620B57"/>
    <w:rsid w:val="00620BF1"/>
    <w:rsid w:val="00620D19"/>
    <w:rsid w:val="00620D66"/>
    <w:rsid w:val="00620E95"/>
    <w:rsid w:val="0062107E"/>
    <w:rsid w:val="006210F3"/>
    <w:rsid w:val="00621134"/>
    <w:rsid w:val="0062127A"/>
    <w:rsid w:val="00621634"/>
    <w:rsid w:val="0062177A"/>
    <w:rsid w:val="00621FD5"/>
    <w:rsid w:val="0062210F"/>
    <w:rsid w:val="00622359"/>
    <w:rsid w:val="006226C6"/>
    <w:rsid w:val="00622AA4"/>
    <w:rsid w:val="00622EF1"/>
    <w:rsid w:val="00622F2F"/>
    <w:rsid w:val="006233D9"/>
    <w:rsid w:val="00623490"/>
    <w:rsid w:val="00623598"/>
    <w:rsid w:val="00623C68"/>
    <w:rsid w:val="00623C9C"/>
    <w:rsid w:val="00623DB6"/>
    <w:rsid w:val="006242C5"/>
    <w:rsid w:val="006244D4"/>
    <w:rsid w:val="006245E6"/>
    <w:rsid w:val="00625417"/>
    <w:rsid w:val="006257CD"/>
    <w:rsid w:val="00625C3B"/>
    <w:rsid w:val="00625D01"/>
    <w:rsid w:val="0062654B"/>
    <w:rsid w:val="00626824"/>
    <w:rsid w:val="00626E60"/>
    <w:rsid w:val="00627BE8"/>
    <w:rsid w:val="00627E1C"/>
    <w:rsid w:val="00630063"/>
    <w:rsid w:val="0063025C"/>
    <w:rsid w:val="006302F6"/>
    <w:rsid w:val="00630BC8"/>
    <w:rsid w:val="00630EE6"/>
    <w:rsid w:val="006313A6"/>
    <w:rsid w:val="0063158B"/>
    <w:rsid w:val="006319DF"/>
    <w:rsid w:val="00631B6E"/>
    <w:rsid w:val="00631FB0"/>
    <w:rsid w:val="00631FF3"/>
    <w:rsid w:val="006321DB"/>
    <w:rsid w:val="0063238E"/>
    <w:rsid w:val="0063294E"/>
    <w:rsid w:val="00632AAD"/>
    <w:rsid w:val="00632BC9"/>
    <w:rsid w:val="00633323"/>
    <w:rsid w:val="0063340E"/>
    <w:rsid w:val="00633F28"/>
    <w:rsid w:val="0063437B"/>
    <w:rsid w:val="00634566"/>
    <w:rsid w:val="006349B9"/>
    <w:rsid w:val="00634A1D"/>
    <w:rsid w:val="00634A4D"/>
    <w:rsid w:val="00634B34"/>
    <w:rsid w:val="00634C1A"/>
    <w:rsid w:val="00634C32"/>
    <w:rsid w:val="00634D3B"/>
    <w:rsid w:val="00634F2D"/>
    <w:rsid w:val="00634F3C"/>
    <w:rsid w:val="006350C7"/>
    <w:rsid w:val="00635232"/>
    <w:rsid w:val="00635320"/>
    <w:rsid w:val="00635B9E"/>
    <w:rsid w:val="006360F4"/>
    <w:rsid w:val="00636197"/>
    <w:rsid w:val="0063689D"/>
    <w:rsid w:val="00636BDB"/>
    <w:rsid w:val="00637515"/>
    <w:rsid w:val="006376EE"/>
    <w:rsid w:val="00637C37"/>
    <w:rsid w:val="00637D88"/>
    <w:rsid w:val="00640F51"/>
    <w:rsid w:val="006410AA"/>
    <w:rsid w:val="0064116C"/>
    <w:rsid w:val="00641DD0"/>
    <w:rsid w:val="00641FDE"/>
    <w:rsid w:val="0064205A"/>
    <w:rsid w:val="006421F6"/>
    <w:rsid w:val="00642678"/>
    <w:rsid w:val="00642735"/>
    <w:rsid w:val="0064293B"/>
    <w:rsid w:val="00642C84"/>
    <w:rsid w:val="00643183"/>
    <w:rsid w:val="0064375E"/>
    <w:rsid w:val="00643AB2"/>
    <w:rsid w:val="00643AF0"/>
    <w:rsid w:val="00643CF6"/>
    <w:rsid w:val="00644085"/>
    <w:rsid w:val="00644450"/>
    <w:rsid w:val="006444D3"/>
    <w:rsid w:val="00644529"/>
    <w:rsid w:val="00644799"/>
    <w:rsid w:val="00644C86"/>
    <w:rsid w:val="00644F40"/>
    <w:rsid w:val="006453AC"/>
    <w:rsid w:val="00645A3E"/>
    <w:rsid w:val="00645AC5"/>
    <w:rsid w:val="006463E5"/>
    <w:rsid w:val="00646557"/>
    <w:rsid w:val="00646625"/>
    <w:rsid w:val="006467D3"/>
    <w:rsid w:val="00646B20"/>
    <w:rsid w:val="00646EBC"/>
    <w:rsid w:val="00646FB0"/>
    <w:rsid w:val="006470B3"/>
    <w:rsid w:val="006477DE"/>
    <w:rsid w:val="00647D9A"/>
    <w:rsid w:val="006500E9"/>
    <w:rsid w:val="00650418"/>
    <w:rsid w:val="00650511"/>
    <w:rsid w:val="006507B3"/>
    <w:rsid w:val="00650A90"/>
    <w:rsid w:val="00650BDE"/>
    <w:rsid w:val="00650E60"/>
    <w:rsid w:val="00650E90"/>
    <w:rsid w:val="006510EE"/>
    <w:rsid w:val="006515BC"/>
    <w:rsid w:val="006519AC"/>
    <w:rsid w:val="00651D21"/>
    <w:rsid w:val="00651DF5"/>
    <w:rsid w:val="00651F71"/>
    <w:rsid w:val="006521F2"/>
    <w:rsid w:val="00652351"/>
    <w:rsid w:val="00652408"/>
    <w:rsid w:val="006525A3"/>
    <w:rsid w:val="00652BDE"/>
    <w:rsid w:val="00652D12"/>
    <w:rsid w:val="0065303E"/>
    <w:rsid w:val="0065318B"/>
    <w:rsid w:val="00653306"/>
    <w:rsid w:val="006534AE"/>
    <w:rsid w:val="00653615"/>
    <w:rsid w:val="006537EE"/>
    <w:rsid w:val="00653857"/>
    <w:rsid w:val="006538AB"/>
    <w:rsid w:val="0065390D"/>
    <w:rsid w:val="0065394F"/>
    <w:rsid w:val="00653989"/>
    <w:rsid w:val="00653EC2"/>
    <w:rsid w:val="00653F47"/>
    <w:rsid w:val="00653F6C"/>
    <w:rsid w:val="00654038"/>
    <w:rsid w:val="00654157"/>
    <w:rsid w:val="00654564"/>
    <w:rsid w:val="00654935"/>
    <w:rsid w:val="00654B88"/>
    <w:rsid w:val="00654D3A"/>
    <w:rsid w:val="00654ED2"/>
    <w:rsid w:val="006550B9"/>
    <w:rsid w:val="006552A6"/>
    <w:rsid w:val="006555ED"/>
    <w:rsid w:val="00655652"/>
    <w:rsid w:val="006556C3"/>
    <w:rsid w:val="006558E9"/>
    <w:rsid w:val="00655CA0"/>
    <w:rsid w:val="00655DFE"/>
    <w:rsid w:val="00656203"/>
    <w:rsid w:val="0065620D"/>
    <w:rsid w:val="006562FA"/>
    <w:rsid w:val="0065643D"/>
    <w:rsid w:val="006568D9"/>
    <w:rsid w:val="00656942"/>
    <w:rsid w:val="00656A92"/>
    <w:rsid w:val="00656B5C"/>
    <w:rsid w:val="00656DDF"/>
    <w:rsid w:val="00656F70"/>
    <w:rsid w:val="00656FBD"/>
    <w:rsid w:val="0065751A"/>
    <w:rsid w:val="00657797"/>
    <w:rsid w:val="006577C9"/>
    <w:rsid w:val="00657804"/>
    <w:rsid w:val="0065786B"/>
    <w:rsid w:val="006578D4"/>
    <w:rsid w:val="006579A9"/>
    <w:rsid w:val="00657B84"/>
    <w:rsid w:val="00657C7C"/>
    <w:rsid w:val="00657C86"/>
    <w:rsid w:val="00660107"/>
    <w:rsid w:val="0066035E"/>
    <w:rsid w:val="0066079E"/>
    <w:rsid w:val="0066084A"/>
    <w:rsid w:val="00660923"/>
    <w:rsid w:val="00660A47"/>
    <w:rsid w:val="00660A58"/>
    <w:rsid w:val="00660B89"/>
    <w:rsid w:val="00660BA4"/>
    <w:rsid w:val="00660C93"/>
    <w:rsid w:val="00660CA9"/>
    <w:rsid w:val="00660E08"/>
    <w:rsid w:val="0066141E"/>
    <w:rsid w:val="00661514"/>
    <w:rsid w:val="00661B65"/>
    <w:rsid w:val="00661EC2"/>
    <w:rsid w:val="006620F4"/>
    <w:rsid w:val="0066228B"/>
    <w:rsid w:val="00662440"/>
    <w:rsid w:val="0066279C"/>
    <w:rsid w:val="006627F2"/>
    <w:rsid w:val="00662869"/>
    <w:rsid w:val="006628F5"/>
    <w:rsid w:val="00662D35"/>
    <w:rsid w:val="00662E63"/>
    <w:rsid w:val="00663083"/>
    <w:rsid w:val="00663455"/>
    <w:rsid w:val="00663581"/>
    <w:rsid w:val="00663B32"/>
    <w:rsid w:val="00664249"/>
    <w:rsid w:val="00664493"/>
    <w:rsid w:val="00664600"/>
    <w:rsid w:val="0066501A"/>
    <w:rsid w:val="00665B33"/>
    <w:rsid w:val="00665B9B"/>
    <w:rsid w:val="00665DF7"/>
    <w:rsid w:val="00666232"/>
    <w:rsid w:val="0066671F"/>
    <w:rsid w:val="006668D9"/>
    <w:rsid w:val="006668DC"/>
    <w:rsid w:val="006669C2"/>
    <w:rsid w:val="00666F64"/>
    <w:rsid w:val="0066738D"/>
    <w:rsid w:val="00667A07"/>
    <w:rsid w:val="00667A6C"/>
    <w:rsid w:val="00667DC7"/>
    <w:rsid w:val="00667E42"/>
    <w:rsid w:val="006700BD"/>
    <w:rsid w:val="006700C4"/>
    <w:rsid w:val="0067025A"/>
    <w:rsid w:val="00670418"/>
    <w:rsid w:val="00670B75"/>
    <w:rsid w:val="00670BF2"/>
    <w:rsid w:val="00670C33"/>
    <w:rsid w:val="00670D5F"/>
    <w:rsid w:val="00671169"/>
    <w:rsid w:val="006713B0"/>
    <w:rsid w:val="0067170B"/>
    <w:rsid w:val="00671789"/>
    <w:rsid w:val="00671A76"/>
    <w:rsid w:val="00671CF0"/>
    <w:rsid w:val="00672600"/>
    <w:rsid w:val="006726B5"/>
    <w:rsid w:val="006726DF"/>
    <w:rsid w:val="006728C1"/>
    <w:rsid w:val="00672AD5"/>
    <w:rsid w:val="00672CBB"/>
    <w:rsid w:val="006735DD"/>
    <w:rsid w:val="00673771"/>
    <w:rsid w:val="0067391E"/>
    <w:rsid w:val="0067399B"/>
    <w:rsid w:val="00673A11"/>
    <w:rsid w:val="00674051"/>
    <w:rsid w:val="0067406E"/>
    <w:rsid w:val="006752A4"/>
    <w:rsid w:val="00675301"/>
    <w:rsid w:val="00675362"/>
    <w:rsid w:val="00675856"/>
    <w:rsid w:val="006758FC"/>
    <w:rsid w:val="006759AD"/>
    <w:rsid w:val="00675E6F"/>
    <w:rsid w:val="006760D2"/>
    <w:rsid w:val="00676154"/>
    <w:rsid w:val="00676295"/>
    <w:rsid w:val="00676361"/>
    <w:rsid w:val="006764E2"/>
    <w:rsid w:val="006764EB"/>
    <w:rsid w:val="00676561"/>
    <w:rsid w:val="00676CF0"/>
    <w:rsid w:val="00677225"/>
    <w:rsid w:val="006773C0"/>
    <w:rsid w:val="0067742F"/>
    <w:rsid w:val="00677541"/>
    <w:rsid w:val="00677605"/>
    <w:rsid w:val="006776F3"/>
    <w:rsid w:val="00677C1B"/>
    <w:rsid w:val="00677D64"/>
    <w:rsid w:val="006802A6"/>
    <w:rsid w:val="0068035C"/>
    <w:rsid w:val="006805C6"/>
    <w:rsid w:val="00680623"/>
    <w:rsid w:val="006806BD"/>
    <w:rsid w:val="00680A53"/>
    <w:rsid w:val="00680BBC"/>
    <w:rsid w:val="006812B6"/>
    <w:rsid w:val="00681890"/>
    <w:rsid w:val="0068194C"/>
    <w:rsid w:val="0068195C"/>
    <w:rsid w:val="00681D22"/>
    <w:rsid w:val="00681DA2"/>
    <w:rsid w:val="0068207A"/>
    <w:rsid w:val="00682129"/>
    <w:rsid w:val="00682345"/>
    <w:rsid w:val="00682416"/>
    <w:rsid w:val="00682560"/>
    <w:rsid w:val="006827EC"/>
    <w:rsid w:val="00682AD4"/>
    <w:rsid w:val="00683028"/>
    <w:rsid w:val="006830DB"/>
    <w:rsid w:val="006832C8"/>
    <w:rsid w:val="00683B4E"/>
    <w:rsid w:val="00683C9B"/>
    <w:rsid w:val="00683D62"/>
    <w:rsid w:val="006847E3"/>
    <w:rsid w:val="0068488D"/>
    <w:rsid w:val="006848A1"/>
    <w:rsid w:val="00684D3E"/>
    <w:rsid w:val="00685032"/>
    <w:rsid w:val="00685236"/>
    <w:rsid w:val="006853F8"/>
    <w:rsid w:val="006854B9"/>
    <w:rsid w:val="00685D99"/>
    <w:rsid w:val="00686077"/>
    <w:rsid w:val="00686113"/>
    <w:rsid w:val="0068614D"/>
    <w:rsid w:val="00686190"/>
    <w:rsid w:val="006861E6"/>
    <w:rsid w:val="00686687"/>
    <w:rsid w:val="0068674F"/>
    <w:rsid w:val="0068693D"/>
    <w:rsid w:val="00686E5D"/>
    <w:rsid w:val="00687163"/>
    <w:rsid w:val="0068732E"/>
    <w:rsid w:val="006877AC"/>
    <w:rsid w:val="00687D01"/>
    <w:rsid w:val="00687EB7"/>
    <w:rsid w:val="00687EC4"/>
    <w:rsid w:val="006904D0"/>
    <w:rsid w:val="006905E1"/>
    <w:rsid w:val="00690935"/>
    <w:rsid w:val="0069094D"/>
    <w:rsid w:val="00690C26"/>
    <w:rsid w:val="006912B8"/>
    <w:rsid w:val="0069164D"/>
    <w:rsid w:val="00691A1B"/>
    <w:rsid w:val="00691C3A"/>
    <w:rsid w:val="00691F09"/>
    <w:rsid w:val="00692081"/>
    <w:rsid w:val="00692137"/>
    <w:rsid w:val="006925B9"/>
    <w:rsid w:val="00692829"/>
    <w:rsid w:val="00692DF5"/>
    <w:rsid w:val="00692E09"/>
    <w:rsid w:val="0069346C"/>
    <w:rsid w:val="0069349D"/>
    <w:rsid w:val="0069360E"/>
    <w:rsid w:val="00693662"/>
    <w:rsid w:val="00693F3C"/>
    <w:rsid w:val="00694201"/>
    <w:rsid w:val="0069476E"/>
    <w:rsid w:val="0069508F"/>
    <w:rsid w:val="0069539E"/>
    <w:rsid w:val="00695583"/>
    <w:rsid w:val="006955E5"/>
    <w:rsid w:val="0069570D"/>
    <w:rsid w:val="00695715"/>
    <w:rsid w:val="00695F59"/>
    <w:rsid w:val="006962B6"/>
    <w:rsid w:val="0069669F"/>
    <w:rsid w:val="006966A1"/>
    <w:rsid w:val="00696A01"/>
    <w:rsid w:val="00696C49"/>
    <w:rsid w:val="00696D38"/>
    <w:rsid w:val="006972C3"/>
    <w:rsid w:val="00697702"/>
    <w:rsid w:val="0069795C"/>
    <w:rsid w:val="00697EA4"/>
    <w:rsid w:val="00697F75"/>
    <w:rsid w:val="006A0553"/>
    <w:rsid w:val="006A076F"/>
    <w:rsid w:val="006A07C2"/>
    <w:rsid w:val="006A0FA4"/>
    <w:rsid w:val="006A105B"/>
    <w:rsid w:val="006A1239"/>
    <w:rsid w:val="006A1403"/>
    <w:rsid w:val="006A1491"/>
    <w:rsid w:val="006A164F"/>
    <w:rsid w:val="006A175C"/>
    <w:rsid w:val="006A17E0"/>
    <w:rsid w:val="006A19DE"/>
    <w:rsid w:val="006A1A00"/>
    <w:rsid w:val="006A222D"/>
    <w:rsid w:val="006A2755"/>
    <w:rsid w:val="006A2B70"/>
    <w:rsid w:val="006A2CB9"/>
    <w:rsid w:val="006A2CC1"/>
    <w:rsid w:val="006A2D2B"/>
    <w:rsid w:val="006A2F2E"/>
    <w:rsid w:val="006A389F"/>
    <w:rsid w:val="006A3E87"/>
    <w:rsid w:val="006A3E93"/>
    <w:rsid w:val="006A3F8F"/>
    <w:rsid w:val="006A400D"/>
    <w:rsid w:val="006A400F"/>
    <w:rsid w:val="006A4045"/>
    <w:rsid w:val="006A4665"/>
    <w:rsid w:val="006A46D9"/>
    <w:rsid w:val="006A4C11"/>
    <w:rsid w:val="006A50C3"/>
    <w:rsid w:val="006A5238"/>
    <w:rsid w:val="006A5527"/>
    <w:rsid w:val="006A5A4C"/>
    <w:rsid w:val="006A672C"/>
    <w:rsid w:val="006A69E8"/>
    <w:rsid w:val="006A6B2D"/>
    <w:rsid w:val="006A6C5A"/>
    <w:rsid w:val="006A6FE7"/>
    <w:rsid w:val="006A716F"/>
    <w:rsid w:val="006A7451"/>
    <w:rsid w:val="006A7525"/>
    <w:rsid w:val="006A75CB"/>
    <w:rsid w:val="006A76A3"/>
    <w:rsid w:val="006A7A82"/>
    <w:rsid w:val="006A7CA0"/>
    <w:rsid w:val="006B06F9"/>
    <w:rsid w:val="006B0E70"/>
    <w:rsid w:val="006B1117"/>
    <w:rsid w:val="006B140B"/>
    <w:rsid w:val="006B144D"/>
    <w:rsid w:val="006B1539"/>
    <w:rsid w:val="006B1718"/>
    <w:rsid w:val="006B1920"/>
    <w:rsid w:val="006B1AC8"/>
    <w:rsid w:val="006B1D7C"/>
    <w:rsid w:val="006B1F45"/>
    <w:rsid w:val="006B1F6D"/>
    <w:rsid w:val="006B2594"/>
    <w:rsid w:val="006B2665"/>
    <w:rsid w:val="006B2677"/>
    <w:rsid w:val="006B26F8"/>
    <w:rsid w:val="006B2749"/>
    <w:rsid w:val="006B34A0"/>
    <w:rsid w:val="006B35D0"/>
    <w:rsid w:val="006B361F"/>
    <w:rsid w:val="006B3BF1"/>
    <w:rsid w:val="006B3EC8"/>
    <w:rsid w:val="006B4404"/>
    <w:rsid w:val="006B4629"/>
    <w:rsid w:val="006B46D0"/>
    <w:rsid w:val="006B4717"/>
    <w:rsid w:val="006B482A"/>
    <w:rsid w:val="006B4BD8"/>
    <w:rsid w:val="006B4C82"/>
    <w:rsid w:val="006B4ECE"/>
    <w:rsid w:val="006B551A"/>
    <w:rsid w:val="006B58FE"/>
    <w:rsid w:val="006B5F9B"/>
    <w:rsid w:val="006B62AF"/>
    <w:rsid w:val="006B6562"/>
    <w:rsid w:val="006B6664"/>
    <w:rsid w:val="006B6A4A"/>
    <w:rsid w:val="006B7407"/>
    <w:rsid w:val="006B741F"/>
    <w:rsid w:val="006B7511"/>
    <w:rsid w:val="006B75D3"/>
    <w:rsid w:val="006B76CB"/>
    <w:rsid w:val="006B7A68"/>
    <w:rsid w:val="006B7D71"/>
    <w:rsid w:val="006B7FD6"/>
    <w:rsid w:val="006C00D2"/>
    <w:rsid w:val="006C02B0"/>
    <w:rsid w:val="006C02C9"/>
    <w:rsid w:val="006C0317"/>
    <w:rsid w:val="006C03CB"/>
    <w:rsid w:val="006C06A0"/>
    <w:rsid w:val="006C0741"/>
    <w:rsid w:val="006C074B"/>
    <w:rsid w:val="006C07D5"/>
    <w:rsid w:val="006C09FB"/>
    <w:rsid w:val="006C108E"/>
    <w:rsid w:val="006C113A"/>
    <w:rsid w:val="006C1284"/>
    <w:rsid w:val="006C175F"/>
    <w:rsid w:val="006C1762"/>
    <w:rsid w:val="006C2C52"/>
    <w:rsid w:val="006C2E1A"/>
    <w:rsid w:val="006C2F5B"/>
    <w:rsid w:val="006C32F7"/>
    <w:rsid w:val="006C3457"/>
    <w:rsid w:val="006C3E76"/>
    <w:rsid w:val="006C410F"/>
    <w:rsid w:val="006C44D8"/>
    <w:rsid w:val="006C4865"/>
    <w:rsid w:val="006C48FB"/>
    <w:rsid w:val="006C4F76"/>
    <w:rsid w:val="006C5CE1"/>
    <w:rsid w:val="006C5D48"/>
    <w:rsid w:val="006C6071"/>
    <w:rsid w:val="006C607E"/>
    <w:rsid w:val="006C608E"/>
    <w:rsid w:val="006C6236"/>
    <w:rsid w:val="006C626D"/>
    <w:rsid w:val="006C6697"/>
    <w:rsid w:val="006C6739"/>
    <w:rsid w:val="006C707D"/>
    <w:rsid w:val="006C71AA"/>
    <w:rsid w:val="006C73A3"/>
    <w:rsid w:val="006C7526"/>
    <w:rsid w:val="006C75BE"/>
    <w:rsid w:val="006C7899"/>
    <w:rsid w:val="006C7932"/>
    <w:rsid w:val="006C7B7E"/>
    <w:rsid w:val="006C7E2E"/>
    <w:rsid w:val="006D0137"/>
    <w:rsid w:val="006D0388"/>
    <w:rsid w:val="006D0995"/>
    <w:rsid w:val="006D0B88"/>
    <w:rsid w:val="006D0CDF"/>
    <w:rsid w:val="006D1715"/>
    <w:rsid w:val="006D2400"/>
    <w:rsid w:val="006D276F"/>
    <w:rsid w:val="006D285A"/>
    <w:rsid w:val="006D2AEC"/>
    <w:rsid w:val="006D2C41"/>
    <w:rsid w:val="006D367B"/>
    <w:rsid w:val="006D38C6"/>
    <w:rsid w:val="006D3CC8"/>
    <w:rsid w:val="006D42EC"/>
    <w:rsid w:val="006D43B8"/>
    <w:rsid w:val="006D44BF"/>
    <w:rsid w:val="006D452D"/>
    <w:rsid w:val="006D453D"/>
    <w:rsid w:val="006D45AA"/>
    <w:rsid w:val="006D48A2"/>
    <w:rsid w:val="006D4DC1"/>
    <w:rsid w:val="006D5192"/>
    <w:rsid w:val="006D59D2"/>
    <w:rsid w:val="006D5B72"/>
    <w:rsid w:val="006D6057"/>
    <w:rsid w:val="006D6420"/>
    <w:rsid w:val="006D64B1"/>
    <w:rsid w:val="006D6696"/>
    <w:rsid w:val="006D6BC0"/>
    <w:rsid w:val="006D70E3"/>
    <w:rsid w:val="006D7163"/>
    <w:rsid w:val="006D7421"/>
    <w:rsid w:val="006D7B23"/>
    <w:rsid w:val="006D7EF7"/>
    <w:rsid w:val="006E0056"/>
    <w:rsid w:val="006E0128"/>
    <w:rsid w:val="006E0168"/>
    <w:rsid w:val="006E04FE"/>
    <w:rsid w:val="006E07E6"/>
    <w:rsid w:val="006E09C6"/>
    <w:rsid w:val="006E0AFF"/>
    <w:rsid w:val="006E0CA8"/>
    <w:rsid w:val="006E1191"/>
    <w:rsid w:val="006E12A7"/>
    <w:rsid w:val="006E153B"/>
    <w:rsid w:val="006E165B"/>
    <w:rsid w:val="006E1715"/>
    <w:rsid w:val="006E2B75"/>
    <w:rsid w:val="006E2C6E"/>
    <w:rsid w:val="006E2F29"/>
    <w:rsid w:val="006E3250"/>
    <w:rsid w:val="006E3512"/>
    <w:rsid w:val="006E3BB2"/>
    <w:rsid w:val="006E3CA2"/>
    <w:rsid w:val="006E3E66"/>
    <w:rsid w:val="006E3FB1"/>
    <w:rsid w:val="006E45CF"/>
    <w:rsid w:val="006E47AE"/>
    <w:rsid w:val="006E4BA2"/>
    <w:rsid w:val="006E4BF4"/>
    <w:rsid w:val="006E4DEB"/>
    <w:rsid w:val="006E5169"/>
    <w:rsid w:val="006E522B"/>
    <w:rsid w:val="006E5349"/>
    <w:rsid w:val="006E54E2"/>
    <w:rsid w:val="006E5506"/>
    <w:rsid w:val="006E5649"/>
    <w:rsid w:val="006E586F"/>
    <w:rsid w:val="006E5BF6"/>
    <w:rsid w:val="006E5F86"/>
    <w:rsid w:val="006E5FC4"/>
    <w:rsid w:val="006E6219"/>
    <w:rsid w:val="006E6400"/>
    <w:rsid w:val="006E65AD"/>
    <w:rsid w:val="006E6D86"/>
    <w:rsid w:val="006E744C"/>
    <w:rsid w:val="006E79BD"/>
    <w:rsid w:val="006E7C14"/>
    <w:rsid w:val="006E7C78"/>
    <w:rsid w:val="006E7F4F"/>
    <w:rsid w:val="006F01F7"/>
    <w:rsid w:val="006F0591"/>
    <w:rsid w:val="006F05BF"/>
    <w:rsid w:val="006F0875"/>
    <w:rsid w:val="006F1052"/>
    <w:rsid w:val="006F132B"/>
    <w:rsid w:val="006F13B8"/>
    <w:rsid w:val="006F142F"/>
    <w:rsid w:val="006F1686"/>
    <w:rsid w:val="006F1707"/>
    <w:rsid w:val="006F1A30"/>
    <w:rsid w:val="006F1CCF"/>
    <w:rsid w:val="006F216C"/>
    <w:rsid w:val="006F21C8"/>
    <w:rsid w:val="006F269C"/>
    <w:rsid w:val="006F281E"/>
    <w:rsid w:val="006F297E"/>
    <w:rsid w:val="006F29FE"/>
    <w:rsid w:val="006F2B68"/>
    <w:rsid w:val="006F2B7B"/>
    <w:rsid w:val="006F2F98"/>
    <w:rsid w:val="006F3078"/>
    <w:rsid w:val="006F30BE"/>
    <w:rsid w:val="006F36CA"/>
    <w:rsid w:val="006F39E4"/>
    <w:rsid w:val="006F3A08"/>
    <w:rsid w:val="006F3B62"/>
    <w:rsid w:val="006F3F94"/>
    <w:rsid w:val="006F4209"/>
    <w:rsid w:val="006F432D"/>
    <w:rsid w:val="006F43F4"/>
    <w:rsid w:val="006F4882"/>
    <w:rsid w:val="006F48DA"/>
    <w:rsid w:val="006F4CCD"/>
    <w:rsid w:val="006F4D5B"/>
    <w:rsid w:val="006F4FB4"/>
    <w:rsid w:val="006F52FD"/>
    <w:rsid w:val="006F586C"/>
    <w:rsid w:val="006F58EC"/>
    <w:rsid w:val="006F5D7C"/>
    <w:rsid w:val="006F5DD9"/>
    <w:rsid w:val="006F5FBF"/>
    <w:rsid w:val="006F6036"/>
    <w:rsid w:val="006F62B4"/>
    <w:rsid w:val="006F6CD5"/>
    <w:rsid w:val="006F6F72"/>
    <w:rsid w:val="006F74A7"/>
    <w:rsid w:val="006F75B2"/>
    <w:rsid w:val="006F768A"/>
    <w:rsid w:val="006F772B"/>
    <w:rsid w:val="006F7F30"/>
    <w:rsid w:val="007002C2"/>
    <w:rsid w:val="007003B3"/>
    <w:rsid w:val="00700469"/>
    <w:rsid w:val="007004AD"/>
    <w:rsid w:val="007005C0"/>
    <w:rsid w:val="007005CB"/>
    <w:rsid w:val="007007FB"/>
    <w:rsid w:val="00700C23"/>
    <w:rsid w:val="00700C38"/>
    <w:rsid w:val="00700E15"/>
    <w:rsid w:val="00700FE4"/>
    <w:rsid w:val="00701298"/>
    <w:rsid w:val="0070139C"/>
    <w:rsid w:val="00701852"/>
    <w:rsid w:val="00701E38"/>
    <w:rsid w:val="0070204D"/>
    <w:rsid w:val="0070218B"/>
    <w:rsid w:val="007023E7"/>
    <w:rsid w:val="007023F2"/>
    <w:rsid w:val="0070247B"/>
    <w:rsid w:val="0070247E"/>
    <w:rsid w:val="00702614"/>
    <w:rsid w:val="00702829"/>
    <w:rsid w:val="00702A85"/>
    <w:rsid w:val="00702D77"/>
    <w:rsid w:val="00702DF1"/>
    <w:rsid w:val="0070365E"/>
    <w:rsid w:val="00703721"/>
    <w:rsid w:val="00703A84"/>
    <w:rsid w:val="00703A90"/>
    <w:rsid w:val="00703B95"/>
    <w:rsid w:val="007043F8"/>
    <w:rsid w:val="007045E9"/>
    <w:rsid w:val="007045F4"/>
    <w:rsid w:val="0070465C"/>
    <w:rsid w:val="0070499C"/>
    <w:rsid w:val="00704B5F"/>
    <w:rsid w:val="00704BE2"/>
    <w:rsid w:val="007057BE"/>
    <w:rsid w:val="00705B39"/>
    <w:rsid w:val="00705F41"/>
    <w:rsid w:val="00706125"/>
    <w:rsid w:val="00706785"/>
    <w:rsid w:val="007069C8"/>
    <w:rsid w:val="00706CFC"/>
    <w:rsid w:val="00706EF5"/>
    <w:rsid w:val="0070740B"/>
    <w:rsid w:val="00707776"/>
    <w:rsid w:val="0070781D"/>
    <w:rsid w:val="00707B08"/>
    <w:rsid w:val="00707CF9"/>
    <w:rsid w:val="00707D50"/>
    <w:rsid w:val="00707ED9"/>
    <w:rsid w:val="00707F8D"/>
    <w:rsid w:val="00710227"/>
    <w:rsid w:val="007103E9"/>
    <w:rsid w:val="007104AD"/>
    <w:rsid w:val="00710B22"/>
    <w:rsid w:val="00710B51"/>
    <w:rsid w:val="00710F9C"/>
    <w:rsid w:val="007110FE"/>
    <w:rsid w:val="0071120B"/>
    <w:rsid w:val="00711726"/>
    <w:rsid w:val="007118CA"/>
    <w:rsid w:val="00711B8E"/>
    <w:rsid w:val="00711FA6"/>
    <w:rsid w:val="007122F3"/>
    <w:rsid w:val="007126E8"/>
    <w:rsid w:val="00712881"/>
    <w:rsid w:val="00712C54"/>
    <w:rsid w:val="00712D6F"/>
    <w:rsid w:val="0071368C"/>
    <w:rsid w:val="007136A5"/>
    <w:rsid w:val="00713714"/>
    <w:rsid w:val="007137A6"/>
    <w:rsid w:val="00713855"/>
    <w:rsid w:val="00713ADC"/>
    <w:rsid w:val="00713D82"/>
    <w:rsid w:val="00713F47"/>
    <w:rsid w:val="00713F95"/>
    <w:rsid w:val="00714112"/>
    <w:rsid w:val="0071424B"/>
    <w:rsid w:val="00714344"/>
    <w:rsid w:val="007143BC"/>
    <w:rsid w:val="007143FC"/>
    <w:rsid w:val="00714737"/>
    <w:rsid w:val="007149C9"/>
    <w:rsid w:val="00714F32"/>
    <w:rsid w:val="0071502B"/>
    <w:rsid w:val="00715221"/>
    <w:rsid w:val="0071569E"/>
    <w:rsid w:val="0071575B"/>
    <w:rsid w:val="00715BA4"/>
    <w:rsid w:val="007160C1"/>
    <w:rsid w:val="00716196"/>
    <w:rsid w:val="0071653C"/>
    <w:rsid w:val="00716746"/>
    <w:rsid w:val="007168DC"/>
    <w:rsid w:val="00716CA2"/>
    <w:rsid w:val="00716D94"/>
    <w:rsid w:val="00716F11"/>
    <w:rsid w:val="007170E2"/>
    <w:rsid w:val="007174FD"/>
    <w:rsid w:val="00717A45"/>
    <w:rsid w:val="007203C8"/>
    <w:rsid w:val="00720498"/>
    <w:rsid w:val="00720931"/>
    <w:rsid w:val="00720D12"/>
    <w:rsid w:val="00720D4F"/>
    <w:rsid w:val="00720DA3"/>
    <w:rsid w:val="00721110"/>
    <w:rsid w:val="0072180B"/>
    <w:rsid w:val="007218EE"/>
    <w:rsid w:val="00721A33"/>
    <w:rsid w:val="00721B65"/>
    <w:rsid w:val="007222B4"/>
    <w:rsid w:val="0072256A"/>
    <w:rsid w:val="00722697"/>
    <w:rsid w:val="00722967"/>
    <w:rsid w:val="00722D89"/>
    <w:rsid w:val="007232EA"/>
    <w:rsid w:val="007237EA"/>
    <w:rsid w:val="0072382F"/>
    <w:rsid w:val="00723982"/>
    <w:rsid w:val="00723A1F"/>
    <w:rsid w:val="00723C14"/>
    <w:rsid w:val="0072404B"/>
    <w:rsid w:val="00724180"/>
    <w:rsid w:val="007246D4"/>
    <w:rsid w:val="00724B6C"/>
    <w:rsid w:val="00724FC4"/>
    <w:rsid w:val="007251A0"/>
    <w:rsid w:val="00725380"/>
    <w:rsid w:val="0072543E"/>
    <w:rsid w:val="00725851"/>
    <w:rsid w:val="007259FF"/>
    <w:rsid w:val="00725A42"/>
    <w:rsid w:val="00726233"/>
    <w:rsid w:val="007262D0"/>
    <w:rsid w:val="007262DA"/>
    <w:rsid w:val="00726F4D"/>
    <w:rsid w:val="007272A2"/>
    <w:rsid w:val="007273D4"/>
    <w:rsid w:val="00727599"/>
    <w:rsid w:val="007277F6"/>
    <w:rsid w:val="00727826"/>
    <w:rsid w:val="00727A3F"/>
    <w:rsid w:val="00727B83"/>
    <w:rsid w:val="00727EC1"/>
    <w:rsid w:val="00730060"/>
    <w:rsid w:val="00730777"/>
    <w:rsid w:val="00730D3A"/>
    <w:rsid w:val="00730D4F"/>
    <w:rsid w:val="00730F95"/>
    <w:rsid w:val="00730FA3"/>
    <w:rsid w:val="007311C1"/>
    <w:rsid w:val="007313A9"/>
    <w:rsid w:val="007313E8"/>
    <w:rsid w:val="00731453"/>
    <w:rsid w:val="00731616"/>
    <w:rsid w:val="00731E52"/>
    <w:rsid w:val="0073268B"/>
    <w:rsid w:val="00732B46"/>
    <w:rsid w:val="00732B51"/>
    <w:rsid w:val="00732E6D"/>
    <w:rsid w:val="00732E93"/>
    <w:rsid w:val="00732EBD"/>
    <w:rsid w:val="00732FC4"/>
    <w:rsid w:val="00733283"/>
    <w:rsid w:val="007332C4"/>
    <w:rsid w:val="0073337E"/>
    <w:rsid w:val="00733451"/>
    <w:rsid w:val="007334F8"/>
    <w:rsid w:val="00733A52"/>
    <w:rsid w:val="007343C6"/>
    <w:rsid w:val="007343E5"/>
    <w:rsid w:val="007345A1"/>
    <w:rsid w:val="00734608"/>
    <w:rsid w:val="00734EC2"/>
    <w:rsid w:val="00734F8B"/>
    <w:rsid w:val="007351E1"/>
    <w:rsid w:val="00735280"/>
    <w:rsid w:val="00735796"/>
    <w:rsid w:val="00735D15"/>
    <w:rsid w:val="00735DE6"/>
    <w:rsid w:val="007361AF"/>
    <w:rsid w:val="00736A7C"/>
    <w:rsid w:val="00736A8B"/>
    <w:rsid w:val="00736C1C"/>
    <w:rsid w:val="00736F6E"/>
    <w:rsid w:val="0073727E"/>
    <w:rsid w:val="00737280"/>
    <w:rsid w:val="00737616"/>
    <w:rsid w:val="00737652"/>
    <w:rsid w:val="00737668"/>
    <w:rsid w:val="00737866"/>
    <w:rsid w:val="00737F23"/>
    <w:rsid w:val="00737F9E"/>
    <w:rsid w:val="00740595"/>
    <w:rsid w:val="0074073D"/>
    <w:rsid w:val="00740A78"/>
    <w:rsid w:val="00740C73"/>
    <w:rsid w:val="00740D66"/>
    <w:rsid w:val="00741322"/>
    <w:rsid w:val="00741594"/>
    <w:rsid w:val="0074181C"/>
    <w:rsid w:val="0074181F"/>
    <w:rsid w:val="00741841"/>
    <w:rsid w:val="00741BB2"/>
    <w:rsid w:val="00741EE6"/>
    <w:rsid w:val="00741F51"/>
    <w:rsid w:val="00741FB8"/>
    <w:rsid w:val="00741FCC"/>
    <w:rsid w:val="0074228F"/>
    <w:rsid w:val="007424CF"/>
    <w:rsid w:val="00742B6E"/>
    <w:rsid w:val="00742B98"/>
    <w:rsid w:val="00742E7B"/>
    <w:rsid w:val="00742FE3"/>
    <w:rsid w:val="00743180"/>
    <w:rsid w:val="0074370E"/>
    <w:rsid w:val="00743725"/>
    <w:rsid w:val="00743959"/>
    <w:rsid w:val="00743B19"/>
    <w:rsid w:val="0074400E"/>
    <w:rsid w:val="0074406D"/>
    <w:rsid w:val="0074407C"/>
    <w:rsid w:val="00744270"/>
    <w:rsid w:val="00744568"/>
    <w:rsid w:val="007446DD"/>
    <w:rsid w:val="00744E50"/>
    <w:rsid w:val="00744E7A"/>
    <w:rsid w:val="00744EE6"/>
    <w:rsid w:val="00744F0B"/>
    <w:rsid w:val="0074509E"/>
    <w:rsid w:val="00745246"/>
    <w:rsid w:val="00745302"/>
    <w:rsid w:val="00745642"/>
    <w:rsid w:val="00745707"/>
    <w:rsid w:val="00745C3C"/>
    <w:rsid w:val="00745DC7"/>
    <w:rsid w:val="00745F1C"/>
    <w:rsid w:val="00746145"/>
    <w:rsid w:val="0074615D"/>
    <w:rsid w:val="00746411"/>
    <w:rsid w:val="007466CC"/>
    <w:rsid w:val="00746738"/>
    <w:rsid w:val="0074681D"/>
    <w:rsid w:val="0074688C"/>
    <w:rsid w:val="00746AD0"/>
    <w:rsid w:val="00746C98"/>
    <w:rsid w:val="00746D52"/>
    <w:rsid w:val="00746E2C"/>
    <w:rsid w:val="00747450"/>
    <w:rsid w:val="007475DA"/>
    <w:rsid w:val="007479E1"/>
    <w:rsid w:val="00747BC9"/>
    <w:rsid w:val="00750266"/>
    <w:rsid w:val="0075035D"/>
    <w:rsid w:val="007504A5"/>
    <w:rsid w:val="00750645"/>
    <w:rsid w:val="00750F76"/>
    <w:rsid w:val="00751554"/>
    <w:rsid w:val="0075167E"/>
    <w:rsid w:val="007518E1"/>
    <w:rsid w:val="0075198F"/>
    <w:rsid w:val="00751BBE"/>
    <w:rsid w:val="00751DCB"/>
    <w:rsid w:val="00752645"/>
    <w:rsid w:val="00752716"/>
    <w:rsid w:val="00752EED"/>
    <w:rsid w:val="00753580"/>
    <w:rsid w:val="00753D70"/>
    <w:rsid w:val="00753E9F"/>
    <w:rsid w:val="007542DB"/>
    <w:rsid w:val="00754599"/>
    <w:rsid w:val="00754768"/>
    <w:rsid w:val="0075496A"/>
    <w:rsid w:val="0075498E"/>
    <w:rsid w:val="00754B81"/>
    <w:rsid w:val="00754BF3"/>
    <w:rsid w:val="00754C48"/>
    <w:rsid w:val="00754DC2"/>
    <w:rsid w:val="00754F0D"/>
    <w:rsid w:val="007552DA"/>
    <w:rsid w:val="0075576C"/>
    <w:rsid w:val="00755B56"/>
    <w:rsid w:val="00756010"/>
    <w:rsid w:val="0075654B"/>
    <w:rsid w:val="00756A28"/>
    <w:rsid w:val="00756D3D"/>
    <w:rsid w:val="0075702C"/>
    <w:rsid w:val="007570AB"/>
    <w:rsid w:val="00757599"/>
    <w:rsid w:val="007577FB"/>
    <w:rsid w:val="00757BA9"/>
    <w:rsid w:val="00757D58"/>
    <w:rsid w:val="00757D8B"/>
    <w:rsid w:val="00757DED"/>
    <w:rsid w:val="00760174"/>
    <w:rsid w:val="007604FB"/>
    <w:rsid w:val="007607A7"/>
    <w:rsid w:val="007609C9"/>
    <w:rsid w:val="00760A70"/>
    <w:rsid w:val="00760F0D"/>
    <w:rsid w:val="00761215"/>
    <w:rsid w:val="0076127C"/>
    <w:rsid w:val="0076164D"/>
    <w:rsid w:val="00761DE5"/>
    <w:rsid w:val="00761E21"/>
    <w:rsid w:val="00761EC6"/>
    <w:rsid w:val="00762235"/>
    <w:rsid w:val="007622D7"/>
    <w:rsid w:val="007624D6"/>
    <w:rsid w:val="007626FF"/>
    <w:rsid w:val="00762726"/>
    <w:rsid w:val="00763300"/>
    <w:rsid w:val="00764447"/>
    <w:rsid w:val="0076462C"/>
    <w:rsid w:val="00764710"/>
    <w:rsid w:val="0076487C"/>
    <w:rsid w:val="00765088"/>
    <w:rsid w:val="007651D9"/>
    <w:rsid w:val="00765562"/>
    <w:rsid w:val="00765805"/>
    <w:rsid w:val="00765DB8"/>
    <w:rsid w:val="0076664D"/>
    <w:rsid w:val="007668AD"/>
    <w:rsid w:val="00766B11"/>
    <w:rsid w:val="00766B3C"/>
    <w:rsid w:val="00766D74"/>
    <w:rsid w:val="0076701D"/>
    <w:rsid w:val="00767089"/>
    <w:rsid w:val="0076727A"/>
    <w:rsid w:val="007674C6"/>
    <w:rsid w:val="00767526"/>
    <w:rsid w:val="00767553"/>
    <w:rsid w:val="007677BD"/>
    <w:rsid w:val="00767A31"/>
    <w:rsid w:val="00767C85"/>
    <w:rsid w:val="00767DBA"/>
    <w:rsid w:val="00767FA2"/>
    <w:rsid w:val="007708BB"/>
    <w:rsid w:val="0077094B"/>
    <w:rsid w:val="00770A03"/>
    <w:rsid w:val="00770B65"/>
    <w:rsid w:val="00770C55"/>
    <w:rsid w:val="00770DC2"/>
    <w:rsid w:val="007712FC"/>
    <w:rsid w:val="0077135E"/>
    <w:rsid w:val="00771BA0"/>
    <w:rsid w:val="00772090"/>
    <w:rsid w:val="0077258D"/>
    <w:rsid w:val="00772996"/>
    <w:rsid w:val="00772A05"/>
    <w:rsid w:val="00772A72"/>
    <w:rsid w:val="00772ADB"/>
    <w:rsid w:val="00773349"/>
    <w:rsid w:val="00773438"/>
    <w:rsid w:val="007735E8"/>
    <w:rsid w:val="00773722"/>
    <w:rsid w:val="00773815"/>
    <w:rsid w:val="00773A76"/>
    <w:rsid w:val="007741BB"/>
    <w:rsid w:val="00774609"/>
    <w:rsid w:val="00774708"/>
    <w:rsid w:val="00774719"/>
    <w:rsid w:val="007749AF"/>
    <w:rsid w:val="0077502C"/>
    <w:rsid w:val="007753E4"/>
    <w:rsid w:val="00775453"/>
    <w:rsid w:val="00775718"/>
    <w:rsid w:val="00775C53"/>
    <w:rsid w:val="00776263"/>
    <w:rsid w:val="0077626D"/>
    <w:rsid w:val="00776479"/>
    <w:rsid w:val="0077697D"/>
    <w:rsid w:val="00776B3F"/>
    <w:rsid w:val="00776B6B"/>
    <w:rsid w:val="00776DB2"/>
    <w:rsid w:val="00777290"/>
    <w:rsid w:val="00777950"/>
    <w:rsid w:val="00777BC8"/>
    <w:rsid w:val="00777D8D"/>
    <w:rsid w:val="00777D99"/>
    <w:rsid w:val="00780080"/>
    <w:rsid w:val="00780293"/>
    <w:rsid w:val="00780677"/>
    <w:rsid w:val="00780837"/>
    <w:rsid w:val="0078089D"/>
    <w:rsid w:val="007808F3"/>
    <w:rsid w:val="00780A3F"/>
    <w:rsid w:val="00780F1B"/>
    <w:rsid w:val="0078139F"/>
    <w:rsid w:val="0078146D"/>
    <w:rsid w:val="007818DE"/>
    <w:rsid w:val="00781C44"/>
    <w:rsid w:val="00781E44"/>
    <w:rsid w:val="00781FB1"/>
    <w:rsid w:val="0078201B"/>
    <w:rsid w:val="00782278"/>
    <w:rsid w:val="00782B5F"/>
    <w:rsid w:val="0078376A"/>
    <w:rsid w:val="00783A26"/>
    <w:rsid w:val="00784384"/>
    <w:rsid w:val="0078442D"/>
    <w:rsid w:val="0078446C"/>
    <w:rsid w:val="007844D4"/>
    <w:rsid w:val="0078474C"/>
    <w:rsid w:val="007848FA"/>
    <w:rsid w:val="00784A1D"/>
    <w:rsid w:val="00784E1E"/>
    <w:rsid w:val="0078532C"/>
    <w:rsid w:val="00785D07"/>
    <w:rsid w:val="00785EBF"/>
    <w:rsid w:val="00786B9C"/>
    <w:rsid w:val="00786BDD"/>
    <w:rsid w:val="00786C81"/>
    <w:rsid w:val="00786D4C"/>
    <w:rsid w:val="00786DFE"/>
    <w:rsid w:val="007870C8"/>
    <w:rsid w:val="00787169"/>
    <w:rsid w:val="0078721D"/>
    <w:rsid w:val="007872EE"/>
    <w:rsid w:val="00787C75"/>
    <w:rsid w:val="007903F9"/>
    <w:rsid w:val="00790776"/>
    <w:rsid w:val="0079085C"/>
    <w:rsid w:val="00790C53"/>
    <w:rsid w:val="00790C9A"/>
    <w:rsid w:val="00790F3D"/>
    <w:rsid w:val="00791073"/>
    <w:rsid w:val="00791347"/>
    <w:rsid w:val="00791B7E"/>
    <w:rsid w:val="00791D11"/>
    <w:rsid w:val="00791D2B"/>
    <w:rsid w:val="00791EAC"/>
    <w:rsid w:val="0079200B"/>
    <w:rsid w:val="0079214C"/>
    <w:rsid w:val="007922E5"/>
    <w:rsid w:val="00792993"/>
    <w:rsid w:val="00792EA6"/>
    <w:rsid w:val="00792EDB"/>
    <w:rsid w:val="0079301F"/>
    <w:rsid w:val="007932D8"/>
    <w:rsid w:val="0079356A"/>
    <w:rsid w:val="007936DC"/>
    <w:rsid w:val="00793BC6"/>
    <w:rsid w:val="00793E8C"/>
    <w:rsid w:val="007940B2"/>
    <w:rsid w:val="0079443D"/>
    <w:rsid w:val="00794C20"/>
    <w:rsid w:val="00795112"/>
    <w:rsid w:val="0079512D"/>
    <w:rsid w:val="0079536E"/>
    <w:rsid w:val="0079590D"/>
    <w:rsid w:val="007959F0"/>
    <w:rsid w:val="00795ABC"/>
    <w:rsid w:val="00795C3E"/>
    <w:rsid w:val="00795F3C"/>
    <w:rsid w:val="00795F77"/>
    <w:rsid w:val="007960EA"/>
    <w:rsid w:val="0079625F"/>
    <w:rsid w:val="00796593"/>
    <w:rsid w:val="00796AD8"/>
    <w:rsid w:val="00796D71"/>
    <w:rsid w:val="00796F27"/>
    <w:rsid w:val="0079731A"/>
    <w:rsid w:val="0079750D"/>
    <w:rsid w:val="007977C2"/>
    <w:rsid w:val="00797A8B"/>
    <w:rsid w:val="00797C3B"/>
    <w:rsid w:val="00797D56"/>
    <w:rsid w:val="00797DCD"/>
    <w:rsid w:val="007A08FC"/>
    <w:rsid w:val="007A09EB"/>
    <w:rsid w:val="007A0FA6"/>
    <w:rsid w:val="007A115C"/>
    <w:rsid w:val="007A11B3"/>
    <w:rsid w:val="007A14CE"/>
    <w:rsid w:val="007A16F6"/>
    <w:rsid w:val="007A1877"/>
    <w:rsid w:val="007A1FC6"/>
    <w:rsid w:val="007A217F"/>
    <w:rsid w:val="007A21B3"/>
    <w:rsid w:val="007A224D"/>
    <w:rsid w:val="007A240E"/>
    <w:rsid w:val="007A24D6"/>
    <w:rsid w:val="007A2D22"/>
    <w:rsid w:val="007A2E4B"/>
    <w:rsid w:val="007A2E9C"/>
    <w:rsid w:val="007A2FA0"/>
    <w:rsid w:val="007A3320"/>
    <w:rsid w:val="007A3390"/>
    <w:rsid w:val="007A3444"/>
    <w:rsid w:val="007A3598"/>
    <w:rsid w:val="007A3B72"/>
    <w:rsid w:val="007A3EFA"/>
    <w:rsid w:val="007A4004"/>
    <w:rsid w:val="007A42ED"/>
    <w:rsid w:val="007A4887"/>
    <w:rsid w:val="007A4AFF"/>
    <w:rsid w:val="007A4CAB"/>
    <w:rsid w:val="007A4E24"/>
    <w:rsid w:val="007A55BC"/>
    <w:rsid w:val="007A5656"/>
    <w:rsid w:val="007A56A3"/>
    <w:rsid w:val="007A5778"/>
    <w:rsid w:val="007A5A5D"/>
    <w:rsid w:val="007A5EA1"/>
    <w:rsid w:val="007A600B"/>
    <w:rsid w:val="007A6466"/>
    <w:rsid w:val="007A6473"/>
    <w:rsid w:val="007A64BB"/>
    <w:rsid w:val="007A685B"/>
    <w:rsid w:val="007A68C5"/>
    <w:rsid w:val="007A6940"/>
    <w:rsid w:val="007A6B1D"/>
    <w:rsid w:val="007A6BD6"/>
    <w:rsid w:val="007A6E6B"/>
    <w:rsid w:val="007A721B"/>
    <w:rsid w:val="007A75FF"/>
    <w:rsid w:val="007A781D"/>
    <w:rsid w:val="007A7853"/>
    <w:rsid w:val="007A79AC"/>
    <w:rsid w:val="007A7D16"/>
    <w:rsid w:val="007A7D92"/>
    <w:rsid w:val="007B03AE"/>
    <w:rsid w:val="007B0779"/>
    <w:rsid w:val="007B094B"/>
    <w:rsid w:val="007B099E"/>
    <w:rsid w:val="007B0D13"/>
    <w:rsid w:val="007B0DC7"/>
    <w:rsid w:val="007B0DDA"/>
    <w:rsid w:val="007B109A"/>
    <w:rsid w:val="007B1731"/>
    <w:rsid w:val="007B1A7C"/>
    <w:rsid w:val="007B1BD9"/>
    <w:rsid w:val="007B1C59"/>
    <w:rsid w:val="007B1CA1"/>
    <w:rsid w:val="007B1CC9"/>
    <w:rsid w:val="007B293A"/>
    <w:rsid w:val="007B2AD7"/>
    <w:rsid w:val="007B2CDC"/>
    <w:rsid w:val="007B33B8"/>
    <w:rsid w:val="007B36BD"/>
    <w:rsid w:val="007B36CF"/>
    <w:rsid w:val="007B377F"/>
    <w:rsid w:val="007B4175"/>
    <w:rsid w:val="007B41BF"/>
    <w:rsid w:val="007B41D2"/>
    <w:rsid w:val="007B4361"/>
    <w:rsid w:val="007B4785"/>
    <w:rsid w:val="007B47BA"/>
    <w:rsid w:val="007B4AB9"/>
    <w:rsid w:val="007B4B44"/>
    <w:rsid w:val="007B4DD2"/>
    <w:rsid w:val="007B52F4"/>
    <w:rsid w:val="007B56A4"/>
    <w:rsid w:val="007B570B"/>
    <w:rsid w:val="007B5751"/>
    <w:rsid w:val="007B591A"/>
    <w:rsid w:val="007B5FA4"/>
    <w:rsid w:val="007B6034"/>
    <w:rsid w:val="007B6138"/>
    <w:rsid w:val="007B6302"/>
    <w:rsid w:val="007B6418"/>
    <w:rsid w:val="007B6442"/>
    <w:rsid w:val="007B6900"/>
    <w:rsid w:val="007B6BE3"/>
    <w:rsid w:val="007B6C00"/>
    <w:rsid w:val="007B6F15"/>
    <w:rsid w:val="007B6F75"/>
    <w:rsid w:val="007B703E"/>
    <w:rsid w:val="007B715F"/>
    <w:rsid w:val="007B722E"/>
    <w:rsid w:val="007B72AD"/>
    <w:rsid w:val="007B72C1"/>
    <w:rsid w:val="007B774C"/>
    <w:rsid w:val="007B781A"/>
    <w:rsid w:val="007B785C"/>
    <w:rsid w:val="007B7987"/>
    <w:rsid w:val="007B7A06"/>
    <w:rsid w:val="007B7AEA"/>
    <w:rsid w:val="007B7C20"/>
    <w:rsid w:val="007B7C2D"/>
    <w:rsid w:val="007B7D1C"/>
    <w:rsid w:val="007C03BC"/>
    <w:rsid w:val="007C05BD"/>
    <w:rsid w:val="007C0BDE"/>
    <w:rsid w:val="007C0C35"/>
    <w:rsid w:val="007C1206"/>
    <w:rsid w:val="007C1385"/>
    <w:rsid w:val="007C187B"/>
    <w:rsid w:val="007C18EE"/>
    <w:rsid w:val="007C1B58"/>
    <w:rsid w:val="007C1C74"/>
    <w:rsid w:val="007C1C93"/>
    <w:rsid w:val="007C1CC7"/>
    <w:rsid w:val="007C1EDA"/>
    <w:rsid w:val="007C2506"/>
    <w:rsid w:val="007C2811"/>
    <w:rsid w:val="007C2BB2"/>
    <w:rsid w:val="007C31C8"/>
    <w:rsid w:val="007C36C6"/>
    <w:rsid w:val="007C3782"/>
    <w:rsid w:val="007C3A34"/>
    <w:rsid w:val="007C411A"/>
    <w:rsid w:val="007C42DA"/>
    <w:rsid w:val="007C4D23"/>
    <w:rsid w:val="007C4E06"/>
    <w:rsid w:val="007C4EDA"/>
    <w:rsid w:val="007C4FEB"/>
    <w:rsid w:val="007C5223"/>
    <w:rsid w:val="007C5559"/>
    <w:rsid w:val="007C5A80"/>
    <w:rsid w:val="007C5BAD"/>
    <w:rsid w:val="007C6065"/>
    <w:rsid w:val="007C612D"/>
    <w:rsid w:val="007C6406"/>
    <w:rsid w:val="007C6B7B"/>
    <w:rsid w:val="007C6D4E"/>
    <w:rsid w:val="007C6ED8"/>
    <w:rsid w:val="007C7443"/>
    <w:rsid w:val="007C74C9"/>
    <w:rsid w:val="007C77AC"/>
    <w:rsid w:val="007C7D7C"/>
    <w:rsid w:val="007C7F99"/>
    <w:rsid w:val="007D043D"/>
    <w:rsid w:val="007D0949"/>
    <w:rsid w:val="007D0FB8"/>
    <w:rsid w:val="007D1128"/>
    <w:rsid w:val="007D1134"/>
    <w:rsid w:val="007D115D"/>
    <w:rsid w:val="007D13B2"/>
    <w:rsid w:val="007D1482"/>
    <w:rsid w:val="007D15E3"/>
    <w:rsid w:val="007D15F4"/>
    <w:rsid w:val="007D1A10"/>
    <w:rsid w:val="007D209C"/>
    <w:rsid w:val="007D215F"/>
    <w:rsid w:val="007D218D"/>
    <w:rsid w:val="007D237B"/>
    <w:rsid w:val="007D2478"/>
    <w:rsid w:val="007D27FE"/>
    <w:rsid w:val="007D2A59"/>
    <w:rsid w:val="007D2BAD"/>
    <w:rsid w:val="007D2CE3"/>
    <w:rsid w:val="007D318C"/>
    <w:rsid w:val="007D368A"/>
    <w:rsid w:val="007D37A6"/>
    <w:rsid w:val="007D3AE5"/>
    <w:rsid w:val="007D3F37"/>
    <w:rsid w:val="007D4019"/>
    <w:rsid w:val="007D4A43"/>
    <w:rsid w:val="007D4D38"/>
    <w:rsid w:val="007D4DE8"/>
    <w:rsid w:val="007D5062"/>
    <w:rsid w:val="007D51E7"/>
    <w:rsid w:val="007D5202"/>
    <w:rsid w:val="007D547D"/>
    <w:rsid w:val="007D5D5D"/>
    <w:rsid w:val="007D5F01"/>
    <w:rsid w:val="007D6288"/>
    <w:rsid w:val="007D6555"/>
    <w:rsid w:val="007D6844"/>
    <w:rsid w:val="007D6888"/>
    <w:rsid w:val="007D68E6"/>
    <w:rsid w:val="007D6A83"/>
    <w:rsid w:val="007D74B0"/>
    <w:rsid w:val="007D74CE"/>
    <w:rsid w:val="007D76BD"/>
    <w:rsid w:val="007D7798"/>
    <w:rsid w:val="007E0085"/>
    <w:rsid w:val="007E045A"/>
    <w:rsid w:val="007E0A7A"/>
    <w:rsid w:val="007E0B54"/>
    <w:rsid w:val="007E0B6F"/>
    <w:rsid w:val="007E1177"/>
    <w:rsid w:val="007E1418"/>
    <w:rsid w:val="007E180E"/>
    <w:rsid w:val="007E1D4C"/>
    <w:rsid w:val="007E1F7A"/>
    <w:rsid w:val="007E20A2"/>
    <w:rsid w:val="007E25CF"/>
    <w:rsid w:val="007E2825"/>
    <w:rsid w:val="007E2897"/>
    <w:rsid w:val="007E28B3"/>
    <w:rsid w:val="007E2AB9"/>
    <w:rsid w:val="007E2E28"/>
    <w:rsid w:val="007E2E5A"/>
    <w:rsid w:val="007E345F"/>
    <w:rsid w:val="007E384B"/>
    <w:rsid w:val="007E3F2C"/>
    <w:rsid w:val="007E3FBD"/>
    <w:rsid w:val="007E4139"/>
    <w:rsid w:val="007E473B"/>
    <w:rsid w:val="007E483C"/>
    <w:rsid w:val="007E48C8"/>
    <w:rsid w:val="007E49FB"/>
    <w:rsid w:val="007E4A42"/>
    <w:rsid w:val="007E4B85"/>
    <w:rsid w:val="007E4C85"/>
    <w:rsid w:val="007E4CB4"/>
    <w:rsid w:val="007E5165"/>
    <w:rsid w:val="007E5321"/>
    <w:rsid w:val="007E55F3"/>
    <w:rsid w:val="007E5822"/>
    <w:rsid w:val="007E5928"/>
    <w:rsid w:val="007E5A3F"/>
    <w:rsid w:val="007E5C6B"/>
    <w:rsid w:val="007E5C89"/>
    <w:rsid w:val="007E5D15"/>
    <w:rsid w:val="007E5EC6"/>
    <w:rsid w:val="007E6210"/>
    <w:rsid w:val="007E63C7"/>
    <w:rsid w:val="007E6999"/>
    <w:rsid w:val="007E6AC0"/>
    <w:rsid w:val="007E6D13"/>
    <w:rsid w:val="007E6EB4"/>
    <w:rsid w:val="007E6F07"/>
    <w:rsid w:val="007E7C21"/>
    <w:rsid w:val="007E7DAF"/>
    <w:rsid w:val="007E7F3C"/>
    <w:rsid w:val="007E7F46"/>
    <w:rsid w:val="007F07B8"/>
    <w:rsid w:val="007F07E3"/>
    <w:rsid w:val="007F0A30"/>
    <w:rsid w:val="007F0DAB"/>
    <w:rsid w:val="007F122A"/>
    <w:rsid w:val="007F152F"/>
    <w:rsid w:val="007F1532"/>
    <w:rsid w:val="007F19D5"/>
    <w:rsid w:val="007F1A47"/>
    <w:rsid w:val="007F1A6A"/>
    <w:rsid w:val="007F1C29"/>
    <w:rsid w:val="007F1CAE"/>
    <w:rsid w:val="007F1E90"/>
    <w:rsid w:val="007F1F15"/>
    <w:rsid w:val="007F2700"/>
    <w:rsid w:val="007F2AB7"/>
    <w:rsid w:val="007F2CA7"/>
    <w:rsid w:val="007F2E78"/>
    <w:rsid w:val="007F2EBF"/>
    <w:rsid w:val="007F3248"/>
    <w:rsid w:val="007F3651"/>
    <w:rsid w:val="007F38FE"/>
    <w:rsid w:val="007F39BB"/>
    <w:rsid w:val="007F405D"/>
    <w:rsid w:val="007F425D"/>
    <w:rsid w:val="007F44C5"/>
    <w:rsid w:val="007F460F"/>
    <w:rsid w:val="007F4A60"/>
    <w:rsid w:val="007F4AE8"/>
    <w:rsid w:val="007F4DC7"/>
    <w:rsid w:val="007F4E76"/>
    <w:rsid w:val="007F59E9"/>
    <w:rsid w:val="007F5A0D"/>
    <w:rsid w:val="007F5B91"/>
    <w:rsid w:val="007F5BFC"/>
    <w:rsid w:val="007F5ECF"/>
    <w:rsid w:val="007F6626"/>
    <w:rsid w:val="007F6ABE"/>
    <w:rsid w:val="007F7040"/>
    <w:rsid w:val="007F70ED"/>
    <w:rsid w:val="007F72C9"/>
    <w:rsid w:val="007F775D"/>
    <w:rsid w:val="007F7A8C"/>
    <w:rsid w:val="007F7B38"/>
    <w:rsid w:val="007F7DD7"/>
    <w:rsid w:val="0080059C"/>
    <w:rsid w:val="00800826"/>
    <w:rsid w:val="00800AB7"/>
    <w:rsid w:val="00800BE6"/>
    <w:rsid w:val="00800DD8"/>
    <w:rsid w:val="00800FF5"/>
    <w:rsid w:val="0080193D"/>
    <w:rsid w:val="00801C84"/>
    <w:rsid w:val="00801D7F"/>
    <w:rsid w:val="00801DAC"/>
    <w:rsid w:val="00801F19"/>
    <w:rsid w:val="00802124"/>
    <w:rsid w:val="00802126"/>
    <w:rsid w:val="008023F5"/>
    <w:rsid w:val="00802B22"/>
    <w:rsid w:val="00802CD8"/>
    <w:rsid w:val="00802F97"/>
    <w:rsid w:val="00802FDA"/>
    <w:rsid w:val="00803270"/>
    <w:rsid w:val="00803355"/>
    <w:rsid w:val="00803374"/>
    <w:rsid w:val="0080353B"/>
    <w:rsid w:val="00803796"/>
    <w:rsid w:val="008038AD"/>
    <w:rsid w:val="00803A87"/>
    <w:rsid w:val="00803D8F"/>
    <w:rsid w:val="00803FB6"/>
    <w:rsid w:val="0080407D"/>
    <w:rsid w:val="008045DB"/>
    <w:rsid w:val="0080481D"/>
    <w:rsid w:val="0080484B"/>
    <w:rsid w:val="00804891"/>
    <w:rsid w:val="00804CE4"/>
    <w:rsid w:val="00804D6F"/>
    <w:rsid w:val="00804DDB"/>
    <w:rsid w:val="00804F94"/>
    <w:rsid w:val="008056ED"/>
    <w:rsid w:val="0080577B"/>
    <w:rsid w:val="008066F7"/>
    <w:rsid w:val="008067D2"/>
    <w:rsid w:val="00806853"/>
    <w:rsid w:val="00806883"/>
    <w:rsid w:val="00806C9D"/>
    <w:rsid w:val="00806EF9"/>
    <w:rsid w:val="008072D9"/>
    <w:rsid w:val="008073B4"/>
    <w:rsid w:val="008076C4"/>
    <w:rsid w:val="008079A7"/>
    <w:rsid w:val="00807AF7"/>
    <w:rsid w:val="00807ECE"/>
    <w:rsid w:val="00807EF9"/>
    <w:rsid w:val="00807FBF"/>
    <w:rsid w:val="008100A4"/>
    <w:rsid w:val="00810308"/>
    <w:rsid w:val="00810402"/>
    <w:rsid w:val="008105EA"/>
    <w:rsid w:val="008107AC"/>
    <w:rsid w:val="00810D99"/>
    <w:rsid w:val="00810F10"/>
    <w:rsid w:val="00810F23"/>
    <w:rsid w:val="00811290"/>
    <w:rsid w:val="00811791"/>
    <w:rsid w:val="00811BAD"/>
    <w:rsid w:val="00811CA2"/>
    <w:rsid w:val="0081253F"/>
    <w:rsid w:val="00812678"/>
    <w:rsid w:val="00812736"/>
    <w:rsid w:val="00812803"/>
    <w:rsid w:val="008128FF"/>
    <w:rsid w:val="0081312D"/>
    <w:rsid w:val="008134CD"/>
    <w:rsid w:val="0081352B"/>
    <w:rsid w:val="00813691"/>
    <w:rsid w:val="00813926"/>
    <w:rsid w:val="00813CEC"/>
    <w:rsid w:val="00813FC7"/>
    <w:rsid w:val="00813FF6"/>
    <w:rsid w:val="00814191"/>
    <w:rsid w:val="0081436E"/>
    <w:rsid w:val="00814579"/>
    <w:rsid w:val="0081463E"/>
    <w:rsid w:val="0081470A"/>
    <w:rsid w:val="008149A1"/>
    <w:rsid w:val="00814B8C"/>
    <w:rsid w:val="00814C41"/>
    <w:rsid w:val="00814DF8"/>
    <w:rsid w:val="0081559A"/>
    <w:rsid w:val="00815617"/>
    <w:rsid w:val="008156A9"/>
    <w:rsid w:val="008157A2"/>
    <w:rsid w:val="00815A03"/>
    <w:rsid w:val="00815ADD"/>
    <w:rsid w:val="00815C1C"/>
    <w:rsid w:val="00816243"/>
    <w:rsid w:val="00816359"/>
    <w:rsid w:val="00816702"/>
    <w:rsid w:val="00816755"/>
    <w:rsid w:val="00816C3E"/>
    <w:rsid w:val="00816CA5"/>
    <w:rsid w:val="00816EE8"/>
    <w:rsid w:val="00817252"/>
    <w:rsid w:val="00817480"/>
    <w:rsid w:val="00817A6D"/>
    <w:rsid w:val="00817B2F"/>
    <w:rsid w:val="00817C4E"/>
    <w:rsid w:val="00820542"/>
    <w:rsid w:val="00820585"/>
    <w:rsid w:val="0082089D"/>
    <w:rsid w:val="00820D25"/>
    <w:rsid w:val="00820EB3"/>
    <w:rsid w:val="00821080"/>
    <w:rsid w:val="00821559"/>
    <w:rsid w:val="0082170C"/>
    <w:rsid w:val="00821AA7"/>
    <w:rsid w:val="00821B55"/>
    <w:rsid w:val="00821CE3"/>
    <w:rsid w:val="0082221F"/>
    <w:rsid w:val="00822418"/>
    <w:rsid w:val="00822663"/>
    <w:rsid w:val="00822E09"/>
    <w:rsid w:val="0082310B"/>
    <w:rsid w:val="0082321A"/>
    <w:rsid w:val="00823316"/>
    <w:rsid w:val="00823769"/>
    <w:rsid w:val="008239A6"/>
    <w:rsid w:val="00823D80"/>
    <w:rsid w:val="0082409A"/>
    <w:rsid w:val="00824389"/>
    <w:rsid w:val="00824B36"/>
    <w:rsid w:val="00824D74"/>
    <w:rsid w:val="00824D8C"/>
    <w:rsid w:val="00825067"/>
    <w:rsid w:val="00825156"/>
    <w:rsid w:val="0082540F"/>
    <w:rsid w:val="008255CC"/>
    <w:rsid w:val="00825F8F"/>
    <w:rsid w:val="008260F9"/>
    <w:rsid w:val="00826383"/>
    <w:rsid w:val="00826429"/>
    <w:rsid w:val="00826466"/>
    <w:rsid w:val="0082654D"/>
    <w:rsid w:val="008269DA"/>
    <w:rsid w:val="00827068"/>
    <w:rsid w:val="008273F1"/>
    <w:rsid w:val="00827411"/>
    <w:rsid w:val="00827794"/>
    <w:rsid w:val="00827D1B"/>
    <w:rsid w:val="008302FF"/>
    <w:rsid w:val="00830417"/>
    <w:rsid w:val="008306BA"/>
    <w:rsid w:val="00830886"/>
    <w:rsid w:val="00830A6A"/>
    <w:rsid w:val="00830AA8"/>
    <w:rsid w:val="00830B4A"/>
    <w:rsid w:val="00830E12"/>
    <w:rsid w:val="00831423"/>
    <w:rsid w:val="00831C91"/>
    <w:rsid w:val="008325C7"/>
    <w:rsid w:val="0083267F"/>
    <w:rsid w:val="00832941"/>
    <w:rsid w:val="00832A45"/>
    <w:rsid w:val="00832A91"/>
    <w:rsid w:val="00832B44"/>
    <w:rsid w:val="00832C21"/>
    <w:rsid w:val="00833213"/>
    <w:rsid w:val="0083345F"/>
    <w:rsid w:val="008335EE"/>
    <w:rsid w:val="00833872"/>
    <w:rsid w:val="00833AEB"/>
    <w:rsid w:val="00833C9E"/>
    <w:rsid w:val="00833EB8"/>
    <w:rsid w:val="00833F63"/>
    <w:rsid w:val="00833FCA"/>
    <w:rsid w:val="008342DB"/>
    <w:rsid w:val="0083452D"/>
    <w:rsid w:val="0083482A"/>
    <w:rsid w:val="00834B7A"/>
    <w:rsid w:val="00834E6B"/>
    <w:rsid w:val="00835056"/>
    <w:rsid w:val="008355BF"/>
    <w:rsid w:val="00835A7B"/>
    <w:rsid w:val="00835B90"/>
    <w:rsid w:val="00835C28"/>
    <w:rsid w:val="00835C68"/>
    <w:rsid w:val="00835C6E"/>
    <w:rsid w:val="00835CB5"/>
    <w:rsid w:val="00836261"/>
    <w:rsid w:val="00836C7F"/>
    <w:rsid w:val="00836D4E"/>
    <w:rsid w:val="00837039"/>
    <w:rsid w:val="00837495"/>
    <w:rsid w:val="00837DEF"/>
    <w:rsid w:val="00840954"/>
    <w:rsid w:val="0084098E"/>
    <w:rsid w:val="00840F11"/>
    <w:rsid w:val="008410FE"/>
    <w:rsid w:val="00841155"/>
    <w:rsid w:val="0084139E"/>
    <w:rsid w:val="008414FD"/>
    <w:rsid w:val="0084150F"/>
    <w:rsid w:val="00841602"/>
    <w:rsid w:val="00841E05"/>
    <w:rsid w:val="008422FE"/>
    <w:rsid w:val="008424B7"/>
    <w:rsid w:val="0084295B"/>
    <w:rsid w:val="0084298C"/>
    <w:rsid w:val="00842D77"/>
    <w:rsid w:val="00842E36"/>
    <w:rsid w:val="00843231"/>
    <w:rsid w:val="00843B1C"/>
    <w:rsid w:val="00843FD7"/>
    <w:rsid w:val="00844205"/>
    <w:rsid w:val="008447A2"/>
    <w:rsid w:val="008449B4"/>
    <w:rsid w:val="008449E7"/>
    <w:rsid w:val="00844A16"/>
    <w:rsid w:val="00844AA2"/>
    <w:rsid w:val="00844D5A"/>
    <w:rsid w:val="00844F89"/>
    <w:rsid w:val="008451AE"/>
    <w:rsid w:val="0084530E"/>
    <w:rsid w:val="00845677"/>
    <w:rsid w:val="008459C3"/>
    <w:rsid w:val="00845FB5"/>
    <w:rsid w:val="008466AE"/>
    <w:rsid w:val="008468DD"/>
    <w:rsid w:val="0084697B"/>
    <w:rsid w:val="00846AB3"/>
    <w:rsid w:val="00846D83"/>
    <w:rsid w:val="00846E9F"/>
    <w:rsid w:val="0084715D"/>
    <w:rsid w:val="00847321"/>
    <w:rsid w:val="00847513"/>
    <w:rsid w:val="008475DA"/>
    <w:rsid w:val="008476DE"/>
    <w:rsid w:val="00847875"/>
    <w:rsid w:val="00847B8A"/>
    <w:rsid w:val="0085001A"/>
    <w:rsid w:val="00850091"/>
    <w:rsid w:val="008502DC"/>
    <w:rsid w:val="008502DF"/>
    <w:rsid w:val="00850658"/>
    <w:rsid w:val="00850A76"/>
    <w:rsid w:val="00850BAD"/>
    <w:rsid w:val="00850E86"/>
    <w:rsid w:val="008510AC"/>
    <w:rsid w:val="00851194"/>
    <w:rsid w:val="00851195"/>
    <w:rsid w:val="008513D2"/>
    <w:rsid w:val="0085177F"/>
    <w:rsid w:val="008517F3"/>
    <w:rsid w:val="00851DBA"/>
    <w:rsid w:val="00851FCF"/>
    <w:rsid w:val="00852008"/>
    <w:rsid w:val="008523DF"/>
    <w:rsid w:val="008526AD"/>
    <w:rsid w:val="00852EEB"/>
    <w:rsid w:val="00853441"/>
    <w:rsid w:val="008537EB"/>
    <w:rsid w:val="00853B61"/>
    <w:rsid w:val="00853BBC"/>
    <w:rsid w:val="00854108"/>
    <w:rsid w:val="00854150"/>
    <w:rsid w:val="008541A2"/>
    <w:rsid w:val="008542B9"/>
    <w:rsid w:val="008544A6"/>
    <w:rsid w:val="00854669"/>
    <w:rsid w:val="00854CAF"/>
    <w:rsid w:val="00855219"/>
    <w:rsid w:val="008552F1"/>
    <w:rsid w:val="00855444"/>
    <w:rsid w:val="00855647"/>
    <w:rsid w:val="00855663"/>
    <w:rsid w:val="0085595C"/>
    <w:rsid w:val="008559AF"/>
    <w:rsid w:val="00855D5D"/>
    <w:rsid w:val="00856593"/>
    <w:rsid w:val="00856BA3"/>
    <w:rsid w:val="00856D31"/>
    <w:rsid w:val="00856DE3"/>
    <w:rsid w:val="00856ED7"/>
    <w:rsid w:val="00856FC6"/>
    <w:rsid w:val="008573B3"/>
    <w:rsid w:val="008574E0"/>
    <w:rsid w:val="00857619"/>
    <w:rsid w:val="00857669"/>
    <w:rsid w:val="008577D1"/>
    <w:rsid w:val="008578FF"/>
    <w:rsid w:val="00857B52"/>
    <w:rsid w:val="008606AF"/>
    <w:rsid w:val="0086096A"/>
    <w:rsid w:val="00860BB0"/>
    <w:rsid w:val="00860CDD"/>
    <w:rsid w:val="008616D0"/>
    <w:rsid w:val="008619BD"/>
    <w:rsid w:val="00861ACB"/>
    <w:rsid w:val="00862622"/>
    <w:rsid w:val="00862751"/>
    <w:rsid w:val="00862754"/>
    <w:rsid w:val="00862BA7"/>
    <w:rsid w:val="00862E38"/>
    <w:rsid w:val="00863365"/>
    <w:rsid w:val="00863782"/>
    <w:rsid w:val="0086380A"/>
    <w:rsid w:val="00863812"/>
    <w:rsid w:val="008639A3"/>
    <w:rsid w:val="00863C06"/>
    <w:rsid w:val="00864081"/>
    <w:rsid w:val="00864149"/>
    <w:rsid w:val="008641F1"/>
    <w:rsid w:val="008643B3"/>
    <w:rsid w:val="008644CD"/>
    <w:rsid w:val="00864651"/>
    <w:rsid w:val="00864686"/>
    <w:rsid w:val="00864F0F"/>
    <w:rsid w:val="00865471"/>
    <w:rsid w:val="00865B04"/>
    <w:rsid w:val="00865BEE"/>
    <w:rsid w:val="00865CAA"/>
    <w:rsid w:val="00865D34"/>
    <w:rsid w:val="0086629A"/>
    <w:rsid w:val="008668A1"/>
    <w:rsid w:val="00866936"/>
    <w:rsid w:val="008669AC"/>
    <w:rsid w:val="00866A27"/>
    <w:rsid w:val="0086711A"/>
    <w:rsid w:val="008675AE"/>
    <w:rsid w:val="00867A85"/>
    <w:rsid w:val="00867AF3"/>
    <w:rsid w:val="00867B15"/>
    <w:rsid w:val="008701E3"/>
    <w:rsid w:val="00870603"/>
    <w:rsid w:val="0087067B"/>
    <w:rsid w:val="00870921"/>
    <w:rsid w:val="00870ACD"/>
    <w:rsid w:val="00871328"/>
    <w:rsid w:val="00871458"/>
    <w:rsid w:val="008716B0"/>
    <w:rsid w:val="0087172D"/>
    <w:rsid w:val="00871A64"/>
    <w:rsid w:val="00871C65"/>
    <w:rsid w:val="00871E9E"/>
    <w:rsid w:val="0087223E"/>
    <w:rsid w:val="00872905"/>
    <w:rsid w:val="00872985"/>
    <w:rsid w:val="00872EC1"/>
    <w:rsid w:val="008731B9"/>
    <w:rsid w:val="008733B0"/>
    <w:rsid w:val="008733CD"/>
    <w:rsid w:val="0087341D"/>
    <w:rsid w:val="008735E3"/>
    <w:rsid w:val="0087392C"/>
    <w:rsid w:val="008739A4"/>
    <w:rsid w:val="00873C8D"/>
    <w:rsid w:val="00874019"/>
    <w:rsid w:val="00874267"/>
    <w:rsid w:val="00874289"/>
    <w:rsid w:val="008742C6"/>
    <w:rsid w:val="008743B4"/>
    <w:rsid w:val="008744D5"/>
    <w:rsid w:val="0087463B"/>
    <w:rsid w:val="00874BFE"/>
    <w:rsid w:val="00874D9B"/>
    <w:rsid w:val="00874E86"/>
    <w:rsid w:val="008750AD"/>
    <w:rsid w:val="00875154"/>
    <w:rsid w:val="008752E0"/>
    <w:rsid w:val="008753D7"/>
    <w:rsid w:val="0087547F"/>
    <w:rsid w:val="008758ED"/>
    <w:rsid w:val="00875F6D"/>
    <w:rsid w:val="00876145"/>
    <w:rsid w:val="00876271"/>
    <w:rsid w:val="0087649D"/>
    <w:rsid w:val="008767D0"/>
    <w:rsid w:val="0087694E"/>
    <w:rsid w:val="00876C22"/>
    <w:rsid w:val="00876D31"/>
    <w:rsid w:val="00876F5E"/>
    <w:rsid w:val="00876FE1"/>
    <w:rsid w:val="008771F0"/>
    <w:rsid w:val="00877298"/>
    <w:rsid w:val="00877446"/>
    <w:rsid w:val="008775D4"/>
    <w:rsid w:val="008776DB"/>
    <w:rsid w:val="0087777C"/>
    <w:rsid w:val="00877E86"/>
    <w:rsid w:val="0088006F"/>
    <w:rsid w:val="008808A8"/>
    <w:rsid w:val="00880AA2"/>
    <w:rsid w:val="00880B19"/>
    <w:rsid w:val="00880C24"/>
    <w:rsid w:val="00880D79"/>
    <w:rsid w:val="00880DE7"/>
    <w:rsid w:val="00880EB2"/>
    <w:rsid w:val="0088132D"/>
    <w:rsid w:val="00881F06"/>
    <w:rsid w:val="008822AB"/>
    <w:rsid w:val="00882489"/>
    <w:rsid w:val="00882AE4"/>
    <w:rsid w:val="00882EC9"/>
    <w:rsid w:val="0088363E"/>
    <w:rsid w:val="00883A58"/>
    <w:rsid w:val="00883AB2"/>
    <w:rsid w:val="00883D0E"/>
    <w:rsid w:val="008840C7"/>
    <w:rsid w:val="008844D5"/>
    <w:rsid w:val="00884B1E"/>
    <w:rsid w:val="00885142"/>
    <w:rsid w:val="00885143"/>
    <w:rsid w:val="008852E9"/>
    <w:rsid w:val="0088541D"/>
    <w:rsid w:val="00885464"/>
    <w:rsid w:val="008854BF"/>
    <w:rsid w:val="0088593F"/>
    <w:rsid w:val="008859F8"/>
    <w:rsid w:val="00885B75"/>
    <w:rsid w:val="00885C02"/>
    <w:rsid w:val="008860A4"/>
    <w:rsid w:val="00886470"/>
    <w:rsid w:val="00886514"/>
    <w:rsid w:val="0088662D"/>
    <w:rsid w:val="00886BB3"/>
    <w:rsid w:val="00886F01"/>
    <w:rsid w:val="00887658"/>
    <w:rsid w:val="00887B27"/>
    <w:rsid w:val="00887FE8"/>
    <w:rsid w:val="00890038"/>
    <w:rsid w:val="0089031F"/>
    <w:rsid w:val="008906F1"/>
    <w:rsid w:val="00890B76"/>
    <w:rsid w:val="00890EA4"/>
    <w:rsid w:val="00890EE2"/>
    <w:rsid w:val="008910A6"/>
    <w:rsid w:val="0089110F"/>
    <w:rsid w:val="008911EB"/>
    <w:rsid w:val="00891362"/>
    <w:rsid w:val="0089155A"/>
    <w:rsid w:val="00891A75"/>
    <w:rsid w:val="00891DD2"/>
    <w:rsid w:val="00891EB2"/>
    <w:rsid w:val="00892269"/>
    <w:rsid w:val="00892386"/>
    <w:rsid w:val="008929B5"/>
    <w:rsid w:val="00892C82"/>
    <w:rsid w:val="00892F22"/>
    <w:rsid w:val="008932EF"/>
    <w:rsid w:val="008932FF"/>
    <w:rsid w:val="008934DF"/>
    <w:rsid w:val="008935F7"/>
    <w:rsid w:val="00894503"/>
    <w:rsid w:val="00894771"/>
    <w:rsid w:val="0089477A"/>
    <w:rsid w:val="008949BD"/>
    <w:rsid w:val="00894A64"/>
    <w:rsid w:val="00894CE1"/>
    <w:rsid w:val="00894DE1"/>
    <w:rsid w:val="008951F6"/>
    <w:rsid w:val="0089529B"/>
    <w:rsid w:val="008954BB"/>
    <w:rsid w:val="008956EA"/>
    <w:rsid w:val="00895E72"/>
    <w:rsid w:val="00896243"/>
    <w:rsid w:val="008968D7"/>
    <w:rsid w:val="008969A0"/>
    <w:rsid w:val="00896E64"/>
    <w:rsid w:val="00896E8E"/>
    <w:rsid w:val="00896F3D"/>
    <w:rsid w:val="00897051"/>
    <w:rsid w:val="008971BF"/>
    <w:rsid w:val="008978BE"/>
    <w:rsid w:val="00897E80"/>
    <w:rsid w:val="008A04B8"/>
    <w:rsid w:val="008A06A3"/>
    <w:rsid w:val="008A0B5F"/>
    <w:rsid w:val="008A0C72"/>
    <w:rsid w:val="008A0DB2"/>
    <w:rsid w:val="008A12FE"/>
    <w:rsid w:val="008A1354"/>
    <w:rsid w:val="008A1541"/>
    <w:rsid w:val="008A1CD7"/>
    <w:rsid w:val="008A1D1A"/>
    <w:rsid w:val="008A1F61"/>
    <w:rsid w:val="008A234B"/>
    <w:rsid w:val="008A26F6"/>
    <w:rsid w:val="008A278E"/>
    <w:rsid w:val="008A28F2"/>
    <w:rsid w:val="008A2C67"/>
    <w:rsid w:val="008A2CF0"/>
    <w:rsid w:val="008A2F1B"/>
    <w:rsid w:val="008A2F85"/>
    <w:rsid w:val="008A3050"/>
    <w:rsid w:val="008A3449"/>
    <w:rsid w:val="008A3484"/>
    <w:rsid w:val="008A38BB"/>
    <w:rsid w:val="008A3D5D"/>
    <w:rsid w:val="008A3FEC"/>
    <w:rsid w:val="008A40A5"/>
    <w:rsid w:val="008A41CA"/>
    <w:rsid w:val="008A428E"/>
    <w:rsid w:val="008A467F"/>
    <w:rsid w:val="008A48AB"/>
    <w:rsid w:val="008A49A0"/>
    <w:rsid w:val="008A4A62"/>
    <w:rsid w:val="008A4B4A"/>
    <w:rsid w:val="008A4F4C"/>
    <w:rsid w:val="008A547A"/>
    <w:rsid w:val="008A580B"/>
    <w:rsid w:val="008A5B2A"/>
    <w:rsid w:val="008A5FA7"/>
    <w:rsid w:val="008A6296"/>
    <w:rsid w:val="008A63B7"/>
    <w:rsid w:val="008A64AA"/>
    <w:rsid w:val="008A660B"/>
    <w:rsid w:val="008A6660"/>
    <w:rsid w:val="008A677B"/>
    <w:rsid w:val="008A6C4D"/>
    <w:rsid w:val="008A6CFF"/>
    <w:rsid w:val="008A6FEB"/>
    <w:rsid w:val="008A7000"/>
    <w:rsid w:val="008A739D"/>
    <w:rsid w:val="008A777F"/>
    <w:rsid w:val="008A79BC"/>
    <w:rsid w:val="008A7A5D"/>
    <w:rsid w:val="008A7D4F"/>
    <w:rsid w:val="008A7D8D"/>
    <w:rsid w:val="008A7E53"/>
    <w:rsid w:val="008B00CE"/>
    <w:rsid w:val="008B069B"/>
    <w:rsid w:val="008B07B8"/>
    <w:rsid w:val="008B08F2"/>
    <w:rsid w:val="008B0BB1"/>
    <w:rsid w:val="008B0EB9"/>
    <w:rsid w:val="008B0EED"/>
    <w:rsid w:val="008B0EF8"/>
    <w:rsid w:val="008B1159"/>
    <w:rsid w:val="008B1485"/>
    <w:rsid w:val="008B1DBC"/>
    <w:rsid w:val="008B22E0"/>
    <w:rsid w:val="008B25D8"/>
    <w:rsid w:val="008B2934"/>
    <w:rsid w:val="008B2FA7"/>
    <w:rsid w:val="008B35D3"/>
    <w:rsid w:val="008B37C8"/>
    <w:rsid w:val="008B3A64"/>
    <w:rsid w:val="008B3AAE"/>
    <w:rsid w:val="008B3ABC"/>
    <w:rsid w:val="008B3B2A"/>
    <w:rsid w:val="008B4ADF"/>
    <w:rsid w:val="008B4C23"/>
    <w:rsid w:val="008B5005"/>
    <w:rsid w:val="008B50A9"/>
    <w:rsid w:val="008B52E2"/>
    <w:rsid w:val="008B61C0"/>
    <w:rsid w:val="008B6B0B"/>
    <w:rsid w:val="008B6B0C"/>
    <w:rsid w:val="008B6D44"/>
    <w:rsid w:val="008B6F68"/>
    <w:rsid w:val="008B7030"/>
    <w:rsid w:val="008B768A"/>
    <w:rsid w:val="008B7A2B"/>
    <w:rsid w:val="008C0083"/>
    <w:rsid w:val="008C01CC"/>
    <w:rsid w:val="008C01F9"/>
    <w:rsid w:val="008C03B0"/>
    <w:rsid w:val="008C0891"/>
    <w:rsid w:val="008C0A56"/>
    <w:rsid w:val="008C0AD4"/>
    <w:rsid w:val="008C0B2F"/>
    <w:rsid w:val="008C0C6A"/>
    <w:rsid w:val="008C1014"/>
    <w:rsid w:val="008C1262"/>
    <w:rsid w:val="008C1403"/>
    <w:rsid w:val="008C193E"/>
    <w:rsid w:val="008C21B2"/>
    <w:rsid w:val="008C2530"/>
    <w:rsid w:val="008C2814"/>
    <w:rsid w:val="008C2D0B"/>
    <w:rsid w:val="008C2E49"/>
    <w:rsid w:val="008C2FF3"/>
    <w:rsid w:val="008C3043"/>
    <w:rsid w:val="008C32D3"/>
    <w:rsid w:val="008C3395"/>
    <w:rsid w:val="008C35A1"/>
    <w:rsid w:val="008C368E"/>
    <w:rsid w:val="008C372B"/>
    <w:rsid w:val="008C3824"/>
    <w:rsid w:val="008C3921"/>
    <w:rsid w:val="008C3A90"/>
    <w:rsid w:val="008C3F03"/>
    <w:rsid w:val="008C407A"/>
    <w:rsid w:val="008C4322"/>
    <w:rsid w:val="008C48D0"/>
    <w:rsid w:val="008C4ABD"/>
    <w:rsid w:val="008C4C55"/>
    <w:rsid w:val="008C4D1C"/>
    <w:rsid w:val="008C4FD8"/>
    <w:rsid w:val="008C555A"/>
    <w:rsid w:val="008C5606"/>
    <w:rsid w:val="008C5A83"/>
    <w:rsid w:val="008C5C87"/>
    <w:rsid w:val="008C5E00"/>
    <w:rsid w:val="008C5F17"/>
    <w:rsid w:val="008C609D"/>
    <w:rsid w:val="008C688D"/>
    <w:rsid w:val="008C6AE8"/>
    <w:rsid w:val="008C703E"/>
    <w:rsid w:val="008C7612"/>
    <w:rsid w:val="008C7923"/>
    <w:rsid w:val="008C7B11"/>
    <w:rsid w:val="008D01EC"/>
    <w:rsid w:val="008D04E6"/>
    <w:rsid w:val="008D06B0"/>
    <w:rsid w:val="008D0764"/>
    <w:rsid w:val="008D087B"/>
    <w:rsid w:val="008D088E"/>
    <w:rsid w:val="008D0D59"/>
    <w:rsid w:val="008D0EC5"/>
    <w:rsid w:val="008D0F3C"/>
    <w:rsid w:val="008D1005"/>
    <w:rsid w:val="008D16FF"/>
    <w:rsid w:val="008D1886"/>
    <w:rsid w:val="008D196F"/>
    <w:rsid w:val="008D1ED4"/>
    <w:rsid w:val="008D2164"/>
    <w:rsid w:val="008D21AF"/>
    <w:rsid w:val="008D2292"/>
    <w:rsid w:val="008D22FA"/>
    <w:rsid w:val="008D25AE"/>
    <w:rsid w:val="008D25EF"/>
    <w:rsid w:val="008D28C6"/>
    <w:rsid w:val="008D2A63"/>
    <w:rsid w:val="008D2A87"/>
    <w:rsid w:val="008D2BAC"/>
    <w:rsid w:val="008D312C"/>
    <w:rsid w:val="008D317A"/>
    <w:rsid w:val="008D327A"/>
    <w:rsid w:val="008D32BE"/>
    <w:rsid w:val="008D3886"/>
    <w:rsid w:val="008D38C2"/>
    <w:rsid w:val="008D3CC9"/>
    <w:rsid w:val="008D3D66"/>
    <w:rsid w:val="008D3EDD"/>
    <w:rsid w:val="008D3F4F"/>
    <w:rsid w:val="008D4129"/>
    <w:rsid w:val="008D43CC"/>
    <w:rsid w:val="008D4A42"/>
    <w:rsid w:val="008D4F14"/>
    <w:rsid w:val="008D599A"/>
    <w:rsid w:val="008D59D3"/>
    <w:rsid w:val="008D5A12"/>
    <w:rsid w:val="008D5B46"/>
    <w:rsid w:val="008D5BA8"/>
    <w:rsid w:val="008D5F82"/>
    <w:rsid w:val="008D6020"/>
    <w:rsid w:val="008D6315"/>
    <w:rsid w:val="008D643E"/>
    <w:rsid w:val="008D65D2"/>
    <w:rsid w:val="008D698B"/>
    <w:rsid w:val="008D6A38"/>
    <w:rsid w:val="008D6C78"/>
    <w:rsid w:val="008D6E9E"/>
    <w:rsid w:val="008D6F07"/>
    <w:rsid w:val="008D7552"/>
    <w:rsid w:val="008D761A"/>
    <w:rsid w:val="008D788A"/>
    <w:rsid w:val="008D7A82"/>
    <w:rsid w:val="008D7B10"/>
    <w:rsid w:val="008D7B54"/>
    <w:rsid w:val="008E04BB"/>
    <w:rsid w:val="008E05CF"/>
    <w:rsid w:val="008E06E9"/>
    <w:rsid w:val="008E0762"/>
    <w:rsid w:val="008E1050"/>
    <w:rsid w:val="008E1200"/>
    <w:rsid w:val="008E1467"/>
    <w:rsid w:val="008E1B91"/>
    <w:rsid w:val="008E1F01"/>
    <w:rsid w:val="008E2567"/>
    <w:rsid w:val="008E27ED"/>
    <w:rsid w:val="008E28DC"/>
    <w:rsid w:val="008E29BE"/>
    <w:rsid w:val="008E2F62"/>
    <w:rsid w:val="008E30F6"/>
    <w:rsid w:val="008E33D1"/>
    <w:rsid w:val="008E364E"/>
    <w:rsid w:val="008E387E"/>
    <w:rsid w:val="008E39B6"/>
    <w:rsid w:val="008E3F07"/>
    <w:rsid w:val="008E44B2"/>
    <w:rsid w:val="008E4654"/>
    <w:rsid w:val="008E475C"/>
    <w:rsid w:val="008E489A"/>
    <w:rsid w:val="008E49F0"/>
    <w:rsid w:val="008E4D19"/>
    <w:rsid w:val="008E4E78"/>
    <w:rsid w:val="008E4F7B"/>
    <w:rsid w:val="008E5689"/>
    <w:rsid w:val="008E57E4"/>
    <w:rsid w:val="008E57EB"/>
    <w:rsid w:val="008E5848"/>
    <w:rsid w:val="008E588C"/>
    <w:rsid w:val="008E5A6C"/>
    <w:rsid w:val="008E5E59"/>
    <w:rsid w:val="008E60D7"/>
    <w:rsid w:val="008E689D"/>
    <w:rsid w:val="008E6A16"/>
    <w:rsid w:val="008E71BC"/>
    <w:rsid w:val="008E7434"/>
    <w:rsid w:val="008E7510"/>
    <w:rsid w:val="008E75F9"/>
    <w:rsid w:val="008F0011"/>
    <w:rsid w:val="008F0310"/>
    <w:rsid w:val="008F05D7"/>
    <w:rsid w:val="008F07F9"/>
    <w:rsid w:val="008F144B"/>
    <w:rsid w:val="008F1772"/>
    <w:rsid w:val="008F17FD"/>
    <w:rsid w:val="008F1A7A"/>
    <w:rsid w:val="008F1B97"/>
    <w:rsid w:val="008F1E54"/>
    <w:rsid w:val="008F204F"/>
    <w:rsid w:val="008F2B53"/>
    <w:rsid w:val="008F2C2E"/>
    <w:rsid w:val="008F2DC2"/>
    <w:rsid w:val="008F2F72"/>
    <w:rsid w:val="008F3350"/>
    <w:rsid w:val="008F3536"/>
    <w:rsid w:val="008F3556"/>
    <w:rsid w:val="008F38AB"/>
    <w:rsid w:val="008F3B62"/>
    <w:rsid w:val="008F3DD7"/>
    <w:rsid w:val="008F3F54"/>
    <w:rsid w:val="008F3FE3"/>
    <w:rsid w:val="008F4702"/>
    <w:rsid w:val="008F4CC4"/>
    <w:rsid w:val="008F4CD8"/>
    <w:rsid w:val="008F586A"/>
    <w:rsid w:val="008F5B9A"/>
    <w:rsid w:val="008F5C66"/>
    <w:rsid w:val="008F620D"/>
    <w:rsid w:val="008F6455"/>
    <w:rsid w:val="008F65C1"/>
    <w:rsid w:val="008F69D6"/>
    <w:rsid w:val="008F6B98"/>
    <w:rsid w:val="008F6E27"/>
    <w:rsid w:val="008F6E8E"/>
    <w:rsid w:val="008F743E"/>
    <w:rsid w:val="008F74FC"/>
    <w:rsid w:val="008F766D"/>
    <w:rsid w:val="008F7A11"/>
    <w:rsid w:val="00900145"/>
    <w:rsid w:val="0090014D"/>
    <w:rsid w:val="00900169"/>
    <w:rsid w:val="009007DE"/>
    <w:rsid w:val="00900A35"/>
    <w:rsid w:val="00900A86"/>
    <w:rsid w:val="00900C65"/>
    <w:rsid w:val="0090121D"/>
    <w:rsid w:val="00901775"/>
    <w:rsid w:val="009019BB"/>
    <w:rsid w:val="00901AB2"/>
    <w:rsid w:val="00901C04"/>
    <w:rsid w:val="00901EFE"/>
    <w:rsid w:val="009023CF"/>
    <w:rsid w:val="009028F8"/>
    <w:rsid w:val="00902A0E"/>
    <w:rsid w:val="00902C44"/>
    <w:rsid w:val="00902CDA"/>
    <w:rsid w:val="00902D17"/>
    <w:rsid w:val="00902D8F"/>
    <w:rsid w:val="00902DB0"/>
    <w:rsid w:val="00903A10"/>
    <w:rsid w:val="00903AFF"/>
    <w:rsid w:val="00903D31"/>
    <w:rsid w:val="00903F5B"/>
    <w:rsid w:val="00903FD2"/>
    <w:rsid w:val="00904254"/>
    <w:rsid w:val="009049C7"/>
    <w:rsid w:val="00904C75"/>
    <w:rsid w:val="00905635"/>
    <w:rsid w:val="009056C1"/>
    <w:rsid w:val="009059BB"/>
    <w:rsid w:val="00905B7A"/>
    <w:rsid w:val="00906144"/>
    <w:rsid w:val="009061E0"/>
    <w:rsid w:val="0090639C"/>
    <w:rsid w:val="009064A4"/>
    <w:rsid w:val="009064C2"/>
    <w:rsid w:val="00906522"/>
    <w:rsid w:val="00906ADF"/>
    <w:rsid w:val="00906B1A"/>
    <w:rsid w:val="00907168"/>
    <w:rsid w:val="0090725E"/>
    <w:rsid w:val="00907261"/>
    <w:rsid w:val="009073D4"/>
    <w:rsid w:val="009076A3"/>
    <w:rsid w:val="00907A2F"/>
    <w:rsid w:val="00907D89"/>
    <w:rsid w:val="00907DA7"/>
    <w:rsid w:val="00910180"/>
    <w:rsid w:val="00910506"/>
    <w:rsid w:val="00910575"/>
    <w:rsid w:val="009106D7"/>
    <w:rsid w:val="00910781"/>
    <w:rsid w:val="00910806"/>
    <w:rsid w:val="00910830"/>
    <w:rsid w:val="00910A26"/>
    <w:rsid w:val="00910AEC"/>
    <w:rsid w:val="00910D7E"/>
    <w:rsid w:val="00910EAE"/>
    <w:rsid w:val="00911863"/>
    <w:rsid w:val="00911919"/>
    <w:rsid w:val="009128B7"/>
    <w:rsid w:val="00912C22"/>
    <w:rsid w:val="00912FB4"/>
    <w:rsid w:val="0091311C"/>
    <w:rsid w:val="009131C4"/>
    <w:rsid w:val="0091353F"/>
    <w:rsid w:val="0091396E"/>
    <w:rsid w:val="00913B2B"/>
    <w:rsid w:val="00913C01"/>
    <w:rsid w:val="00913C5A"/>
    <w:rsid w:val="00914059"/>
    <w:rsid w:val="00914201"/>
    <w:rsid w:val="00914339"/>
    <w:rsid w:val="009144E4"/>
    <w:rsid w:val="00914681"/>
    <w:rsid w:val="0091469B"/>
    <w:rsid w:val="009147E8"/>
    <w:rsid w:val="009148F9"/>
    <w:rsid w:val="00914C61"/>
    <w:rsid w:val="0091552B"/>
    <w:rsid w:val="00915BD1"/>
    <w:rsid w:val="00915C33"/>
    <w:rsid w:val="00915F7E"/>
    <w:rsid w:val="009160C1"/>
    <w:rsid w:val="0091637F"/>
    <w:rsid w:val="00916387"/>
    <w:rsid w:val="0091639E"/>
    <w:rsid w:val="0091669F"/>
    <w:rsid w:val="009168EF"/>
    <w:rsid w:val="009168F0"/>
    <w:rsid w:val="00916DAC"/>
    <w:rsid w:val="009170DD"/>
    <w:rsid w:val="00917171"/>
    <w:rsid w:val="00917413"/>
    <w:rsid w:val="00917417"/>
    <w:rsid w:val="00917605"/>
    <w:rsid w:val="00917850"/>
    <w:rsid w:val="00917AA0"/>
    <w:rsid w:val="00917ABF"/>
    <w:rsid w:val="00917B5A"/>
    <w:rsid w:val="00917D15"/>
    <w:rsid w:val="009200C3"/>
    <w:rsid w:val="0092010B"/>
    <w:rsid w:val="009201B9"/>
    <w:rsid w:val="0092048C"/>
    <w:rsid w:val="009208C9"/>
    <w:rsid w:val="0092096F"/>
    <w:rsid w:val="00920D0E"/>
    <w:rsid w:val="009210E2"/>
    <w:rsid w:val="00921143"/>
    <w:rsid w:val="009213B4"/>
    <w:rsid w:val="009213DF"/>
    <w:rsid w:val="00921410"/>
    <w:rsid w:val="0092155B"/>
    <w:rsid w:val="009216A7"/>
    <w:rsid w:val="009216B5"/>
    <w:rsid w:val="009217AB"/>
    <w:rsid w:val="0092180C"/>
    <w:rsid w:val="0092184F"/>
    <w:rsid w:val="009218F1"/>
    <w:rsid w:val="0092207D"/>
    <w:rsid w:val="0092224A"/>
    <w:rsid w:val="0092226D"/>
    <w:rsid w:val="009222EC"/>
    <w:rsid w:val="00922738"/>
    <w:rsid w:val="00922AA8"/>
    <w:rsid w:val="00923285"/>
    <w:rsid w:val="00923631"/>
    <w:rsid w:val="00923C21"/>
    <w:rsid w:val="00923EC1"/>
    <w:rsid w:val="00923F84"/>
    <w:rsid w:val="00923FB9"/>
    <w:rsid w:val="0092436D"/>
    <w:rsid w:val="00924483"/>
    <w:rsid w:val="009245E0"/>
    <w:rsid w:val="00924686"/>
    <w:rsid w:val="00924B8B"/>
    <w:rsid w:val="00924F59"/>
    <w:rsid w:val="00925399"/>
    <w:rsid w:val="009253F2"/>
    <w:rsid w:val="009257CC"/>
    <w:rsid w:val="0092583D"/>
    <w:rsid w:val="00925A87"/>
    <w:rsid w:val="0092672F"/>
    <w:rsid w:val="00926864"/>
    <w:rsid w:val="00926C5E"/>
    <w:rsid w:val="00926C8C"/>
    <w:rsid w:val="00927456"/>
    <w:rsid w:val="00927513"/>
    <w:rsid w:val="009278FF"/>
    <w:rsid w:val="009279E1"/>
    <w:rsid w:val="00927C2E"/>
    <w:rsid w:val="00927DC7"/>
    <w:rsid w:val="00930935"/>
    <w:rsid w:val="00930BDF"/>
    <w:rsid w:val="00930E2E"/>
    <w:rsid w:val="009313E2"/>
    <w:rsid w:val="009315A0"/>
    <w:rsid w:val="009316B4"/>
    <w:rsid w:val="0093181B"/>
    <w:rsid w:val="00931832"/>
    <w:rsid w:val="00931C5C"/>
    <w:rsid w:val="00931D3D"/>
    <w:rsid w:val="00931D4D"/>
    <w:rsid w:val="009320BB"/>
    <w:rsid w:val="00932249"/>
    <w:rsid w:val="0093225E"/>
    <w:rsid w:val="00932819"/>
    <w:rsid w:val="00932B77"/>
    <w:rsid w:val="009334F0"/>
    <w:rsid w:val="00933A90"/>
    <w:rsid w:val="00933B54"/>
    <w:rsid w:val="00933BD2"/>
    <w:rsid w:val="00933E1D"/>
    <w:rsid w:val="00933F55"/>
    <w:rsid w:val="00933FBA"/>
    <w:rsid w:val="0093456D"/>
    <w:rsid w:val="00934747"/>
    <w:rsid w:val="00934765"/>
    <w:rsid w:val="00934AC8"/>
    <w:rsid w:val="009351BD"/>
    <w:rsid w:val="00935248"/>
    <w:rsid w:val="00935710"/>
    <w:rsid w:val="00935881"/>
    <w:rsid w:val="00935C47"/>
    <w:rsid w:val="00936005"/>
    <w:rsid w:val="0093611B"/>
    <w:rsid w:val="009361AF"/>
    <w:rsid w:val="009362FB"/>
    <w:rsid w:val="0093641F"/>
    <w:rsid w:val="009364C8"/>
    <w:rsid w:val="0093662C"/>
    <w:rsid w:val="0093668C"/>
    <w:rsid w:val="00936704"/>
    <w:rsid w:val="0093686F"/>
    <w:rsid w:val="00936C5F"/>
    <w:rsid w:val="00936EF5"/>
    <w:rsid w:val="0093734F"/>
    <w:rsid w:val="009373EB"/>
    <w:rsid w:val="00937472"/>
    <w:rsid w:val="00937972"/>
    <w:rsid w:val="00940009"/>
    <w:rsid w:val="009406C4"/>
    <w:rsid w:val="0094083E"/>
    <w:rsid w:val="00940D86"/>
    <w:rsid w:val="0094111D"/>
    <w:rsid w:val="0094121F"/>
    <w:rsid w:val="00941380"/>
    <w:rsid w:val="009413AF"/>
    <w:rsid w:val="0094168E"/>
    <w:rsid w:val="00941941"/>
    <w:rsid w:val="00941D12"/>
    <w:rsid w:val="00941F8B"/>
    <w:rsid w:val="0094259C"/>
    <w:rsid w:val="009426F2"/>
    <w:rsid w:val="00943170"/>
    <w:rsid w:val="009434A1"/>
    <w:rsid w:val="00943748"/>
    <w:rsid w:val="00943A15"/>
    <w:rsid w:val="00943B9C"/>
    <w:rsid w:val="00943C07"/>
    <w:rsid w:val="00944170"/>
    <w:rsid w:val="009441D6"/>
    <w:rsid w:val="009441F8"/>
    <w:rsid w:val="009447B6"/>
    <w:rsid w:val="009448AE"/>
    <w:rsid w:val="00944C6E"/>
    <w:rsid w:val="00944F8E"/>
    <w:rsid w:val="009451C5"/>
    <w:rsid w:val="009452B7"/>
    <w:rsid w:val="00945499"/>
    <w:rsid w:val="009454E6"/>
    <w:rsid w:val="0094559C"/>
    <w:rsid w:val="00945858"/>
    <w:rsid w:val="00945B71"/>
    <w:rsid w:val="00945DA9"/>
    <w:rsid w:val="00945FEB"/>
    <w:rsid w:val="009464C0"/>
    <w:rsid w:val="0094679F"/>
    <w:rsid w:val="0094714A"/>
    <w:rsid w:val="00947A9F"/>
    <w:rsid w:val="00947B0A"/>
    <w:rsid w:val="00947F53"/>
    <w:rsid w:val="0095017A"/>
    <w:rsid w:val="0095057B"/>
    <w:rsid w:val="0095063B"/>
    <w:rsid w:val="00950E53"/>
    <w:rsid w:val="00950E7B"/>
    <w:rsid w:val="00951044"/>
    <w:rsid w:val="0095111A"/>
    <w:rsid w:val="009511FD"/>
    <w:rsid w:val="0095142D"/>
    <w:rsid w:val="0095153D"/>
    <w:rsid w:val="00951B9E"/>
    <w:rsid w:val="00951FF4"/>
    <w:rsid w:val="009522DF"/>
    <w:rsid w:val="00952447"/>
    <w:rsid w:val="00952474"/>
    <w:rsid w:val="00952872"/>
    <w:rsid w:val="009528A1"/>
    <w:rsid w:val="00952AE9"/>
    <w:rsid w:val="00953092"/>
    <w:rsid w:val="00953659"/>
    <w:rsid w:val="00953CCF"/>
    <w:rsid w:val="00954087"/>
    <w:rsid w:val="009544CA"/>
    <w:rsid w:val="009544EC"/>
    <w:rsid w:val="00954550"/>
    <w:rsid w:val="00954B2F"/>
    <w:rsid w:val="00954E0B"/>
    <w:rsid w:val="00954E7D"/>
    <w:rsid w:val="009551FF"/>
    <w:rsid w:val="00955A51"/>
    <w:rsid w:val="00955C9F"/>
    <w:rsid w:val="00955CA9"/>
    <w:rsid w:val="0095642F"/>
    <w:rsid w:val="00956445"/>
    <w:rsid w:val="00956631"/>
    <w:rsid w:val="00956890"/>
    <w:rsid w:val="009569FA"/>
    <w:rsid w:val="00956A6B"/>
    <w:rsid w:val="00956BE5"/>
    <w:rsid w:val="009571A8"/>
    <w:rsid w:val="009574EA"/>
    <w:rsid w:val="00960141"/>
    <w:rsid w:val="009603C9"/>
    <w:rsid w:val="009603E5"/>
    <w:rsid w:val="009604B9"/>
    <w:rsid w:val="00960610"/>
    <w:rsid w:val="009607B4"/>
    <w:rsid w:val="00960813"/>
    <w:rsid w:val="0096082D"/>
    <w:rsid w:val="009608E4"/>
    <w:rsid w:val="00960B90"/>
    <w:rsid w:val="00960BB6"/>
    <w:rsid w:val="0096131E"/>
    <w:rsid w:val="00961493"/>
    <w:rsid w:val="009614F0"/>
    <w:rsid w:val="00961853"/>
    <w:rsid w:val="0096187E"/>
    <w:rsid w:val="0096195A"/>
    <w:rsid w:val="00961970"/>
    <w:rsid w:val="00961DD0"/>
    <w:rsid w:val="00961E7E"/>
    <w:rsid w:val="009621C6"/>
    <w:rsid w:val="00962467"/>
    <w:rsid w:val="0096253A"/>
    <w:rsid w:val="00962586"/>
    <w:rsid w:val="00962BB0"/>
    <w:rsid w:val="009632D2"/>
    <w:rsid w:val="00963401"/>
    <w:rsid w:val="00963465"/>
    <w:rsid w:val="00963758"/>
    <w:rsid w:val="00963AFF"/>
    <w:rsid w:val="00964038"/>
    <w:rsid w:val="009640CD"/>
    <w:rsid w:val="009644B7"/>
    <w:rsid w:val="009648C8"/>
    <w:rsid w:val="00964C1A"/>
    <w:rsid w:val="00964FE3"/>
    <w:rsid w:val="0096500C"/>
    <w:rsid w:val="0096532B"/>
    <w:rsid w:val="00965519"/>
    <w:rsid w:val="00965B93"/>
    <w:rsid w:val="00965C93"/>
    <w:rsid w:val="00965F7C"/>
    <w:rsid w:val="009664C3"/>
    <w:rsid w:val="00966513"/>
    <w:rsid w:val="0096684E"/>
    <w:rsid w:val="00966F24"/>
    <w:rsid w:val="0096710D"/>
    <w:rsid w:val="0096768E"/>
    <w:rsid w:val="00967811"/>
    <w:rsid w:val="009679F7"/>
    <w:rsid w:val="00967A4E"/>
    <w:rsid w:val="00970A37"/>
    <w:rsid w:val="00970D38"/>
    <w:rsid w:val="00971483"/>
    <w:rsid w:val="00971AF9"/>
    <w:rsid w:val="00971BA0"/>
    <w:rsid w:val="00971E3F"/>
    <w:rsid w:val="009722A9"/>
    <w:rsid w:val="009723CF"/>
    <w:rsid w:val="00972552"/>
    <w:rsid w:val="00972851"/>
    <w:rsid w:val="00972B20"/>
    <w:rsid w:val="00972C2D"/>
    <w:rsid w:val="0097322F"/>
    <w:rsid w:val="0097327C"/>
    <w:rsid w:val="00973534"/>
    <w:rsid w:val="009735C0"/>
    <w:rsid w:val="0097367F"/>
    <w:rsid w:val="00973A69"/>
    <w:rsid w:val="00973C67"/>
    <w:rsid w:val="00974129"/>
    <w:rsid w:val="00974209"/>
    <w:rsid w:val="00974829"/>
    <w:rsid w:val="00974A6D"/>
    <w:rsid w:val="00974B25"/>
    <w:rsid w:val="00974C1C"/>
    <w:rsid w:val="00974C68"/>
    <w:rsid w:val="00974D58"/>
    <w:rsid w:val="009755A7"/>
    <w:rsid w:val="009759DE"/>
    <w:rsid w:val="00975DF8"/>
    <w:rsid w:val="00975E7A"/>
    <w:rsid w:val="00975FE1"/>
    <w:rsid w:val="00976458"/>
    <w:rsid w:val="00976C87"/>
    <w:rsid w:val="00976F20"/>
    <w:rsid w:val="009771F8"/>
    <w:rsid w:val="009779AD"/>
    <w:rsid w:val="00977AEF"/>
    <w:rsid w:val="00977B55"/>
    <w:rsid w:val="00977BF7"/>
    <w:rsid w:val="00977D4B"/>
    <w:rsid w:val="00977EE7"/>
    <w:rsid w:val="0098052D"/>
    <w:rsid w:val="00980906"/>
    <w:rsid w:val="0098090D"/>
    <w:rsid w:val="00980960"/>
    <w:rsid w:val="00980C24"/>
    <w:rsid w:val="00980C59"/>
    <w:rsid w:val="00980F71"/>
    <w:rsid w:val="00981647"/>
    <w:rsid w:val="009817B1"/>
    <w:rsid w:val="00981D06"/>
    <w:rsid w:val="00981E91"/>
    <w:rsid w:val="009822B9"/>
    <w:rsid w:val="0098244C"/>
    <w:rsid w:val="00982B88"/>
    <w:rsid w:val="00982CEF"/>
    <w:rsid w:val="00982D30"/>
    <w:rsid w:val="00982D68"/>
    <w:rsid w:val="00982FAF"/>
    <w:rsid w:val="0098301A"/>
    <w:rsid w:val="0098340D"/>
    <w:rsid w:val="0098368E"/>
    <w:rsid w:val="00983AEC"/>
    <w:rsid w:val="00984114"/>
    <w:rsid w:val="00984274"/>
    <w:rsid w:val="0098427D"/>
    <w:rsid w:val="00984352"/>
    <w:rsid w:val="00984679"/>
    <w:rsid w:val="0098468E"/>
    <w:rsid w:val="00984A6D"/>
    <w:rsid w:val="00984CBC"/>
    <w:rsid w:val="00985387"/>
    <w:rsid w:val="00985671"/>
    <w:rsid w:val="0098569B"/>
    <w:rsid w:val="0098575D"/>
    <w:rsid w:val="00985A20"/>
    <w:rsid w:val="00985A34"/>
    <w:rsid w:val="00986742"/>
    <w:rsid w:val="00986CE9"/>
    <w:rsid w:val="0098726C"/>
    <w:rsid w:val="009874BC"/>
    <w:rsid w:val="009874D5"/>
    <w:rsid w:val="009875BE"/>
    <w:rsid w:val="00987771"/>
    <w:rsid w:val="00987951"/>
    <w:rsid w:val="00987AE5"/>
    <w:rsid w:val="009901D3"/>
    <w:rsid w:val="009903E4"/>
    <w:rsid w:val="009905EB"/>
    <w:rsid w:val="00990621"/>
    <w:rsid w:val="009908BF"/>
    <w:rsid w:val="00990A1A"/>
    <w:rsid w:val="00990AA2"/>
    <w:rsid w:val="0099114C"/>
    <w:rsid w:val="00991486"/>
    <w:rsid w:val="00991A15"/>
    <w:rsid w:val="00991AE8"/>
    <w:rsid w:val="00991BFE"/>
    <w:rsid w:val="00991CDB"/>
    <w:rsid w:val="00991FBC"/>
    <w:rsid w:val="00992654"/>
    <w:rsid w:val="0099271D"/>
    <w:rsid w:val="0099272B"/>
    <w:rsid w:val="00992C0D"/>
    <w:rsid w:val="00992C44"/>
    <w:rsid w:val="00992EE2"/>
    <w:rsid w:val="00992F71"/>
    <w:rsid w:val="0099303B"/>
    <w:rsid w:val="009931E0"/>
    <w:rsid w:val="0099324C"/>
    <w:rsid w:val="0099356F"/>
    <w:rsid w:val="00993741"/>
    <w:rsid w:val="0099394A"/>
    <w:rsid w:val="00994052"/>
    <w:rsid w:val="00994351"/>
    <w:rsid w:val="009944E4"/>
    <w:rsid w:val="0099451E"/>
    <w:rsid w:val="00994528"/>
    <w:rsid w:val="0099469E"/>
    <w:rsid w:val="009946A3"/>
    <w:rsid w:val="009946FB"/>
    <w:rsid w:val="00994A16"/>
    <w:rsid w:val="00994E0F"/>
    <w:rsid w:val="00994E17"/>
    <w:rsid w:val="00995036"/>
    <w:rsid w:val="009953AD"/>
    <w:rsid w:val="009955C3"/>
    <w:rsid w:val="00995971"/>
    <w:rsid w:val="00995F9E"/>
    <w:rsid w:val="00996035"/>
    <w:rsid w:val="0099611C"/>
    <w:rsid w:val="00996154"/>
    <w:rsid w:val="009968AA"/>
    <w:rsid w:val="0099699D"/>
    <w:rsid w:val="0099702F"/>
    <w:rsid w:val="009976C9"/>
    <w:rsid w:val="009978F5"/>
    <w:rsid w:val="00997BD8"/>
    <w:rsid w:val="00997C73"/>
    <w:rsid w:val="00997DE2"/>
    <w:rsid w:val="00997E7C"/>
    <w:rsid w:val="009A01AD"/>
    <w:rsid w:val="009A053F"/>
    <w:rsid w:val="009A068A"/>
    <w:rsid w:val="009A0813"/>
    <w:rsid w:val="009A09B4"/>
    <w:rsid w:val="009A0C80"/>
    <w:rsid w:val="009A0E4E"/>
    <w:rsid w:val="009A12F6"/>
    <w:rsid w:val="009A1C0B"/>
    <w:rsid w:val="009A1FE1"/>
    <w:rsid w:val="009A210C"/>
    <w:rsid w:val="009A2283"/>
    <w:rsid w:val="009A28F5"/>
    <w:rsid w:val="009A2AD2"/>
    <w:rsid w:val="009A2ADB"/>
    <w:rsid w:val="009A2C20"/>
    <w:rsid w:val="009A2F50"/>
    <w:rsid w:val="009A306B"/>
    <w:rsid w:val="009A30DD"/>
    <w:rsid w:val="009A3641"/>
    <w:rsid w:val="009A39F5"/>
    <w:rsid w:val="009A3ABE"/>
    <w:rsid w:val="009A3B43"/>
    <w:rsid w:val="009A43B6"/>
    <w:rsid w:val="009A43CF"/>
    <w:rsid w:val="009A4A1D"/>
    <w:rsid w:val="009A4B7F"/>
    <w:rsid w:val="009A5341"/>
    <w:rsid w:val="009A587E"/>
    <w:rsid w:val="009A5919"/>
    <w:rsid w:val="009A5964"/>
    <w:rsid w:val="009A5998"/>
    <w:rsid w:val="009A5CBC"/>
    <w:rsid w:val="009A6270"/>
    <w:rsid w:val="009A6804"/>
    <w:rsid w:val="009A6A33"/>
    <w:rsid w:val="009A6C44"/>
    <w:rsid w:val="009A6ED6"/>
    <w:rsid w:val="009A6FDA"/>
    <w:rsid w:val="009A7663"/>
    <w:rsid w:val="009A76D7"/>
    <w:rsid w:val="009A7820"/>
    <w:rsid w:val="009A7A71"/>
    <w:rsid w:val="009A7C4F"/>
    <w:rsid w:val="009B028A"/>
    <w:rsid w:val="009B03F3"/>
    <w:rsid w:val="009B0628"/>
    <w:rsid w:val="009B08BA"/>
    <w:rsid w:val="009B08BB"/>
    <w:rsid w:val="009B09DD"/>
    <w:rsid w:val="009B0BB5"/>
    <w:rsid w:val="009B0DA4"/>
    <w:rsid w:val="009B11C9"/>
    <w:rsid w:val="009B1327"/>
    <w:rsid w:val="009B13B4"/>
    <w:rsid w:val="009B144C"/>
    <w:rsid w:val="009B161D"/>
    <w:rsid w:val="009B1625"/>
    <w:rsid w:val="009B16FF"/>
    <w:rsid w:val="009B1896"/>
    <w:rsid w:val="009B1965"/>
    <w:rsid w:val="009B23B8"/>
    <w:rsid w:val="009B2738"/>
    <w:rsid w:val="009B2876"/>
    <w:rsid w:val="009B294E"/>
    <w:rsid w:val="009B2AD3"/>
    <w:rsid w:val="009B2D7F"/>
    <w:rsid w:val="009B2EBE"/>
    <w:rsid w:val="009B33E9"/>
    <w:rsid w:val="009B3ADF"/>
    <w:rsid w:val="009B3EB8"/>
    <w:rsid w:val="009B3F29"/>
    <w:rsid w:val="009B40E0"/>
    <w:rsid w:val="009B41D7"/>
    <w:rsid w:val="009B435B"/>
    <w:rsid w:val="009B43E5"/>
    <w:rsid w:val="009B48A8"/>
    <w:rsid w:val="009B4917"/>
    <w:rsid w:val="009B4B39"/>
    <w:rsid w:val="009B4BAD"/>
    <w:rsid w:val="009B4E36"/>
    <w:rsid w:val="009B5004"/>
    <w:rsid w:val="009B513C"/>
    <w:rsid w:val="009B5736"/>
    <w:rsid w:val="009B5A0D"/>
    <w:rsid w:val="009B5A15"/>
    <w:rsid w:val="009B5BE7"/>
    <w:rsid w:val="009B5D13"/>
    <w:rsid w:val="009B5DBB"/>
    <w:rsid w:val="009B603D"/>
    <w:rsid w:val="009B6159"/>
    <w:rsid w:val="009B61CB"/>
    <w:rsid w:val="009B6241"/>
    <w:rsid w:val="009B6857"/>
    <w:rsid w:val="009B69C4"/>
    <w:rsid w:val="009B70BD"/>
    <w:rsid w:val="009B747F"/>
    <w:rsid w:val="009B7650"/>
    <w:rsid w:val="009B7D0C"/>
    <w:rsid w:val="009B7D98"/>
    <w:rsid w:val="009C0297"/>
    <w:rsid w:val="009C04C9"/>
    <w:rsid w:val="009C0531"/>
    <w:rsid w:val="009C086E"/>
    <w:rsid w:val="009C08BF"/>
    <w:rsid w:val="009C08C3"/>
    <w:rsid w:val="009C08ED"/>
    <w:rsid w:val="009C09BE"/>
    <w:rsid w:val="009C0D00"/>
    <w:rsid w:val="009C0ED2"/>
    <w:rsid w:val="009C1071"/>
    <w:rsid w:val="009C1199"/>
    <w:rsid w:val="009C1850"/>
    <w:rsid w:val="009C18A7"/>
    <w:rsid w:val="009C192F"/>
    <w:rsid w:val="009C1D0B"/>
    <w:rsid w:val="009C1E8F"/>
    <w:rsid w:val="009C1F23"/>
    <w:rsid w:val="009C2515"/>
    <w:rsid w:val="009C2573"/>
    <w:rsid w:val="009C2696"/>
    <w:rsid w:val="009C279C"/>
    <w:rsid w:val="009C28CD"/>
    <w:rsid w:val="009C28D5"/>
    <w:rsid w:val="009C2E7C"/>
    <w:rsid w:val="009C2F4E"/>
    <w:rsid w:val="009C32DF"/>
    <w:rsid w:val="009C3367"/>
    <w:rsid w:val="009C3DA1"/>
    <w:rsid w:val="009C3EBA"/>
    <w:rsid w:val="009C4926"/>
    <w:rsid w:val="009C4E1A"/>
    <w:rsid w:val="009C4FC2"/>
    <w:rsid w:val="009C5639"/>
    <w:rsid w:val="009C5832"/>
    <w:rsid w:val="009C59AD"/>
    <w:rsid w:val="009C60FB"/>
    <w:rsid w:val="009C6126"/>
    <w:rsid w:val="009C6585"/>
    <w:rsid w:val="009C66DE"/>
    <w:rsid w:val="009C66F6"/>
    <w:rsid w:val="009C67E2"/>
    <w:rsid w:val="009C6ADC"/>
    <w:rsid w:val="009C6B78"/>
    <w:rsid w:val="009C6C09"/>
    <w:rsid w:val="009C6D16"/>
    <w:rsid w:val="009C6D74"/>
    <w:rsid w:val="009C6EA3"/>
    <w:rsid w:val="009C6F6D"/>
    <w:rsid w:val="009C70D2"/>
    <w:rsid w:val="009C7B17"/>
    <w:rsid w:val="009D00CF"/>
    <w:rsid w:val="009D0412"/>
    <w:rsid w:val="009D0520"/>
    <w:rsid w:val="009D0599"/>
    <w:rsid w:val="009D05F3"/>
    <w:rsid w:val="009D0850"/>
    <w:rsid w:val="009D087A"/>
    <w:rsid w:val="009D08C1"/>
    <w:rsid w:val="009D0E1C"/>
    <w:rsid w:val="009D0E3B"/>
    <w:rsid w:val="009D0EB6"/>
    <w:rsid w:val="009D0F19"/>
    <w:rsid w:val="009D1760"/>
    <w:rsid w:val="009D19CC"/>
    <w:rsid w:val="009D1AE0"/>
    <w:rsid w:val="009D1F48"/>
    <w:rsid w:val="009D27EE"/>
    <w:rsid w:val="009D29E6"/>
    <w:rsid w:val="009D2BA6"/>
    <w:rsid w:val="009D2FEB"/>
    <w:rsid w:val="009D352B"/>
    <w:rsid w:val="009D428E"/>
    <w:rsid w:val="009D44B7"/>
    <w:rsid w:val="009D4534"/>
    <w:rsid w:val="009D4542"/>
    <w:rsid w:val="009D4619"/>
    <w:rsid w:val="009D4C44"/>
    <w:rsid w:val="009D506A"/>
    <w:rsid w:val="009D50B9"/>
    <w:rsid w:val="009D52C4"/>
    <w:rsid w:val="009D52CD"/>
    <w:rsid w:val="009D5797"/>
    <w:rsid w:val="009D5A46"/>
    <w:rsid w:val="009D5AF8"/>
    <w:rsid w:val="009D5B9F"/>
    <w:rsid w:val="009D5C24"/>
    <w:rsid w:val="009D5EFE"/>
    <w:rsid w:val="009D62C2"/>
    <w:rsid w:val="009D62F0"/>
    <w:rsid w:val="009D63DC"/>
    <w:rsid w:val="009D6608"/>
    <w:rsid w:val="009D6638"/>
    <w:rsid w:val="009D668B"/>
    <w:rsid w:val="009D683F"/>
    <w:rsid w:val="009D6BEB"/>
    <w:rsid w:val="009D72C4"/>
    <w:rsid w:val="009D7814"/>
    <w:rsid w:val="009D7D2C"/>
    <w:rsid w:val="009D7D6F"/>
    <w:rsid w:val="009D7DB6"/>
    <w:rsid w:val="009D7F11"/>
    <w:rsid w:val="009E0019"/>
    <w:rsid w:val="009E01BD"/>
    <w:rsid w:val="009E0245"/>
    <w:rsid w:val="009E0B6A"/>
    <w:rsid w:val="009E0C2C"/>
    <w:rsid w:val="009E1626"/>
    <w:rsid w:val="009E17BC"/>
    <w:rsid w:val="009E1846"/>
    <w:rsid w:val="009E1B8B"/>
    <w:rsid w:val="009E21CC"/>
    <w:rsid w:val="009E269A"/>
    <w:rsid w:val="009E2742"/>
    <w:rsid w:val="009E2BBC"/>
    <w:rsid w:val="009E2CC5"/>
    <w:rsid w:val="009E2F28"/>
    <w:rsid w:val="009E3108"/>
    <w:rsid w:val="009E318B"/>
    <w:rsid w:val="009E3337"/>
    <w:rsid w:val="009E345E"/>
    <w:rsid w:val="009E3566"/>
    <w:rsid w:val="009E3AE2"/>
    <w:rsid w:val="009E3C15"/>
    <w:rsid w:val="009E3DFC"/>
    <w:rsid w:val="009E3E3F"/>
    <w:rsid w:val="009E409B"/>
    <w:rsid w:val="009E44EF"/>
    <w:rsid w:val="009E4734"/>
    <w:rsid w:val="009E4CE1"/>
    <w:rsid w:val="009E5107"/>
    <w:rsid w:val="009E522C"/>
    <w:rsid w:val="009E5337"/>
    <w:rsid w:val="009E542E"/>
    <w:rsid w:val="009E5730"/>
    <w:rsid w:val="009E5995"/>
    <w:rsid w:val="009E5BDE"/>
    <w:rsid w:val="009E5DCC"/>
    <w:rsid w:val="009E5F12"/>
    <w:rsid w:val="009E5F64"/>
    <w:rsid w:val="009E627A"/>
    <w:rsid w:val="009E6588"/>
    <w:rsid w:val="009E6D04"/>
    <w:rsid w:val="009E6E2A"/>
    <w:rsid w:val="009E6E54"/>
    <w:rsid w:val="009E6EC7"/>
    <w:rsid w:val="009E6F84"/>
    <w:rsid w:val="009E76B9"/>
    <w:rsid w:val="009E79AD"/>
    <w:rsid w:val="009E7A7E"/>
    <w:rsid w:val="009E7D36"/>
    <w:rsid w:val="009E7F25"/>
    <w:rsid w:val="009E7FCE"/>
    <w:rsid w:val="009F02DE"/>
    <w:rsid w:val="009F0492"/>
    <w:rsid w:val="009F0B3C"/>
    <w:rsid w:val="009F0D3F"/>
    <w:rsid w:val="009F0D7E"/>
    <w:rsid w:val="009F0DCA"/>
    <w:rsid w:val="009F0EBC"/>
    <w:rsid w:val="009F0F89"/>
    <w:rsid w:val="009F17F6"/>
    <w:rsid w:val="009F1857"/>
    <w:rsid w:val="009F1AA1"/>
    <w:rsid w:val="009F1EF2"/>
    <w:rsid w:val="009F1FAC"/>
    <w:rsid w:val="009F21D4"/>
    <w:rsid w:val="009F2343"/>
    <w:rsid w:val="009F234F"/>
    <w:rsid w:val="009F2445"/>
    <w:rsid w:val="009F28FB"/>
    <w:rsid w:val="009F292A"/>
    <w:rsid w:val="009F2A92"/>
    <w:rsid w:val="009F2AC0"/>
    <w:rsid w:val="009F2B44"/>
    <w:rsid w:val="009F2BCB"/>
    <w:rsid w:val="009F2CC8"/>
    <w:rsid w:val="009F311A"/>
    <w:rsid w:val="009F3438"/>
    <w:rsid w:val="009F35BC"/>
    <w:rsid w:val="009F35CA"/>
    <w:rsid w:val="009F373D"/>
    <w:rsid w:val="009F389C"/>
    <w:rsid w:val="009F3CC9"/>
    <w:rsid w:val="009F3DB5"/>
    <w:rsid w:val="009F3F43"/>
    <w:rsid w:val="009F423E"/>
    <w:rsid w:val="009F473A"/>
    <w:rsid w:val="009F47E7"/>
    <w:rsid w:val="009F4A2C"/>
    <w:rsid w:val="009F50AA"/>
    <w:rsid w:val="009F5B97"/>
    <w:rsid w:val="009F6136"/>
    <w:rsid w:val="009F61D9"/>
    <w:rsid w:val="009F6323"/>
    <w:rsid w:val="009F65B7"/>
    <w:rsid w:val="009F6D4F"/>
    <w:rsid w:val="009F759A"/>
    <w:rsid w:val="009F792C"/>
    <w:rsid w:val="009F7A9A"/>
    <w:rsid w:val="009F7B32"/>
    <w:rsid w:val="009F7C52"/>
    <w:rsid w:val="00A0011F"/>
    <w:rsid w:val="00A00F2F"/>
    <w:rsid w:val="00A0104D"/>
    <w:rsid w:val="00A0125B"/>
    <w:rsid w:val="00A01B17"/>
    <w:rsid w:val="00A02225"/>
    <w:rsid w:val="00A025CE"/>
    <w:rsid w:val="00A02627"/>
    <w:rsid w:val="00A02D2F"/>
    <w:rsid w:val="00A02DC1"/>
    <w:rsid w:val="00A02EA5"/>
    <w:rsid w:val="00A03676"/>
    <w:rsid w:val="00A03AB3"/>
    <w:rsid w:val="00A044CA"/>
    <w:rsid w:val="00A044FB"/>
    <w:rsid w:val="00A045D4"/>
    <w:rsid w:val="00A04929"/>
    <w:rsid w:val="00A05219"/>
    <w:rsid w:val="00A052A2"/>
    <w:rsid w:val="00A052D5"/>
    <w:rsid w:val="00A05643"/>
    <w:rsid w:val="00A05941"/>
    <w:rsid w:val="00A05C17"/>
    <w:rsid w:val="00A0604C"/>
    <w:rsid w:val="00A06A3D"/>
    <w:rsid w:val="00A06FE8"/>
    <w:rsid w:val="00A0706E"/>
    <w:rsid w:val="00A0721D"/>
    <w:rsid w:val="00A0735F"/>
    <w:rsid w:val="00A0751A"/>
    <w:rsid w:val="00A075D4"/>
    <w:rsid w:val="00A07A0E"/>
    <w:rsid w:val="00A07A7C"/>
    <w:rsid w:val="00A07B74"/>
    <w:rsid w:val="00A07C4E"/>
    <w:rsid w:val="00A07CF9"/>
    <w:rsid w:val="00A07D26"/>
    <w:rsid w:val="00A10257"/>
    <w:rsid w:val="00A104BD"/>
    <w:rsid w:val="00A10712"/>
    <w:rsid w:val="00A10778"/>
    <w:rsid w:val="00A10953"/>
    <w:rsid w:val="00A10A4E"/>
    <w:rsid w:val="00A10EDA"/>
    <w:rsid w:val="00A115A3"/>
    <w:rsid w:val="00A11728"/>
    <w:rsid w:val="00A11744"/>
    <w:rsid w:val="00A11A0F"/>
    <w:rsid w:val="00A11C30"/>
    <w:rsid w:val="00A11C8A"/>
    <w:rsid w:val="00A12200"/>
    <w:rsid w:val="00A12BC8"/>
    <w:rsid w:val="00A12DF8"/>
    <w:rsid w:val="00A131A1"/>
    <w:rsid w:val="00A136AF"/>
    <w:rsid w:val="00A136C4"/>
    <w:rsid w:val="00A13759"/>
    <w:rsid w:val="00A13816"/>
    <w:rsid w:val="00A13997"/>
    <w:rsid w:val="00A13AEB"/>
    <w:rsid w:val="00A13BEE"/>
    <w:rsid w:val="00A14101"/>
    <w:rsid w:val="00A14438"/>
    <w:rsid w:val="00A1460A"/>
    <w:rsid w:val="00A146B2"/>
    <w:rsid w:val="00A14967"/>
    <w:rsid w:val="00A14A30"/>
    <w:rsid w:val="00A14A60"/>
    <w:rsid w:val="00A14EDB"/>
    <w:rsid w:val="00A15002"/>
    <w:rsid w:val="00A1512B"/>
    <w:rsid w:val="00A15636"/>
    <w:rsid w:val="00A1575E"/>
    <w:rsid w:val="00A15AC5"/>
    <w:rsid w:val="00A15CDD"/>
    <w:rsid w:val="00A15D76"/>
    <w:rsid w:val="00A15D81"/>
    <w:rsid w:val="00A15E12"/>
    <w:rsid w:val="00A16142"/>
    <w:rsid w:val="00A1616D"/>
    <w:rsid w:val="00A167E8"/>
    <w:rsid w:val="00A170BD"/>
    <w:rsid w:val="00A17439"/>
    <w:rsid w:val="00A175CF"/>
    <w:rsid w:val="00A17632"/>
    <w:rsid w:val="00A17716"/>
    <w:rsid w:val="00A17804"/>
    <w:rsid w:val="00A17904"/>
    <w:rsid w:val="00A17CF2"/>
    <w:rsid w:val="00A17D2F"/>
    <w:rsid w:val="00A17DAC"/>
    <w:rsid w:val="00A20143"/>
    <w:rsid w:val="00A2025C"/>
    <w:rsid w:val="00A202BD"/>
    <w:rsid w:val="00A207D0"/>
    <w:rsid w:val="00A209BF"/>
    <w:rsid w:val="00A20E4B"/>
    <w:rsid w:val="00A21067"/>
    <w:rsid w:val="00A21089"/>
    <w:rsid w:val="00A21092"/>
    <w:rsid w:val="00A21424"/>
    <w:rsid w:val="00A2149B"/>
    <w:rsid w:val="00A21680"/>
    <w:rsid w:val="00A21BCE"/>
    <w:rsid w:val="00A21C95"/>
    <w:rsid w:val="00A21CEF"/>
    <w:rsid w:val="00A21E9A"/>
    <w:rsid w:val="00A22077"/>
    <w:rsid w:val="00A221C0"/>
    <w:rsid w:val="00A222CE"/>
    <w:rsid w:val="00A223A0"/>
    <w:rsid w:val="00A2271C"/>
    <w:rsid w:val="00A229B3"/>
    <w:rsid w:val="00A229D5"/>
    <w:rsid w:val="00A2326A"/>
    <w:rsid w:val="00A233A4"/>
    <w:rsid w:val="00A234E1"/>
    <w:rsid w:val="00A2360B"/>
    <w:rsid w:val="00A2381B"/>
    <w:rsid w:val="00A23CB6"/>
    <w:rsid w:val="00A2409A"/>
    <w:rsid w:val="00A2424B"/>
    <w:rsid w:val="00A24272"/>
    <w:rsid w:val="00A24636"/>
    <w:rsid w:val="00A247AB"/>
    <w:rsid w:val="00A24878"/>
    <w:rsid w:val="00A24EFB"/>
    <w:rsid w:val="00A25113"/>
    <w:rsid w:val="00A25293"/>
    <w:rsid w:val="00A25332"/>
    <w:rsid w:val="00A2539B"/>
    <w:rsid w:val="00A25BF5"/>
    <w:rsid w:val="00A25BF6"/>
    <w:rsid w:val="00A25CB8"/>
    <w:rsid w:val="00A25E6E"/>
    <w:rsid w:val="00A25F0E"/>
    <w:rsid w:val="00A261FE"/>
    <w:rsid w:val="00A2649A"/>
    <w:rsid w:val="00A264F6"/>
    <w:rsid w:val="00A2684D"/>
    <w:rsid w:val="00A2689F"/>
    <w:rsid w:val="00A26C98"/>
    <w:rsid w:val="00A26C9F"/>
    <w:rsid w:val="00A26DA2"/>
    <w:rsid w:val="00A26E96"/>
    <w:rsid w:val="00A27005"/>
    <w:rsid w:val="00A27021"/>
    <w:rsid w:val="00A27191"/>
    <w:rsid w:val="00A278F1"/>
    <w:rsid w:val="00A27AF4"/>
    <w:rsid w:val="00A27AFF"/>
    <w:rsid w:val="00A27B25"/>
    <w:rsid w:val="00A301E5"/>
    <w:rsid w:val="00A30284"/>
    <w:rsid w:val="00A3033D"/>
    <w:rsid w:val="00A306C2"/>
    <w:rsid w:val="00A30A75"/>
    <w:rsid w:val="00A30CD5"/>
    <w:rsid w:val="00A30DD2"/>
    <w:rsid w:val="00A30DD7"/>
    <w:rsid w:val="00A30E6F"/>
    <w:rsid w:val="00A31192"/>
    <w:rsid w:val="00A31248"/>
    <w:rsid w:val="00A31523"/>
    <w:rsid w:val="00A31732"/>
    <w:rsid w:val="00A318BE"/>
    <w:rsid w:val="00A3199D"/>
    <w:rsid w:val="00A319E2"/>
    <w:rsid w:val="00A31BFF"/>
    <w:rsid w:val="00A31E82"/>
    <w:rsid w:val="00A3205D"/>
    <w:rsid w:val="00A3208B"/>
    <w:rsid w:val="00A32301"/>
    <w:rsid w:val="00A324DA"/>
    <w:rsid w:val="00A328F1"/>
    <w:rsid w:val="00A32981"/>
    <w:rsid w:val="00A32E48"/>
    <w:rsid w:val="00A33022"/>
    <w:rsid w:val="00A3343E"/>
    <w:rsid w:val="00A334D0"/>
    <w:rsid w:val="00A33574"/>
    <w:rsid w:val="00A33F24"/>
    <w:rsid w:val="00A3410C"/>
    <w:rsid w:val="00A34301"/>
    <w:rsid w:val="00A34B35"/>
    <w:rsid w:val="00A3518D"/>
    <w:rsid w:val="00A3519A"/>
    <w:rsid w:val="00A35376"/>
    <w:rsid w:val="00A353CB"/>
    <w:rsid w:val="00A3542B"/>
    <w:rsid w:val="00A3563B"/>
    <w:rsid w:val="00A35811"/>
    <w:rsid w:val="00A35EE9"/>
    <w:rsid w:val="00A35F1A"/>
    <w:rsid w:val="00A35F45"/>
    <w:rsid w:val="00A361D3"/>
    <w:rsid w:val="00A3645D"/>
    <w:rsid w:val="00A369CE"/>
    <w:rsid w:val="00A36BE8"/>
    <w:rsid w:val="00A36C6B"/>
    <w:rsid w:val="00A3701F"/>
    <w:rsid w:val="00A37033"/>
    <w:rsid w:val="00A3724F"/>
    <w:rsid w:val="00A372B6"/>
    <w:rsid w:val="00A37518"/>
    <w:rsid w:val="00A37995"/>
    <w:rsid w:val="00A379FD"/>
    <w:rsid w:val="00A37B79"/>
    <w:rsid w:val="00A37E13"/>
    <w:rsid w:val="00A4006A"/>
    <w:rsid w:val="00A4010E"/>
    <w:rsid w:val="00A40186"/>
    <w:rsid w:val="00A402B4"/>
    <w:rsid w:val="00A403B5"/>
    <w:rsid w:val="00A4065B"/>
    <w:rsid w:val="00A40867"/>
    <w:rsid w:val="00A4089D"/>
    <w:rsid w:val="00A40C43"/>
    <w:rsid w:val="00A412A6"/>
    <w:rsid w:val="00A4169E"/>
    <w:rsid w:val="00A417A0"/>
    <w:rsid w:val="00A41B89"/>
    <w:rsid w:val="00A41D4A"/>
    <w:rsid w:val="00A4207D"/>
    <w:rsid w:val="00A4236F"/>
    <w:rsid w:val="00A42442"/>
    <w:rsid w:val="00A425C8"/>
    <w:rsid w:val="00A425CA"/>
    <w:rsid w:val="00A4280D"/>
    <w:rsid w:val="00A42BAA"/>
    <w:rsid w:val="00A42BD5"/>
    <w:rsid w:val="00A42EE0"/>
    <w:rsid w:val="00A430ED"/>
    <w:rsid w:val="00A43712"/>
    <w:rsid w:val="00A43A3B"/>
    <w:rsid w:val="00A43B9C"/>
    <w:rsid w:val="00A43D19"/>
    <w:rsid w:val="00A44271"/>
    <w:rsid w:val="00A44437"/>
    <w:rsid w:val="00A4462C"/>
    <w:rsid w:val="00A45BA9"/>
    <w:rsid w:val="00A45BBA"/>
    <w:rsid w:val="00A45E0A"/>
    <w:rsid w:val="00A461A4"/>
    <w:rsid w:val="00A46297"/>
    <w:rsid w:val="00A462A2"/>
    <w:rsid w:val="00A46F31"/>
    <w:rsid w:val="00A46F85"/>
    <w:rsid w:val="00A47551"/>
    <w:rsid w:val="00A478B4"/>
    <w:rsid w:val="00A478D8"/>
    <w:rsid w:val="00A4790D"/>
    <w:rsid w:val="00A47A13"/>
    <w:rsid w:val="00A47E55"/>
    <w:rsid w:val="00A47F3B"/>
    <w:rsid w:val="00A5021D"/>
    <w:rsid w:val="00A50323"/>
    <w:rsid w:val="00A50938"/>
    <w:rsid w:val="00A51161"/>
    <w:rsid w:val="00A5125A"/>
    <w:rsid w:val="00A52295"/>
    <w:rsid w:val="00A52322"/>
    <w:rsid w:val="00A52370"/>
    <w:rsid w:val="00A523E9"/>
    <w:rsid w:val="00A52DF1"/>
    <w:rsid w:val="00A52EDE"/>
    <w:rsid w:val="00A5306E"/>
    <w:rsid w:val="00A533FF"/>
    <w:rsid w:val="00A53566"/>
    <w:rsid w:val="00A53B73"/>
    <w:rsid w:val="00A53BEC"/>
    <w:rsid w:val="00A53FD0"/>
    <w:rsid w:val="00A54416"/>
    <w:rsid w:val="00A545E6"/>
    <w:rsid w:val="00A54918"/>
    <w:rsid w:val="00A54B87"/>
    <w:rsid w:val="00A54D0E"/>
    <w:rsid w:val="00A54FF1"/>
    <w:rsid w:val="00A55097"/>
    <w:rsid w:val="00A5515A"/>
    <w:rsid w:val="00A552B6"/>
    <w:rsid w:val="00A55460"/>
    <w:rsid w:val="00A5550A"/>
    <w:rsid w:val="00A559AD"/>
    <w:rsid w:val="00A55DFD"/>
    <w:rsid w:val="00A55E33"/>
    <w:rsid w:val="00A56248"/>
    <w:rsid w:val="00A563B6"/>
    <w:rsid w:val="00A56536"/>
    <w:rsid w:val="00A5673F"/>
    <w:rsid w:val="00A571A6"/>
    <w:rsid w:val="00A574A8"/>
    <w:rsid w:val="00A57681"/>
    <w:rsid w:val="00A578F7"/>
    <w:rsid w:val="00A57A03"/>
    <w:rsid w:val="00A57FE2"/>
    <w:rsid w:val="00A6042F"/>
    <w:rsid w:val="00A60BAD"/>
    <w:rsid w:val="00A60BD4"/>
    <w:rsid w:val="00A60D67"/>
    <w:rsid w:val="00A61525"/>
    <w:rsid w:val="00A615A3"/>
    <w:rsid w:val="00A619BD"/>
    <w:rsid w:val="00A61B5E"/>
    <w:rsid w:val="00A61C4A"/>
    <w:rsid w:val="00A61CCC"/>
    <w:rsid w:val="00A61ED5"/>
    <w:rsid w:val="00A61F5C"/>
    <w:rsid w:val="00A61FC4"/>
    <w:rsid w:val="00A623E4"/>
    <w:rsid w:val="00A6250B"/>
    <w:rsid w:val="00A62D54"/>
    <w:rsid w:val="00A62E20"/>
    <w:rsid w:val="00A63669"/>
    <w:rsid w:val="00A6369A"/>
    <w:rsid w:val="00A6374A"/>
    <w:rsid w:val="00A63A15"/>
    <w:rsid w:val="00A63A75"/>
    <w:rsid w:val="00A63AFE"/>
    <w:rsid w:val="00A6424D"/>
    <w:rsid w:val="00A64B86"/>
    <w:rsid w:val="00A64C5A"/>
    <w:rsid w:val="00A654E2"/>
    <w:rsid w:val="00A65B84"/>
    <w:rsid w:val="00A65D75"/>
    <w:rsid w:val="00A65DBF"/>
    <w:rsid w:val="00A66135"/>
    <w:rsid w:val="00A66332"/>
    <w:rsid w:val="00A663D6"/>
    <w:rsid w:val="00A66992"/>
    <w:rsid w:val="00A669C4"/>
    <w:rsid w:val="00A66A2C"/>
    <w:rsid w:val="00A66D26"/>
    <w:rsid w:val="00A671A4"/>
    <w:rsid w:val="00A67521"/>
    <w:rsid w:val="00A67638"/>
    <w:rsid w:val="00A677A9"/>
    <w:rsid w:val="00A6784F"/>
    <w:rsid w:val="00A67882"/>
    <w:rsid w:val="00A67897"/>
    <w:rsid w:val="00A678D7"/>
    <w:rsid w:val="00A705AB"/>
    <w:rsid w:val="00A705D2"/>
    <w:rsid w:val="00A7072C"/>
    <w:rsid w:val="00A70855"/>
    <w:rsid w:val="00A70B96"/>
    <w:rsid w:val="00A70BDB"/>
    <w:rsid w:val="00A71535"/>
    <w:rsid w:val="00A71950"/>
    <w:rsid w:val="00A71D10"/>
    <w:rsid w:val="00A71D6D"/>
    <w:rsid w:val="00A71DC1"/>
    <w:rsid w:val="00A71E92"/>
    <w:rsid w:val="00A71EAE"/>
    <w:rsid w:val="00A72400"/>
    <w:rsid w:val="00A7291B"/>
    <w:rsid w:val="00A72AF8"/>
    <w:rsid w:val="00A72D2C"/>
    <w:rsid w:val="00A72E26"/>
    <w:rsid w:val="00A7315D"/>
    <w:rsid w:val="00A733B6"/>
    <w:rsid w:val="00A73751"/>
    <w:rsid w:val="00A73A6E"/>
    <w:rsid w:val="00A73CBE"/>
    <w:rsid w:val="00A7421D"/>
    <w:rsid w:val="00A743FD"/>
    <w:rsid w:val="00A7440C"/>
    <w:rsid w:val="00A74554"/>
    <w:rsid w:val="00A74AD0"/>
    <w:rsid w:val="00A74BE6"/>
    <w:rsid w:val="00A759E9"/>
    <w:rsid w:val="00A75A1E"/>
    <w:rsid w:val="00A75BF6"/>
    <w:rsid w:val="00A75F13"/>
    <w:rsid w:val="00A762AA"/>
    <w:rsid w:val="00A76426"/>
    <w:rsid w:val="00A767A8"/>
    <w:rsid w:val="00A77097"/>
    <w:rsid w:val="00A771EE"/>
    <w:rsid w:val="00A77379"/>
    <w:rsid w:val="00A774ED"/>
    <w:rsid w:val="00A775EE"/>
    <w:rsid w:val="00A7793A"/>
    <w:rsid w:val="00A77CA3"/>
    <w:rsid w:val="00A77E7E"/>
    <w:rsid w:val="00A80891"/>
    <w:rsid w:val="00A8097B"/>
    <w:rsid w:val="00A80A98"/>
    <w:rsid w:val="00A80DAC"/>
    <w:rsid w:val="00A811FF"/>
    <w:rsid w:val="00A81493"/>
    <w:rsid w:val="00A815A1"/>
    <w:rsid w:val="00A8166B"/>
    <w:rsid w:val="00A81DE8"/>
    <w:rsid w:val="00A81EE5"/>
    <w:rsid w:val="00A822AB"/>
    <w:rsid w:val="00A82438"/>
    <w:rsid w:val="00A829B3"/>
    <w:rsid w:val="00A82F2C"/>
    <w:rsid w:val="00A82F31"/>
    <w:rsid w:val="00A832E5"/>
    <w:rsid w:val="00A83327"/>
    <w:rsid w:val="00A83558"/>
    <w:rsid w:val="00A836A7"/>
    <w:rsid w:val="00A83BE0"/>
    <w:rsid w:val="00A83DC0"/>
    <w:rsid w:val="00A83EB3"/>
    <w:rsid w:val="00A84504"/>
    <w:rsid w:val="00A84B9E"/>
    <w:rsid w:val="00A84BD8"/>
    <w:rsid w:val="00A84EAF"/>
    <w:rsid w:val="00A8592D"/>
    <w:rsid w:val="00A863FB"/>
    <w:rsid w:val="00A86A72"/>
    <w:rsid w:val="00A86B20"/>
    <w:rsid w:val="00A86D3B"/>
    <w:rsid w:val="00A86E30"/>
    <w:rsid w:val="00A86F1E"/>
    <w:rsid w:val="00A86F66"/>
    <w:rsid w:val="00A87164"/>
    <w:rsid w:val="00A875DD"/>
    <w:rsid w:val="00A8778E"/>
    <w:rsid w:val="00A87B65"/>
    <w:rsid w:val="00A87C30"/>
    <w:rsid w:val="00A87CE2"/>
    <w:rsid w:val="00A87D72"/>
    <w:rsid w:val="00A87E0F"/>
    <w:rsid w:val="00A901B5"/>
    <w:rsid w:val="00A90430"/>
    <w:rsid w:val="00A9061F"/>
    <w:rsid w:val="00A90925"/>
    <w:rsid w:val="00A911D1"/>
    <w:rsid w:val="00A91348"/>
    <w:rsid w:val="00A914B0"/>
    <w:rsid w:val="00A91538"/>
    <w:rsid w:val="00A91656"/>
    <w:rsid w:val="00A91732"/>
    <w:rsid w:val="00A91878"/>
    <w:rsid w:val="00A91ED6"/>
    <w:rsid w:val="00A9228C"/>
    <w:rsid w:val="00A92886"/>
    <w:rsid w:val="00A92A25"/>
    <w:rsid w:val="00A92A28"/>
    <w:rsid w:val="00A92D6F"/>
    <w:rsid w:val="00A931D9"/>
    <w:rsid w:val="00A93490"/>
    <w:rsid w:val="00A93845"/>
    <w:rsid w:val="00A93D59"/>
    <w:rsid w:val="00A93DD3"/>
    <w:rsid w:val="00A943D5"/>
    <w:rsid w:val="00A94AEF"/>
    <w:rsid w:val="00A94C3A"/>
    <w:rsid w:val="00A94D41"/>
    <w:rsid w:val="00A94DA5"/>
    <w:rsid w:val="00A94DD7"/>
    <w:rsid w:val="00A94E9F"/>
    <w:rsid w:val="00A95067"/>
    <w:rsid w:val="00A953D7"/>
    <w:rsid w:val="00A95900"/>
    <w:rsid w:val="00A95D10"/>
    <w:rsid w:val="00A95D77"/>
    <w:rsid w:val="00A965B9"/>
    <w:rsid w:val="00A966E6"/>
    <w:rsid w:val="00A96939"/>
    <w:rsid w:val="00A96DCC"/>
    <w:rsid w:val="00A973C3"/>
    <w:rsid w:val="00A973CB"/>
    <w:rsid w:val="00A976FB"/>
    <w:rsid w:val="00A97755"/>
    <w:rsid w:val="00A9776C"/>
    <w:rsid w:val="00AA0003"/>
    <w:rsid w:val="00AA01BF"/>
    <w:rsid w:val="00AA02F2"/>
    <w:rsid w:val="00AA0A3F"/>
    <w:rsid w:val="00AA0AA2"/>
    <w:rsid w:val="00AA0B39"/>
    <w:rsid w:val="00AA0C31"/>
    <w:rsid w:val="00AA1046"/>
    <w:rsid w:val="00AA1495"/>
    <w:rsid w:val="00AA15D2"/>
    <w:rsid w:val="00AA1895"/>
    <w:rsid w:val="00AA1CAB"/>
    <w:rsid w:val="00AA2048"/>
    <w:rsid w:val="00AA2627"/>
    <w:rsid w:val="00AA26C2"/>
    <w:rsid w:val="00AA27E6"/>
    <w:rsid w:val="00AA29BA"/>
    <w:rsid w:val="00AA2BAC"/>
    <w:rsid w:val="00AA2CC9"/>
    <w:rsid w:val="00AA2DC5"/>
    <w:rsid w:val="00AA2EEA"/>
    <w:rsid w:val="00AA375C"/>
    <w:rsid w:val="00AA3C2E"/>
    <w:rsid w:val="00AA3C6D"/>
    <w:rsid w:val="00AA3D84"/>
    <w:rsid w:val="00AA3F7A"/>
    <w:rsid w:val="00AA45ED"/>
    <w:rsid w:val="00AA4870"/>
    <w:rsid w:val="00AA48ED"/>
    <w:rsid w:val="00AA4C52"/>
    <w:rsid w:val="00AA4E8A"/>
    <w:rsid w:val="00AA4E96"/>
    <w:rsid w:val="00AA4F01"/>
    <w:rsid w:val="00AA532E"/>
    <w:rsid w:val="00AA5A6D"/>
    <w:rsid w:val="00AA5CAF"/>
    <w:rsid w:val="00AA65A5"/>
    <w:rsid w:val="00AA66D8"/>
    <w:rsid w:val="00AA6BCF"/>
    <w:rsid w:val="00AA6D88"/>
    <w:rsid w:val="00AA6D9A"/>
    <w:rsid w:val="00AA6EE6"/>
    <w:rsid w:val="00AA7421"/>
    <w:rsid w:val="00AA7590"/>
    <w:rsid w:val="00AA770D"/>
    <w:rsid w:val="00AA7876"/>
    <w:rsid w:val="00AA78E5"/>
    <w:rsid w:val="00AA78F5"/>
    <w:rsid w:val="00AA7B67"/>
    <w:rsid w:val="00AA7DDD"/>
    <w:rsid w:val="00AB012E"/>
    <w:rsid w:val="00AB0453"/>
    <w:rsid w:val="00AB0661"/>
    <w:rsid w:val="00AB07EA"/>
    <w:rsid w:val="00AB0BE4"/>
    <w:rsid w:val="00AB0EE7"/>
    <w:rsid w:val="00AB112A"/>
    <w:rsid w:val="00AB1491"/>
    <w:rsid w:val="00AB16E7"/>
    <w:rsid w:val="00AB1797"/>
    <w:rsid w:val="00AB186B"/>
    <w:rsid w:val="00AB1BDF"/>
    <w:rsid w:val="00AB1D28"/>
    <w:rsid w:val="00AB20C7"/>
    <w:rsid w:val="00AB25B7"/>
    <w:rsid w:val="00AB25DD"/>
    <w:rsid w:val="00AB27AB"/>
    <w:rsid w:val="00AB2B1C"/>
    <w:rsid w:val="00AB2C36"/>
    <w:rsid w:val="00AB2C7A"/>
    <w:rsid w:val="00AB2CF4"/>
    <w:rsid w:val="00AB2DAE"/>
    <w:rsid w:val="00AB30EA"/>
    <w:rsid w:val="00AB33F0"/>
    <w:rsid w:val="00AB3440"/>
    <w:rsid w:val="00AB348C"/>
    <w:rsid w:val="00AB362C"/>
    <w:rsid w:val="00AB3669"/>
    <w:rsid w:val="00AB391C"/>
    <w:rsid w:val="00AB3A9C"/>
    <w:rsid w:val="00AB3BC5"/>
    <w:rsid w:val="00AB3E83"/>
    <w:rsid w:val="00AB3ECC"/>
    <w:rsid w:val="00AB3F08"/>
    <w:rsid w:val="00AB480E"/>
    <w:rsid w:val="00AB4839"/>
    <w:rsid w:val="00AB4874"/>
    <w:rsid w:val="00AB49B7"/>
    <w:rsid w:val="00AB4A13"/>
    <w:rsid w:val="00AB5127"/>
    <w:rsid w:val="00AB57FB"/>
    <w:rsid w:val="00AB5C20"/>
    <w:rsid w:val="00AB5DEA"/>
    <w:rsid w:val="00AB617E"/>
    <w:rsid w:val="00AB646F"/>
    <w:rsid w:val="00AB652C"/>
    <w:rsid w:val="00AB6713"/>
    <w:rsid w:val="00AB6973"/>
    <w:rsid w:val="00AB6E25"/>
    <w:rsid w:val="00AB6F5C"/>
    <w:rsid w:val="00AB714D"/>
    <w:rsid w:val="00AB74AE"/>
    <w:rsid w:val="00AB7515"/>
    <w:rsid w:val="00AB76B7"/>
    <w:rsid w:val="00AB7AF0"/>
    <w:rsid w:val="00AB7D9B"/>
    <w:rsid w:val="00AB7DDC"/>
    <w:rsid w:val="00AC0232"/>
    <w:rsid w:val="00AC054A"/>
    <w:rsid w:val="00AC0555"/>
    <w:rsid w:val="00AC057F"/>
    <w:rsid w:val="00AC05CE"/>
    <w:rsid w:val="00AC0AAD"/>
    <w:rsid w:val="00AC0D77"/>
    <w:rsid w:val="00AC0DA0"/>
    <w:rsid w:val="00AC0DC1"/>
    <w:rsid w:val="00AC101B"/>
    <w:rsid w:val="00AC1099"/>
    <w:rsid w:val="00AC10AF"/>
    <w:rsid w:val="00AC1381"/>
    <w:rsid w:val="00AC17A4"/>
    <w:rsid w:val="00AC1829"/>
    <w:rsid w:val="00AC2399"/>
    <w:rsid w:val="00AC258D"/>
    <w:rsid w:val="00AC263B"/>
    <w:rsid w:val="00AC2772"/>
    <w:rsid w:val="00AC298D"/>
    <w:rsid w:val="00AC2BD9"/>
    <w:rsid w:val="00AC321A"/>
    <w:rsid w:val="00AC321D"/>
    <w:rsid w:val="00AC34D5"/>
    <w:rsid w:val="00AC35BE"/>
    <w:rsid w:val="00AC3602"/>
    <w:rsid w:val="00AC36FC"/>
    <w:rsid w:val="00AC3B94"/>
    <w:rsid w:val="00AC44D0"/>
    <w:rsid w:val="00AC4730"/>
    <w:rsid w:val="00AC4A4F"/>
    <w:rsid w:val="00AC4B13"/>
    <w:rsid w:val="00AC4BF4"/>
    <w:rsid w:val="00AC4C6A"/>
    <w:rsid w:val="00AC4DCC"/>
    <w:rsid w:val="00AC4F36"/>
    <w:rsid w:val="00AC57A2"/>
    <w:rsid w:val="00AC58AC"/>
    <w:rsid w:val="00AC58CF"/>
    <w:rsid w:val="00AC6256"/>
    <w:rsid w:val="00AC64AB"/>
    <w:rsid w:val="00AC6AFE"/>
    <w:rsid w:val="00AC6FE5"/>
    <w:rsid w:val="00AC7236"/>
    <w:rsid w:val="00AC7343"/>
    <w:rsid w:val="00AC7591"/>
    <w:rsid w:val="00AC7666"/>
    <w:rsid w:val="00AC7F1B"/>
    <w:rsid w:val="00AD041D"/>
    <w:rsid w:val="00AD0568"/>
    <w:rsid w:val="00AD074B"/>
    <w:rsid w:val="00AD0B82"/>
    <w:rsid w:val="00AD0CBF"/>
    <w:rsid w:val="00AD1473"/>
    <w:rsid w:val="00AD1AD3"/>
    <w:rsid w:val="00AD1EF4"/>
    <w:rsid w:val="00AD1F55"/>
    <w:rsid w:val="00AD2285"/>
    <w:rsid w:val="00AD2771"/>
    <w:rsid w:val="00AD2792"/>
    <w:rsid w:val="00AD2D84"/>
    <w:rsid w:val="00AD2FB0"/>
    <w:rsid w:val="00AD2FEC"/>
    <w:rsid w:val="00AD3053"/>
    <w:rsid w:val="00AD30AA"/>
    <w:rsid w:val="00AD310E"/>
    <w:rsid w:val="00AD3F0C"/>
    <w:rsid w:val="00AD42D4"/>
    <w:rsid w:val="00AD4D8C"/>
    <w:rsid w:val="00AD5158"/>
    <w:rsid w:val="00AD58A8"/>
    <w:rsid w:val="00AD593F"/>
    <w:rsid w:val="00AD5B1C"/>
    <w:rsid w:val="00AD5F3F"/>
    <w:rsid w:val="00AD5FE8"/>
    <w:rsid w:val="00AD604F"/>
    <w:rsid w:val="00AD610E"/>
    <w:rsid w:val="00AD630C"/>
    <w:rsid w:val="00AD68E8"/>
    <w:rsid w:val="00AD6B80"/>
    <w:rsid w:val="00AD6DB5"/>
    <w:rsid w:val="00AD71A3"/>
    <w:rsid w:val="00AD72F0"/>
    <w:rsid w:val="00AD73AE"/>
    <w:rsid w:val="00AD75DA"/>
    <w:rsid w:val="00AE0594"/>
    <w:rsid w:val="00AE074B"/>
    <w:rsid w:val="00AE0CF6"/>
    <w:rsid w:val="00AE10ED"/>
    <w:rsid w:val="00AE16E7"/>
    <w:rsid w:val="00AE19B3"/>
    <w:rsid w:val="00AE1B88"/>
    <w:rsid w:val="00AE1D05"/>
    <w:rsid w:val="00AE1FB1"/>
    <w:rsid w:val="00AE22D3"/>
    <w:rsid w:val="00AE274B"/>
    <w:rsid w:val="00AE2947"/>
    <w:rsid w:val="00AE2B76"/>
    <w:rsid w:val="00AE2CE5"/>
    <w:rsid w:val="00AE2E7C"/>
    <w:rsid w:val="00AE300B"/>
    <w:rsid w:val="00AE31FD"/>
    <w:rsid w:val="00AE33DF"/>
    <w:rsid w:val="00AE34B7"/>
    <w:rsid w:val="00AE3B0E"/>
    <w:rsid w:val="00AE3CE7"/>
    <w:rsid w:val="00AE424A"/>
    <w:rsid w:val="00AE475E"/>
    <w:rsid w:val="00AE49BA"/>
    <w:rsid w:val="00AE4C26"/>
    <w:rsid w:val="00AE4E55"/>
    <w:rsid w:val="00AE4FA5"/>
    <w:rsid w:val="00AE50A9"/>
    <w:rsid w:val="00AE512B"/>
    <w:rsid w:val="00AE51A0"/>
    <w:rsid w:val="00AE51BD"/>
    <w:rsid w:val="00AE538F"/>
    <w:rsid w:val="00AE5532"/>
    <w:rsid w:val="00AE5625"/>
    <w:rsid w:val="00AE574C"/>
    <w:rsid w:val="00AE5AEC"/>
    <w:rsid w:val="00AE5D5D"/>
    <w:rsid w:val="00AE612B"/>
    <w:rsid w:val="00AE63B9"/>
    <w:rsid w:val="00AE6583"/>
    <w:rsid w:val="00AE6735"/>
    <w:rsid w:val="00AE6AAC"/>
    <w:rsid w:val="00AE6B95"/>
    <w:rsid w:val="00AE6D0C"/>
    <w:rsid w:val="00AE6EE7"/>
    <w:rsid w:val="00AE6F90"/>
    <w:rsid w:val="00AE7427"/>
    <w:rsid w:val="00AE7559"/>
    <w:rsid w:val="00AE7762"/>
    <w:rsid w:val="00AE7CFA"/>
    <w:rsid w:val="00AF004B"/>
    <w:rsid w:val="00AF02EF"/>
    <w:rsid w:val="00AF06D6"/>
    <w:rsid w:val="00AF06FF"/>
    <w:rsid w:val="00AF077C"/>
    <w:rsid w:val="00AF0794"/>
    <w:rsid w:val="00AF08EE"/>
    <w:rsid w:val="00AF09E7"/>
    <w:rsid w:val="00AF0BAA"/>
    <w:rsid w:val="00AF0F44"/>
    <w:rsid w:val="00AF0F83"/>
    <w:rsid w:val="00AF0FC4"/>
    <w:rsid w:val="00AF16AE"/>
    <w:rsid w:val="00AF1885"/>
    <w:rsid w:val="00AF1909"/>
    <w:rsid w:val="00AF1A1A"/>
    <w:rsid w:val="00AF1BFE"/>
    <w:rsid w:val="00AF1D6F"/>
    <w:rsid w:val="00AF200B"/>
    <w:rsid w:val="00AF2314"/>
    <w:rsid w:val="00AF277E"/>
    <w:rsid w:val="00AF27EF"/>
    <w:rsid w:val="00AF2C37"/>
    <w:rsid w:val="00AF3313"/>
    <w:rsid w:val="00AF351D"/>
    <w:rsid w:val="00AF3F04"/>
    <w:rsid w:val="00AF42B0"/>
    <w:rsid w:val="00AF472F"/>
    <w:rsid w:val="00AF49F3"/>
    <w:rsid w:val="00AF534C"/>
    <w:rsid w:val="00AF5C13"/>
    <w:rsid w:val="00AF5FA0"/>
    <w:rsid w:val="00AF6215"/>
    <w:rsid w:val="00AF62A8"/>
    <w:rsid w:val="00AF662A"/>
    <w:rsid w:val="00AF6A54"/>
    <w:rsid w:val="00AF6CF7"/>
    <w:rsid w:val="00AF7766"/>
    <w:rsid w:val="00AF782E"/>
    <w:rsid w:val="00AF7963"/>
    <w:rsid w:val="00AF7ADC"/>
    <w:rsid w:val="00AF7EFC"/>
    <w:rsid w:val="00AF7FE3"/>
    <w:rsid w:val="00B0041B"/>
    <w:rsid w:val="00B005A5"/>
    <w:rsid w:val="00B00736"/>
    <w:rsid w:val="00B008CE"/>
    <w:rsid w:val="00B00A62"/>
    <w:rsid w:val="00B00AF4"/>
    <w:rsid w:val="00B00CB7"/>
    <w:rsid w:val="00B013E9"/>
    <w:rsid w:val="00B0167F"/>
    <w:rsid w:val="00B01697"/>
    <w:rsid w:val="00B0210F"/>
    <w:rsid w:val="00B023B5"/>
    <w:rsid w:val="00B0255E"/>
    <w:rsid w:val="00B025F0"/>
    <w:rsid w:val="00B026D7"/>
    <w:rsid w:val="00B02831"/>
    <w:rsid w:val="00B02A45"/>
    <w:rsid w:val="00B02B69"/>
    <w:rsid w:val="00B02EBF"/>
    <w:rsid w:val="00B02F6B"/>
    <w:rsid w:val="00B03702"/>
    <w:rsid w:val="00B03709"/>
    <w:rsid w:val="00B037FD"/>
    <w:rsid w:val="00B0382C"/>
    <w:rsid w:val="00B0384C"/>
    <w:rsid w:val="00B03A0A"/>
    <w:rsid w:val="00B03A87"/>
    <w:rsid w:val="00B03C92"/>
    <w:rsid w:val="00B03F4C"/>
    <w:rsid w:val="00B046A8"/>
    <w:rsid w:val="00B04824"/>
    <w:rsid w:val="00B04831"/>
    <w:rsid w:val="00B048F0"/>
    <w:rsid w:val="00B04FD5"/>
    <w:rsid w:val="00B04FD7"/>
    <w:rsid w:val="00B05133"/>
    <w:rsid w:val="00B05719"/>
    <w:rsid w:val="00B05A72"/>
    <w:rsid w:val="00B05E6B"/>
    <w:rsid w:val="00B06010"/>
    <w:rsid w:val="00B06129"/>
    <w:rsid w:val="00B06386"/>
    <w:rsid w:val="00B06819"/>
    <w:rsid w:val="00B06947"/>
    <w:rsid w:val="00B0710D"/>
    <w:rsid w:val="00B071FD"/>
    <w:rsid w:val="00B07663"/>
    <w:rsid w:val="00B07A75"/>
    <w:rsid w:val="00B07DBA"/>
    <w:rsid w:val="00B07EBD"/>
    <w:rsid w:val="00B10AFF"/>
    <w:rsid w:val="00B10B3F"/>
    <w:rsid w:val="00B11177"/>
    <w:rsid w:val="00B1128B"/>
    <w:rsid w:val="00B11A14"/>
    <w:rsid w:val="00B11C83"/>
    <w:rsid w:val="00B11DAF"/>
    <w:rsid w:val="00B11E46"/>
    <w:rsid w:val="00B11F80"/>
    <w:rsid w:val="00B11F99"/>
    <w:rsid w:val="00B12124"/>
    <w:rsid w:val="00B12219"/>
    <w:rsid w:val="00B1230E"/>
    <w:rsid w:val="00B126E3"/>
    <w:rsid w:val="00B12822"/>
    <w:rsid w:val="00B12B9D"/>
    <w:rsid w:val="00B12C39"/>
    <w:rsid w:val="00B12C58"/>
    <w:rsid w:val="00B12DBC"/>
    <w:rsid w:val="00B12F11"/>
    <w:rsid w:val="00B12FF6"/>
    <w:rsid w:val="00B13300"/>
    <w:rsid w:val="00B13802"/>
    <w:rsid w:val="00B13EC6"/>
    <w:rsid w:val="00B143F8"/>
    <w:rsid w:val="00B14533"/>
    <w:rsid w:val="00B14542"/>
    <w:rsid w:val="00B148B3"/>
    <w:rsid w:val="00B148C0"/>
    <w:rsid w:val="00B1499D"/>
    <w:rsid w:val="00B14E4F"/>
    <w:rsid w:val="00B14EE7"/>
    <w:rsid w:val="00B15708"/>
    <w:rsid w:val="00B15FAF"/>
    <w:rsid w:val="00B165C8"/>
    <w:rsid w:val="00B17568"/>
    <w:rsid w:val="00B17F60"/>
    <w:rsid w:val="00B20246"/>
    <w:rsid w:val="00B20436"/>
    <w:rsid w:val="00B2073F"/>
    <w:rsid w:val="00B20CE9"/>
    <w:rsid w:val="00B20D69"/>
    <w:rsid w:val="00B20E30"/>
    <w:rsid w:val="00B20EBA"/>
    <w:rsid w:val="00B212D8"/>
    <w:rsid w:val="00B2155C"/>
    <w:rsid w:val="00B21939"/>
    <w:rsid w:val="00B219FC"/>
    <w:rsid w:val="00B2214B"/>
    <w:rsid w:val="00B225AB"/>
    <w:rsid w:val="00B22A2F"/>
    <w:rsid w:val="00B233E1"/>
    <w:rsid w:val="00B23711"/>
    <w:rsid w:val="00B23950"/>
    <w:rsid w:val="00B2398F"/>
    <w:rsid w:val="00B239D8"/>
    <w:rsid w:val="00B23A53"/>
    <w:rsid w:val="00B23A99"/>
    <w:rsid w:val="00B23F84"/>
    <w:rsid w:val="00B24128"/>
    <w:rsid w:val="00B24289"/>
    <w:rsid w:val="00B247AB"/>
    <w:rsid w:val="00B24887"/>
    <w:rsid w:val="00B24C9F"/>
    <w:rsid w:val="00B24D7A"/>
    <w:rsid w:val="00B24E1A"/>
    <w:rsid w:val="00B24FD9"/>
    <w:rsid w:val="00B24FE6"/>
    <w:rsid w:val="00B25116"/>
    <w:rsid w:val="00B253A9"/>
    <w:rsid w:val="00B2540F"/>
    <w:rsid w:val="00B2560C"/>
    <w:rsid w:val="00B25836"/>
    <w:rsid w:val="00B25849"/>
    <w:rsid w:val="00B259CE"/>
    <w:rsid w:val="00B25A26"/>
    <w:rsid w:val="00B25A9F"/>
    <w:rsid w:val="00B25E80"/>
    <w:rsid w:val="00B25F2D"/>
    <w:rsid w:val="00B26DD0"/>
    <w:rsid w:val="00B26EA9"/>
    <w:rsid w:val="00B270CE"/>
    <w:rsid w:val="00B270E5"/>
    <w:rsid w:val="00B27197"/>
    <w:rsid w:val="00B27301"/>
    <w:rsid w:val="00B27AC2"/>
    <w:rsid w:val="00B27C01"/>
    <w:rsid w:val="00B27F8E"/>
    <w:rsid w:val="00B30200"/>
    <w:rsid w:val="00B302F9"/>
    <w:rsid w:val="00B30319"/>
    <w:rsid w:val="00B30471"/>
    <w:rsid w:val="00B309C4"/>
    <w:rsid w:val="00B31308"/>
    <w:rsid w:val="00B316D9"/>
    <w:rsid w:val="00B31F48"/>
    <w:rsid w:val="00B320F4"/>
    <w:rsid w:val="00B3219D"/>
    <w:rsid w:val="00B325BB"/>
    <w:rsid w:val="00B326F7"/>
    <w:rsid w:val="00B32B8E"/>
    <w:rsid w:val="00B32D02"/>
    <w:rsid w:val="00B33632"/>
    <w:rsid w:val="00B33863"/>
    <w:rsid w:val="00B33B03"/>
    <w:rsid w:val="00B33BE7"/>
    <w:rsid w:val="00B33D28"/>
    <w:rsid w:val="00B33D55"/>
    <w:rsid w:val="00B343E8"/>
    <w:rsid w:val="00B34462"/>
    <w:rsid w:val="00B34798"/>
    <w:rsid w:val="00B3493B"/>
    <w:rsid w:val="00B349DE"/>
    <w:rsid w:val="00B34A7B"/>
    <w:rsid w:val="00B34BC9"/>
    <w:rsid w:val="00B35515"/>
    <w:rsid w:val="00B3570E"/>
    <w:rsid w:val="00B3581B"/>
    <w:rsid w:val="00B35A8E"/>
    <w:rsid w:val="00B35AE3"/>
    <w:rsid w:val="00B35C58"/>
    <w:rsid w:val="00B35EA3"/>
    <w:rsid w:val="00B35F0C"/>
    <w:rsid w:val="00B36C2D"/>
    <w:rsid w:val="00B36D46"/>
    <w:rsid w:val="00B36E4A"/>
    <w:rsid w:val="00B36F83"/>
    <w:rsid w:val="00B37115"/>
    <w:rsid w:val="00B37435"/>
    <w:rsid w:val="00B3798C"/>
    <w:rsid w:val="00B37A37"/>
    <w:rsid w:val="00B37B5C"/>
    <w:rsid w:val="00B4013E"/>
    <w:rsid w:val="00B40213"/>
    <w:rsid w:val="00B40735"/>
    <w:rsid w:val="00B407F0"/>
    <w:rsid w:val="00B4087E"/>
    <w:rsid w:val="00B40E8D"/>
    <w:rsid w:val="00B4161A"/>
    <w:rsid w:val="00B41AA2"/>
    <w:rsid w:val="00B41CB3"/>
    <w:rsid w:val="00B41D5C"/>
    <w:rsid w:val="00B42502"/>
    <w:rsid w:val="00B426AE"/>
    <w:rsid w:val="00B42DD4"/>
    <w:rsid w:val="00B42ECA"/>
    <w:rsid w:val="00B42FA2"/>
    <w:rsid w:val="00B432C7"/>
    <w:rsid w:val="00B43741"/>
    <w:rsid w:val="00B437CB"/>
    <w:rsid w:val="00B43D2B"/>
    <w:rsid w:val="00B43E5F"/>
    <w:rsid w:val="00B4441C"/>
    <w:rsid w:val="00B4454D"/>
    <w:rsid w:val="00B44630"/>
    <w:rsid w:val="00B44996"/>
    <w:rsid w:val="00B452B1"/>
    <w:rsid w:val="00B45303"/>
    <w:rsid w:val="00B45318"/>
    <w:rsid w:val="00B45886"/>
    <w:rsid w:val="00B459DF"/>
    <w:rsid w:val="00B45A04"/>
    <w:rsid w:val="00B45CE5"/>
    <w:rsid w:val="00B45F0E"/>
    <w:rsid w:val="00B4617E"/>
    <w:rsid w:val="00B462FC"/>
    <w:rsid w:val="00B464E6"/>
    <w:rsid w:val="00B464FD"/>
    <w:rsid w:val="00B467D5"/>
    <w:rsid w:val="00B468C5"/>
    <w:rsid w:val="00B4696B"/>
    <w:rsid w:val="00B46DD5"/>
    <w:rsid w:val="00B46E62"/>
    <w:rsid w:val="00B46E78"/>
    <w:rsid w:val="00B46FEF"/>
    <w:rsid w:val="00B471F3"/>
    <w:rsid w:val="00B47435"/>
    <w:rsid w:val="00B475A1"/>
    <w:rsid w:val="00B47C12"/>
    <w:rsid w:val="00B47EFC"/>
    <w:rsid w:val="00B5007D"/>
    <w:rsid w:val="00B505BA"/>
    <w:rsid w:val="00B507A0"/>
    <w:rsid w:val="00B50BE8"/>
    <w:rsid w:val="00B50C0D"/>
    <w:rsid w:val="00B50DEE"/>
    <w:rsid w:val="00B50FAB"/>
    <w:rsid w:val="00B5111C"/>
    <w:rsid w:val="00B5132C"/>
    <w:rsid w:val="00B51435"/>
    <w:rsid w:val="00B516D3"/>
    <w:rsid w:val="00B51BE4"/>
    <w:rsid w:val="00B51C1F"/>
    <w:rsid w:val="00B51CA4"/>
    <w:rsid w:val="00B5228D"/>
    <w:rsid w:val="00B52316"/>
    <w:rsid w:val="00B52333"/>
    <w:rsid w:val="00B5247C"/>
    <w:rsid w:val="00B524D8"/>
    <w:rsid w:val="00B525F0"/>
    <w:rsid w:val="00B52BC6"/>
    <w:rsid w:val="00B52ECD"/>
    <w:rsid w:val="00B52F6F"/>
    <w:rsid w:val="00B52FD3"/>
    <w:rsid w:val="00B53533"/>
    <w:rsid w:val="00B5353D"/>
    <w:rsid w:val="00B53671"/>
    <w:rsid w:val="00B537D3"/>
    <w:rsid w:val="00B539AA"/>
    <w:rsid w:val="00B53CA7"/>
    <w:rsid w:val="00B53CED"/>
    <w:rsid w:val="00B53E9B"/>
    <w:rsid w:val="00B53FC5"/>
    <w:rsid w:val="00B53FED"/>
    <w:rsid w:val="00B54365"/>
    <w:rsid w:val="00B54525"/>
    <w:rsid w:val="00B54681"/>
    <w:rsid w:val="00B546D9"/>
    <w:rsid w:val="00B54F63"/>
    <w:rsid w:val="00B550F5"/>
    <w:rsid w:val="00B552EB"/>
    <w:rsid w:val="00B55454"/>
    <w:rsid w:val="00B554C6"/>
    <w:rsid w:val="00B557BC"/>
    <w:rsid w:val="00B5668C"/>
    <w:rsid w:val="00B56A62"/>
    <w:rsid w:val="00B56A8B"/>
    <w:rsid w:val="00B56BA1"/>
    <w:rsid w:val="00B572BB"/>
    <w:rsid w:val="00B57818"/>
    <w:rsid w:val="00B5799D"/>
    <w:rsid w:val="00B57A17"/>
    <w:rsid w:val="00B57B73"/>
    <w:rsid w:val="00B57D80"/>
    <w:rsid w:val="00B6070A"/>
    <w:rsid w:val="00B60A44"/>
    <w:rsid w:val="00B60A65"/>
    <w:rsid w:val="00B60FD6"/>
    <w:rsid w:val="00B61235"/>
    <w:rsid w:val="00B614A4"/>
    <w:rsid w:val="00B61575"/>
    <w:rsid w:val="00B61E27"/>
    <w:rsid w:val="00B61EAE"/>
    <w:rsid w:val="00B62400"/>
    <w:rsid w:val="00B62888"/>
    <w:rsid w:val="00B628CC"/>
    <w:rsid w:val="00B62F9C"/>
    <w:rsid w:val="00B63076"/>
    <w:rsid w:val="00B635D6"/>
    <w:rsid w:val="00B63E23"/>
    <w:rsid w:val="00B642A4"/>
    <w:rsid w:val="00B644B7"/>
    <w:rsid w:val="00B645A7"/>
    <w:rsid w:val="00B64725"/>
    <w:rsid w:val="00B649C6"/>
    <w:rsid w:val="00B64B79"/>
    <w:rsid w:val="00B64FBB"/>
    <w:rsid w:val="00B6506B"/>
    <w:rsid w:val="00B65186"/>
    <w:rsid w:val="00B65281"/>
    <w:rsid w:val="00B653BB"/>
    <w:rsid w:val="00B65424"/>
    <w:rsid w:val="00B657B3"/>
    <w:rsid w:val="00B65C01"/>
    <w:rsid w:val="00B65C82"/>
    <w:rsid w:val="00B65D15"/>
    <w:rsid w:val="00B660B7"/>
    <w:rsid w:val="00B6656E"/>
    <w:rsid w:val="00B66728"/>
    <w:rsid w:val="00B66B46"/>
    <w:rsid w:val="00B66F82"/>
    <w:rsid w:val="00B66FB4"/>
    <w:rsid w:val="00B67319"/>
    <w:rsid w:val="00B6757A"/>
    <w:rsid w:val="00B675DE"/>
    <w:rsid w:val="00B67A7E"/>
    <w:rsid w:val="00B67D66"/>
    <w:rsid w:val="00B67DB4"/>
    <w:rsid w:val="00B67F47"/>
    <w:rsid w:val="00B7031A"/>
    <w:rsid w:val="00B708C4"/>
    <w:rsid w:val="00B70949"/>
    <w:rsid w:val="00B710CA"/>
    <w:rsid w:val="00B71666"/>
    <w:rsid w:val="00B719C7"/>
    <w:rsid w:val="00B72135"/>
    <w:rsid w:val="00B72162"/>
    <w:rsid w:val="00B722B8"/>
    <w:rsid w:val="00B72420"/>
    <w:rsid w:val="00B72443"/>
    <w:rsid w:val="00B72538"/>
    <w:rsid w:val="00B7268B"/>
    <w:rsid w:val="00B729FA"/>
    <w:rsid w:val="00B72F99"/>
    <w:rsid w:val="00B733C1"/>
    <w:rsid w:val="00B73485"/>
    <w:rsid w:val="00B735D0"/>
    <w:rsid w:val="00B7372D"/>
    <w:rsid w:val="00B7378D"/>
    <w:rsid w:val="00B7389E"/>
    <w:rsid w:val="00B73AC0"/>
    <w:rsid w:val="00B73B9D"/>
    <w:rsid w:val="00B73E44"/>
    <w:rsid w:val="00B73EBF"/>
    <w:rsid w:val="00B7497F"/>
    <w:rsid w:val="00B74F40"/>
    <w:rsid w:val="00B74FD9"/>
    <w:rsid w:val="00B750E9"/>
    <w:rsid w:val="00B7546E"/>
    <w:rsid w:val="00B75514"/>
    <w:rsid w:val="00B755D6"/>
    <w:rsid w:val="00B75675"/>
    <w:rsid w:val="00B756DE"/>
    <w:rsid w:val="00B757A6"/>
    <w:rsid w:val="00B75FA4"/>
    <w:rsid w:val="00B762DE"/>
    <w:rsid w:val="00B76342"/>
    <w:rsid w:val="00B763B6"/>
    <w:rsid w:val="00B76528"/>
    <w:rsid w:val="00B76A27"/>
    <w:rsid w:val="00B76B75"/>
    <w:rsid w:val="00B76B97"/>
    <w:rsid w:val="00B76D84"/>
    <w:rsid w:val="00B76D99"/>
    <w:rsid w:val="00B76E2A"/>
    <w:rsid w:val="00B77091"/>
    <w:rsid w:val="00B7740C"/>
    <w:rsid w:val="00B77726"/>
    <w:rsid w:val="00B77825"/>
    <w:rsid w:val="00B77941"/>
    <w:rsid w:val="00B77A11"/>
    <w:rsid w:val="00B77A38"/>
    <w:rsid w:val="00B77A45"/>
    <w:rsid w:val="00B77C39"/>
    <w:rsid w:val="00B77FE8"/>
    <w:rsid w:val="00B80190"/>
    <w:rsid w:val="00B8047A"/>
    <w:rsid w:val="00B804EA"/>
    <w:rsid w:val="00B8071A"/>
    <w:rsid w:val="00B80771"/>
    <w:rsid w:val="00B807B1"/>
    <w:rsid w:val="00B80809"/>
    <w:rsid w:val="00B80A6D"/>
    <w:rsid w:val="00B80C88"/>
    <w:rsid w:val="00B80D8A"/>
    <w:rsid w:val="00B81242"/>
    <w:rsid w:val="00B81D31"/>
    <w:rsid w:val="00B81D62"/>
    <w:rsid w:val="00B82224"/>
    <w:rsid w:val="00B8231E"/>
    <w:rsid w:val="00B824A2"/>
    <w:rsid w:val="00B82528"/>
    <w:rsid w:val="00B829B5"/>
    <w:rsid w:val="00B82C71"/>
    <w:rsid w:val="00B82E5A"/>
    <w:rsid w:val="00B83200"/>
    <w:rsid w:val="00B83496"/>
    <w:rsid w:val="00B83AEA"/>
    <w:rsid w:val="00B83E6D"/>
    <w:rsid w:val="00B83F79"/>
    <w:rsid w:val="00B8411E"/>
    <w:rsid w:val="00B843E7"/>
    <w:rsid w:val="00B84536"/>
    <w:rsid w:val="00B8497A"/>
    <w:rsid w:val="00B85024"/>
    <w:rsid w:val="00B8544D"/>
    <w:rsid w:val="00B85ADE"/>
    <w:rsid w:val="00B85C0D"/>
    <w:rsid w:val="00B85CCC"/>
    <w:rsid w:val="00B85E50"/>
    <w:rsid w:val="00B86259"/>
    <w:rsid w:val="00B868A2"/>
    <w:rsid w:val="00B8697F"/>
    <w:rsid w:val="00B86B05"/>
    <w:rsid w:val="00B86C86"/>
    <w:rsid w:val="00B86E02"/>
    <w:rsid w:val="00B86E95"/>
    <w:rsid w:val="00B86F9D"/>
    <w:rsid w:val="00B8713A"/>
    <w:rsid w:val="00B877D5"/>
    <w:rsid w:val="00B8791C"/>
    <w:rsid w:val="00B9055E"/>
    <w:rsid w:val="00B906CF"/>
    <w:rsid w:val="00B90B57"/>
    <w:rsid w:val="00B9101F"/>
    <w:rsid w:val="00B919E8"/>
    <w:rsid w:val="00B91E73"/>
    <w:rsid w:val="00B91FF3"/>
    <w:rsid w:val="00B9213E"/>
    <w:rsid w:val="00B9250C"/>
    <w:rsid w:val="00B92E43"/>
    <w:rsid w:val="00B93923"/>
    <w:rsid w:val="00B93B1E"/>
    <w:rsid w:val="00B93E51"/>
    <w:rsid w:val="00B942AA"/>
    <w:rsid w:val="00B94549"/>
    <w:rsid w:val="00B95950"/>
    <w:rsid w:val="00B95A61"/>
    <w:rsid w:val="00B95D82"/>
    <w:rsid w:val="00B9604F"/>
    <w:rsid w:val="00B964F7"/>
    <w:rsid w:val="00B96621"/>
    <w:rsid w:val="00B96942"/>
    <w:rsid w:val="00B969F4"/>
    <w:rsid w:val="00B96B3D"/>
    <w:rsid w:val="00B96BAC"/>
    <w:rsid w:val="00B97129"/>
    <w:rsid w:val="00B97312"/>
    <w:rsid w:val="00B97370"/>
    <w:rsid w:val="00B9737D"/>
    <w:rsid w:val="00B975A4"/>
    <w:rsid w:val="00B97B92"/>
    <w:rsid w:val="00B97F71"/>
    <w:rsid w:val="00BA0176"/>
    <w:rsid w:val="00BA0678"/>
    <w:rsid w:val="00BA07DB"/>
    <w:rsid w:val="00BA10A6"/>
    <w:rsid w:val="00BA11D4"/>
    <w:rsid w:val="00BA1212"/>
    <w:rsid w:val="00BA139F"/>
    <w:rsid w:val="00BA13B0"/>
    <w:rsid w:val="00BA18E4"/>
    <w:rsid w:val="00BA1E3A"/>
    <w:rsid w:val="00BA20C7"/>
    <w:rsid w:val="00BA2AE4"/>
    <w:rsid w:val="00BA2BA4"/>
    <w:rsid w:val="00BA2E3F"/>
    <w:rsid w:val="00BA317A"/>
    <w:rsid w:val="00BA318C"/>
    <w:rsid w:val="00BA3745"/>
    <w:rsid w:val="00BA3805"/>
    <w:rsid w:val="00BA38AB"/>
    <w:rsid w:val="00BA3A64"/>
    <w:rsid w:val="00BA3B8A"/>
    <w:rsid w:val="00BA3D78"/>
    <w:rsid w:val="00BA3D98"/>
    <w:rsid w:val="00BA4443"/>
    <w:rsid w:val="00BA46A3"/>
    <w:rsid w:val="00BA47CD"/>
    <w:rsid w:val="00BA4FAF"/>
    <w:rsid w:val="00BA523A"/>
    <w:rsid w:val="00BA5318"/>
    <w:rsid w:val="00BA536C"/>
    <w:rsid w:val="00BA540C"/>
    <w:rsid w:val="00BA55D0"/>
    <w:rsid w:val="00BA5834"/>
    <w:rsid w:val="00BA58B5"/>
    <w:rsid w:val="00BA591E"/>
    <w:rsid w:val="00BA5B93"/>
    <w:rsid w:val="00BA601E"/>
    <w:rsid w:val="00BA629E"/>
    <w:rsid w:val="00BA6517"/>
    <w:rsid w:val="00BA6A14"/>
    <w:rsid w:val="00BA6AC4"/>
    <w:rsid w:val="00BA6B87"/>
    <w:rsid w:val="00BA6D67"/>
    <w:rsid w:val="00BA6E1E"/>
    <w:rsid w:val="00BA714E"/>
    <w:rsid w:val="00BA7A32"/>
    <w:rsid w:val="00BA7CE9"/>
    <w:rsid w:val="00BA7DCF"/>
    <w:rsid w:val="00BA7FD4"/>
    <w:rsid w:val="00BB0172"/>
    <w:rsid w:val="00BB04BC"/>
    <w:rsid w:val="00BB090D"/>
    <w:rsid w:val="00BB1036"/>
    <w:rsid w:val="00BB1100"/>
    <w:rsid w:val="00BB1530"/>
    <w:rsid w:val="00BB15BD"/>
    <w:rsid w:val="00BB1808"/>
    <w:rsid w:val="00BB1BF7"/>
    <w:rsid w:val="00BB1DCE"/>
    <w:rsid w:val="00BB3890"/>
    <w:rsid w:val="00BB39A4"/>
    <w:rsid w:val="00BB39EB"/>
    <w:rsid w:val="00BB3E11"/>
    <w:rsid w:val="00BB3EED"/>
    <w:rsid w:val="00BB4296"/>
    <w:rsid w:val="00BB44F2"/>
    <w:rsid w:val="00BB471D"/>
    <w:rsid w:val="00BB4907"/>
    <w:rsid w:val="00BB4A5C"/>
    <w:rsid w:val="00BB58A5"/>
    <w:rsid w:val="00BB5A76"/>
    <w:rsid w:val="00BB5C8A"/>
    <w:rsid w:val="00BB6318"/>
    <w:rsid w:val="00BB663A"/>
    <w:rsid w:val="00BB709D"/>
    <w:rsid w:val="00BB70C9"/>
    <w:rsid w:val="00BB7178"/>
    <w:rsid w:val="00BB7C1E"/>
    <w:rsid w:val="00BC0A9B"/>
    <w:rsid w:val="00BC0AF7"/>
    <w:rsid w:val="00BC123E"/>
    <w:rsid w:val="00BC15F8"/>
    <w:rsid w:val="00BC1643"/>
    <w:rsid w:val="00BC1D0D"/>
    <w:rsid w:val="00BC25A2"/>
    <w:rsid w:val="00BC28ED"/>
    <w:rsid w:val="00BC293D"/>
    <w:rsid w:val="00BC3064"/>
    <w:rsid w:val="00BC3641"/>
    <w:rsid w:val="00BC3AB7"/>
    <w:rsid w:val="00BC3FF6"/>
    <w:rsid w:val="00BC4580"/>
    <w:rsid w:val="00BC45C0"/>
    <w:rsid w:val="00BC462A"/>
    <w:rsid w:val="00BC463B"/>
    <w:rsid w:val="00BC470E"/>
    <w:rsid w:val="00BC47DF"/>
    <w:rsid w:val="00BC4B7F"/>
    <w:rsid w:val="00BC53B1"/>
    <w:rsid w:val="00BC5530"/>
    <w:rsid w:val="00BC56DC"/>
    <w:rsid w:val="00BC5823"/>
    <w:rsid w:val="00BC5A48"/>
    <w:rsid w:val="00BC615B"/>
    <w:rsid w:val="00BC61CB"/>
    <w:rsid w:val="00BC6278"/>
    <w:rsid w:val="00BC62CE"/>
    <w:rsid w:val="00BC6319"/>
    <w:rsid w:val="00BC66B6"/>
    <w:rsid w:val="00BC66FB"/>
    <w:rsid w:val="00BC678C"/>
    <w:rsid w:val="00BC6A20"/>
    <w:rsid w:val="00BC72B0"/>
    <w:rsid w:val="00BC765B"/>
    <w:rsid w:val="00BC7665"/>
    <w:rsid w:val="00BC78AF"/>
    <w:rsid w:val="00BC7A84"/>
    <w:rsid w:val="00BC7BAE"/>
    <w:rsid w:val="00BC7E08"/>
    <w:rsid w:val="00BC7FC6"/>
    <w:rsid w:val="00BD0058"/>
    <w:rsid w:val="00BD00C5"/>
    <w:rsid w:val="00BD058C"/>
    <w:rsid w:val="00BD05BD"/>
    <w:rsid w:val="00BD06A3"/>
    <w:rsid w:val="00BD08D6"/>
    <w:rsid w:val="00BD0DCC"/>
    <w:rsid w:val="00BD11F4"/>
    <w:rsid w:val="00BD163F"/>
    <w:rsid w:val="00BD17B1"/>
    <w:rsid w:val="00BD1887"/>
    <w:rsid w:val="00BD1A1D"/>
    <w:rsid w:val="00BD201D"/>
    <w:rsid w:val="00BD25ED"/>
    <w:rsid w:val="00BD2994"/>
    <w:rsid w:val="00BD2A21"/>
    <w:rsid w:val="00BD2C67"/>
    <w:rsid w:val="00BD3583"/>
    <w:rsid w:val="00BD35A3"/>
    <w:rsid w:val="00BD3807"/>
    <w:rsid w:val="00BD3887"/>
    <w:rsid w:val="00BD41F6"/>
    <w:rsid w:val="00BD44CC"/>
    <w:rsid w:val="00BD4534"/>
    <w:rsid w:val="00BD4580"/>
    <w:rsid w:val="00BD4B33"/>
    <w:rsid w:val="00BD4CE4"/>
    <w:rsid w:val="00BD4E99"/>
    <w:rsid w:val="00BD58E8"/>
    <w:rsid w:val="00BD599E"/>
    <w:rsid w:val="00BD5BB7"/>
    <w:rsid w:val="00BD5D8A"/>
    <w:rsid w:val="00BD5FDE"/>
    <w:rsid w:val="00BD6110"/>
    <w:rsid w:val="00BD661A"/>
    <w:rsid w:val="00BD6C45"/>
    <w:rsid w:val="00BD6D17"/>
    <w:rsid w:val="00BD6DAB"/>
    <w:rsid w:val="00BD746D"/>
    <w:rsid w:val="00BD7749"/>
    <w:rsid w:val="00BD791F"/>
    <w:rsid w:val="00BD792B"/>
    <w:rsid w:val="00BD79C0"/>
    <w:rsid w:val="00BD7C2D"/>
    <w:rsid w:val="00BD7C56"/>
    <w:rsid w:val="00BE00C9"/>
    <w:rsid w:val="00BE0282"/>
    <w:rsid w:val="00BE0451"/>
    <w:rsid w:val="00BE04EE"/>
    <w:rsid w:val="00BE0603"/>
    <w:rsid w:val="00BE0627"/>
    <w:rsid w:val="00BE08F0"/>
    <w:rsid w:val="00BE0C13"/>
    <w:rsid w:val="00BE1037"/>
    <w:rsid w:val="00BE1706"/>
    <w:rsid w:val="00BE1787"/>
    <w:rsid w:val="00BE1C3B"/>
    <w:rsid w:val="00BE1E93"/>
    <w:rsid w:val="00BE2211"/>
    <w:rsid w:val="00BE268D"/>
    <w:rsid w:val="00BE28BE"/>
    <w:rsid w:val="00BE2BDD"/>
    <w:rsid w:val="00BE2D16"/>
    <w:rsid w:val="00BE313F"/>
    <w:rsid w:val="00BE3193"/>
    <w:rsid w:val="00BE3200"/>
    <w:rsid w:val="00BE34B5"/>
    <w:rsid w:val="00BE3A87"/>
    <w:rsid w:val="00BE3C5A"/>
    <w:rsid w:val="00BE3E32"/>
    <w:rsid w:val="00BE3F16"/>
    <w:rsid w:val="00BE43DC"/>
    <w:rsid w:val="00BE4630"/>
    <w:rsid w:val="00BE471D"/>
    <w:rsid w:val="00BE49BA"/>
    <w:rsid w:val="00BE49F2"/>
    <w:rsid w:val="00BE4C35"/>
    <w:rsid w:val="00BE4DF3"/>
    <w:rsid w:val="00BE528F"/>
    <w:rsid w:val="00BE5306"/>
    <w:rsid w:val="00BE5474"/>
    <w:rsid w:val="00BE5577"/>
    <w:rsid w:val="00BE563C"/>
    <w:rsid w:val="00BE5655"/>
    <w:rsid w:val="00BE56BA"/>
    <w:rsid w:val="00BE5786"/>
    <w:rsid w:val="00BE5A5B"/>
    <w:rsid w:val="00BE5D4B"/>
    <w:rsid w:val="00BE64C8"/>
    <w:rsid w:val="00BE6888"/>
    <w:rsid w:val="00BE6AA4"/>
    <w:rsid w:val="00BE7769"/>
    <w:rsid w:val="00BE7DF6"/>
    <w:rsid w:val="00BF0B9F"/>
    <w:rsid w:val="00BF0D8F"/>
    <w:rsid w:val="00BF0E02"/>
    <w:rsid w:val="00BF1137"/>
    <w:rsid w:val="00BF1796"/>
    <w:rsid w:val="00BF1821"/>
    <w:rsid w:val="00BF24A5"/>
    <w:rsid w:val="00BF25ED"/>
    <w:rsid w:val="00BF2984"/>
    <w:rsid w:val="00BF3E7E"/>
    <w:rsid w:val="00BF3F40"/>
    <w:rsid w:val="00BF4027"/>
    <w:rsid w:val="00BF416D"/>
    <w:rsid w:val="00BF420E"/>
    <w:rsid w:val="00BF4AA3"/>
    <w:rsid w:val="00BF4B4E"/>
    <w:rsid w:val="00BF4EB8"/>
    <w:rsid w:val="00BF52FC"/>
    <w:rsid w:val="00BF5C07"/>
    <w:rsid w:val="00BF5E2A"/>
    <w:rsid w:val="00BF5F17"/>
    <w:rsid w:val="00BF64E6"/>
    <w:rsid w:val="00BF7025"/>
    <w:rsid w:val="00BF73A2"/>
    <w:rsid w:val="00BF76B0"/>
    <w:rsid w:val="00BF78CD"/>
    <w:rsid w:val="00BF78D8"/>
    <w:rsid w:val="00BF7BC2"/>
    <w:rsid w:val="00BF7CAF"/>
    <w:rsid w:val="00C0020A"/>
    <w:rsid w:val="00C0033A"/>
    <w:rsid w:val="00C00623"/>
    <w:rsid w:val="00C0064C"/>
    <w:rsid w:val="00C007CC"/>
    <w:rsid w:val="00C00B84"/>
    <w:rsid w:val="00C010B1"/>
    <w:rsid w:val="00C010E2"/>
    <w:rsid w:val="00C012AA"/>
    <w:rsid w:val="00C012BB"/>
    <w:rsid w:val="00C012DC"/>
    <w:rsid w:val="00C013C3"/>
    <w:rsid w:val="00C015C5"/>
    <w:rsid w:val="00C01601"/>
    <w:rsid w:val="00C019B7"/>
    <w:rsid w:val="00C01FFE"/>
    <w:rsid w:val="00C020CC"/>
    <w:rsid w:val="00C02202"/>
    <w:rsid w:val="00C02273"/>
    <w:rsid w:val="00C02375"/>
    <w:rsid w:val="00C02647"/>
    <w:rsid w:val="00C026E0"/>
    <w:rsid w:val="00C027B3"/>
    <w:rsid w:val="00C02A6D"/>
    <w:rsid w:val="00C02AD4"/>
    <w:rsid w:val="00C0306E"/>
    <w:rsid w:val="00C0326A"/>
    <w:rsid w:val="00C03617"/>
    <w:rsid w:val="00C03669"/>
    <w:rsid w:val="00C03A42"/>
    <w:rsid w:val="00C03B9C"/>
    <w:rsid w:val="00C03BCD"/>
    <w:rsid w:val="00C03BDB"/>
    <w:rsid w:val="00C03C7F"/>
    <w:rsid w:val="00C0496C"/>
    <w:rsid w:val="00C04E5A"/>
    <w:rsid w:val="00C04E92"/>
    <w:rsid w:val="00C04EB3"/>
    <w:rsid w:val="00C04F83"/>
    <w:rsid w:val="00C050F7"/>
    <w:rsid w:val="00C053A6"/>
    <w:rsid w:val="00C053A8"/>
    <w:rsid w:val="00C054A6"/>
    <w:rsid w:val="00C061A1"/>
    <w:rsid w:val="00C063F4"/>
    <w:rsid w:val="00C0647E"/>
    <w:rsid w:val="00C06AAE"/>
    <w:rsid w:val="00C072A3"/>
    <w:rsid w:val="00C074FC"/>
    <w:rsid w:val="00C07562"/>
    <w:rsid w:val="00C07722"/>
    <w:rsid w:val="00C07730"/>
    <w:rsid w:val="00C07862"/>
    <w:rsid w:val="00C0795E"/>
    <w:rsid w:val="00C07986"/>
    <w:rsid w:val="00C079A1"/>
    <w:rsid w:val="00C101C7"/>
    <w:rsid w:val="00C1059B"/>
    <w:rsid w:val="00C105EB"/>
    <w:rsid w:val="00C10666"/>
    <w:rsid w:val="00C1067D"/>
    <w:rsid w:val="00C10AA4"/>
    <w:rsid w:val="00C110C1"/>
    <w:rsid w:val="00C1149D"/>
    <w:rsid w:val="00C11515"/>
    <w:rsid w:val="00C11DF4"/>
    <w:rsid w:val="00C11F09"/>
    <w:rsid w:val="00C11F69"/>
    <w:rsid w:val="00C121A4"/>
    <w:rsid w:val="00C122E0"/>
    <w:rsid w:val="00C1255D"/>
    <w:rsid w:val="00C126A0"/>
    <w:rsid w:val="00C129DF"/>
    <w:rsid w:val="00C12B31"/>
    <w:rsid w:val="00C12DC5"/>
    <w:rsid w:val="00C13145"/>
    <w:rsid w:val="00C131E3"/>
    <w:rsid w:val="00C134FE"/>
    <w:rsid w:val="00C13688"/>
    <w:rsid w:val="00C13FD7"/>
    <w:rsid w:val="00C14188"/>
    <w:rsid w:val="00C14232"/>
    <w:rsid w:val="00C14699"/>
    <w:rsid w:val="00C146D2"/>
    <w:rsid w:val="00C1474F"/>
    <w:rsid w:val="00C148AA"/>
    <w:rsid w:val="00C14926"/>
    <w:rsid w:val="00C14C65"/>
    <w:rsid w:val="00C15103"/>
    <w:rsid w:val="00C15455"/>
    <w:rsid w:val="00C1545E"/>
    <w:rsid w:val="00C156C8"/>
    <w:rsid w:val="00C15703"/>
    <w:rsid w:val="00C157AF"/>
    <w:rsid w:val="00C15982"/>
    <w:rsid w:val="00C15D49"/>
    <w:rsid w:val="00C1653C"/>
    <w:rsid w:val="00C167C5"/>
    <w:rsid w:val="00C167C8"/>
    <w:rsid w:val="00C16A96"/>
    <w:rsid w:val="00C16E86"/>
    <w:rsid w:val="00C16ECE"/>
    <w:rsid w:val="00C1725B"/>
    <w:rsid w:val="00C17467"/>
    <w:rsid w:val="00C17E97"/>
    <w:rsid w:val="00C20021"/>
    <w:rsid w:val="00C200F8"/>
    <w:rsid w:val="00C2031B"/>
    <w:rsid w:val="00C2035E"/>
    <w:rsid w:val="00C20574"/>
    <w:rsid w:val="00C20721"/>
    <w:rsid w:val="00C2076E"/>
    <w:rsid w:val="00C211E0"/>
    <w:rsid w:val="00C21B5B"/>
    <w:rsid w:val="00C21BF1"/>
    <w:rsid w:val="00C21BF8"/>
    <w:rsid w:val="00C21E7E"/>
    <w:rsid w:val="00C21ED5"/>
    <w:rsid w:val="00C21FF5"/>
    <w:rsid w:val="00C2225A"/>
    <w:rsid w:val="00C224FC"/>
    <w:rsid w:val="00C226A9"/>
    <w:rsid w:val="00C227F1"/>
    <w:rsid w:val="00C22CA6"/>
    <w:rsid w:val="00C22CB4"/>
    <w:rsid w:val="00C231D1"/>
    <w:rsid w:val="00C231D9"/>
    <w:rsid w:val="00C23261"/>
    <w:rsid w:val="00C23387"/>
    <w:rsid w:val="00C233A4"/>
    <w:rsid w:val="00C233B9"/>
    <w:rsid w:val="00C2340F"/>
    <w:rsid w:val="00C23EFF"/>
    <w:rsid w:val="00C240C9"/>
    <w:rsid w:val="00C241E7"/>
    <w:rsid w:val="00C244EB"/>
    <w:rsid w:val="00C24711"/>
    <w:rsid w:val="00C24812"/>
    <w:rsid w:val="00C2493C"/>
    <w:rsid w:val="00C24953"/>
    <w:rsid w:val="00C249BC"/>
    <w:rsid w:val="00C24A08"/>
    <w:rsid w:val="00C25074"/>
    <w:rsid w:val="00C250E1"/>
    <w:rsid w:val="00C251E7"/>
    <w:rsid w:val="00C253CC"/>
    <w:rsid w:val="00C253D6"/>
    <w:rsid w:val="00C2566A"/>
    <w:rsid w:val="00C256E8"/>
    <w:rsid w:val="00C26179"/>
    <w:rsid w:val="00C2644D"/>
    <w:rsid w:val="00C264C1"/>
    <w:rsid w:val="00C2654F"/>
    <w:rsid w:val="00C2661E"/>
    <w:rsid w:val="00C266B7"/>
    <w:rsid w:val="00C267BC"/>
    <w:rsid w:val="00C26805"/>
    <w:rsid w:val="00C26DB6"/>
    <w:rsid w:val="00C26E38"/>
    <w:rsid w:val="00C2702B"/>
    <w:rsid w:val="00C2708E"/>
    <w:rsid w:val="00C270A3"/>
    <w:rsid w:val="00C274EB"/>
    <w:rsid w:val="00C27573"/>
    <w:rsid w:val="00C275D7"/>
    <w:rsid w:val="00C277E0"/>
    <w:rsid w:val="00C27849"/>
    <w:rsid w:val="00C27C72"/>
    <w:rsid w:val="00C3028B"/>
    <w:rsid w:val="00C30480"/>
    <w:rsid w:val="00C31549"/>
    <w:rsid w:val="00C316A5"/>
    <w:rsid w:val="00C31781"/>
    <w:rsid w:val="00C3188A"/>
    <w:rsid w:val="00C319CE"/>
    <w:rsid w:val="00C31EBD"/>
    <w:rsid w:val="00C32326"/>
    <w:rsid w:val="00C32444"/>
    <w:rsid w:val="00C3251D"/>
    <w:rsid w:val="00C326A5"/>
    <w:rsid w:val="00C32757"/>
    <w:rsid w:val="00C32765"/>
    <w:rsid w:val="00C32C20"/>
    <w:rsid w:val="00C32E0B"/>
    <w:rsid w:val="00C331AF"/>
    <w:rsid w:val="00C335ED"/>
    <w:rsid w:val="00C33CD8"/>
    <w:rsid w:val="00C33E52"/>
    <w:rsid w:val="00C34211"/>
    <w:rsid w:val="00C347EC"/>
    <w:rsid w:val="00C348AE"/>
    <w:rsid w:val="00C34A33"/>
    <w:rsid w:val="00C34A7B"/>
    <w:rsid w:val="00C35273"/>
    <w:rsid w:val="00C3550D"/>
    <w:rsid w:val="00C36027"/>
    <w:rsid w:val="00C36571"/>
    <w:rsid w:val="00C365EB"/>
    <w:rsid w:val="00C36DC3"/>
    <w:rsid w:val="00C371C4"/>
    <w:rsid w:val="00C371F2"/>
    <w:rsid w:val="00C3725C"/>
    <w:rsid w:val="00C37465"/>
    <w:rsid w:val="00C376F7"/>
    <w:rsid w:val="00C37BAB"/>
    <w:rsid w:val="00C37F1F"/>
    <w:rsid w:val="00C37F6F"/>
    <w:rsid w:val="00C40262"/>
    <w:rsid w:val="00C40400"/>
    <w:rsid w:val="00C407CB"/>
    <w:rsid w:val="00C408BE"/>
    <w:rsid w:val="00C4095D"/>
    <w:rsid w:val="00C40C68"/>
    <w:rsid w:val="00C40D1B"/>
    <w:rsid w:val="00C41063"/>
    <w:rsid w:val="00C411E9"/>
    <w:rsid w:val="00C415E4"/>
    <w:rsid w:val="00C41633"/>
    <w:rsid w:val="00C41DA6"/>
    <w:rsid w:val="00C424EF"/>
    <w:rsid w:val="00C42566"/>
    <w:rsid w:val="00C42B1C"/>
    <w:rsid w:val="00C42B25"/>
    <w:rsid w:val="00C42F48"/>
    <w:rsid w:val="00C430A1"/>
    <w:rsid w:val="00C43230"/>
    <w:rsid w:val="00C43314"/>
    <w:rsid w:val="00C4385E"/>
    <w:rsid w:val="00C43E53"/>
    <w:rsid w:val="00C4417C"/>
    <w:rsid w:val="00C442EC"/>
    <w:rsid w:val="00C44478"/>
    <w:rsid w:val="00C44C47"/>
    <w:rsid w:val="00C44F37"/>
    <w:rsid w:val="00C450A9"/>
    <w:rsid w:val="00C454DE"/>
    <w:rsid w:val="00C459E3"/>
    <w:rsid w:val="00C45B30"/>
    <w:rsid w:val="00C45DC2"/>
    <w:rsid w:val="00C45E95"/>
    <w:rsid w:val="00C45EA0"/>
    <w:rsid w:val="00C461D3"/>
    <w:rsid w:val="00C46522"/>
    <w:rsid w:val="00C4655A"/>
    <w:rsid w:val="00C465AF"/>
    <w:rsid w:val="00C466FB"/>
    <w:rsid w:val="00C46867"/>
    <w:rsid w:val="00C46F1D"/>
    <w:rsid w:val="00C47077"/>
    <w:rsid w:val="00C47250"/>
    <w:rsid w:val="00C473D5"/>
    <w:rsid w:val="00C477D7"/>
    <w:rsid w:val="00C479A7"/>
    <w:rsid w:val="00C47AF3"/>
    <w:rsid w:val="00C5005E"/>
    <w:rsid w:val="00C5011E"/>
    <w:rsid w:val="00C501CB"/>
    <w:rsid w:val="00C5068A"/>
    <w:rsid w:val="00C50A74"/>
    <w:rsid w:val="00C50D4E"/>
    <w:rsid w:val="00C50E4B"/>
    <w:rsid w:val="00C50E7D"/>
    <w:rsid w:val="00C51078"/>
    <w:rsid w:val="00C51C21"/>
    <w:rsid w:val="00C51C64"/>
    <w:rsid w:val="00C51DED"/>
    <w:rsid w:val="00C51F67"/>
    <w:rsid w:val="00C5201D"/>
    <w:rsid w:val="00C52026"/>
    <w:rsid w:val="00C52155"/>
    <w:rsid w:val="00C52339"/>
    <w:rsid w:val="00C525C5"/>
    <w:rsid w:val="00C52694"/>
    <w:rsid w:val="00C52AD0"/>
    <w:rsid w:val="00C52D48"/>
    <w:rsid w:val="00C52D76"/>
    <w:rsid w:val="00C536C1"/>
    <w:rsid w:val="00C541BF"/>
    <w:rsid w:val="00C54323"/>
    <w:rsid w:val="00C54A4C"/>
    <w:rsid w:val="00C54CFF"/>
    <w:rsid w:val="00C552F5"/>
    <w:rsid w:val="00C55AD3"/>
    <w:rsid w:val="00C55EE1"/>
    <w:rsid w:val="00C5607B"/>
    <w:rsid w:val="00C563DF"/>
    <w:rsid w:val="00C5640B"/>
    <w:rsid w:val="00C565DA"/>
    <w:rsid w:val="00C56ACD"/>
    <w:rsid w:val="00C56D4D"/>
    <w:rsid w:val="00C56F23"/>
    <w:rsid w:val="00C56F6B"/>
    <w:rsid w:val="00C57321"/>
    <w:rsid w:val="00C57570"/>
    <w:rsid w:val="00C60253"/>
    <w:rsid w:val="00C60A0D"/>
    <w:rsid w:val="00C60D00"/>
    <w:rsid w:val="00C60E5A"/>
    <w:rsid w:val="00C61813"/>
    <w:rsid w:val="00C6186E"/>
    <w:rsid w:val="00C61A1A"/>
    <w:rsid w:val="00C61FDB"/>
    <w:rsid w:val="00C62391"/>
    <w:rsid w:val="00C6241D"/>
    <w:rsid w:val="00C6244D"/>
    <w:rsid w:val="00C62A03"/>
    <w:rsid w:val="00C63115"/>
    <w:rsid w:val="00C63628"/>
    <w:rsid w:val="00C6375A"/>
    <w:rsid w:val="00C63B58"/>
    <w:rsid w:val="00C63B74"/>
    <w:rsid w:val="00C63BAA"/>
    <w:rsid w:val="00C63DE8"/>
    <w:rsid w:val="00C63EBF"/>
    <w:rsid w:val="00C64A70"/>
    <w:rsid w:val="00C64AC0"/>
    <w:rsid w:val="00C64CB4"/>
    <w:rsid w:val="00C64DAB"/>
    <w:rsid w:val="00C6508A"/>
    <w:rsid w:val="00C6594D"/>
    <w:rsid w:val="00C65DB9"/>
    <w:rsid w:val="00C65E05"/>
    <w:rsid w:val="00C65EFA"/>
    <w:rsid w:val="00C6618A"/>
    <w:rsid w:val="00C66511"/>
    <w:rsid w:val="00C67922"/>
    <w:rsid w:val="00C67E83"/>
    <w:rsid w:val="00C70123"/>
    <w:rsid w:val="00C701A0"/>
    <w:rsid w:val="00C7022C"/>
    <w:rsid w:val="00C70435"/>
    <w:rsid w:val="00C70AEA"/>
    <w:rsid w:val="00C70BED"/>
    <w:rsid w:val="00C70EE2"/>
    <w:rsid w:val="00C70FA3"/>
    <w:rsid w:val="00C711FE"/>
    <w:rsid w:val="00C7136E"/>
    <w:rsid w:val="00C7185A"/>
    <w:rsid w:val="00C718A7"/>
    <w:rsid w:val="00C71C24"/>
    <w:rsid w:val="00C7209C"/>
    <w:rsid w:val="00C7209F"/>
    <w:rsid w:val="00C720C5"/>
    <w:rsid w:val="00C7221B"/>
    <w:rsid w:val="00C723A9"/>
    <w:rsid w:val="00C726C5"/>
    <w:rsid w:val="00C73144"/>
    <w:rsid w:val="00C7315A"/>
    <w:rsid w:val="00C731C1"/>
    <w:rsid w:val="00C7324C"/>
    <w:rsid w:val="00C735D8"/>
    <w:rsid w:val="00C7376B"/>
    <w:rsid w:val="00C73A42"/>
    <w:rsid w:val="00C73DA7"/>
    <w:rsid w:val="00C73E1B"/>
    <w:rsid w:val="00C73E5A"/>
    <w:rsid w:val="00C740A4"/>
    <w:rsid w:val="00C7413E"/>
    <w:rsid w:val="00C74217"/>
    <w:rsid w:val="00C74429"/>
    <w:rsid w:val="00C744B8"/>
    <w:rsid w:val="00C7467E"/>
    <w:rsid w:val="00C747A4"/>
    <w:rsid w:val="00C748EE"/>
    <w:rsid w:val="00C74CD0"/>
    <w:rsid w:val="00C74F87"/>
    <w:rsid w:val="00C75293"/>
    <w:rsid w:val="00C752ED"/>
    <w:rsid w:val="00C755DA"/>
    <w:rsid w:val="00C758BD"/>
    <w:rsid w:val="00C75A63"/>
    <w:rsid w:val="00C7602E"/>
    <w:rsid w:val="00C76307"/>
    <w:rsid w:val="00C7651B"/>
    <w:rsid w:val="00C76621"/>
    <w:rsid w:val="00C7698A"/>
    <w:rsid w:val="00C76FCE"/>
    <w:rsid w:val="00C77C1E"/>
    <w:rsid w:val="00C77C9F"/>
    <w:rsid w:val="00C802F7"/>
    <w:rsid w:val="00C8045B"/>
    <w:rsid w:val="00C80795"/>
    <w:rsid w:val="00C807A7"/>
    <w:rsid w:val="00C808F7"/>
    <w:rsid w:val="00C80A13"/>
    <w:rsid w:val="00C80DAA"/>
    <w:rsid w:val="00C80F7A"/>
    <w:rsid w:val="00C80FFC"/>
    <w:rsid w:val="00C81029"/>
    <w:rsid w:val="00C81507"/>
    <w:rsid w:val="00C815FF"/>
    <w:rsid w:val="00C81CD7"/>
    <w:rsid w:val="00C81D25"/>
    <w:rsid w:val="00C81E1A"/>
    <w:rsid w:val="00C81FC9"/>
    <w:rsid w:val="00C81FE3"/>
    <w:rsid w:val="00C82187"/>
    <w:rsid w:val="00C82280"/>
    <w:rsid w:val="00C82378"/>
    <w:rsid w:val="00C8241C"/>
    <w:rsid w:val="00C826A9"/>
    <w:rsid w:val="00C82782"/>
    <w:rsid w:val="00C82913"/>
    <w:rsid w:val="00C82AB2"/>
    <w:rsid w:val="00C82ACB"/>
    <w:rsid w:val="00C82DCF"/>
    <w:rsid w:val="00C82F82"/>
    <w:rsid w:val="00C82F88"/>
    <w:rsid w:val="00C8302B"/>
    <w:rsid w:val="00C8304B"/>
    <w:rsid w:val="00C83324"/>
    <w:rsid w:val="00C835CA"/>
    <w:rsid w:val="00C837D6"/>
    <w:rsid w:val="00C838D4"/>
    <w:rsid w:val="00C839A5"/>
    <w:rsid w:val="00C839B6"/>
    <w:rsid w:val="00C83E55"/>
    <w:rsid w:val="00C846B2"/>
    <w:rsid w:val="00C84B19"/>
    <w:rsid w:val="00C84B87"/>
    <w:rsid w:val="00C84D6A"/>
    <w:rsid w:val="00C852A7"/>
    <w:rsid w:val="00C855DC"/>
    <w:rsid w:val="00C85614"/>
    <w:rsid w:val="00C8573C"/>
    <w:rsid w:val="00C85848"/>
    <w:rsid w:val="00C85F1D"/>
    <w:rsid w:val="00C861FD"/>
    <w:rsid w:val="00C86A95"/>
    <w:rsid w:val="00C86B76"/>
    <w:rsid w:val="00C86B79"/>
    <w:rsid w:val="00C86F9D"/>
    <w:rsid w:val="00C870BA"/>
    <w:rsid w:val="00C8798C"/>
    <w:rsid w:val="00C87A7B"/>
    <w:rsid w:val="00C87C1A"/>
    <w:rsid w:val="00C87FF1"/>
    <w:rsid w:val="00C90102"/>
    <w:rsid w:val="00C9017E"/>
    <w:rsid w:val="00C90633"/>
    <w:rsid w:val="00C90DDE"/>
    <w:rsid w:val="00C91628"/>
    <w:rsid w:val="00C919CF"/>
    <w:rsid w:val="00C919EC"/>
    <w:rsid w:val="00C921DB"/>
    <w:rsid w:val="00C92346"/>
    <w:rsid w:val="00C92490"/>
    <w:rsid w:val="00C92639"/>
    <w:rsid w:val="00C92709"/>
    <w:rsid w:val="00C9284C"/>
    <w:rsid w:val="00C92E0F"/>
    <w:rsid w:val="00C93553"/>
    <w:rsid w:val="00C93666"/>
    <w:rsid w:val="00C936E0"/>
    <w:rsid w:val="00C93CDE"/>
    <w:rsid w:val="00C94350"/>
    <w:rsid w:val="00C947BB"/>
    <w:rsid w:val="00C94973"/>
    <w:rsid w:val="00C94E48"/>
    <w:rsid w:val="00C94F7A"/>
    <w:rsid w:val="00C95236"/>
    <w:rsid w:val="00C95486"/>
    <w:rsid w:val="00C95D0E"/>
    <w:rsid w:val="00C969C3"/>
    <w:rsid w:val="00C96BAD"/>
    <w:rsid w:val="00C97055"/>
    <w:rsid w:val="00C97069"/>
    <w:rsid w:val="00C972FC"/>
    <w:rsid w:val="00C97372"/>
    <w:rsid w:val="00C976BA"/>
    <w:rsid w:val="00C9788E"/>
    <w:rsid w:val="00C978CF"/>
    <w:rsid w:val="00C9795C"/>
    <w:rsid w:val="00C97DF9"/>
    <w:rsid w:val="00CA03EA"/>
    <w:rsid w:val="00CA064B"/>
    <w:rsid w:val="00CA0836"/>
    <w:rsid w:val="00CA1083"/>
    <w:rsid w:val="00CA11F5"/>
    <w:rsid w:val="00CA134B"/>
    <w:rsid w:val="00CA1692"/>
    <w:rsid w:val="00CA16DC"/>
    <w:rsid w:val="00CA1731"/>
    <w:rsid w:val="00CA18B0"/>
    <w:rsid w:val="00CA1951"/>
    <w:rsid w:val="00CA1B1F"/>
    <w:rsid w:val="00CA1CBD"/>
    <w:rsid w:val="00CA1E92"/>
    <w:rsid w:val="00CA232E"/>
    <w:rsid w:val="00CA2537"/>
    <w:rsid w:val="00CA2626"/>
    <w:rsid w:val="00CA2A9D"/>
    <w:rsid w:val="00CA2C21"/>
    <w:rsid w:val="00CA2EB8"/>
    <w:rsid w:val="00CA2FC4"/>
    <w:rsid w:val="00CA3109"/>
    <w:rsid w:val="00CA3273"/>
    <w:rsid w:val="00CA32C9"/>
    <w:rsid w:val="00CA35F4"/>
    <w:rsid w:val="00CA3D8B"/>
    <w:rsid w:val="00CA3E37"/>
    <w:rsid w:val="00CA471B"/>
    <w:rsid w:val="00CA4DDA"/>
    <w:rsid w:val="00CA4DE2"/>
    <w:rsid w:val="00CA543D"/>
    <w:rsid w:val="00CA5807"/>
    <w:rsid w:val="00CA603D"/>
    <w:rsid w:val="00CA6157"/>
    <w:rsid w:val="00CA632E"/>
    <w:rsid w:val="00CA6612"/>
    <w:rsid w:val="00CA662A"/>
    <w:rsid w:val="00CA667C"/>
    <w:rsid w:val="00CA684F"/>
    <w:rsid w:val="00CA6A56"/>
    <w:rsid w:val="00CA6B6C"/>
    <w:rsid w:val="00CA6F66"/>
    <w:rsid w:val="00CA70E4"/>
    <w:rsid w:val="00CA75D3"/>
    <w:rsid w:val="00CA76CE"/>
    <w:rsid w:val="00CB00D3"/>
    <w:rsid w:val="00CB05D6"/>
    <w:rsid w:val="00CB0743"/>
    <w:rsid w:val="00CB0E71"/>
    <w:rsid w:val="00CB0EFF"/>
    <w:rsid w:val="00CB1006"/>
    <w:rsid w:val="00CB16F2"/>
    <w:rsid w:val="00CB19CE"/>
    <w:rsid w:val="00CB20B2"/>
    <w:rsid w:val="00CB2265"/>
    <w:rsid w:val="00CB2768"/>
    <w:rsid w:val="00CB27C7"/>
    <w:rsid w:val="00CB2B9E"/>
    <w:rsid w:val="00CB2D89"/>
    <w:rsid w:val="00CB3762"/>
    <w:rsid w:val="00CB377F"/>
    <w:rsid w:val="00CB3B1D"/>
    <w:rsid w:val="00CB3CE0"/>
    <w:rsid w:val="00CB3D32"/>
    <w:rsid w:val="00CB415B"/>
    <w:rsid w:val="00CB4200"/>
    <w:rsid w:val="00CB535B"/>
    <w:rsid w:val="00CB5421"/>
    <w:rsid w:val="00CB5591"/>
    <w:rsid w:val="00CB55B0"/>
    <w:rsid w:val="00CB59AA"/>
    <w:rsid w:val="00CB5C95"/>
    <w:rsid w:val="00CB5ED0"/>
    <w:rsid w:val="00CB60C5"/>
    <w:rsid w:val="00CB617D"/>
    <w:rsid w:val="00CB6459"/>
    <w:rsid w:val="00CB73CF"/>
    <w:rsid w:val="00CB74AB"/>
    <w:rsid w:val="00CB765B"/>
    <w:rsid w:val="00CB7706"/>
    <w:rsid w:val="00CB773A"/>
    <w:rsid w:val="00CB7986"/>
    <w:rsid w:val="00CB79E5"/>
    <w:rsid w:val="00CB7B14"/>
    <w:rsid w:val="00CB7E48"/>
    <w:rsid w:val="00CC07CD"/>
    <w:rsid w:val="00CC07E0"/>
    <w:rsid w:val="00CC092F"/>
    <w:rsid w:val="00CC0C0F"/>
    <w:rsid w:val="00CC0D19"/>
    <w:rsid w:val="00CC0EE7"/>
    <w:rsid w:val="00CC1D17"/>
    <w:rsid w:val="00CC2080"/>
    <w:rsid w:val="00CC2199"/>
    <w:rsid w:val="00CC2632"/>
    <w:rsid w:val="00CC2877"/>
    <w:rsid w:val="00CC288F"/>
    <w:rsid w:val="00CC2A24"/>
    <w:rsid w:val="00CC3CBB"/>
    <w:rsid w:val="00CC3E2D"/>
    <w:rsid w:val="00CC4287"/>
    <w:rsid w:val="00CC4A6E"/>
    <w:rsid w:val="00CC4D26"/>
    <w:rsid w:val="00CC4E25"/>
    <w:rsid w:val="00CC4F7E"/>
    <w:rsid w:val="00CC547B"/>
    <w:rsid w:val="00CC55DF"/>
    <w:rsid w:val="00CC637E"/>
    <w:rsid w:val="00CC6514"/>
    <w:rsid w:val="00CC685A"/>
    <w:rsid w:val="00CC709B"/>
    <w:rsid w:val="00CC711E"/>
    <w:rsid w:val="00CC7211"/>
    <w:rsid w:val="00CC74FB"/>
    <w:rsid w:val="00CC7793"/>
    <w:rsid w:val="00CC78D8"/>
    <w:rsid w:val="00CC7C97"/>
    <w:rsid w:val="00CC7DA4"/>
    <w:rsid w:val="00CD0041"/>
    <w:rsid w:val="00CD01A3"/>
    <w:rsid w:val="00CD0252"/>
    <w:rsid w:val="00CD025E"/>
    <w:rsid w:val="00CD02A9"/>
    <w:rsid w:val="00CD0401"/>
    <w:rsid w:val="00CD0431"/>
    <w:rsid w:val="00CD06E2"/>
    <w:rsid w:val="00CD125A"/>
    <w:rsid w:val="00CD12F6"/>
    <w:rsid w:val="00CD1440"/>
    <w:rsid w:val="00CD1474"/>
    <w:rsid w:val="00CD1738"/>
    <w:rsid w:val="00CD1953"/>
    <w:rsid w:val="00CD19D6"/>
    <w:rsid w:val="00CD21D5"/>
    <w:rsid w:val="00CD2798"/>
    <w:rsid w:val="00CD298A"/>
    <w:rsid w:val="00CD2F9C"/>
    <w:rsid w:val="00CD2FB3"/>
    <w:rsid w:val="00CD33DF"/>
    <w:rsid w:val="00CD3525"/>
    <w:rsid w:val="00CD3C94"/>
    <w:rsid w:val="00CD3F6A"/>
    <w:rsid w:val="00CD4142"/>
    <w:rsid w:val="00CD441E"/>
    <w:rsid w:val="00CD44E3"/>
    <w:rsid w:val="00CD4792"/>
    <w:rsid w:val="00CD47A8"/>
    <w:rsid w:val="00CD4842"/>
    <w:rsid w:val="00CD49DA"/>
    <w:rsid w:val="00CD4AFD"/>
    <w:rsid w:val="00CD4FD8"/>
    <w:rsid w:val="00CD5043"/>
    <w:rsid w:val="00CD51E0"/>
    <w:rsid w:val="00CD538B"/>
    <w:rsid w:val="00CD53F7"/>
    <w:rsid w:val="00CD5752"/>
    <w:rsid w:val="00CD5833"/>
    <w:rsid w:val="00CD5999"/>
    <w:rsid w:val="00CD5A28"/>
    <w:rsid w:val="00CD5AD4"/>
    <w:rsid w:val="00CD5B08"/>
    <w:rsid w:val="00CD6001"/>
    <w:rsid w:val="00CD6076"/>
    <w:rsid w:val="00CD61B0"/>
    <w:rsid w:val="00CD6289"/>
    <w:rsid w:val="00CD62A3"/>
    <w:rsid w:val="00CD66A1"/>
    <w:rsid w:val="00CD66DD"/>
    <w:rsid w:val="00CD6C4E"/>
    <w:rsid w:val="00CD7120"/>
    <w:rsid w:val="00CD75F0"/>
    <w:rsid w:val="00CD768D"/>
    <w:rsid w:val="00CD78EB"/>
    <w:rsid w:val="00CD79F3"/>
    <w:rsid w:val="00CD7CBB"/>
    <w:rsid w:val="00CE001D"/>
    <w:rsid w:val="00CE011A"/>
    <w:rsid w:val="00CE04F0"/>
    <w:rsid w:val="00CE05E9"/>
    <w:rsid w:val="00CE06B5"/>
    <w:rsid w:val="00CE0926"/>
    <w:rsid w:val="00CE0A2D"/>
    <w:rsid w:val="00CE0EF0"/>
    <w:rsid w:val="00CE0FA2"/>
    <w:rsid w:val="00CE0FE8"/>
    <w:rsid w:val="00CE0FF4"/>
    <w:rsid w:val="00CE15FA"/>
    <w:rsid w:val="00CE1D2A"/>
    <w:rsid w:val="00CE271F"/>
    <w:rsid w:val="00CE27D2"/>
    <w:rsid w:val="00CE2B91"/>
    <w:rsid w:val="00CE2C9F"/>
    <w:rsid w:val="00CE3176"/>
    <w:rsid w:val="00CE31FD"/>
    <w:rsid w:val="00CE3371"/>
    <w:rsid w:val="00CE34EC"/>
    <w:rsid w:val="00CE3571"/>
    <w:rsid w:val="00CE3884"/>
    <w:rsid w:val="00CE39AD"/>
    <w:rsid w:val="00CE3A2E"/>
    <w:rsid w:val="00CE3C35"/>
    <w:rsid w:val="00CE3DD3"/>
    <w:rsid w:val="00CE47C4"/>
    <w:rsid w:val="00CE4B3C"/>
    <w:rsid w:val="00CE4F47"/>
    <w:rsid w:val="00CE5004"/>
    <w:rsid w:val="00CE5325"/>
    <w:rsid w:val="00CE5BE1"/>
    <w:rsid w:val="00CE5D3F"/>
    <w:rsid w:val="00CE5DC8"/>
    <w:rsid w:val="00CE60F8"/>
    <w:rsid w:val="00CE63E4"/>
    <w:rsid w:val="00CE6598"/>
    <w:rsid w:val="00CE65E1"/>
    <w:rsid w:val="00CE662A"/>
    <w:rsid w:val="00CE6954"/>
    <w:rsid w:val="00CE6A16"/>
    <w:rsid w:val="00CE6A6F"/>
    <w:rsid w:val="00CE6BCE"/>
    <w:rsid w:val="00CE6EF1"/>
    <w:rsid w:val="00CE6FA4"/>
    <w:rsid w:val="00CE73AD"/>
    <w:rsid w:val="00CE745E"/>
    <w:rsid w:val="00CE7CFB"/>
    <w:rsid w:val="00CF051E"/>
    <w:rsid w:val="00CF07B6"/>
    <w:rsid w:val="00CF091F"/>
    <w:rsid w:val="00CF0E0B"/>
    <w:rsid w:val="00CF1097"/>
    <w:rsid w:val="00CF11B8"/>
    <w:rsid w:val="00CF1507"/>
    <w:rsid w:val="00CF1B07"/>
    <w:rsid w:val="00CF20F3"/>
    <w:rsid w:val="00CF2290"/>
    <w:rsid w:val="00CF2843"/>
    <w:rsid w:val="00CF2A4A"/>
    <w:rsid w:val="00CF3497"/>
    <w:rsid w:val="00CF3F95"/>
    <w:rsid w:val="00CF42B8"/>
    <w:rsid w:val="00CF4528"/>
    <w:rsid w:val="00CF4620"/>
    <w:rsid w:val="00CF4D64"/>
    <w:rsid w:val="00CF4F6B"/>
    <w:rsid w:val="00CF4FE6"/>
    <w:rsid w:val="00CF516B"/>
    <w:rsid w:val="00CF534B"/>
    <w:rsid w:val="00CF54C3"/>
    <w:rsid w:val="00CF5A8E"/>
    <w:rsid w:val="00CF5DC5"/>
    <w:rsid w:val="00CF5EDF"/>
    <w:rsid w:val="00CF61D5"/>
    <w:rsid w:val="00CF6395"/>
    <w:rsid w:val="00CF6D5A"/>
    <w:rsid w:val="00CF7000"/>
    <w:rsid w:val="00CF7C72"/>
    <w:rsid w:val="00CF7CF6"/>
    <w:rsid w:val="00CF7DFB"/>
    <w:rsid w:val="00CF7E97"/>
    <w:rsid w:val="00D0017D"/>
    <w:rsid w:val="00D0035C"/>
    <w:rsid w:val="00D0037B"/>
    <w:rsid w:val="00D0062E"/>
    <w:rsid w:val="00D00640"/>
    <w:rsid w:val="00D007C0"/>
    <w:rsid w:val="00D00C29"/>
    <w:rsid w:val="00D00E8C"/>
    <w:rsid w:val="00D00E92"/>
    <w:rsid w:val="00D01200"/>
    <w:rsid w:val="00D0126E"/>
    <w:rsid w:val="00D01304"/>
    <w:rsid w:val="00D013EE"/>
    <w:rsid w:val="00D01410"/>
    <w:rsid w:val="00D01B5B"/>
    <w:rsid w:val="00D020DC"/>
    <w:rsid w:val="00D02477"/>
    <w:rsid w:val="00D0263C"/>
    <w:rsid w:val="00D02749"/>
    <w:rsid w:val="00D02CC7"/>
    <w:rsid w:val="00D02CDA"/>
    <w:rsid w:val="00D02FD8"/>
    <w:rsid w:val="00D03011"/>
    <w:rsid w:val="00D03058"/>
    <w:rsid w:val="00D0323E"/>
    <w:rsid w:val="00D0333F"/>
    <w:rsid w:val="00D03543"/>
    <w:rsid w:val="00D035CC"/>
    <w:rsid w:val="00D037DD"/>
    <w:rsid w:val="00D03867"/>
    <w:rsid w:val="00D03C75"/>
    <w:rsid w:val="00D041DB"/>
    <w:rsid w:val="00D04325"/>
    <w:rsid w:val="00D0439A"/>
    <w:rsid w:val="00D04488"/>
    <w:rsid w:val="00D044BD"/>
    <w:rsid w:val="00D0484F"/>
    <w:rsid w:val="00D04FEF"/>
    <w:rsid w:val="00D05604"/>
    <w:rsid w:val="00D056C2"/>
    <w:rsid w:val="00D0590A"/>
    <w:rsid w:val="00D059A8"/>
    <w:rsid w:val="00D05D11"/>
    <w:rsid w:val="00D05F49"/>
    <w:rsid w:val="00D0654E"/>
    <w:rsid w:val="00D06BB2"/>
    <w:rsid w:val="00D07017"/>
    <w:rsid w:val="00D0729D"/>
    <w:rsid w:val="00D07645"/>
    <w:rsid w:val="00D07672"/>
    <w:rsid w:val="00D0789C"/>
    <w:rsid w:val="00D07AC5"/>
    <w:rsid w:val="00D101A5"/>
    <w:rsid w:val="00D10B9C"/>
    <w:rsid w:val="00D10DB3"/>
    <w:rsid w:val="00D11538"/>
    <w:rsid w:val="00D11964"/>
    <w:rsid w:val="00D11A91"/>
    <w:rsid w:val="00D11ED1"/>
    <w:rsid w:val="00D1291C"/>
    <w:rsid w:val="00D12C5A"/>
    <w:rsid w:val="00D12D8C"/>
    <w:rsid w:val="00D12EC9"/>
    <w:rsid w:val="00D13007"/>
    <w:rsid w:val="00D133FA"/>
    <w:rsid w:val="00D1342C"/>
    <w:rsid w:val="00D13824"/>
    <w:rsid w:val="00D13C41"/>
    <w:rsid w:val="00D13CD3"/>
    <w:rsid w:val="00D13D34"/>
    <w:rsid w:val="00D13F05"/>
    <w:rsid w:val="00D13FAF"/>
    <w:rsid w:val="00D140F4"/>
    <w:rsid w:val="00D141BA"/>
    <w:rsid w:val="00D141DA"/>
    <w:rsid w:val="00D14318"/>
    <w:rsid w:val="00D14410"/>
    <w:rsid w:val="00D148CB"/>
    <w:rsid w:val="00D14FC0"/>
    <w:rsid w:val="00D1504E"/>
    <w:rsid w:val="00D15694"/>
    <w:rsid w:val="00D157C2"/>
    <w:rsid w:val="00D1599E"/>
    <w:rsid w:val="00D15A7B"/>
    <w:rsid w:val="00D1609B"/>
    <w:rsid w:val="00D162DF"/>
    <w:rsid w:val="00D16503"/>
    <w:rsid w:val="00D165C4"/>
    <w:rsid w:val="00D165EA"/>
    <w:rsid w:val="00D16ECC"/>
    <w:rsid w:val="00D16F1A"/>
    <w:rsid w:val="00D17155"/>
    <w:rsid w:val="00D17304"/>
    <w:rsid w:val="00D173C7"/>
    <w:rsid w:val="00D1762B"/>
    <w:rsid w:val="00D177C5"/>
    <w:rsid w:val="00D177D2"/>
    <w:rsid w:val="00D179FC"/>
    <w:rsid w:val="00D17AC6"/>
    <w:rsid w:val="00D17ADF"/>
    <w:rsid w:val="00D17D52"/>
    <w:rsid w:val="00D17FB3"/>
    <w:rsid w:val="00D2033E"/>
    <w:rsid w:val="00D203ED"/>
    <w:rsid w:val="00D20644"/>
    <w:rsid w:val="00D208C9"/>
    <w:rsid w:val="00D20C5B"/>
    <w:rsid w:val="00D20D7E"/>
    <w:rsid w:val="00D213BB"/>
    <w:rsid w:val="00D21515"/>
    <w:rsid w:val="00D2161C"/>
    <w:rsid w:val="00D21B82"/>
    <w:rsid w:val="00D21EF4"/>
    <w:rsid w:val="00D21FBF"/>
    <w:rsid w:val="00D22186"/>
    <w:rsid w:val="00D2230B"/>
    <w:rsid w:val="00D2292F"/>
    <w:rsid w:val="00D22946"/>
    <w:rsid w:val="00D22974"/>
    <w:rsid w:val="00D22B8E"/>
    <w:rsid w:val="00D22E17"/>
    <w:rsid w:val="00D22FDC"/>
    <w:rsid w:val="00D23298"/>
    <w:rsid w:val="00D233CD"/>
    <w:rsid w:val="00D237F8"/>
    <w:rsid w:val="00D23937"/>
    <w:rsid w:val="00D23A0A"/>
    <w:rsid w:val="00D24050"/>
    <w:rsid w:val="00D24732"/>
    <w:rsid w:val="00D2508B"/>
    <w:rsid w:val="00D250BA"/>
    <w:rsid w:val="00D252EC"/>
    <w:rsid w:val="00D25504"/>
    <w:rsid w:val="00D25B87"/>
    <w:rsid w:val="00D25DB9"/>
    <w:rsid w:val="00D25ED4"/>
    <w:rsid w:val="00D261FC"/>
    <w:rsid w:val="00D2678A"/>
    <w:rsid w:val="00D26966"/>
    <w:rsid w:val="00D26CA7"/>
    <w:rsid w:val="00D2758F"/>
    <w:rsid w:val="00D2759A"/>
    <w:rsid w:val="00D279BC"/>
    <w:rsid w:val="00D27A61"/>
    <w:rsid w:val="00D27C80"/>
    <w:rsid w:val="00D27CE2"/>
    <w:rsid w:val="00D27D0F"/>
    <w:rsid w:val="00D27D79"/>
    <w:rsid w:val="00D27E32"/>
    <w:rsid w:val="00D301BA"/>
    <w:rsid w:val="00D3033B"/>
    <w:rsid w:val="00D30406"/>
    <w:rsid w:val="00D308A1"/>
    <w:rsid w:val="00D3090A"/>
    <w:rsid w:val="00D3109A"/>
    <w:rsid w:val="00D310F5"/>
    <w:rsid w:val="00D3111F"/>
    <w:rsid w:val="00D3132D"/>
    <w:rsid w:val="00D31890"/>
    <w:rsid w:val="00D31F8C"/>
    <w:rsid w:val="00D320E5"/>
    <w:rsid w:val="00D32201"/>
    <w:rsid w:val="00D32328"/>
    <w:rsid w:val="00D329A3"/>
    <w:rsid w:val="00D32B34"/>
    <w:rsid w:val="00D33004"/>
    <w:rsid w:val="00D3336E"/>
    <w:rsid w:val="00D33469"/>
    <w:rsid w:val="00D33648"/>
    <w:rsid w:val="00D33761"/>
    <w:rsid w:val="00D339C1"/>
    <w:rsid w:val="00D33A11"/>
    <w:rsid w:val="00D33BD5"/>
    <w:rsid w:val="00D33DBB"/>
    <w:rsid w:val="00D34115"/>
    <w:rsid w:val="00D341A6"/>
    <w:rsid w:val="00D34260"/>
    <w:rsid w:val="00D3427B"/>
    <w:rsid w:val="00D346ED"/>
    <w:rsid w:val="00D34764"/>
    <w:rsid w:val="00D34849"/>
    <w:rsid w:val="00D34A27"/>
    <w:rsid w:val="00D34C46"/>
    <w:rsid w:val="00D34C7F"/>
    <w:rsid w:val="00D34F07"/>
    <w:rsid w:val="00D3535F"/>
    <w:rsid w:val="00D3546A"/>
    <w:rsid w:val="00D35A24"/>
    <w:rsid w:val="00D35CC1"/>
    <w:rsid w:val="00D35D31"/>
    <w:rsid w:val="00D35F7C"/>
    <w:rsid w:val="00D362BB"/>
    <w:rsid w:val="00D362C2"/>
    <w:rsid w:val="00D363AD"/>
    <w:rsid w:val="00D36635"/>
    <w:rsid w:val="00D3671C"/>
    <w:rsid w:val="00D36D6D"/>
    <w:rsid w:val="00D37154"/>
    <w:rsid w:val="00D371DE"/>
    <w:rsid w:val="00D374A4"/>
    <w:rsid w:val="00D376CF"/>
    <w:rsid w:val="00D37890"/>
    <w:rsid w:val="00D37936"/>
    <w:rsid w:val="00D4078C"/>
    <w:rsid w:val="00D4084D"/>
    <w:rsid w:val="00D40AEF"/>
    <w:rsid w:val="00D40B40"/>
    <w:rsid w:val="00D41111"/>
    <w:rsid w:val="00D412BF"/>
    <w:rsid w:val="00D4157C"/>
    <w:rsid w:val="00D415B9"/>
    <w:rsid w:val="00D41BC9"/>
    <w:rsid w:val="00D41D48"/>
    <w:rsid w:val="00D42090"/>
    <w:rsid w:val="00D4257C"/>
    <w:rsid w:val="00D42A47"/>
    <w:rsid w:val="00D42CDF"/>
    <w:rsid w:val="00D42DAE"/>
    <w:rsid w:val="00D42F45"/>
    <w:rsid w:val="00D4301F"/>
    <w:rsid w:val="00D43652"/>
    <w:rsid w:val="00D43767"/>
    <w:rsid w:val="00D43AE4"/>
    <w:rsid w:val="00D43BB3"/>
    <w:rsid w:val="00D445F0"/>
    <w:rsid w:val="00D45278"/>
    <w:rsid w:val="00D453CC"/>
    <w:rsid w:val="00D457D0"/>
    <w:rsid w:val="00D45B5F"/>
    <w:rsid w:val="00D4691E"/>
    <w:rsid w:val="00D46A6D"/>
    <w:rsid w:val="00D46CC7"/>
    <w:rsid w:val="00D46E35"/>
    <w:rsid w:val="00D473B7"/>
    <w:rsid w:val="00D47426"/>
    <w:rsid w:val="00D47459"/>
    <w:rsid w:val="00D47505"/>
    <w:rsid w:val="00D47625"/>
    <w:rsid w:val="00D47ADE"/>
    <w:rsid w:val="00D47F81"/>
    <w:rsid w:val="00D505C1"/>
    <w:rsid w:val="00D50B5D"/>
    <w:rsid w:val="00D51115"/>
    <w:rsid w:val="00D5135D"/>
    <w:rsid w:val="00D51711"/>
    <w:rsid w:val="00D51E95"/>
    <w:rsid w:val="00D51F73"/>
    <w:rsid w:val="00D521F1"/>
    <w:rsid w:val="00D52A6D"/>
    <w:rsid w:val="00D5302F"/>
    <w:rsid w:val="00D5411A"/>
    <w:rsid w:val="00D5439A"/>
    <w:rsid w:val="00D54929"/>
    <w:rsid w:val="00D54979"/>
    <w:rsid w:val="00D54CE5"/>
    <w:rsid w:val="00D55166"/>
    <w:rsid w:val="00D557C0"/>
    <w:rsid w:val="00D55DE1"/>
    <w:rsid w:val="00D56072"/>
    <w:rsid w:val="00D561F5"/>
    <w:rsid w:val="00D565A2"/>
    <w:rsid w:val="00D566F4"/>
    <w:rsid w:val="00D5672B"/>
    <w:rsid w:val="00D56928"/>
    <w:rsid w:val="00D57270"/>
    <w:rsid w:val="00D577BB"/>
    <w:rsid w:val="00D5788A"/>
    <w:rsid w:val="00D579EA"/>
    <w:rsid w:val="00D57BF0"/>
    <w:rsid w:val="00D605D9"/>
    <w:rsid w:val="00D60B50"/>
    <w:rsid w:val="00D60BD1"/>
    <w:rsid w:val="00D60CB0"/>
    <w:rsid w:val="00D60F6D"/>
    <w:rsid w:val="00D612B4"/>
    <w:rsid w:val="00D61543"/>
    <w:rsid w:val="00D615CD"/>
    <w:rsid w:val="00D6164E"/>
    <w:rsid w:val="00D62061"/>
    <w:rsid w:val="00D624FA"/>
    <w:rsid w:val="00D62D02"/>
    <w:rsid w:val="00D63472"/>
    <w:rsid w:val="00D635C0"/>
    <w:rsid w:val="00D63960"/>
    <w:rsid w:val="00D63BC4"/>
    <w:rsid w:val="00D63C1A"/>
    <w:rsid w:val="00D640E2"/>
    <w:rsid w:val="00D6415D"/>
    <w:rsid w:val="00D64269"/>
    <w:rsid w:val="00D6440C"/>
    <w:rsid w:val="00D6446F"/>
    <w:rsid w:val="00D64608"/>
    <w:rsid w:val="00D6471E"/>
    <w:rsid w:val="00D6477E"/>
    <w:rsid w:val="00D647A4"/>
    <w:rsid w:val="00D64843"/>
    <w:rsid w:val="00D64913"/>
    <w:rsid w:val="00D64F96"/>
    <w:rsid w:val="00D65002"/>
    <w:rsid w:val="00D65AF2"/>
    <w:rsid w:val="00D65C4A"/>
    <w:rsid w:val="00D65C86"/>
    <w:rsid w:val="00D65E01"/>
    <w:rsid w:val="00D65E52"/>
    <w:rsid w:val="00D660AA"/>
    <w:rsid w:val="00D66218"/>
    <w:rsid w:val="00D665FF"/>
    <w:rsid w:val="00D67175"/>
    <w:rsid w:val="00D671D2"/>
    <w:rsid w:val="00D67260"/>
    <w:rsid w:val="00D67293"/>
    <w:rsid w:val="00D675FD"/>
    <w:rsid w:val="00D67AB9"/>
    <w:rsid w:val="00D67B35"/>
    <w:rsid w:val="00D67C90"/>
    <w:rsid w:val="00D67CD5"/>
    <w:rsid w:val="00D67DB6"/>
    <w:rsid w:val="00D700F5"/>
    <w:rsid w:val="00D701CC"/>
    <w:rsid w:val="00D70734"/>
    <w:rsid w:val="00D70CEB"/>
    <w:rsid w:val="00D71215"/>
    <w:rsid w:val="00D714C2"/>
    <w:rsid w:val="00D714F0"/>
    <w:rsid w:val="00D71547"/>
    <w:rsid w:val="00D719EE"/>
    <w:rsid w:val="00D71C52"/>
    <w:rsid w:val="00D71D1A"/>
    <w:rsid w:val="00D71E02"/>
    <w:rsid w:val="00D71EB3"/>
    <w:rsid w:val="00D72AB6"/>
    <w:rsid w:val="00D72DA8"/>
    <w:rsid w:val="00D733EB"/>
    <w:rsid w:val="00D73517"/>
    <w:rsid w:val="00D7356A"/>
    <w:rsid w:val="00D73865"/>
    <w:rsid w:val="00D739F9"/>
    <w:rsid w:val="00D73A8C"/>
    <w:rsid w:val="00D74025"/>
    <w:rsid w:val="00D740CD"/>
    <w:rsid w:val="00D7440B"/>
    <w:rsid w:val="00D74981"/>
    <w:rsid w:val="00D74C30"/>
    <w:rsid w:val="00D74E55"/>
    <w:rsid w:val="00D7517C"/>
    <w:rsid w:val="00D75256"/>
    <w:rsid w:val="00D75455"/>
    <w:rsid w:val="00D7571D"/>
    <w:rsid w:val="00D75867"/>
    <w:rsid w:val="00D75B2A"/>
    <w:rsid w:val="00D75CA9"/>
    <w:rsid w:val="00D75F0B"/>
    <w:rsid w:val="00D75F42"/>
    <w:rsid w:val="00D76010"/>
    <w:rsid w:val="00D761C5"/>
    <w:rsid w:val="00D7639C"/>
    <w:rsid w:val="00D767CD"/>
    <w:rsid w:val="00D76A7D"/>
    <w:rsid w:val="00D76CB6"/>
    <w:rsid w:val="00D76DE7"/>
    <w:rsid w:val="00D77285"/>
    <w:rsid w:val="00D77CD4"/>
    <w:rsid w:val="00D80002"/>
    <w:rsid w:val="00D800AB"/>
    <w:rsid w:val="00D8065D"/>
    <w:rsid w:val="00D8085C"/>
    <w:rsid w:val="00D80FA8"/>
    <w:rsid w:val="00D80FDF"/>
    <w:rsid w:val="00D81074"/>
    <w:rsid w:val="00D81166"/>
    <w:rsid w:val="00D811DA"/>
    <w:rsid w:val="00D8121B"/>
    <w:rsid w:val="00D81249"/>
    <w:rsid w:val="00D8129B"/>
    <w:rsid w:val="00D8180A"/>
    <w:rsid w:val="00D8187E"/>
    <w:rsid w:val="00D81CB4"/>
    <w:rsid w:val="00D81DF0"/>
    <w:rsid w:val="00D81F79"/>
    <w:rsid w:val="00D82093"/>
    <w:rsid w:val="00D82488"/>
    <w:rsid w:val="00D8270B"/>
    <w:rsid w:val="00D82CC6"/>
    <w:rsid w:val="00D82D56"/>
    <w:rsid w:val="00D82FF5"/>
    <w:rsid w:val="00D8304D"/>
    <w:rsid w:val="00D83195"/>
    <w:rsid w:val="00D83440"/>
    <w:rsid w:val="00D83A62"/>
    <w:rsid w:val="00D83B67"/>
    <w:rsid w:val="00D83B99"/>
    <w:rsid w:val="00D83CD3"/>
    <w:rsid w:val="00D83ECA"/>
    <w:rsid w:val="00D8423D"/>
    <w:rsid w:val="00D84618"/>
    <w:rsid w:val="00D84799"/>
    <w:rsid w:val="00D84C00"/>
    <w:rsid w:val="00D84EF1"/>
    <w:rsid w:val="00D84F09"/>
    <w:rsid w:val="00D84FD0"/>
    <w:rsid w:val="00D850AF"/>
    <w:rsid w:val="00D853C6"/>
    <w:rsid w:val="00D8566E"/>
    <w:rsid w:val="00D85811"/>
    <w:rsid w:val="00D85B09"/>
    <w:rsid w:val="00D85D22"/>
    <w:rsid w:val="00D85E5A"/>
    <w:rsid w:val="00D863CD"/>
    <w:rsid w:val="00D86680"/>
    <w:rsid w:val="00D86960"/>
    <w:rsid w:val="00D87171"/>
    <w:rsid w:val="00D8718B"/>
    <w:rsid w:val="00D874CB"/>
    <w:rsid w:val="00D87600"/>
    <w:rsid w:val="00D87907"/>
    <w:rsid w:val="00D9032B"/>
    <w:rsid w:val="00D90356"/>
    <w:rsid w:val="00D90551"/>
    <w:rsid w:val="00D908FA"/>
    <w:rsid w:val="00D90AEA"/>
    <w:rsid w:val="00D90AF0"/>
    <w:rsid w:val="00D90EBD"/>
    <w:rsid w:val="00D90EF8"/>
    <w:rsid w:val="00D9101B"/>
    <w:rsid w:val="00D9113A"/>
    <w:rsid w:val="00D912FE"/>
    <w:rsid w:val="00D9143A"/>
    <w:rsid w:val="00D91627"/>
    <w:rsid w:val="00D919EA"/>
    <w:rsid w:val="00D91FC1"/>
    <w:rsid w:val="00D920A6"/>
    <w:rsid w:val="00D921C3"/>
    <w:rsid w:val="00D92A94"/>
    <w:rsid w:val="00D92AC8"/>
    <w:rsid w:val="00D92BF6"/>
    <w:rsid w:val="00D92D6F"/>
    <w:rsid w:val="00D92F26"/>
    <w:rsid w:val="00D9327C"/>
    <w:rsid w:val="00D932E3"/>
    <w:rsid w:val="00D93354"/>
    <w:rsid w:val="00D93B91"/>
    <w:rsid w:val="00D93D73"/>
    <w:rsid w:val="00D93EC4"/>
    <w:rsid w:val="00D941C2"/>
    <w:rsid w:val="00D9438A"/>
    <w:rsid w:val="00D94639"/>
    <w:rsid w:val="00D94B0B"/>
    <w:rsid w:val="00D94B1B"/>
    <w:rsid w:val="00D94F3E"/>
    <w:rsid w:val="00D950FA"/>
    <w:rsid w:val="00D953A0"/>
    <w:rsid w:val="00D956BB"/>
    <w:rsid w:val="00D960BA"/>
    <w:rsid w:val="00D9626D"/>
    <w:rsid w:val="00D96301"/>
    <w:rsid w:val="00D96449"/>
    <w:rsid w:val="00D96483"/>
    <w:rsid w:val="00D96571"/>
    <w:rsid w:val="00D9658F"/>
    <w:rsid w:val="00D96DE8"/>
    <w:rsid w:val="00D97014"/>
    <w:rsid w:val="00D9702D"/>
    <w:rsid w:val="00D9706E"/>
    <w:rsid w:val="00D97090"/>
    <w:rsid w:val="00D972B0"/>
    <w:rsid w:val="00D97629"/>
    <w:rsid w:val="00D976ED"/>
    <w:rsid w:val="00D97820"/>
    <w:rsid w:val="00D97EE3"/>
    <w:rsid w:val="00DA038F"/>
    <w:rsid w:val="00DA03AC"/>
    <w:rsid w:val="00DA0928"/>
    <w:rsid w:val="00DA1002"/>
    <w:rsid w:val="00DA15BC"/>
    <w:rsid w:val="00DA1C35"/>
    <w:rsid w:val="00DA2754"/>
    <w:rsid w:val="00DA2D08"/>
    <w:rsid w:val="00DA2E8B"/>
    <w:rsid w:val="00DA2E8D"/>
    <w:rsid w:val="00DA2F10"/>
    <w:rsid w:val="00DA3015"/>
    <w:rsid w:val="00DA369F"/>
    <w:rsid w:val="00DA38C0"/>
    <w:rsid w:val="00DA41D8"/>
    <w:rsid w:val="00DA4442"/>
    <w:rsid w:val="00DA4485"/>
    <w:rsid w:val="00DA456D"/>
    <w:rsid w:val="00DA45F0"/>
    <w:rsid w:val="00DA474A"/>
    <w:rsid w:val="00DA47CE"/>
    <w:rsid w:val="00DA4942"/>
    <w:rsid w:val="00DA4A33"/>
    <w:rsid w:val="00DA4B23"/>
    <w:rsid w:val="00DA4B2D"/>
    <w:rsid w:val="00DA4E49"/>
    <w:rsid w:val="00DA4EA7"/>
    <w:rsid w:val="00DA5091"/>
    <w:rsid w:val="00DA52F4"/>
    <w:rsid w:val="00DA60B9"/>
    <w:rsid w:val="00DA617A"/>
    <w:rsid w:val="00DA64B8"/>
    <w:rsid w:val="00DA65C2"/>
    <w:rsid w:val="00DA682F"/>
    <w:rsid w:val="00DA6E17"/>
    <w:rsid w:val="00DA6EF5"/>
    <w:rsid w:val="00DA72C2"/>
    <w:rsid w:val="00DA7366"/>
    <w:rsid w:val="00DA7385"/>
    <w:rsid w:val="00DA7546"/>
    <w:rsid w:val="00DA77D2"/>
    <w:rsid w:val="00DA7872"/>
    <w:rsid w:val="00DA7A20"/>
    <w:rsid w:val="00DA7B17"/>
    <w:rsid w:val="00DA7B67"/>
    <w:rsid w:val="00DB0003"/>
    <w:rsid w:val="00DB001F"/>
    <w:rsid w:val="00DB02F4"/>
    <w:rsid w:val="00DB0801"/>
    <w:rsid w:val="00DB0916"/>
    <w:rsid w:val="00DB0A3F"/>
    <w:rsid w:val="00DB0C00"/>
    <w:rsid w:val="00DB0F29"/>
    <w:rsid w:val="00DB19B8"/>
    <w:rsid w:val="00DB1B85"/>
    <w:rsid w:val="00DB1BF0"/>
    <w:rsid w:val="00DB1F1E"/>
    <w:rsid w:val="00DB2827"/>
    <w:rsid w:val="00DB2B40"/>
    <w:rsid w:val="00DB2F57"/>
    <w:rsid w:val="00DB3FA7"/>
    <w:rsid w:val="00DB3FE2"/>
    <w:rsid w:val="00DB4010"/>
    <w:rsid w:val="00DB43D3"/>
    <w:rsid w:val="00DB4B2F"/>
    <w:rsid w:val="00DB4E80"/>
    <w:rsid w:val="00DB5028"/>
    <w:rsid w:val="00DB504E"/>
    <w:rsid w:val="00DB5565"/>
    <w:rsid w:val="00DB55B2"/>
    <w:rsid w:val="00DB55EA"/>
    <w:rsid w:val="00DB5B32"/>
    <w:rsid w:val="00DB5BEC"/>
    <w:rsid w:val="00DB5FBA"/>
    <w:rsid w:val="00DB5FF4"/>
    <w:rsid w:val="00DB60A1"/>
    <w:rsid w:val="00DB60E9"/>
    <w:rsid w:val="00DB630F"/>
    <w:rsid w:val="00DB64A0"/>
    <w:rsid w:val="00DB65C9"/>
    <w:rsid w:val="00DB66B5"/>
    <w:rsid w:val="00DB6949"/>
    <w:rsid w:val="00DB6C28"/>
    <w:rsid w:val="00DB6D65"/>
    <w:rsid w:val="00DB6DE8"/>
    <w:rsid w:val="00DB6E0B"/>
    <w:rsid w:val="00DB7504"/>
    <w:rsid w:val="00DB7650"/>
    <w:rsid w:val="00DB783B"/>
    <w:rsid w:val="00DB7886"/>
    <w:rsid w:val="00DB7CD1"/>
    <w:rsid w:val="00DB7D18"/>
    <w:rsid w:val="00DB7E93"/>
    <w:rsid w:val="00DC01F1"/>
    <w:rsid w:val="00DC0541"/>
    <w:rsid w:val="00DC054F"/>
    <w:rsid w:val="00DC06BD"/>
    <w:rsid w:val="00DC0702"/>
    <w:rsid w:val="00DC09A3"/>
    <w:rsid w:val="00DC0C1A"/>
    <w:rsid w:val="00DC0E24"/>
    <w:rsid w:val="00DC0E64"/>
    <w:rsid w:val="00DC0EF8"/>
    <w:rsid w:val="00DC11C1"/>
    <w:rsid w:val="00DC14EB"/>
    <w:rsid w:val="00DC15A8"/>
    <w:rsid w:val="00DC17B9"/>
    <w:rsid w:val="00DC1F44"/>
    <w:rsid w:val="00DC22DD"/>
    <w:rsid w:val="00DC2D3F"/>
    <w:rsid w:val="00DC2F15"/>
    <w:rsid w:val="00DC3344"/>
    <w:rsid w:val="00DC3589"/>
    <w:rsid w:val="00DC38C4"/>
    <w:rsid w:val="00DC3D3D"/>
    <w:rsid w:val="00DC3DB8"/>
    <w:rsid w:val="00DC3F50"/>
    <w:rsid w:val="00DC408F"/>
    <w:rsid w:val="00DC46A2"/>
    <w:rsid w:val="00DC4837"/>
    <w:rsid w:val="00DC4A97"/>
    <w:rsid w:val="00DC528C"/>
    <w:rsid w:val="00DC5885"/>
    <w:rsid w:val="00DC58A1"/>
    <w:rsid w:val="00DC5AE0"/>
    <w:rsid w:val="00DC5C5B"/>
    <w:rsid w:val="00DC5C8C"/>
    <w:rsid w:val="00DC5D2B"/>
    <w:rsid w:val="00DC5F83"/>
    <w:rsid w:val="00DC5FA8"/>
    <w:rsid w:val="00DC60A2"/>
    <w:rsid w:val="00DC621B"/>
    <w:rsid w:val="00DC628E"/>
    <w:rsid w:val="00DC632E"/>
    <w:rsid w:val="00DC6478"/>
    <w:rsid w:val="00DC6C87"/>
    <w:rsid w:val="00DC6F0E"/>
    <w:rsid w:val="00DC7137"/>
    <w:rsid w:val="00DC7384"/>
    <w:rsid w:val="00DC7424"/>
    <w:rsid w:val="00DC7AFC"/>
    <w:rsid w:val="00DC7D0F"/>
    <w:rsid w:val="00DC7F07"/>
    <w:rsid w:val="00DC7F13"/>
    <w:rsid w:val="00DD0431"/>
    <w:rsid w:val="00DD07E8"/>
    <w:rsid w:val="00DD0A33"/>
    <w:rsid w:val="00DD0BC1"/>
    <w:rsid w:val="00DD0E61"/>
    <w:rsid w:val="00DD0EBB"/>
    <w:rsid w:val="00DD0F86"/>
    <w:rsid w:val="00DD12FB"/>
    <w:rsid w:val="00DD1D8C"/>
    <w:rsid w:val="00DD1E57"/>
    <w:rsid w:val="00DD20AC"/>
    <w:rsid w:val="00DD2207"/>
    <w:rsid w:val="00DD24DA"/>
    <w:rsid w:val="00DD2762"/>
    <w:rsid w:val="00DD27CB"/>
    <w:rsid w:val="00DD3185"/>
    <w:rsid w:val="00DD37F2"/>
    <w:rsid w:val="00DD3995"/>
    <w:rsid w:val="00DD3BE1"/>
    <w:rsid w:val="00DD41FA"/>
    <w:rsid w:val="00DD4291"/>
    <w:rsid w:val="00DD42ED"/>
    <w:rsid w:val="00DD4586"/>
    <w:rsid w:val="00DD4667"/>
    <w:rsid w:val="00DD4892"/>
    <w:rsid w:val="00DD4BB9"/>
    <w:rsid w:val="00DD509C"/>
    <w:rsid w:val="00DD5217"/>
    <w:rsid w:val="00DD5AFD"/>
    <w:rsid w:val="00DD5B42"/>
    <w:rsid w:val="00DD5CE2"/>
    <w:rsid w:val="00DD5D0F"/>
    <w:rsid w:val="00DD69B3"/>
    <w:rsid w:val="00DD6A09"/>
    <w:rsid w:val="00DD6A61"/>
    <w:rsid w:val="00DD6ABA"/>
    <w:rsid w:val="00DD6EED"/>
    <w:rsid w:val="00DD75B7"/>
    <w:rsid w:val="00DD7D6C"/>
    <w:rsid w:val="00DD7D9B"/>
    <w:rsid w:val="00DD7FB9"/>
    <w:rsid w:val="00DE047F"/>
    <w:rsid w:val="00DE049E"/>
    <w:rsid w:val="00DE0A40"/>
    <w:rsid w:val="00DE0A6E"/>
    <w:rsid w:val="00DE0ACF"/>
    <w:rsid w:val="00DE0FDF"/>
    <w:rsid w:val="00DE1605"/>
    <w:rsid w:val="00DE1709"/>
    <w:rsid w:val="00DE1786"/>
    <w:rsid w:val="00DE1B2A"/>
    <w:rsid w:val="00DE1F47"/>
    <w:rsid w:val="00DE2115"/>
    <w:rsid w:val="00DE2238"/>
    <w:rsid w:val="00DE227B"/>
    <w:rsid w:val="00DE233C"/>
    <w:rsid w:val="00DE27B3"/>
    <w:rsid w:val="00DE27F8"/>
    <w:rsid w:val="00DE30E5"/>
    <w:rsid w:val="00DE3597"/>
    <w:rsid w:val="00DE41A1"/>
    <w:rsid w:val="00DE43D2"/>
    <w:rsid w:val="00DE46A9"/>
    <w:rsid w:val="00DE4A99"/>
    <w:rsid w:val="00DE4C4A"/>
    <w:rsid w:val="00DE4EC4"/>
    <w:rsid w:val="00DE506E"/>
    <w:rsid w:val="00DE53E8"/>
    <w:rsid w:val="00DE55E4"/>
    <w:rsid w:val="00DE55F7"/>
    <w:rsid w:val="00DE5841"/>
    <w:rsid w:val="00DE5953"/>
    <w:rsid w:val="00DE596C"/>
    <w:rsid w:val="00DE59E6"/>
    <w:rsid w:val="00DE5D81"/>
    <w:rsid w:val="00DE6222"/>
    <w:rsid w:val="00DE6251"/>
    <w:rsid w:val="00DE6291"/>
    <w:rsid w:val="00DE6403"/>
    <w:rsid w:val="00DE687B"/>
    <w:rsid w:val="00DE6981"/>
    <w:rsid w:val="00DE6BE4"/>
    <w:rsid w:val="00DE6D8A"/>
    <w:rsid w:val="00DE6E82"/>
    <w:rsid w:val="00DE73D8"/>
    <w:rsid w:val="00DE7415"/>
    <w:rsid w:val="00DE773B"/>
    <w:rsid w:val="00DE775D"/>
    <w:rsid w:val="00DE7A62"/>
    <w:rsid w:val="00DE7B4A"/>
    <w:rsid w:val="00DE7B58"/>
    <w:rsid w:val="00DE7BBA"/>
    <w:rsid w:val="00DE7E21"/>
    <w:rsid w:val="00DF0323"/>
    <w:rsid w:val="00DF0760"/>
    <w:rsid w:val="00DF12AC"/>
    <w:rsid w:val="00DF12F5"/>
    <w:rsid w:val="00DF16D1"/>
    <w:rsid w:val="00DF1839"/>
    <w:rsid w:val="00DF1DA3"/>
    <w:rsid w:val="00DF1EA7"/>
    <w:rsid w:val="00DF1FD7"/>
    <w:rsid w:val="00DF1FF3"/>
    <w:rsid w:val="00DF26E1"/>
    <w:rsid w:val="00DF2B6C"/>
    <w:rsid w:val="00DF2D4D"/>
    <w:rsid w:val="00DF2E9F"/>
    <w:rsid w:val="00DF32A5"/>
    <w:rsid w:val="00DF35E2"/>
    <w:rsid w:val="00DF36FB"/>
    <w:rsid w:val="00DF3947"/>
    <w:rsid w:val="00DF3EEA"/>
    <w:rsid w:val="00DF4035"/>
    <w:rsid w:val="00DF411F"/>
    <w:rsid w:val="00DF444A"/>
    <w:rsid w:val="00DF461A"/>
    <w:rsid w:val="00DF479D"/>
    <w:rsid w:val="00DF4A62"/>
    <w:rsid w:val="00DF4E8D"/>
    <w:rsid w:val="00DF4EB1"/>
    <w:rsid w:val="00DF5054"/>
    <w:rsid w:val="00DF54D2"/>
    <w:rsid w:val="00DF5646"/>
    <w:rsid w:val="00DF58D8"/>
    <w:rsid w:val="00DF600F"/>
    <w:rsid w:val="00DF6055"/>
    <w:rsid w:val="00DF656A"/>
    <w:rsid w:val="00DF6985"/>
    <w:rsid w:val="00DF6F8B"/>
    <w:rsid w:val="00DF7649"/>
    <w:rsid w:val="00DF7835"/>
    <w:rsid w:val="00DF7B5C"/>
    <w:rsid w:val="00DF7BD5"/>
    <w:rsid w:val="00DF7D1F"/>
    <w:rsid w:val="00DF7E66"/>
    <w:rsid w:val="00E0015F"/>
    <w:rsid w:val="00E001E1"/>
    <w:rsid w:val="00E002BA"/>
    <w:rsid w:val="00E00329"/>
    <w:rsid w:val="00E00377"/>
    <w:rsid w:val="00E004F0"/>
    <w:rsid w:val="00E00A07"/>
    <w:rsid w:val="00E00A7F"/>
    <w:rsid w:val="00E00BE9"/>
    <w:rsid w:val="00E01725"/>
    <w:rsid w:val="00E0190E"/>
    <w:rsid w:val="00E01CCF"/>
    <w:rsid w:val="00E01E26"/>
    <w:rsid w:val="00E01F18"/>
    <w:rsid w:val="00E01F88"/>
    <w:rsid w:val="00E024A7"/>
    <w:rsid w:val="00E02564"/>
    <w:rsid w:val="00E026D0"/>
    <w:rsid w:val="00E029F0"/>
    <w:rsid w:val="00E02CAA"/>
    <w:rsid w:val="00E02DD4"/>
    <w:rsid w:val="00E02DF9"/>
    <w:rsid w:val="00E02F90"/>
    <w:rsid w:val="00E0327D"/>
    <w:rsid w:val="00E032E7"/>
    <w:rsid w:val="00E03837"/>
    <w:rsid w:val="00E03951"/>
    <w:rsid w:val="00E03A76"/>
    <w:rsid w:val="00E03B6F"/>
    <w:rsid w:val="00E03DCE"/>
    <w:rsid w:val="00E03E3F"/>
    <w:rsid w:val="00E03E9E"/>
    <w:rsid w:val="00E040A0"/>
    <w:rsid w:val="00E04537"/>
    <w:rsid w:val="00E045B9"/>
    <w:rsid w:val="00E04868"/>
    <w:rsid w:val="00E04BA2"/>
    <w:rsid w:val="00E04BBE"/>
    <w:rsid w:val="00E04BEB"/>
    <w:rsid w:val="00E0532B"/>
    <w:rsid w:val="00E055CC"/>
    <w:rsid w:val="00E05608"/>
    <w:rsid w:val="00E05634"/>
    <w:rsid w:val="00E05C5E"/>
    <w:rsid w:val="00E05F6B"/>
    <w:rsid w:val="00E065E2"/>
    <w:rsid w:val="00E06720"/>
    <w:rsid w:val="00E06785"/>
    <w:rsid w:val="00E069DF"/>
    <w:rsid w:val="00E06EED"/>
    <w:rsid w:val="00E07389"/>
    <w:rsid w:val="00E07483"/>
    <w:rsid w:val="00E07E78"/>
    <w:rsid w:val="00E1005C"/>
    <w:rsid w:val="00E102C8"/>
    <w:rsid w:val="00E1085F"/>
    <w:rsid w:val="00E10AE5"/>
    <w:rsid w:val="00E1129D"/>
    <w:rsid w:val="00E113C8"/>
    <w:rsid w:val="00E11436"/>
    <w:rsid w:val="00E1165C"/>
    <w:rsid w:val="00E11ACB"/>
    <w:rsid w:val="00E11BD4"/>
    <w:rsid w:val="00E11D7E"/>
    <w:rsid w:val="00E11F4F"/>
    <w:rsid w:val="00E124F3"/>
    <w:rsid w:val="00E12788"/>
    <w:rsid w:val="00E12AA2"/>
    <w:rsid w:val="00E12F12"/>
    <w:rsid w:val="00E131D7"/>
    <w:rsid w:val="00E131EE"/>
    <w:rsid w:val="00E132A0"/>
    <w:rsid w:val="00E132BA"/>
    <w:rsid w:val="00E132F3"/>
    <w:rsid w:val="00E134C9"/>
    <w:rsid w:val="00E139B8"/>
    <w:rsid w:val="00E13D14"/>
    <w:rsid w:val="00E13D4E"/>
    <w:rsid w:val="00E13E4B"/>
    <w:rsid w:val="00E13F53"/>
    <w:rsid w:val="00E13FB4"/>
    <w:rsid w:val="00E13FE2"/>
    <w:rsid w:val="00E14584"/>
    <w:rsid w:val="00E14811"/>
    <w:rsid w:val="00E14B58"/>
    <w:rsid w:val="00E14C99"/>
    <w:rsid w:val="00E14D88"/>
    <w:rsid w:val="00E14DA3"/>
    <w:rsid w:val="00E14DA9"/>
    <w:rsid w:val="00E150AE"/>
    <w:rsid w:val="00E1515C"/>
    <w:rsid w:val="00E153B1"/>
    <w:rsid w:val="00E15415"/>
    <w:rsid w:val="00E155B5"/>
    <w:rsid w:val="00E157C9"/>
    <w:rsid w:val="00E15887"/>
    <w:rsid w:val="00E15E25"/>
    <w:rsid w:val="00E15EAC"/>
    <w:rsid w:val="00E15F04"/>
    <w:rsid w:val="00E1656B"/>
    <w:rsid w:val="00E16747"/>
    <w:rsid w:val="00E169AE"/>
    <w:rsid w:val="00E169DB"/>
    <w:rsid w:val="00E16E09"/>
    <w:rsid w:val="00E1722D"/>
    <w:rsid w:val="00E17379"/>
    <w:rsid w:val="00E17397"/>
    <w:rsid w:val="00E17581"/>
    <w:rsid w:val="00E17BD7"/>
    <w:rsid w:val="00E17C18"/>
    <w:rsid w:val="00E17D9F"/>
    <w:rsid w:val="00E20404"/>
    <w:rsid w:val="00E20903"/>
    <w:rsid w:val="00E20E4F"/>
    <w:rsid w:val="00E20F28"/>
    <w:rsid w:val="00E20FD0"/>
    <w:rsid w:val="00E210B6"/>
    <w:rsid w:val="00E21139"/>
    <w:rsid w:val="00E2159F"/>
    <w:rsid w:val="00E21845"/>
    <w:rsid w:val="00E218A1"/>
    <w:rsid w:val="00E22569"/>
    <w:rsid w:val="00E2284D"/>
    <w:rsid w:val="00E22D1B"/>
    <w:rsid w:val="00E22DE9"/>
    <w:rsid w:val="00E22EF5"/>
    <w:rsid w:val="00E233B8"/>
    <w:rsid w:val="00E234AF"/>
    <w:rsid w:val="00E237C7"/>
    <w:rsid w:val="00E237ED"/>
    <w:rsid w:val="00E23874"/>
    <w:rsid w:val="00E23A28"/>
    <w:rsid w:val="00E23BDB"/>
    <w:rsid w:val="00E23EF9"/>
    <w:rsid w:val="00E24058"/>
    <w:rsid w:val="00E2434F"/>
    <w:rsid w:val="00E243E4"/>
    <w:rsid w:val="00E24723"/>
    <w:rsid w:val="00E24BF6"/>
    <w:rsid w:val="00E24D00"/>
    <w:rsid w:val="00E24F44"/>
    <w:rsid w:val="00E25048"/>
    <w:rsid w:val="00E2553A"/>
    <w:rsid w:val="00E255A5"/>
    <w:rsid w:val="00E2587A"/>
    <w:rsid w:val="00E25A91"/>
    <w:rsid w:val="00E25AFB"/>
    <w:rsid w:val="00E25C33"/>
    <w:rsid w:val="00E25DCE"/>
    <w:rsid w:val="00E25F8B"/>
    <w:rsid w:val="00E26114"/>
    <w:rsid w:val="00E26140"/>
    <w:rsid w:val="00E2674E"/>
    <w:rsid w:val="00E267AE"/>
    <w:rsid w:val="00E26B82"/>
    <w:rsid w:val="00E26DB8"/>
    <w:rsid w:val="00E26E66"/>
    <w:rsid w:val="00E275BE"/>
    <w:rsid w:val="00E27B26"/>
    <w:rsid w:val="00E27C9A"/>
    <w:rsid w:val="00E27CC0"/>
    <w:rsid w:val="00E30729"/>
    <w:rsid w:val="00E30B7C"/>
    <w:rsid w:val="00E312C8"/>
    <w:rsid w:val="00E313CC"/>
    <w:rsid w:val="00E3161B"/>
    <w:rsid w:val="00E3177C"/>
    <w:rsid w:val="00E31993"/>
    <w:rsid w:val="00E31A92"/>
    <w:rsid w:val="00E32260"/>
    <w:rsid w:val="00E3244A"/>
    <w:rsid w:val="00E32987"/>
    <w:rsid w:val="00E32A04"/>
    <w:rsid w:val="00E32D96"/>
    <w:rsid w:val="00E32E19"/>
    <w:rsid w:val="00E33159"/>
    <w:rsid w:val="00E335FD"/>
    <w:rsid w:val="00E33602"/>
    <w:rsid w:val="00E3390E"/>
    <w:rsid w:val="00E33E46"/>
    <w:rsid w:val="00E3423F"/>
    <w:rsid w:val="00E34518"/>
    <w:rsid w:val="00E34830"/>
    <w:rsid w:val="00E34AE6"/>
    <w:rsid w:val="00E34C7D"/>
    <w:rsid w:val="00E3503A"/>
    <w:rsid w:val="00E35866"/>
    <w:rsid w:val="00E359E6"/>
    <w:rsid w:val="00E35E10"/>
    <w:rsid w:val="00E3624D"/>
    <w:rsid w:val="00E36496"/>
    <w:rsid w:val="00E3651B"/>
    <w:rsid w:val="00E36B5F"/>
    <w:rsid w:val="00E36D70"/>
    <w:rsid w:val="00E36FA0"/>
    <w:rsid w:val="00E3717E"/>
    <w:rsid w:val="00E371F1"/>
    <w:rsid w:val="00E374D1"/>
    <w:rsid w:val="00E379F6"/>
    <w:rsid w:val="00E37D6A"/>
    <w:rsid w:val="00E37E40"/>
    <w:rsid w:val="00E40020"/>
    <w:rsid w:val="00E40098"/>
    <w:rsid w:val="00E4028B"/>
    <w:rsid w:val="00E40384"/>
    <w:rsid w:val="00E40AEB"/>
    <w:rsid w:val="00E40BB5"/>
    <w:rsid w:val="00E40DE9"/>
    <w:rsid w:val="00E41749"/>
    <w:rsid w:val="00E4178A"/>
    <w:rsid w:val="00E419E7"/>
    <w:rsid w:val="00E41C96"/>
    <w:rsid w:val="00E41E7A"/>
    <w:rsid w:val="00E4209C"/>
    <w:rsid w:val="00E4279A"/>
    <w:rsid w:val="00E42862"/>
    <w:rsid w:val="00E42B43"/>
    <w:rsid w:val="00E42E0E"/>
    <w:rsid w:val="00E42E76"/>
    <w:rsid w:val="00E43174"/>
    <w:rsid w:val="00E431D6"/>
    <w:rsid w:val="00E434B6"/>
    <w:rsid w:val="00E435C9"/>
    <w:rsid w:val="00E4420E"/>
    <w:rsid w:val="00E4432D"/>
    <w:rsid w:val="00E4448F"/>
    <w:rsid w:val="00E4472A"/>
    <w:rsid w:val="00E447B2"/>
    <w:rsid w:val="00E449CC"/>
    <w:rsid w:val="00E451BC"/>
    <w:rsid w:val="00E457D9"/>
    <w:rsid w:val="00E45C16"/>
    <w:rsid w:val="00E45F3A"/>
    <w:rsid w:val="00E4607A"/>
    <w:rsid w:val="00E465EF"/>
    <w:rsid w:val="00E467EA"/>
    <w:rsid w:val="00E46C9D"/>
    <w:rsid w:val="00E46D80"/>
    <w:rsid w:val="00E46F07"/>
    <w:rsid w:val="00E471B6"/>
    <w:rsid w:val="00E47439"/>
    <w:rsid w:val="00E475F1"/>
    <w:rsid w:val="00E478E5"/>
    <w:rsid w:val="00E50581"/>
    <w:rsid w:val="00E50983"/>
    <w:rsid w:val="00E50B32"/>
    <w:rsid w:val="00E50F4B"/>
    <w:rsid w:val="00E513ED"/>
    <w:rsid w:val="00E51A42"/>
    <w:rsid w:val="00E51B0B"/>
    <w:rsid w:val="00E51E6D"/>
    <w:rsid w:val="00E51ECA"/>
    <w:rsid w:val="00E526FE"/>
    <w:rsid w:val="00E52BAD"/>
    <w:rsid w:val="00E52D84"/>
    <w:rsid w:val="00E52D93"/>
    <w:rsid w:val="00E53040"/>
    <w:rsid w:val="00E53164"/>
    <w:rsid w:val="00E532ED"/>
    <w:rsid w:val="00E533B9"/>
    <w:rsid w:val="00E53537"/>
    <w:rsid w:val="00E5375B"/>
    <w:rsid w:val="00E53B3F"/>
    <w:rsid w:val="00E53BCF"/>
    <w:rsid w:val="00E53E96"/>
    <w:rsid w:val="00E541B3"/>
    <w:rsid w:val="00E5423E"/>
    <w:rsid w:val="00E54248"/>
    <w:rsid w:val="00E544F1"/>
    <w:rsid w:val="00E54519"/>
    <w:rsid w:val="00E54785"/>
    <w:rsid w:val="00E5499E"/>
    <w:rsid w:val="00E54A3A"/>
    <w:rsid w:val="00E54C55"/>
    <w:rsid w:val="00E54D4E"/>
    <w:rsid w:val="00E54FA9"/>
    <w:rsid w:val="00E55102"/>
    <w:rsid w:val="00E558C5"/>
    <w:rsid w:val="00E5599D"/>
    <w:rsid w:val="00E55DBB"/>
    <w:rsid w:val="00E565DF"/>
    <w:rsid w:val="00E56A63"/>
    <w:rsid w:val="00E5729A"/>
    <w:rsid w:val="00E57570"/>
    <w:rsid w:val="00E57605"/>
    <w:rsid w:val="00E57888"/>
    <w:rsid w:val="00E57DED"/>
    <w:rsid w:val="00E57F9D"/>
    <w:rsid w:val="00E6036A"/>
    <w:rsid w:val="00E60A90"/>
    <w:rsid w:val="00E60B81"/>
    <w:rsid w:val="00E6111D"/>
    <w:rsid w:val="00E613CA"/>
    <w:rsid w:val="00E61416"/>
    <w:rsid w:val="00E61596"/>
    <w:rsid w:val="00E61649"/>
    <w:rsid w:val="00E619B7"/>
    <w:rsid w:val="00E61E4B"/>
    <w:rsid w:val="00E6208D"/>
    <w:rsid w:val="00E6257F"/>
    <w:rsid w:val="00E6272E"/>
    <w:rsid w:val="00E62850"/>
    <w:rsid w:val="00E62920"/>
    <w:rsid w:val="00E62947"/>
    <w:rsid w:val="00E62A5C"/>
    <w:rsid w:val="00E62B37"/>
    <w:rsid w:val="00E62E50"/>
    <w:rsid w:val="00E633F7"/>
    <w:rsid w:val="00E6364C"/>
    <w:rsid w:val="00E63AA1"/>
    <w:rsid w:val="00E64268"/>
    <w:rsid w:val="00E6427F"/>
    <w:rsid w:val="00E64671"/>
    <w:rsid w:val="00E648C1"/>
    <w:rsid w:val="00E64B97"/>
    <w:rsid w:val="00E64E00"/>
    <w:rsid w:val="00E65199"/>
    <w:rsid w:val="00E65386"/>
    <w:rsid w:val="00E65A92"/>
    <w:rsid w:val="00E65D11"/>
    <w:rsid w:val="00E65EC2"/>
    <w:rsid w:val="00E6600C"/>
    <w:rsid w:val="00E660FB"/>
    <w:rsid w:val="00E66164"/>
    <w:rsid w:val="00E66415"/>
    <w:rsid w:val="00E66983"/>
    <w:rsid w:val="00E66DBB"/>
    <w:rsid w:val="00E6709A"/>
    <w:rsid w:val="00E678ED"/>
    <w:rsid w:val="00E67C9A"/>
    <w:rsid w:val="00E67E44"/>
    <w:rsid w:val="00E67E86"/>
    <w:rsid w:val="00E70123"/>
    <w:rsid w:val="00E701EC"/>
    <w:rsid w:val="00E7076A"/>
    <w:rsid w:val="00E707CE"/>
    <w:rsid w:val="00E708B8"/>
    <w:rsid w:val="00E709E5"/>
    <w:rsid w:val="00E70D6B"/>
    <w:rsid w:val="00E70FEC"/>
    <w:rsid w:val="00E71423"/>
    <w:rsid w:val="00E7149E"/>
    <w:rsid w:val="00E71575"/>
    <w:rsid w:val="00E716AF"/>
    <w:rsid w:val="00E71932"/>
    <w:rsid w:val="00E71E09"/>
    <w:rsid w:val="00E722DF"/>
    <w:rsid w:val="00E7264F"/>
    <w:rsid w:val="00E729B7"/>
    <w:rsid w:val="00E72B45"/>
    <w:rsid w:val="00E7325F"/>
    <w:rsid w:val="00E7344A"/>
    <w:rsid w:val="00E73463"/>
    <w:rsid w:val="00E735CD"/>
    <w:rsid w:val="00E736E6"/>
    <w:rsid w:val="00E73A41"/>
    <w:rsid w:val="00E73BD6"/>
    <w:rsid w:val="00E73C4D"/>
    <w:rsid w:val="00E73D69"/>
    <w:rsid w:val="00E73F0B"/>
    <w:rsid w:val="00E7454A"/>
    <w:rsid w:val="00E74969"/>
    <w:rsid w:val="00E74AE4"/>
    <w:rsid w:val="00E74B1D"/>
    <w:rsid w:val="00E7515E"/>
    <w:rsid w:val="00E75971"/>
    <w:rsid w:val="00E75994"/>
    <w:rsid w:val="00E75A5F"/>
    <w:rsid w:val="00E75E73"/>
    <w:rsid w:val="00E762EC"/>
    <w:rsid w:val="00E763E1"/>
    <w:rsid w:val="00E766A6"/>
    <w:rsid w:val="00E76AA9"/>
    <w:rsid w:val="00E77120"/>
    <w:rsid w:val="00E77296"/>
    <w:rsid w:val="00E77682"/>
    <w:rsid w:val="00E776DE"/>
    <w:rsid w:val="00E77AA3"/>
    <w:rsid w:val="00E77B4D"/>
    <w:rsid w:val="00E80636"/>
    <w:rsid w:val="00E8091B"/>
    <w:rsid w:val="00E8092C"/>
    <w:rsid w:val="00E809A0"/>
    <w:rsid w:val="00E80B0F"/>
    <w:rsid w:val="00E80B4C"/>
    <w:rsid w:val="00E80BD7"/>
    <w:rsid w:val="00E80C4C"/>
    <w:rsid w:val="00E80CBD"/>
    <w:rsid w:val="00E815CB"/>
    <w:rsid w:val="00E816E4"/>
    <w:rsid w:val="00E81764"/>
    <w:rsid w:val="00E81949"/>
    <w:rsid w:val="00E81C2B"/>
    <w:rsid w:val="00E81DFF"/>
    <w:rsid w:val="00E81EF6"/>
    <w:rsid w:val="00E81F75"/>
    <w:rsid w:val="00E8267A"/>
    <w:rsid w:val="00E8280C"/>
    <w:rsid w:val="00E828EF"/>
    <w:rsid w:val="00E82A14"/>
    <w:rsid w:val="00E82D8C"/>
    <w:rsid w:val="00E82F25"/>
    <w:rsid w:val="00E8300A"/>
    <w:rsid w:val="00E830C0"/>
    <w:rsid w:val="00E83594"/>
    <w:rsid w:val="00E83839"/>
    <w:rsid w:val="00E8391B"/>
    <w:rsid w:val="00E83971"/>
    <w:rsid w:val="00E839CD"/>
    <w:rsid w:val="00E83DD1"/>
    <w:rsid w:val="00E83E03"/>
    <w:rsid w:val="00E844FF"/>
    <w:rsid w:val="00E847B0"/>
    <w:rsid w:val="00E84911"/>
    <w:rsid w:val="00E84E7E"/>
    <w:rsid w:val="00E84F2C"/>
    <w:rsid w:val="00E84FDD"/>
    <w:rsid w:val="00E853D5"/>
    <w:rsid w:val="00E855F5"/>
    <w:rsid w:val="00E85986"/>
    <w:rsid w:val="00E85C6A"/>
    <w:rsid w:val="00E862CC"/>
    <w:rsid w:val="00E86611"/>
    <w:rsid w:val="00E869CE"/>
    <w:rsid w:val="00E86AE7"/>
    <w:rsid w:val="00E86B9A"/>
    <w:rsid w:val="00E86C3E"/>
    <w:rsid w:val="00E86E4A"/>
    <w:rsid w:val="00E8726D"/>
    <w:rsid w:val="00E8730E"/>
    <w:rsid w:val="00E8777B"/>
    <w:rsid w:val="00E87A97"/>
    <w:rsid w:val="00E87BB9"/>
    <w:rsid w:val="00E87BD6"/>
    <w:rsid w:val="00E90347"/>
    <w:rsid w:val="00E906AA"/>
    <w:rsid w:val="00E906F7"/>
    <w:rsid w:val="00E90800"/>
    <w:rsid w:val="00E90EC1"/>
    <w:rsid w:val="00E9138F"/>
    <w:rsid w:val="00E91525"/>
    <w:rsid w:val="00E91B14"/>
    <w:rsid w:val="00E920EC"/>
    <w:rsid w:val="00E921AC"/>
    <w:rsid w:val="00E923C4"/>
    <w:rsid w:val="00E92413"/>
    <w:rsid w:val="00E92619"/>
    <w:rsid w:val="00E92978"/>
    <w:rsid w:val="00E92B9D"/>
    <w:rsid w:val="00E92C9C"/>
    <w:rsid w:val="00E931B1"/>
    <w:rsid w:val="00E93257"/>
    <w:rsid w:val="00E935E1"/>
    <w:rsid w:val="00E93738"/>
    <w:rsid w:val="00E93814"/>
    <w:rsid w:val="00E93B36"/>
    <w:rsid w:val="00E93B6C"/>
    <w:rsid w:val="00E93C08"/>
    <w:rsid w:val="00E93DA4"/>
    <w:rsid w:val="00E9401A"/>
    <w:rsid w:val="00E94134"/>
    <w:rsid w:val="00E945FF"/>
    <w:rsid w:val="00E94C0B"/>
    <w:rsid w:val="00E94F52"/>
    <w:rsid w:val="00E953B6"/>
    <w:rsid w:val="00E954FB"/>
    <w:rsid w:val="00E95ADD"/>
    <w:rsid w:val="00E95D9B"/>
    <w:rsid w:val="00E95E46"/>
    <w:rsid w:val="00E95FBA"/>
    <w:rsid w:val="00E96087"/>
    <w:rsid w:val="00E96ACD"/>
    <w:rsid w:val="00E96F80"/>
    <w:rsid w:val="00E9742B"/>
    <w:rsid w:val="00E975C6"/>
    <w:rsid w:val="00E97654"/>
    <w:rsid w:val="00E97C53"/>
    <w:rsid w:val="00EA009F"/>
    <w:rsid w:val="00EA077F"/>
    <w:rsid w:val="00EA07CD"/>
    <w:rsid w:val="00EA0E3B"/>
    <w:rsid w:val="00EA0FCA"/>
    <w:rsid w:val="00EA117C"/>
    <w:rsid w:val="00EA1391"/>
    <w:rsid w:val="00EA162F"/>
    <w:rsid w:val="00EA21D0"/>
    <w:rsid w:val="00EA2782"/>
    <w:rsid w:val="00EA278E"/>
    <w:rsid w:val="00EA29DC"/>
    <w:rsid w:val="00EA2A74"/>
    <w:rsid w:val="00EA2B97"/>
    <w:rsid w:val="00EA2F21"/>
    <w:rsid w:val="00EA2F98"/>
    <w:rsid w:val="00EA31DF"/>
    <w:rsid w:val="00EA3887"/>
    <w:rsid w:val="00EA3EA9"/>
    <w:rsid w:val="00EA47C0"/>
    <w:rsid w:val="00EA4891"/>
    <w:rsid w:val="00EA4992"/>
    <w:rsid w:val="00EA4B47"/>
    <w:rsid w:val="00EA4C84"/>
    <w:rsid w:val="00EA552A"/>
    <w:rsid w:val="00EA5ACA"/>
    <w:rsid w:val="00EA5EA4"/>
    <w:rsid w:val="00EA5ED5"/>
    <w:rsid w:val="00EA6008"/>
    <w:rsid w:val="00EA600E"/>
    <w:rsid w:val="00EA632D"/>
    <w:rsid w:val="00EA6364"/>
    <w:rsid w:val="00EA6D02"/>
    <w:rsid w:val="00EA72AD"/>
    <w:rsid w:val="00EA737B"/>
    <w:rsid w:val="00EA7698"/>
    <w:rsid w:val="00EA79A7"/>
    <w:rsid w:val="00EA7A08"/>
    <w:rsid w:val="00EA7A1D"/>
    <w:rsid w:val="00EB038E"/>
    <w:rsid w:val="00EB04E9"/>
    <w:rsid w:val="00EB0804"/>
    <w:rsid w:val="00EB0965"/>
    <w:rsid w:val="00EB1C52"/>
    <w:rsid w:val="00EB1D23"/>
    <w:rsid w:val="00EB1DA8"/>
    <w:rsid w:val="00EB1E23"/>
    <w:rsid w:val="00EB2390"/>
    <w:rsid w:val="00EB2450"/>
    <w:rsid w:val="00EB2780"/>
    <w:rsid w:val="00EB27D8"/>
    <w:rsid w:val="00EB28CE"/>
    <w:rsid w:val="00EB2949"/>
    <w:rsid w:val="00EB2A0E"/>
    <w:rsid w:val="00EB2D2A"/>
    <w:rsid w:val="00EB2F10"/>
    <w:rsid w:val="00EB3096"/>
    <w:rsid w:val="00EB311F"/>
    <w:rsid w:val="00EB3E68"/>
    <w:rsid w:val="00EB40D7"/>
    <w:rsid w:val="00EB43FC"/>
    <w:rsid w:val="00EB44AA"/>
    <w:rsid w:val="00EB4574"/>
    <w:rsid w:val="00EB47A6"/>
    <w:rsid w:val="00EB4C24"/>
    <w:rsid w:val="00EB4D30"/>
    <w:rsid w:val="00EB4F9E"/>
    <w:rsid w:val="00EB512F"/>
    <w:rsid w:val="00EB5419"/>
    <w:rsid w:val="00EB5710"/>
    <w:rsid w:val="00EB5885"/>
    <w:rsid w:val="00EB594C"/>
    <w:rsid w:val="00EB61EF"/>
    <w:rsid w:val="00EB65C6"/>
    <w:rsid w:val="00EB6684"/>
    <w:rsid w:val="00EB68DA"/>
    <w:rsid w:val="00EB6A74"/>
    <w:rsid w:val="00EB6D45"/>
    <w:rsid w:val="00EB6DB5"/>
    <w:rsid w:val="00EB6DF4"/>
    <w:rsid w:val="00EB70EC"/>
    <w:rsid w:val="00EB7711"/>
    <w:rsid w:val="00EB7A75"/>
    <w:rsid w:val="00EB7A88"/>
    <w:rsid w:val="00EB7CE0"/>
    <w:rsid w:val="00EB7EE6"/>
    <w:rsid w:val="00EC0004"/>
    <w:rsid w:val="00EC092D"/>
    <w:rsid w:val="00EC0DDA"/>
    <w:rsid w:val="00EC0E25"/>
    <w:rsid w:val="00EC1020"/>
    <w:rsid w:val="00EC11D0"/>
    <w:rsid w:val="00EC14DA"/>
    <w:rsid w:val="00EC160B"/>
    <w:rsid w:val="00EC1A3C"/>
    <w:rsid w:val="00EC26E9"/>
    <w:rsid w:val="00EC27A4"/>
    <w:rsid w:val="00EC2945"/>
    <w:rsid w:val="00EC3186"/>
    <w:rsid w:val="00EC36EF"/>
    <w:rsid w:val="00EC3DF9"/>
    <w:rsid w:val="00EC4030"/>
    <w:rsid w:val="00EC41F3"/>
    <w:rsid w:val="00EC4312"/>
    <w:rsid w:val="00EC481A"/>
    <w:rsid w:val="00EC499B"/>
    <w:rsid w:val="00EC49CE"/>
    <w:rsid w:val="00EC49E9"/>
    <w:rsid w:val="00EC4A90"/>
    <w:rsid w:val="00EC4B0E"/>
    <w:rsid w:val="00EC4CA9"/>
    <w:rsid w:val="00EC4D54"/>
    <w:rsid w:val="00EC4EBD"/>
    <w:rsid w:val="00EC51F5"/>
    <w:rsid w:val="00EC52E5"/>
    <w:rsid w:val="00EC565E"/>
    <w:rsid w:val="00EC5732"/>
    <w:rsid w:val="00EC5B1C"/>
    <w:rsid w:val="00EC5D65"/>
    <w:rsid w:val="00EC6112"/>
    <w:rsid w:val="00EC6601"/>
    <w:rsid w:val="00EC6666"/>
    <w:rsid w:val="00EC6AB5"/>
    <w:rsid w:val="00EC6C2D"/>
    <w:rsid w:val="00EC6D6C"/>
    <w:rsid w:val="00EC6E66"/>
    <w:rsid w:val="00EC6FA3"/>
    <w:rsid w:val="00EC7250"/>
    <w:rsid w:val="00EC751D"/>
    <w:rsid w:val="00EC79E3"/>
    <w:rsid w:val="00EC7B93"/>
    <w:rsid w:val="00EC7C09"/>
    <w:rsid w:val="00EC7C6B"/>
    <w:rsid w:val="00EC7E2D"/>
    <w:rsid w:val="00EC7E75"/>
    <w:rsid w:val="00EC7ECD"/>
    <w:rsid w:val="00ED0150"/>
    <w:rsid w:val="00ED01E6"/>
    <w:rsid w:val="00ED0202"/>
    <w:rsid w:val="00ED025B"/>
    <w:rsid w:val="00ED0609"/>
    <w:rsid w:val="00ED06E7"/>
    <w:rsid w:val="00ED0A09"/>
    <w:rsid w:val="00ED0C67"/>
    <w:rsid w:val="00ED0ED2"/>
    <w:rsid w:val="00ED0F3C"/>
    <w:rsid w:val="00ED208D"/>
    <w:rsid w:val="00ED20CA"/>
    <w:rsid w:val="00ED235D"/>
    <w:rsid w:val="00ED27C3"/>
    <w:rsid w:val="00ED2AB7"/>
    <w:rsid w:val="00ED2FCD"/>
    <w:rsid w:val="00ED3003"/>
    <w:rsid w:val="00ED3355"/>
    <w:rsid w:val="00ED3426"/>
    <w:rsid w:val="00ED3581"/>
    <w:rsid w:val="00ED36D5"/>
    <w:rsid w:val="00ED3C73"/>
    <w:rsid w:val="00ED42AC"/>
    <w:rsid w:val="00ED431B"/>
    <w:rsid w:val="00ED47E1"/>
    <w:rsid w:val="00ED481D"/>
    <w:rsid w:val="00ED48BF"/>
    <w:rsid w:val="00ED4A55"/>
    <w:rsid w:val="00ED4EF9"/>
    <w:rsid w:val="00ED503A"/>
    <w:rsid w:val="00ED527D"/>
    <w:rsid w:val="00ED571D"/>
    <w:rsid w:val="00ED5AF9"/>
    <w:rsid w:val="00ED5EF0"/>
    <w:rsid w:val="00ED5F1F"/>
    <w:rsid w:val="00ED6112"/>
    <w:rsid w:val="00ED6177"/>
    <w:rsid w:val="00ED6595"/>
    <w:rsid w:val="00ED6788"/>
    <w:rsid w:val="00ED6882"/>
    <w:rsid w:val="00ED6C85"/>
    <w:rsid w:val="00ED6DA2"/>
    <w:rsid w:val="00ED713C"/>
    <w:rsid w:val="00ED7260"/>
    <w:rsid w:val="00ED73C6"/>
    <w:rsid w:val="00ED764D"/>
    <w:rsid w:val="00ED76D6"/>
    <w:rsid w:val="00ED7812"/>
    <w:rsid w:val="00ED78C7"/>
    <w:rsid w:val="00ED7EC9"/>
    <w:rsid w:val="00ED7F60"/>
    <w:rsid w:val="00EE0539"/>
    <w:rsid w:val="00EE0A9F"/>
    <w:rsid w:val="00EE0C29"/>
    <w:rsid w:val="00EE0CC6"/>
    <w:rsid w:val="00EE13E5"/>
    <w:rsid w:val="00EE19B3"/>
    <w:rsid w:val="00EE1B5A"/>
    <w:rsid w:val="00EE1FE1"/>
    <w:rsid w:val="00EE2046"/>
    <w:rsid w:val="00EE232E"/>
    <w:rsid w:val="00EE27FD"/>
    <w:rsid w:val="00EE28EB"/>
    <w:rsid w:val="00EE2990"/>
    <w:rsid w:val="00EE2C06"/>
    <w:rsid w:val="00EE2D31"/>
    <w:rsid w:val="00EE2E2E"/>
    <w:rsid w:val="00EE3588"/>
    <w:rsid w:val="00EE3677"/>
    <w:rsid w:val="00EE3F41"/>
    <w:rsid w:val="00EE3FF0"/>
    <w:rsid w:val="00EE40E9"/>
    <w:rsid w:val="00EE45D3"/>
    <w:rsid w:val="00EE4813"/>
    <w:rsid w:val="00EE4A7F"/>
    <w:rsid w:val="00EE4A99"/>
    <w:rsid w:val="00EE4BD7"/>
    <w:rsid w:val="00EE50FB"/>
    <w:rsid w:val="00EE554F"/>
    <w:rsid w:val="00EE578F"/>
    <w:rsid w:val="00EE5AF1"/>
    <w:rsid w:val="00EE60FE"/>
    <w:rsid w:val="00EE632E"/>
    <w:rsid w:val="00EE6780"/>
    <w:rsid w:val="00EE71CB"/>
    <w:rsid w:val="00EE76BC"/>
    <w:rsid w:val="00EE7895"/>
    <w:rsid w:val="00EF023F"/>
    <w:rsid w:val="00EF03A1"/>
    <w:rsid w:val="00EF0603"/>
    <w:rsid w:val="00EF07D4"/>
    <w:rsid w:val="00EF0CB7"/>
    <w:rsid w:val="00EF0EA7"/>
    <w:rsid w:val="00EF1612"/>
    <w:rsid w:val="00EF16EF"/>
    <w:rsid w:val="00EF17F6"/>
    <w:rsid w:val="00EF1AFD"/>
    <w:rsid w:val="00EF1C38"/>
    <w:rsid w:val="00EF1D46"/>
    <w:rsid w:val="00EF1DCF"/>
    <w:rsid w:val="00EF2353"/>
    <w:rsid w:val="00EF287B"/>
    <w:rsid w:val="00EF295A"/>
    <w:rsid w:val="00EF299B"/>
    <w:rsid w:val="00EF2B6B"/>
    <w:rsid w:val="00EF2C3C"/>
    <w:rsid w:val="00EF2CA9"/>
    <w:rsid w:val="00EF2F39"/>
    <w:rsid w:val="00EF314B"/>
    <w:rsid w:val="00EF31CE"/>
    <w:rsid w:val="00EF3203"/>
    <w:rsid w:val="00EF355C"/>
    <w:rsid w:val="00EF356A"/>
    <w:rsid w:val="00EF39B5"/>
    <w:rsid w:val="00EF3D05"/>
    <w:rsid w:val="00EF42C9"/>
    <w:rsid w:val="00EF4D07"/>
    <w:rsid w:val="00EF5019"/>
    <w:rsid w:val="00EF53FD"/>
    <w:rsid w:val="00EF5A3C"/>
    <w:rsid w:val="00EF60CE"/>
    <w:rsid w:val="00EF62E4"/>
    <w:rsid w:val="00EF62E6"/>
    <w:rsid w:val="00EF6A63"/>
    <w:rsid w:val="00EF6BB8"/>
    <w:rsid w:val="00EF71C1"/>
    <w:rsid w:val="00EF75BB"/>
    <w:rsid w:val="00EF76F2"/>
    <w:rsid w:val="00EF76FF"/>
    <w:rsid w:val="00EF77FF"/>
    <w:rsid w:val="00EF791E"/>
    <w:rsid w:val="00EF7979"/>
    <w:rsid w:val="00F0007C"/>
    <w:rsid w:val="00F00634"/>
    <w:rsid w:val="00F00758"/>
    <w:rsid w:val="00F00B02"/>
    <w:rsid w:val="00F00B28"/>
    <w:rsid w:val="00F00C8D"/>
    <w:rsid w:val="00F00CA5"/>
    <w:rsid w:val="00F00E3F"/>
    <w:rsid w:val="00F014B9"/>
    <w:rsid w:val="00F0169C"/>
    <w:rsid w:val="00F0194E"/>
    <w:rsid w:val="00F01C06"/>
    <w:rsid w:val="00F01CB2"/>
    <w:rsid w:val="00F020F9"/>
    <w:rsid w:val="00F02373"/>
    <w:rsid w:val="00F023C2"/>
    <w:rsid w:val="00F02449"/>
    <w:rsid w:val="00F02564"/>
    <w:rsid w:val="00F0299B"/>
    <w:rsid w:val="00F02C12"/>
    <w:rsid w:val="00F02CAA"/>
    <w:rsid w:val="00F02CC3"/>
    <w:rsid w:val="00F031C7"/>
    <w:rsid w:val="00F03227"/>
    <w:rsid w:val="00F034DB"/>
    <w:rsid w:val="00F03AC1"/>
    <w:rsid w:val="00F03C83"/>
    <w:rsid w:val="00F03D5E"/>
    <w:rsid w:val="00F03E43"/>
    <w:rsid w:val="00F03E93"/>
    <w:rsid w:val="00F04004"/>
    <w:rsid w:val="00F040A9"/>
    <w:rsid w:val="00F041DB"/>
    <w:rsid w:val="00F044A9"/>
    <w:rsid w:val="00F045B9"/>
    <w:rsid w:val="00F045FC"/>
    <w:rsid w:val="00F0508D"/>
    <w:rsid w:val="00F05293"/>
    <w:rsid w:val="00F0555C"/>
    <w:rsid w:val="00F056C5"/>
    <w:rsid w:val="00F056F6"/>
    <w:rsid w:val="00F05FAA"/>
    <w:rsid w:val="00F061F5"/>
    <w:rsid w:val="00F066F9"/>
    <w:rsid w:val="00F06733"/>
    <w:rsid w:val="00F067CA"/>
    <w:rsid w:val="00F0696B"/>
    <w:rsid w:val="00F06CE7"/>
    <w:rsid w:val="00F06D04"/>
    <w:rsid w:val="00F06D8C"/>
    <w:rsid w:val="00F06E6F"/>
    <w:rsid w:val="00F06F09"/>
    <w:rsid w:val="00F07286"/>
    <w:rsid w:val="00F0757D"/>
    <w:rsid w:val="00F07808"/>
    <w:rsid w:val="00F0792A"/>
    <w:rsid w:val="00F07A5F"/>
    <w:rsid w:val="00F07BD8"/>
    <w:rsid w:val="00F07F6C"/>
    <w:rsid w:val="00F10030"/>
    <w:rsid w:val="00F10128"/>
    <w:rsid w:val="00F10D21"/>
    <w:rsid w:val="00F10EE7"/>
    <w:rsid w:val="00F10F7F"/>
    <w:rsid w:val="00F111B2"/>
    <w:rsid w:val="00F11351"/>
    <w:rsid w:val="00F11370"/>
    <w:rsid w:val="00F11436"/>
    <w:rsid w:val="00F11651"/>
    <w:rsid w:val="00F1182B"/>
    <w:rsid w:val="00F11998"/>
    <w:rsid w:val="00F119DF"/>
    <w:rsid w:val="00F11A17"/>
    <w:rsid w:val="00F11EBD"/>
    <w:rsid w:val="00F12271"/>
    <w:rsid w:val="00F12598"/>
    <w:rsid w:val="00F125CF"/>
    <w:rsid w:val="00F129FD"/>
    <w:rsid w:val="00F12AEA"/>
    <w:rsid w:val="00F12B22"/>
    <w:rsid w:val="00F12B2B"/>
    <w:rsid w:val="00F12B68"/>
    <w:rsid w:val="00F13007"/>
    <w:rsid w:val="00F132B5"/>
    <w:rsid w:val="00F13383"/>
    <w:rsid w:val="00F137C4"/>
    <w:rsid w:val="00F13BC0"/>
    <w:rsid w:val="00F14080"/>
    <w:rsid w:val="00F14663"/>
    <w:rsid w:val="00F14A93"/>
    <w:rsid w:val="00F14BB0"/>
    <w:rsid w:val="00F14C86"/>
    <w:rsid w:val="00F14D12"/>
    <w:rsid w:val="00F14E42"/>
    <w:rsid w:val="00F14E59"/>
    <w:rsid w:val="00F14FFD"/>
    <w:rsid w:val="00F1505D"/>
    <w:rsid w:val="00F15102"/>
    <w:rsid w:val="00F15317"/>
    <w:rsid w:val="00F15630"/>
    <w:rsid w:val="00F156C9"/>
    <w:rsid w:val="00F1577F"/>
    <w:rsid w:val="00F16290"/>
    <w:rsid w:val="00F164CD"/>
    <w:rsid w:val="00F164F7"/>
    <w:rsid w:val="00F16C5C"/>
    <w:rsid w:val="00F16E74"/>
    <w:rsid w:val="00F16F9B"/>
    <w:rsid w:val="00F172EC"/>
    <w:rsid w:val="00F172FD"/>
    <w:rsid w:val="00F17405"/>
    <w:rsid w:val="00F17409"/>
    <w:rsid w:val="00F17835"/>
    <w:rsid w:val="00F1788B"/>
    <w:rsid w:val="00F17C1B"/>
    <w:rsid w:val="00F17E33"/>
    <w:rsid w:val="00F200BD"/>
    <w:rsid w:val="00F20430"/>
    <w:rsid w:val="00F207C6"/>
    <w:rsid w:val="00F2092B"/>
    <w:rsid w:val="00F20B9B"/>
    <w:rsid w:val="00F20EB9"/>
    <w:rsid w:val="00F2156A"/>
    <w:rsid w:val="00F21637"/>
    <w:rsid w:val="00F2178A"/>
    <w:rsid w:val="00F219EF"/>
    <w:rsid w:val="00F21B9F"/>
    <w:rsid w:val="00F21BC6"/>
    <w:rsid w:val="00F2212E"/>
    <w:rsid w:val="00F221D6"/>
    <w:rsid w:val="00F22359"/>
    <w:rsid w:val="00F22860"/>
    <w:rsid w:val="00F229A8"/>
    <w:rsid w:val="00F22DAD"/>
    <w:rsid w:val="00F22E00"/>
    <w:rsid w:val="00F22E6E"/>
    <w:rsid w:val="00F22EE2"/>
    <w:rsid w:val="00F23671"/>
    <w:rsid w:val="00F236F1"/>
    <w:rsid w:val="00F2374D"/>
    <w:rsid w:val="00F2384A"/>
    <w:rsid w:val="00F238EE"/>
    <w:rsid w:val="00F23C6A"/>
    <w:rsid w:val="00F23CCE"/>
    <w:rsid w:val="00F24150"/>
    <w:rsid w:val="00F24192"/>
    <w:rsid w:val="00F24268"/>
    <w:rsid w:val="00F242D7"/>
    <w:rsid w:val="00F244D5"/>
    <w:rsid w:val="00F24C22"/>
    <w:rsid w:val="00F25014"/>
    <w:rsid w:val="00F25091"/>
    <w:rsid w:val="00F25107"/>
    <w:rsid w:val="00F2513B"/>
    <w:rsid w:val="00F253E7"/>
    <w:rsid w:val="00F25420"/>
    <w:rsid w:val="00F257B7"/>
    <w:rsid w:val="00F25FAF"/>
    <w:rsid w:val="00F2604C"/>
    <w:rsid w:val="00F263EA"/>
    <w:rsid w:val="00F264A3"/>
    <w:rsid w:val="00F266B5"/>
    <w:rsid w:val="00F26ACE"/>
    <w:rsid w:val="00F26DA3"/>
    <w:rsid w:val="00F26DD3"/>
    <w:rsid w:val="00F26EDC"/>
    <w:rsid w:val="00F274C8"/>
    <w:rsid w:val="00F27720"/>
    <w:rsid w:val="00F279DF"/>
    <w:rsid w:val="00F27A6F"/>
    <w:rsid w:val="00F27F8B"/>
    <w:rsid w:val="00F30117"/>
    <w:rsid w:val="00F304B9"/>
    <w:rsid w:val="00F305F6"/>
    <w:rsid w:val="00F30938"/>
    <w:rsid w:val="00F30C18"/>
    <w:rsid w:val="00F31023"/>
    <w:rsid w:val="00F31229"/>
    <w:rsid w:val="00F31327"/>
    <w:rsid w:val="00F3132F"/>
    <w:rsid w:val="00F315E5"/>
    <w:rsid w:val="00F31609"/>
    <w:rsid w:val="00F31C43"/>
    <w:rsid w:val="00F31D6E"/>
    <w:rsid w:val="00F32085"/>
    <w:rsid w:val="00F322AE"/>
    <w:rsid w:val="00F32656"/>
    <w:rsid w:val="00F327BB"/>
    <w:rsid w:val="00F32A26"/>
    <w:rsid w:val="00F3304F"/>
    <w:rsid w:val="00F33895"/>
    <w:rsid w:val="00F33919"/>
    <w:rsid w:val="00F33C61"/>
    <w:rsid w:val="00F33D51"/>
    <w:rsid w:val="00F340FE"/>
    <w:rsid w:val="00F34185"/>
    <w:rsid w:val="00F34476"/>
    <w:rsid w:val="00F3452A"/>
    <w:rsid w:val="00F346C3"/>
    <w:rsid w:val="00F34957"/>
    <w:rsid w:val="00F34998"/>
    <w:rsid w:val="00F34EE6"/>
    <w:rsid w:val="00F34F0F"/>
    <w:rsid w:val="00F35041"/>
    <w:rsid w:val="00F35059"/>
    <w:rsid w:val="00F35446"/>
    <w:rsid w:val="00F3544E"/>
    <w:rsid w:val="00F35891"/>
    <w:rsid w:val="00F35D43"/>
    <w:rsid w:val="00F35F43"/>
    <w:rsid w:val="00F35FA2"/>
    <w:rsid w:val="00F35FC8"/>
    <w:rsid w:val="00F365F2"/>
    <w:rsid w:val="00F36854"/>
    <w:rsid w:val="00F36877"/>
    <w:rsid w:val="00F36C58"/>
    <w:rsid w:val="00F372C0"/>
    <w:rsid w:val="00F37375"/>
    <w:rsid w:val="00F375B6"/>
    <w:rsid w:val="00F375FC"/>
    <w:rsid w:val="00F378D0"/>
    <w:rsid w:val="00F37E08"/>
    <w:rsid w:val="00F37E6E"/>
    <w:rsid w:val="00F4007A"/>
    <w:rsid w:val="00F40081"/>
    <w:rsid w:val="00F40612"/>
    <w:rsid w:val="00F40848"/>
    <w:rsid w:val="00F4084C"/>
    <w:rsid w:val="00F40DDC"/>
    <w:rsid w:val="00F4116B"/>
    <w:rsid w:val="00F4119D"/>
    <w:rsid w:val="00F413A8"/>
    <w:rsid w:val="00F41459"/>
    <w:rsid w:val="00F41B75"/>
    <w:rsid w:val="00F41BAE"/>
    <w:rsid w:val="00F41DAE"/>
    <w:rsid w:val="00F41FE3"/>
    <w:rsid w:val="00F42048"/>
    <w:rsid w:val="00F426DB"/>
    <w:rsid w:val="00F428FE"/>
    <w:rsid w:val="00F42CA9"/>
    <w:rsid w:val="00F43217"/>
    <w:rsid w:val="00F43274"/>
    <w:rsid w:val="00F43647"/>
    <w:rsid w:val="00F438C2"/>
    <w:rsid w:val="00F4395D"/>
    <w:rsid w:val="00F43BB0"/>
    <w:rsid w:val="00F43E04"/>
    <w:rsid w:val="00F43F7C"/>
    <w:rsid w:val="00F43FAE"/>
    <w:rsid w:val="00F44034"/>
    <w:rsid w:val="00F4469B"/>
    <w:rsid w:val="00F446EC"/>
    <w:rsid w:val="00F4478E"/>
    <w:rsid w:val="00F44923"/>
    <w:rsid w:val="00F44CA8"/>
    <w:rsid w:val="00F44E2D"/>
    <w:rsid w:val="00F45625"/>
    <w:rsid w:val="00F45773"/>
    <w:rsid w:val="00F45793"/>
    <w:rsid w:val="00F45C56"/>
    <w:rsid w:val="00F46296"/>
    <w:rsid w:val="00F46739"/>
    <w:rsid w:val="00F4688F"/>
    <w:rsid w:val="00F46A22"/>
    <w:rsid w:val="00F46B5C"/>
    <w:rsid w:val="00F47859"/>
    <w:rsid w:val="00F47A59"/>
    <w:rsid w:val="00F47FAD"/>
    <w:rsid w:val="00F5044D"/>
    <w:rsid w:val="00F504BE"/>
    <w:rsid w:val="00F5071A"/>
    <w:rsid w:val="00F50950"/>
    <w:rsid w:val="00F50C31"/>
    <w:rsid w:val="00F51570"/>
    <w:rsid w:val="00F51B7B"/>
    <w:rsid w:val="00F51DC8"/>
    <w:rsid w:val="00F51EC5"/>
    <w:rsid w:val="00F51FD9"/>
    <w:rsid w:val="00F52065"/>
    <w:rsid w:val="00F521BE"/>
    <w:rsid w:val="00F52277"/>
    <w:rsid w:val="00F52382"/>
    <w:rsid w:val="00F524F6"/>
    <w:rsid w:val="00F52644"/>
    <w:rsid w:val="00F52B8D"/>
    <w:rsid w:val="00F52F8F"/>
    <w:rsid w:val="00F538C1"/>
    <w:rsid w:val="00F53EF9"/>
    <w:rsid w:val="00F54102"/>
    <w:rsid w:val="00F5457A"/>
    <w:rsid w:val="00F547B1"/>
    <w:rsid w:val="00F54935"/>
    <w:rsid w:val="00F54BF7"/>
    <w:rsid w:val="00F54CAF"/>
    <w:rsid w:val="00F54CBA"/>
    <w:rsid w:val="00F54D0B"/>
    <w:rsid w:val="00F54D44"/>
    <w:rsid w:val="00F553CD"/>
    <w:rsid w:val="00F5554B"/>
    <w:rsid w:val="00F55611"/>
    <w:rsid w:val="00F5565E"/>
    <w:rsid w:val="00F55A5F"/>
    <w:rsid w:val="00F55AC9"/>
    <w:rsid w:val="00F55AF0"/>
    <w:rsid w:val="00F55B67"/>
    <w:rsid w:val="00F56488"/>
    <w:rsid w:val="00F56660"/>
    <w:rsid w:val="00F568E9"/>
    <w:rsid w:val="00F56951"/>
    <w:rsid w:val="00F56CBD"/>
    <w:rsid w:val="00F57068"/>
    <w:rsid w:val="00F57117"/>
    <w:rsid w:val="00F5720C"/>
    <w:rsid w:val="00F575A3"/>
    <w:rsid w:val="00F57656"/>
    <w:rsid w:val="00F57795"/>
    <w:rsid w:val="00F577BA"/>
    <w:rsid w:val="00F57A47"/>
    <w:rsid w:val="00F57AAF"/>
    <w:rsid w:val="00F57DCE"/>
    <w:rsid w:val="00F6061A"/>
    <w:rsid w:val="00F60928"/>
    <w:rsid w:val="00F6093C"/>
    <w:rsid w:val="00F60AB1"/>
    <w:rsid w:val="00F60C0C"/>
    <w:rsid w:val="00F60DBC"/>
    <w:rsid w:val="00F60ECA"/>
    <w:rsid w:val="00F612A4"/>
    <w:rsid w:val="00F6171A"/>
    <w:rsid w:val="00F61939"/>
    <w:rsid w:val="00F61978"/>
    <w:rsid w:val="00F61AFA"/>
    <w:rsid w:val="00F63110"/>
    <w:rsid w:val="00F63603"/>
    <w:rsid w:val="00F636E6"/>
    <w:rsid w:val="00F6373E"/>
    <w:rsid w:val="00F63913"/>
    <w:rsid w:val="00F63D11"/>
    <w:rsid w:val="00F63FF8"/>
    <w:rsid w:val="00F6477D"/>
    <w:rsid w:val="00F647F0"/>
    <w:rsid w:val="00F64A5A"/>
    <w:rsid w:val="00F64CF7"/>
    <w:rsid w:val="00F64F07"/>
    <w:rsid w:val="00F6505C"/>
    <w:rsid w:val="00F654C9"/>
    <w:rsid w:val="00F6557A"/>
    <w:rsid w:val="00F65868"/>
    <w:rsid w:val="00F65A0F"/>
    <w:rsid w:val="00F65A7D"/>
    <w:rsid w:val="00F65BB3"/>
    <w:rsid w:val="00F66266"/>
    <w:rsid w:val="00F66C05"/>
    <w:rsid w:val="00F66CF9"/>
    <w:rsid w:val="00F670B8"/>
    <w:rsid w:val="00F6714A"/>
    <w:rsid w:val="00F6740A"/>
    <w:rsid w:val="00F67430"/>
    <w:rsid w:val="00F6757D"/>
    <w:rsid w:val="00F678A1"/>
    <w:rsid w:val="00F67A6F"/>
    <w:rsid w:val="00F67C28"/>
    <w:rsid w:val="00F67CFD"/>
    <w:rsid w:val="00F67DFE"/>
    <w:rsid w:val="00F700D4"/>
    <w:rsid w:val="00F70151"/>
    <w:rsid w:val="00F70631"/>
    <w:rsid w:val="00F70885"/>
    <w:rsid w:val="00F70F26"/>
    <w:rsid w:val="00F711D1"/>
    <w:rsid w:val="00F713C4"/>
    <w:rsid w:val="00F7145F"/>
    <w:rsid w:val="00F719DB"/>
    <w:rsid w:val="00F71B2C"/>
    <w:rsid w:val="00F71DB2"/>
    <w:rsid w:val="00F7289C"/>
    <w:rsid w:val="00F728EA"/>
    <w:rsid w:val="00F7305C"/>
    <w:rsid w:val="00F73288"/>
    <w:rsid w:val="00F73513"/>
    <w:rsid w:val="00F735DB"/>
    <w:rsid w:val="00F73614"/>
    <w:rsid w:val="00F73986"/>
    <w:rsid w:val="00F73B93"/>
    <w:rsid w:val="00F73C1B"/>
    <w:rsid w:val="00F73C3B"/>
    <w:rsid w:val="00F73F3B"/>
    <w:rsid w:val="00F7404A"/>
    <w:rsid w:val="00F745B5"/>
    <w:rsid w:val="00F74C03"/>
    <w:rsid w:val="00F74FEE"/>
    <w:rsid w:val="00F7510A"/>
    <w:rsid w:val="00F75388"/>
    <w:rsid w:val="00F7572D"/>
    <w:rsid w:val="00F75C23"/>
    <w:rsid w:val="00F75CAD"/>
    <w:rsid w:val="00F75E49"/>
    <w:rsid w:val="00F760DA"/>
    <w:rsid w:val="00F76244"/>
    <w:rsid w:val="00F76A2A"/>
    <w:rsid w:val="00F76E5D"/>
    <w:rsid w:val="00F76F2A"/>
    <w:rsid w:val="00F772E8"/>
    <w:rsid w:val="00F7736C"/>
    <w:rsid w:val="00F7768B"/>
    <w:rsid w:val="00F777FD"/>
    <w:rsid w:val="00F779A5"/>
    <w:rsid w:val="00F77C27"/>
    <w:rsid w:val="00F77E08"/>
    <w:rsid w:val="00F80010"/>
    <w:rsid w:val="00F80CE8"/>
    <w:rsid w:val="00F812C5"/>
    <w:rsid w:val="00F81456"/>
    <w:rsid w:val="00F814DD"/>
    <w:rsid w:val="00F814E4"/>
    <w:rsid w:val="00F8185A"/>
    <w:rsid w:val="00F81AE3"/>
    <w:rsid w:val="00F8227B"/>
    <w:rsid w:val="00F82867"/>
    <w:rsid w:val="00F82C48"/>
    <w:rsid w:val="00F831AD"/>
    <w:rsid w:val="00F83642"/>
    <w:rsid w:val="00F837BE"/>
    <w:rsid w:val="00F83BEF"/>
    <w:rsid w:val="00F8414F"/>
    <w:rsid w:val="00F841CB"/>
    <w:rsid w:val="00F843B7"/>
    <w:rsid w:val="00F843D3"/>
    <w:rsid w:val="00F846D3"/>
    <w:rsid w:val="00F84B4B"/>
    <w:rsid w:val="00F84C3C"/>
    <w:rsid w:val="00F84D1D"/>
    <w:rsid w:val="00F85402"/>
    <w:rsid w:val="00F85508"/>
    <w:rsid w:val="00F85570"/>
    <w:rsid w:val="00F857CA"/>
    <w:rsid w:val="00F85821"/>
    <w:rsid w:val="00F85E17"/>
    <w:rsid w:val="00F860E4"/>
    <w:rsid w:val="00F861A0"/>
    <w:rsid w:val="00F86434"/>
    <w:rsid w:val="00F86462"/>
    <w:rsid w:val="00F86581"/>
    <w:rsid w:val="00F8666A"/>
    <w:rsid w:val="00F868CA"/>
    <w:rsid w:val="00F868DE"/>
    <w:rsid w:val="00F868E7"/>
    <w:rsid w:val="00F86B91"/>
    <w:rsid w:val="00F86D85"/>
    <w:rsid w:val="00F86E38"/>
    <w:rsid w:val="00F874AE"/>
    <w:rsid w:val="00F879EC"/>
    <w:rsid w:val="00F87A5B"/>
    <w:rsid w:val="00F87E8E"/>
    <w:rsid w:val="00F90177"/>
    <w:rsid w:val="00F90318"/>
    <w:rsid w:val="00F90A5C"/>
    <w:rsid w:val="00F90B3B"/>
    <w:rsid w:val="00F90DFE"/>
    <w:rsid w:val="00F90F8D"/>
    <w:rsid w:val="00F91076"/>
    <w:rsid w:val="00F9137B"/>
    <w:rsid w:val="00F91528"/>
    <w:rsid w:val="00F91708"/>
    <w:rsid w:val="00F91A04"/>
    <w:rsid w:val="00F91A43"/>
    <w:rsid w:val="00F91A60"/>
    <w:rsid w:val="00F91B22"/>
    <w:rsid w:val="00F92102"/>
    <w:rsid w:val="00F930D5"/>
    <w:rsid w:val="00F93265"/>
    <w:rsid w:val="00F9352F"/>
    <w:rsid w:val="00F936B2"/>
    <w:rsid w:val="00F93A91"/>
    <w:rsid w:val="00F93F9C"/>
    <w:rsid w:val="00F941CB"/>
    <w:rsid w:val="00F94395"/>
    <w:rsid w:val="00F94969"/>
    <w:rsid w:val="00F94C8E"/>
    <w:rsid w:val="00F94D3F"/>
    <w:rsid w:val="00F94E00"/>
    <w:rsid w:val="00F95459"/>
    <w:rsid w:val="00F957B6"/>
    <w:rsid w:val="00F9580D"/>
    <w:rsid w:val="00F95817"/>
    <w:rsid w:val="00F95A8D"/>
    <w:rsid w:val="00F960D4"/>
    <w:rsid w:val="00F962D9"/>
    <w:rsid w:val="00F963C5"/>
    <w:rsid w:val="00F965EF"/>
    <w:rsid w:val="00F96736"/>
    <w:rsid w:val="00F96959"/>
    <w:rsid w:val="00F96A54"/>
    <w:rsid w:val="00F97019"/>
    <w:rsid w:val="00F97146"/>
    <w:rsid w:val="00F9748D"/>
    <w:rsid w:val="00F976C2"/>
    <w:rsid w:val="00F9782C"/>
    <w:rsid w:val="00F979F9"/>
    <w:rsid w:val="00F97A65"/>
    <w:rsid w:val="00F97BD8"/>
    <w:rsid w:val="00FA005F"/>
    <w:rsid w:val="00FA0111"/>
    <w:rsid w:val="00FA052B"/>
    <w:rsid w:val="00FA0793"/>
    <w:rsid w:val="00FA0890"/>
    <w:rsid w:val="00FA0A19"/>
    <w:rsid w:val="00FA0A44"/>
    <w:rsid w:val="00FA0F89"/>
    <w:rsid w:val="00FA1171"/>
    <w:rsid w:val="00FA164D"/>
    <w:rsid w:val="00FA17B4"/>
    <w:rsid w:val="00FA194C"/>
    <w:rsid w:val="00FA19D3"/>
    <w:rsid w:val="00FA1AB1"/>
    <w:rsid w:val="00FA1DDB"/>
    <w:rsid w:val="00FA1EA5"/>
    <w:rsid w:val="00FA200F"/>
    <w:rsid w:val="00FA21B2"/>
    <w:rsid w:val="00FA24D0"/>
    <w:rsid w:val="00FA260C"/>
    <w:rsid w:val="00FA2890"/>
    <w:rsid w:val="00FA29A5"/>
    <w:rsid w:val="00FA2CDF"/>
    <w:rsid w:val="00FA3123"/>
    <w:rsid w:val="00FA3476"/>
    <w:rsid w:val="00FA383B"/>
    <w:rsid w:val="00FA3992"/>
    <w:rsid w:val="00FA3A3A"/>
    <w:rsid w:val="00FA3D88"/>
    <w:rsid w:val="00FA3E76"/>
    <w:rsid w:val="00FA3E86"/>
    <w:rsid w:val="00FA406F"/>
    <w:rsid w:val="00FA43B9"/>
    <w:rsid w:val="00FA43EA"/>
    <w:rsid w:val="00FA45AD"/>
    <w:rsid w:val="00FA4EDF"/>
    <w:rsid w:val="00FA4F80"/>
    <w:rsid w:val="00FA4F8A"/>
    <w:rsid w:val="00FA518A"/>
    <w:rsid w:val="00FA5307"/>
    <w:rsid w:val="00FA5321"/>
    <w:rsid w:val="00FA547C"/>
    <w:rsid w:val="00FA557F"/>
    <w:rsid w:val="00FA55C6"/>
    <w:rsid w:val="00FA566E"/>
    <w:rsid w:val="00FA5AE7"/>
    <w:rsid w:val="00FA5F00"/>
    <w:rsid w:val="00FA5FA8"/>
    <w:rsid w:val="00FA60F3"/>
    <w:rsid w:val="00FA661B"/>
    <w:rsid w:val="00FA67B2"/>
    <w:rsid w:val="00FA70ED"/>
    <w:rsid w:val="00FA7578"/>
    <w:rsid w:val="00FA7C40"/>
    <w:rsid w:val="00FB039F"/>
    <w:rsid w:val="00FB03C1"/>
    <w:rsid w:val="00FB0812"/>
    <w:rsid w:val="00FB0972"/>
    <w:rsid w:val="00FB0BB7"/>
    <w:rsid w:val="00FB0C92"/>
    <w:rsid w:val="00FB1A1A"/>
    <w:rsid w:val="00FB1C26"/>
    <w:rsid w:val="00FB1FD5"/>
    <w:rsid w:val="00FB275D"/>
    <w:rsid w:val="00FB2799"/>
    <w:rsid w:val="00FB2F6A"/>
    <w:rsid w:val="00FB31C5"/>
    <w:rsid w:val="00FB32FD"/>
    <w:rsid w:val="00FB3C04"/>
    <w:rsid w:val="00FB3DC6"/>
    <w:rsid w:val="00FB4420"/>
    <w:rsid w:val="00FB449C"/>
    <w:rsid w:val="00FB475C"/>
    <w:rsid w:val="00FB49D6"/>
    <w:rsid w:val="00FB4D92"/>
    <w:rsid w:val="00FB4E6C"/>
    <w:rsid w:val="00FB50C7"/>
    <w:rsid w:val="00FB51F8"/>
    <w:rsid w:val="00FB52C6"/>
    <w:rsid w:val="00FB533C"/>
    <w:rsid w:val="00FB58B8"/>
    <w:rsid w:val="00FB6388"/>
    <w:rsid w:val="00FB66B9"/>
    <w:rsid w:val="00FB6836"/>
    <w:rsid w:val="00FB6CCD"/>
    <w:rsid w:val="00FB70AB"/>
    <w:rsid w:val="00FB70C5"/>
    <w:rsid w:val="00FB7423"/>
    <w:rsid w:val="00FB79A2"/>
    <w:rsid w:val="00FB7C23"/>
    <w:rsid w:val="00FB7C70"/>
    <w:rsid w:val="00FB7D6F"/>
    <w:rsid w:val="00FC0094"/>
    <w:rsid w:val="00FC0297"/>
    <w:rsid w:val="00FC0579"/>
    <w:rsid w:val="00FC0B95"/>
    <w:rsid w:val="00FC0E60"/>
    <w:rsid w:val="00FC1011"/>
    <w:rsid w:val="00FC13AF"/>
    <w:rsid w:val="00FC148F"/>
    <w:rsid w:val="00FC1A41"/>
    <w:rsid w:val="00FC1C33"/>
    <w:rsid w:val="00FC1C60"/>
    <w:rsid w:val="00FC1DDF"/>
    <w:rsid w:val="00FC1E36"/>
    <w:rsid w:val="00FC2185"/>
    <w:rsid w:val="00FC2693"/>
    <w:rsid w:val="00FC27F0"/>
    <w:rsid w:val="00FC29E9"/>
    <w:rsid w:val="00FC32AD"/>
    <w:rsid w:val="00FC32E2"/>
    <w:rsid w:val="00FC3890"/>
    <w:rsid w:val="00FC3CBA"/>
    <w:rsid w:val="00FC3F58"/>
    <w:rsid w:val="00FC413C"/>
    <w:rsid w:val="00FC42CE"/>
    <w:rsid w:val="00FC48E3"/>
    <w:rsid w:val="00FC4B90"/>
    <w:rsid w:val="00FC5251"/>
    <w:rsid w:val="00FC5281"/>
    <w:rsid w:val="00FC5728"/>
    <w:rsid w:val="00FC596F"/>
    <w:rsid w:val="00FC5B8C"/>
    <w:rsid w:val="00FC5E82"/>
    <w:rsid w:val="00FC6270"/>
    <w:rsid w:val="00FC6409"/>
    <w:rsid w:val="00FC64CF"/>
    <w:rsid w:val="00FC6653"/>
    <w:rsid w:val="00FC6849"/>
    <w:rsid w:val="00FC6B2D"/>
    <w:rsid w:val="00FC6BCC"/>
    <w:rsid w:val="00FC6CB4"/>
    <w:rsid w:val="00FC6FFA"/>
    <w:rsid w:val="00FC72DA"/>
    <w:rsid w:val="00FC7719"/>
    <w:rsid w:val="00FC781D"/>
    <w:rsid w:val="00FC7D99"/>
    <w:rsid w:val="00FC7F82"/>
    <w:rsid w:val="00FD00AB"/>
    <w:rsid w:val="00FD040C"/>
    <w:rsid w:val="00FD088D"/>
    <w:rsid w:val="00FD0A36"/>
    <w:rsid w:val="00FD0C9D"/>
    <w:rsid w:val="00FD0DF1"/>
    <w:rsid w:val="00FD1003"/>
    <w:rsid w:val="00FD104B"/>
    <w:rsid w:val="00FD1A71"/>
    <w:rsid w:val="00FD1AD5"/>
    <w:rsid w:val="00FD1DEB"/>
    <w:rsid w:val="00FD1F6D"/>
    <w:rsid w:val="00FD21C0"/>
    <w:rsid w:val="00FD2306"/>
    <w:rsid w:val="00FD25C1"/>
    <w:rsid w:val="00FD28E8"/>
    <w:rsid w:val="00FD28FF"/>
    <w:rsid w:val="00FD2A54"/>
    <w:rsid w:val="00FD32F8"/>
    <w:rsid w:val="00FD36A6"/>
    <w:rsid w:val="00FD3707"/>
    <w:rsid w:val="00FD3A65"/>
    <w:rsid w:val="00FD3F3D"/>
    <w:rsid w:val="00FD412A"/>
    <w:rsid w:val="00FD42B9"/>
    <w:rsid w:val="00FD4483"/>
    <w:rsid w:val="00FD4649"/>
    <w:rsid w:val="00FD4E29"/>
    <w:rsid w:val="00FD5530"/>
    <w:rsid w:val="00FD634A"/>
    <w:rsid w:val="00FD653A"/>
    <w:rsid w:val="00FD6861"/>
    <w:rsid w:val="00FD6E49"/>
    <w:rsid w:val="00FD6EF1"/>
    <w:rsid w:val="00FD6FBE"/>
    <w:rsid w:val="00FD7011"/>
    <w:rsid w:val="00FD758D"/>
    <w:rsid w:val="00FD7637"/>
    <w:rsid w:val="00FD7726"/>
    <w:rsid w:val="00FD7AD3"/>
    <w:rsid w:val="00FD7D78"/>
    <w:rsid w:val="00FD7DBC"/>
    <w:rsid w:val="00FE00CF"/>
    <w:rsid w:val="00FE0138"/>
    <w:rsid w:val="00FE01A3"/>
    <w:rsid w:val="00FE03CA"/>
    <w:rsid w:val="00FE04CF"/>
    <w:rsid w:val="00FE06BF"/>
    <w:rsid w:val="00FE0838"/>
    <w:rsid w:val="00FE0AB8"/>
    <w:rsid w:val="00FE10D5"/>
    <w:rsid w:val="00FE11A1"/>
    <w:rsid w:val="00FE1350"/>
    <w:rsid w:val="00FE141C"/>
    <w:rsid w:val="00FE1583"/>
    <w:rsid w:val="00FE1CED"/>
    <w:rsid w:val="00FE1F87"/>
    <w:rsid w:val="00FE2165"/>
    <w:rsid w:val="00FE220C"/>
    <w:rsid w:val="00FE25F9"/>
    <w:rsid w:val="00FE2AA3"/>
    <w:rsid w:val="00FE2CE9"/>
    <w:rsid w:val="00FE2E7B"/>
    <w:rsid w:val="00FE2FC4"/>
    <w:rsid w:val="00FE32E5"/>
    <w:rsid w:val="00FE35D9"/>
    <w:rsid w:val="00FE3ABE"/>
    <w:rsid w:val="00FE3CDF"/>
    <w:rsid w:val="00FE3F23"/>
    <w:rsid w:val="00FE402C"/>
    <w:rsid w:val="00FE43E7"/>
    <w:rsid w:val="00FE465B"/>
    <w:rsid w:val="00FE4B1F"/>
    <w:rsid w:val="00FE4C53"/>
    <w:rsid w:val="00FE4E94"/>
    <w:rsid w:val="00FE50A7"/>
    <w:rsid w:val="00FE5406"/>
    <w:rsid w:val="00FE559B"/>
    <w:rsid w:val="00FE5721"/>
    <w:rsid w:val="00FE573E"/>
    <w:rsid w:val="00FE584B"/>
    <w:rsid w:val="00FE5BD5"/>
    <w:rsid w:val="00FE5DFF"/>
    <w:rsid w:val="00FE5E0F"/>
    <w:rsid w:val="00FE625A"/>
    <w:rsid w:val="00FE645D"/>
    <w:rsid w:val="00FE658F"/>
    <w:rsid w:val="00FE6951"/>
    <w:rsid w:val="00FE6CD5"/>
    <w:rsid w:val="00FE6F04"/>
    <w:rsid w:val="00FE720E"/>
    <w:rsid w:val="00FE76C8"/>
    <w:rsid w:val="00FE7A29"/>
    <w:rsid w:val="00FE7AC0"/>
    <w:rsid w:val="00FE7B72"/>
    <w:rsid w:val="00FF02F7"/>
    <w:rsid w:val="00FF09EA"/>
    <w:rsid w:val="00FF09FC"/>
    <w:rsid w:val="00FF0EBE"/>
    <w:rsid w:val="00FF11EE"/>
    <w:rsid w:val="00FF12F7"/>
    <w:rsid w:val="00FF13D2"/>
    <w:rsid w:val="00FF1400"/>
    <w:rsid w:val="00FF1669"/>
    <w:rsid w:val="00FF16C7"/>
    <w:rsid w:val="00FF16DB"/>
    <w:rsid w:val="00FF189F"/>
    <w:rsid w:val="00FF1B92"/>
    <w:rsid w:val="00FF1CE9"/>
    <w:rsid w:val="00FF1E0A"/>
    <w:rsid w:val="00FF2012"/>
    <w:rsid w:val="00FF2257"/>
    <w:rsid w:val="00FF23D0"/>
    <w:rsid w:val="00FF2445"/>
    <w:rsid w:val="00FF2561"/>
    <w:rsid w:val="00FF27E0"/>
    <w:rsid w:val="00FF298B"/>
    <w:rsid w:val="00FF2A5F"/>
    <w:rsid w:val="00FF2BD0"/>
    <w:rsid w:val="00FF2BE7"/>
    <w:rsid w:val="00FF2C47"/>
    <w:rsid w:val="00FF2C70"/>
    <w:rsid w:val="00FF2E5E"/>
    <w:rsid w:val="00FF40AC"/>
    <w:rsid w:val="00FF42AE"/>
    <w:rsid w:val="00FF5003"/>
    <w:rsid w:val="00FF5027"/>
    <w:rsid w:val="00FF543F"/>
    <w:rsid w:val="00FF5452"/>
    <w:rsid w:val="00FF5822"/>
    <w:rsid w:val="00FF5C74"/>
    <w:rsid w:val="00FF5CDD"/>
    <w:rsid w:val="00FF5E53"/>
    <w:rsid w:val="00FF5F54"/>
    <w:rsid w:val="00FF6188"/>
    <w:rsid w:val="00FF6229"/>
    <w:rsid w:val="00FF69BF"/>
    <w:rsid w:val="00FF731E"/>
    <w:rsid w:val="00FF747A"/>
    <w:rsid w:val="00FF766A"/>
    <w:rsid w:val="00FF7721"/>
    <w:rsid w:val="00FF7D55"/>
    <w:rsid w:val="00FF7E02"/>
    <w:rsid w:val="00FF7FCE"/>
    <w:rsid w:val="01007FCC"/>
    <w:rsid w:val="01045C9F"/>
    <w:rsid w:val="010864B3"/>
    <w:rsid w:val="0109476E"/>
    <w:rsid w:val="010B11C9"/>
    <w:rsid w:val="010C56C8"/>
    <w:rsid w:val="010F6BC7"/>
    <w:rsid w:val="01107B8D"/>
    <w:rsid w:val="01147034"/>
    <w:rsid w:val="01147699"/>
    <w:rsid w:val="011634D9"/>
    <w:rsid w:val="011B12F6"/>
    <w:rsid w:val="011C10DE"/>
    <w:rsid w:val="01270A87"/>
    <w:rsid w:val="012817C9"/>
    <w:rsid w:val="01282563"/>
    <w:rsid w:val="01283857"/>
    <w:rsid w:val="01291D63"/>
    <w:rsid w:val="012A0989"/>
    <w:rsid w:val="013343F7"/>
    <w:rsid w:val="01361C25"/>
    <w:rsid w:val="01387147"/>
    <w:rsid w:val="013D0214"/>
    <w:rsid w:val="013D407A"/>
    <w:rsid w:val="01403C6B"/>
    <w:rsid w:val="014321BF"/>
    <w:rsid w:val="0148442A"/>
    <w:rsid w:val="01491268"/>
    <w:rsid w:val="014D6ED7"/>
    <w:rsid w:val="01514137"/>
    <w:rsid w:val="01526F81"/>
    <w:rsid w:val="015377FA"/>
    <w:rsid w:val="01547EF5"/>
    <w:rsid w:val="015547F4"/>
    <w:rsid w:val="01561A15"/>
    <w:rsid w:val="015662D4"/>
    <w:rsid w:val="01575DBB"/>
    <w:rsid w:val="01594533"/>
    <w:rsid w:val="015D2232"/>
    <w:rsid w:val="01610F97"/>
    <w:rsid w:val="01611B6A"/>
    <w:rsid w:val="01621122"/>
    <w:rsid w:val="016530B6"/>
    <w:rsid w:val="01695110"/>
    <w:rsid w:val="016C48E8"/>
    <w:rsid w:val="016D3B83"/>
    <w:rsid w:val="016E327E"/>
    <w:rsid w:val="01700FF1"/>
    <w:rsid w:val="017433C2"/>
    <w:rsid w:val="0178419B"/>
    <w:rsid w:val="017958C7"/>
    <w:rsid w:val="01796F23"/>
    <w:rsid w:val="017B45F2"/>
    <w:rsid w:val="017E3079"/>
    <w:rsid w:val="017E5714"/>
    <w:rsid w:val="01866AC1"/>
    <w:rsid w:val="01881522"/>
    <w:rsid w:val="018868EE"/>
    <w:rsid w:val="018D0E27"/>
    <w:rsid w:val="018D4270"/>
    <w:rsid w:val="01923E35"/>
    <w:rsid w:val="019818F3"/>
    <w:rsid w:val="01984623"/>
    <w:rsid w:val="01A50DD1"/>
    <w:rsid w:val="01A63053"/>
    <w:rsid w:val="01A85F97"/>
    <w:rsid w:val="01B46739"/>
    <w:rsid w:val="01BB5628"/>
    <w:rsid w:val="01C05ABB"/>
    <w:rsid w:val="01C27D74"/>
    <w:rsid w:val="01C44DE9"/>
    <w:rsid w:val="01C669CB"/>
    <w:rsid w:val="01D749A3"/>
    <w:rsid w:val="01D911D2"/>
    <w:rsid w:val="01DA04B4"/>
    <w:rsid w:val="01DB4372"/>
    <w:rsid w:val="01E135C1"/>
    <w:rsid w:val="01EA681A"/>
    <w:rsid w:val="01F17221"/>
    <w:rsid w:val="02000ECC"/>
    <w:rsid w:val="02006254"/>
    <w:rsid w:val="02042487"/>
    <w:rsid w:val="02043B4C"/>
    <w:rsid w:val="02044DC0"/>
    <w:rsid w:val="020515A3"/>
    <w:rsid w:val="020F3B58"/>
    <w:rsid w:val="02121C98"/>
    <w:rsid w:val="021373CE"/>
    <w:rsid w:val="02144241"/>
    <w:rsid w:val="02167B41"/>
    <w:rsid w:val="021F3F17"/>
    <w:rsid w:val="022447FF"/>
    <w:rsid w:val="022756D4"/>
    <w:rsid w:val="022E63BC"/>
    <w:rsid w:val="02325D02"/>
    <w:rsid w:val="023555BF"/>
    <w:rsid w:val="023D0649"/>
    <w:rsid w:val="023E50D3"/>
    <w:rsid w:val="023F33C4"/>
    <w:rsid w:val="023F343F"/>
    <w:rsid w:val="023F7756"/>
    <w:rsid w:val="02461F53"/>
    <w:rsid w:val="02467885"/>
    <w:rsid w:val="024E7542"/>
    <w:rsid w:val="025856FF"/>
    <w:rsid w:val="025A4CA2"/>
    <w:rsid w:val="02613871"/>
    <w:rsid w:val="02616049"/>
    <w:rsid w:val="026305B5"/>
    <w:rsid w:val="026B3BC8"/>
    <w:rsid w:val="026F414E"/>
    <w:rsid w:val="02703583"/>
    <w:rsid w:val="02773180"/>
    <w:rsid w:val="027C52DE"/>
    <w:rsid w:val="027D32B8"/>
    <w:rsid w:val="02873FDF"/>
    <w:rsid w:val="02875E6B"/>
    <w:rsid w:val="02880999"/>
    <w:rsid w:val="02894BF8"/>
    <w:rsid w:val="028F7713"/>
    <w:rsid w:val="02934A25"/>
    <w:rsid w:val="029451C7"/>
    <w:rsid w:val="02954DB5"/>
    <w:rsid w:val="029952B4"/>
    <w:rsid w:val="02996A86"/>
    <w:rsid w:val="029A7007"/>
    <w:rsid w:val="029D754A"/>
    <w:rsid w:val="029E3689"/>
    <w:rsid w:val="029F4480"/>
    <w:rsid w:val="02A46EC6"/>
    <w:rsid w:val="02A82F8A"/>
    <w:rsid w:val="02AB498F"/>
    <w:rsid w:val="02AC4FBD"/>
    <w:rsid w:val="02AE6E8E"/>
    <w:rsid w:val="02B128DB"/>
    <w:rsid w:val="02B13872"/>
    <w:rsid w:val="02B139BE"/>
    <w:rsid w:val="02B8239A"/>
    <w:rsid w:val="02B84487"/>
    <w:rsid w:val="02BB3E3D"/>
    <w:rsid w:val="02BD1813"/>
    <w:rsid w:val="02BE49E5"/>
    <w:rsid w:val="02BF0D1E"/>
    <w:rsid w:val="02BF626F"/>
    <w:rsid w:val="02C27A75"/>
    <w:rsid w:val="02C6061A"/>
    <w:rsid w:val="02C62099"/>
    <w:rsid w:val="02C620DD"/>
    <w:rsid w:val="02C6642C"/>
    <w:rsid w:val="02C73640"/>
    <w:rsid w:val="02CA58A0"/>
    <w:rsid w:val="02CB792E"/>
    <w:rsid w:val="02CD072E"/>
    <w:rsid w:val="02D238AA"/>
    <w:rsid w:val="02D806B5"/>
    <w:rsid w:val="02D80F7C"/>
    <w:rsid w:val="02DF4408"/>
    <w:rsid w:val="02E01E24"/>
    <w:rsid w:val="02E346A0"/>
    <w:rsid w:val="02E411FF"/>
    <w:rsid w:val="02E45CD6"/>
    <w:rsid w:val="02E5078A"/>
    <w:rsid w:val="02E75C00"/>
    <w:rsid w:val="02E87436"/>
    <w:rsid w:val="02E9373F"/>
    <w:rsid w:val="02F86472"/>
    <w:rsid w:val="02F877E4"/>
    <w:rsid w:val="02FB6529"/>
    <w:rsid w:val="02FE7A7F"/>
    <w:rsid w:val="030070DF"/>
    <w:rsid w:val="03030F0C"/>
    <w:rsid w:val="03065EC4"/>
    <w:rsid w:val="03067F26"/>
    <w:rsid w:val="0314244E"/>
    <w:rsid w:val="03193094"/>
    <w:rsid w:val="031E41FE"/>
    <w:rsid w:val="032016B9"/>
    <w:rsid w:val="03212758"/>
    <w:rsid w:val="03213D75"/>
    <w:rsid w:val="03257F6E"/>
    <w:rsid w:val="032C2539"/>
    <w:rsid w:val="03325803"/>
    <w:rsid w:val="03346F68"/>
    <w:rsid w:val="03355AF7"/>
    <w:rsid w:val="033A2C92"/>
    <w:rsid w:val="033B7D49"/>
    <w:rsid w:val="033C15D4"/>
    <w:rsid w:val="033C20A9"/>
    <w:rsid w:val="033C370A"/>
    <w:rsid w:val="033D2D41"/>
    <w:rsid w:val="03452B3F"/>
    <w:rsid w:val="03455230"/>
    <w:rsid w:val="034660EA"/>
    <w:rsid w:val="034949CE"/>
    <w:rsid w:val="034A3DDF"/>
    <w:rsid w:val="034E16CA"/>
    <w:rsid w:val="034E1B2F"/>
    <w:rsid w:val="034E5C30"/>
    <w:rsid w:val="03536D9D"/>
    <w:rsid w:val="03570A9A"/>
    <w:rsid w:val="0363343A"/>
    <w:rsid w:val="03633616"/>
    <w:rsid w:val="03647CA7"/>
    <w:rsid w:val="036724B6"/>
    <w:rsid w:val="036812DD"/>
    <w:rsid w:val="036C24DC"/>
    <w:rsid w:val="037171FF"/>
    <w:rsid w:val="037A0FF7"/>
    <w:rsid w:val="037A56E7"/>
    <w:rsid w:val="037B1188"/>
    <w:rsid w:val="037D6BF4"/>
    <w:rsid w:val="037E3FE1"/>
    <w:rsid w:val="038203CB"/>
    <w:rsid w:val="038B61B4"/>
    <w:rsid w:val="038C7D72"/>
    <w:rsid w:val="03901066"/>
    <w:rsid w:val="03906C97"/>
    <w:rsid w:val="03942DE5"/>
    <w:rsid w:val="039658BE"/>
    <w:rsid w:val="03980761"/>
    <w:rsid w:val="03981FC8"/>
    <w:rsid w:val="03A152E9"/>
    <w:rsid w:val="03A34774"/>
    <w:rsid w:val="03A60116"/>
    <w:rsid w:val="03AB141D"/>
    <w:rsid w:val="03AF7921"/>
    <w:rsid w:val="03B05E4C"/>
    <w:rsid w:val="03B119E4"/>
    <w:rsid w:val="03B20264"/>
    <w:rsid w:val="03B34CBB"/>
    <w:rsid w:val="03B44B22"/>
    <w:rsid w:val="03B57778"/>
    <w:rsid w:val="03C0562D"/>
    <w:rsid w:val="03C12BE1"/>
    <w:rsid w:val="03C34E20"/>
    <w:rsid w:val="03D13A8E"/>
    <w:rsid w:val="03D218F3"/>
    <w:rsid w:val="03D2543F"/>
    <w:rsid w:val="03D52D43"/>
    <w:rsid w:val="03DB40D5"/>
    <w:rsid w:val="03DC591A"/>
    <w:rsid w:val="03E54DB2"/>
    <w:rsid w:val="03F01DD4"/>
    <w:rsid w:val="03F13B52"/>
    <w:rsid w:val="03F40D88"/>
    <w:rsid w:val="03F90064"/>
    <w:rsid w:val="03FF7FDD"/>
    <w:rsid w:val="0402715C"/>
    <w:rsid w:val="04073B79"/>
    <w:rsid w:val="040C27DE"/>
    <w:rsid w:val="040D5B65"/>
    <w:rsid w:val="040F5252"/>
    <w:rsid w:val="0411346D"/>
    <w:rsid w:val="0413743F"/>
    <w:rsid w:val="04194EE5"/>
    <w:rsid w:val="041B1A84"/>
    <w:rsid w:val="041E1AA8"/>
    <w:rsid w:val="04286FA7"/>
    <w:rsid w:val="04290D80"/>
    <w:rsid w:val="042D6D5D"/>
    <w:rsid w:val="042F5027"/>
    <w:rsid w:val="043162C2"/>
    <w:rsid w:val="04323712"/>
    <w:rsid w:val="04327094"/>
    <w:rsid w:val="04330B20"/>
    <w:rsid w:val="04344B27"/>
    <w:rsid w:val="04346E3B"/>
    <w:rsid w:val="04376991"/>
    <w:rsid w:val="04451491"/>
    <w:rsid w:val="044646F2"/>
    <w:rsid w:val="04472162"/>
    <w:rsid w:val="044808C2"/>
    <w:rsid w:val="04486A60"/>
    <w:rsid w:val="044E5447"/>
    <w:rsid w:val="04520552"/>
    <w:rsid w:val="0453193F"/>
    <w:rsid w:val="04540768"/>
    <w:rsid w:val="045B1FDA"/>
    <w:rsid w:val="045B5449"/>
    <w:rsid w:val="045C33CA"/>
    <w:rsid w:val="045F4379"/>
    <w:rsid w:val="045F4EF0"/>
    <w:rsid w:val="04685E5F"/>
    <w:rsid w:val="046A2F58"/>
    <w:rsid w:val="046C6F8A"/>
    <w:rsid w:val="04705E93"/>
    <w:rsid w:val="04741F81"/>
    <w:rsid w:val="04743D44"/>
    <w:rsid w:val="04750BB4"/>
    <w:rsid w:val="04781A82"/>
    <w:rsid w:val="04797BB0"/>
    <w:rsid w:val="047A6B37"/>
    <w:rsid w:val="047B1A0C"/>
    <w:rsid w:val="047D6700"/>
    <w:rsid w:val="047F696E"/>
    <w:rsid w:val="04823739"/>
    <w:rsid w:val="0482755D"/>
    <w:rsid w:val="048762CE"/>
    <w:rsid w:val="048B7DE3"/>
    <w:rsid w:val="048D7696"/>
    <w:rsid w:val="048E50DF"/>
    <w:rsid w:val="04903C8A"/>
    <w:rsid w:val="04911C2F"/>
    <w:rsid w:val="04951B0D"/>
    <w:rsid w:val="04997878"/>
    <w:rsid w:val="049C0AAE"/>
    <w:rsid w:val="049E17D3"/>
    <w:rsid w:val="049E4E49"/>
    <w:rsid w:val="04A3004C"/>
    <w:rsid w:val="04A37F54"/>
    <w:rsid w:val="04AF2562"/>
    <w:rsid w:val="04B43B76"/>
    <w:rsid w:val="04B55AE5"/>
    <w:rsid w:val="04B664C3"/>
    <w:rsid w:val="04BB41F4"/>
    <w:rsid w:val="04BE431C"/>
    <w:rsid w:val="04C26B23"/>
    <w:rsid w:val="04CA40AF"/>
    <w:rsid w:val="04CA5038"/>
    <w:rsid w:val="04CA6AD5"/>
    <w:rsid w:val="04D2587A"/>
    <w:rsid w:val="04EE3371"/>
    <w:rsid w:val="04F25A50"/>
    <w:rsid w:val="04F423C8"/>
    <w:rsid w:val="04F706DE"/>
    <w:rsid w:val="04FA7097"/>
    <w:rsid w:val="04FC2174"/>
    <w:rsid w:val="04FD3818"/>
    <w:rsid w:val="04FF7E32"/>
    <w:rsid w:val="05021182"/>
    <w:rsid w:val="050419A2"/>
    <w:rsid w:val="050634B7"/>
    <w:rsid w:val="05074AD1"/>
    <w:rsid w:val="050B0B06"/>
    <w:rsid w:val="050F2272"/>
    <w:rsid w:val="051136AD"/>
    <w:rsid w:val="05172F1A"/>
    <w:rsid w:val="05175C97"/>
    <w:rsid w:val="05187BEE"/>
    <w:rsid w:val="051B0D8A"/>
    <w:rsid w:val="051D598E"/>
    <w:rsid w:val="051F70D2"/>
    <w:rsid w:val="05225726"/>
    <w:rsid w:val="0522722B"/>
    <w:rsid w:val="0523185F"/>
    <w:rsid w:val="05245068"/>
    <w:rsid w:val="0524523E"/>
    <w:rsid w:val="05283E11"/>
    <w:rsid w:val="052C252E"/>
    <w:rsid w:val="05300E16"/>
    <w:rsid w:val="05356D68"/>
    <w:rsid w:val="05361DF8"/>
    <w:rsid w:val="053700CA"/>
    <w:rsid w:val="05393882"/>
    <w:rsid w:val="053B7EFB"/>
    <w:rsid w:val="053F5517"/>
    <w:rsid w:val="054049DD"/>
    <w:rsid w:val="05404FEA"/>
    <w:rsid w:val="05483B2A"/>
    <w:rsid w:val="054A534B"/>
    <w:rsid w:val="054C75DB"/>
    <w:rsid w:val="054F7460"/>
    <w:rsid w:val="05504D21"/>
    <w:rsid w:val="05553D1F"/>
    <w:rsid w:val="05554FF6"/>
    <w:rsid w:val="05582A9A"/>
    <w:rsid w:val="055C7C20"/>
    <w:rsid w:val="05644043"/>
    <w:rsid w:val="05680508"/>
    <w:rsid w:val="056C51C6"/>
    <w:rsid w:val="056E27B4"/>
    <w:rsid w:val="057109FA"/>
    <w:rsid w:val="05713D27"/>
    <w:rsid w:val="057831EF"/>
    <w:rsid w:val="057906AE"/>
    <w:rsid w:val="05790C06"/>
    <w:rsid w:val="057F3018"/>
    <w:rsid w:val="058027CD"/>
    <w:rsid w:val="05862C6D"/>
    <w:rsid w:val="0586642B"/>
    <w:rsid w:val="058861B9"/>
    <w:rsid w:val="05893B15"/>
    <w:rsid w:val="05894283"/>
    <w:rsid w:val="05915C32"/>
    <w:rsid w:val="05926A40"/>
    <w:rsid w:val="05935087"/>
    <w:rsid w:val="059873CE"/>
    <w:rsid w:val="059B0748"/>
    <w:rsid w:val="059B4797"/>
    <w:rsid w:val="059E13BB"/>
    <w:rsid w:val="05A46070"/>
    <w:rsid w:val="05A857D2"/>
    <w:rsid w:val="05AA7940"/>
    <w:rsid w:val="05AC6CEC"/>
    <w:rsid w:val="05B87FAB"/>
    <w:rsid w:val="05BB5C88"/>
    <w:rsid w:val="05C86834"/>
    <w:rsid w:val="05C94D84"/>
    <w:rsid w:val="05CA2088"/>
    <w:rsid w:val="05CB5FD3"/>
    <w:rsid w:val="05CD05ED"/>
    <w:rsid w:val="05CE0C40"/>
    <w:rsid w:val="05CF5A1C"/>
    <w:rsid w:val="05CF6AD4"/>
    <w:rsid w:val="05D957EA"/>
    <w:rsid w:val="05DC5D7E"/>
    <w:rsid w:val="05E017E3"/>
    <w:rsid w:val="05E43FB1"/>
    <w:rsid w:val="05E92138"/>
    <w:rsid w:val="05ED2A58"/>
    <w:rsid w:val="05EE2205"/>
    <w:rsid w:val="05F06586"/>
    <w:rsid w:val="05F075AC"/>
    <w:rsid w:val="05F11522"/>
    <w:rsid w:val="05FB7AC2"/>
    <w:rsid w:val="060264DC"/>
    <w:rsid w:val="060577E4"/>
    <w:rsid w:val="0606353A"/>
    <w:rsid w:val="06073C72"/>
    <w:rsid w:val="06104142"/>
    <w:rsid w:val="06111B91"/>
    <w:rsid w:val="06162727"/>
    <w:rsid w:val="06185D4E"/>
    <w:rsid w:val="061B7983"/>
    <w:rsid w:val="061C1EF2"/>
    <w:rsid w:val="06200F64"/>
    <w:rsid w:val="06230E66"/>
    <w:rsid w:val="06263C07"/>
    <w:rsid w:val="0627028D"/>
    <w:rsid w:val="0627282F"/>
    <w:rsid w:val="06281A82"/>
    <w:rsid w:val="062A093A"/>
    <w:rsid w:val="062C0475"/>
    <w:rsid w:val="062E709F"/>
    <w:rsid w:val="06304D0B"/>
    <w:rsid w:val="06344449"/>
    <w:rsid w:val="06362B68"/>
    <w:rsid w:val="063F1834"/>
    <w:rsid w:val="06455513"/>
    <w:rsid w:val="064622A9"/>
    <w:rsid w:val="064F07A9"/>
    <w:rsid w:val="06510CCD"/>
    <w:rsid w:val="06524F3D"/>
    <w:rsid w:val="06572B10"/>
    <w:rsid w:val="065E17F9"/>
    <w:rsid w:val="0660457D"/>
    <w:rsid w:val="066126E3"/>
    <w:rsid w:val="06614217"/>
    <w:rsid w:val="06626369"/>
    <w:rsid w:val="06632422"/>
    <w:rsid w:val="066A4B8A"/>
    <w:rsid w:val="066F0710"/>
    <w:rsid w:val="066F21B5"/>
    <w:rsid w:val="066F3E5B"/>
    <w:rsid w:val="06707B69"/>
    <w:rsid w:val="067C0616"/>
    <w:rsid w:val="067C19EC"/>
    <w:rsid w:val="0682509F"/>
    <w:rsid w:val="0689047C"/>
    <w:rsid w:val="06896889"/>
    <w:rsid w:val="068D57A1"/>
    <w:rsid w:val="068E08B6"/>
    <w:rsid w:val="068F6328"/>
    <w:rsid w:val="0691167C"/>
    <w:rsid w:val="06947055"/>
    <w:rsid w:val="06962B13"/>
    <w:rsid w:val="069B3464"/>
    <w:rsid w:val="069B47FF"/>
    <w:rsid w:val="069B7A60"/>
    <w:rsid w:val="06A01ADE"/>
    <w:rsid w:val="06A16B1D"/>
    <w:rsid w:val="06A5449F"/>
    <w:rsid w:val="06AC556A"/>
    <w:rsid w:val="06B1188F"/>
    <w:rsid w:val="06B42978"/>
    <w:rsid w:val="06BB17BF"/>
    <w:rsid w:val="06BE5894"/>
    <w:rsid w:val="06C024C2"/>
    <w:rsid w:val="06C24F58"/>
    <w:rsid w:val="06C80594"/>
    <w:rsid w:val="06CD5279"/>
    <w:rsid w:val="06D0747F"/>
    <w:rsid w:val="06D174C7"/>
    <w:rsid w:val="06D22F65"/>
    <w:rsid w:val="06D272E1"/>
    <w:rsid w:val="06D8716A"/>
    <w:rsid w:val="06DA2325"/>
    <w:rsid w:val="06DE177C"/>
    <w:rsid w:val="06E07867"/>
    <w:rsid w:val="06E3285A"/>
    <w:rsid w:val="06E675D7"/>
    <w:rsid w:val="06E915AA"/>
    <w:rsid w:val="06E97200"/>
    <w:rsid w:val="06EF310D"/>
    <w:rsid w:val="06EF373E"/>
    <w:rsid w:val="06F0060F"/>
    <w:rsid w:val="06F115D0"/>
    <w:rsid w:val="06F142D3"/>
    <w:rsid w:val="06F16E07"/>
    <w:rsid w:val="06F20A08"/>
    <w:rsid w:val="06F53B18"/>
    <w:rsid w:val="06F6497F"/>
    <w:rsid w:val="06F86421"/>
    <w:rsid w:val="06FB02A2"/>
    <w:rsid w:val="06FB5778"/>
    <w:rsid w:val="06FD063F"/>
    <w:rsid w:val="07036A03"/>
    <w:rsid w:val="07043E92"/>
    <w:rsid w:val="07045EBB"/>
    <w:rsid w:val="07075CD2"/>
    <w:rsid w:val="070A01E6"/>
    <w:rsid w:val="070B17C6"/>
    <w:rsid w:val="07116A04"/>
    <w:rsid w:val="07163EDD"/>
    <w:rsid w:val="07172401"/>
    <w:rsid w:val="07172E31"/>
    <w:rsid w:val="071B1F86"/>
    <w:rsid w:val="071F239C"/>
    <w:rsid w:val="07206681"/>
    <w:rsid w:val="07232D05"/>
    <w:rsid w:val="072454F1"/>
    <w:rsid w:val="07245B19"/>
    <w:rsid w:val="07306EAB"/>
    <w:rsid w:val="07375D00"/>
    <w:rsid w:val="073D5B04"/>
    <w:rsid w:val="073E1EB8"/>
    <w:rsid w:val="073F23FF"/>
    <w:rsid w:val="073F425E"/>
    <w:rsid w:val="0740414F"/>
    <w:rsid w:val="074478B9"/>
    <w:rsid w:val="07476C68"/>
    <w:rsid w:val="074A312C"/>
    <w:rsid w:val="074A57AD"/>
    <w:rsid w:val="074F7722"/>
    <w:rsid w:val="07510CE7"/>
    <w:rsid w:val="075450EF"/>
    <w:rsid w:val="0754547B"/>
    <w:rsid w:val="07575D8E"/>
    <w:rsid w:val="07584BC4"/>
    <w:rsid w:val="075D63E4"/>
    <w:rsid w:val="075F20AC"/>
    <w:rsid w:val="07651BB3"/>
    <w:rsid w:val="07671780"/>
    <w:rsid w:val="07700CFA"/>
    <w:rsid w:val="07794AD1"/>
    <w:rsid w:val="077A40A1"/>
    <w:rsid w:val="077E2FB7"/>
    <w:rsid w:val="07817DC1"/>
    <w:rsid w:val="0784065B"/>
    <w:rsid w:val="07843FEB"/>
    <w:rsid w:val="07855AB6"/>
    <w:rsid w:val="0786775F"/>
    <w:rsid w:val="07893150"/>
    <w:rsid w:val="078A4E30"/>
    <w:rsid w:val="0791563F"/>
    <w:rsid w:val="079F2DF6"/>
    <w:rsid w:val="07A156E5"/>
    <w:rsid w:val="07AA5533"/>
    <w:rsid w:val="07AA7EF5"/>
    <w:rsid w:val="07B02293"/>
    <w:rsid w:val="07B04115"/>
    <w:rsid w:val="07B10105"/>
    <w:rsid w:val="07B3091E"/>
    <w:rsid w:val="07B70826"/>
    <w:rsid w:val="07B83FA9"/>
    <w:rsid w:val="07BE7C26"/>
    <w:rsid w:val="07C22BFB"/>
    <w:rsid w:val="07C2364C"/>
    <w:rsid w:val="07C40FEC"/>
    <w:rsid w:val="07CA2FEB"/>
    <w:rsid w:val="07CD390F"/>
    <w:rsid w:val="07D90968"/>
    <w:rsid w:val="07E44828"/>
    <w:rsid w:val="07E53C26"/>
    <w:rsid w:val="07E76132"/>
    <w:rsid w:val="07EC25A5"/>
    <w:rsid w:val="07F6206D"/>
    <w:rsid w:val="07F71623"/>
    <w:rsid w:val="07F773CA"/>
    <w:rsid w:val="07FA41CC"/>
    <w:rsid w:val="07FB306A"/>
    <w:rsid w:val="07FB3A2D"/>
    <w:rsid w:val="07FC0776"/>
    <w:rsid w:val="07FF7F37"/>
    <w:rsid w:val="080003D5"/>
    <w:rsid w:val="0801184E"/>
    <w:rsid w:val="080144D7"/>
    <w:rsid w:val="08024108"/>
    <w:rsid w:val="08024C9F"/>
    <w:rsid w:val="08067EA6"/>
    <w:rsid w:val="080867A5"/>
    <w:rsid w:val="081071D9"/>
    <w:rsid w:val="08116844"/>
    <w:rsid w:val="0817395B"/>
    <w:rsid w:val="081D0091"/>
    <w:rsid w:val="08265F42"/>
    <w:rsid w:val="08291F2A"/>
    <w:rsid w:val="082A1134"/>
    <w:rsid w:val="082D47AA"/>
    <w:rsid w:val="082E061D"/>
    <w:rsid w:val="082E3D99"/>
    <w:rsid w:val="08310349"/>
    <w:rsid w:val="083244D0"/>
    <w:rsid w:val="083C008E"/>
    <w:rsid w:val="083E1FC6"/>
    <w:rsid w:val="08415697"/>
    <w:rsid w:val="0842135C"/>
    <w:rsid w:val="0846066D"/>
    <w:rsid w:val="084643FF"/>
    <w:rsid w:val="08477A6A"/>
    <w:rsid w:val="0849232E"/>
    <w:rsid w:val="084C4B96"/>
    <w:rsid w:val="084C6200"/>
    <w:rsid w:val="084F175C"/>
    <w:rsid w:val="084F22EA"/>
    <w:rsid w:val="0850613C"/>
    <w:rsid w:val="08516378"/>
    <w:rsid w:val="085A743F"/>
    <w:rsid w:val="085C4987"/>
    <w:rsid w:val="085D6C7E"/>
    <w:rsid w:val="08645037"/>
    <w:rsid w:val="08646817"/>
    <w:rsid w:val="08677A1C"/>
    <w:rsid w:val="08684CA1"/>
    <w:rsid w:val="08692DB1"/>
    <w:rsid w:val="086D61D8"/>
    <w:rsid w:val="086F3357"/>
    <w:rsid w:val="086F52E5"/>
    <w:rsid w:val="08704259"/>
    <w:rsid w:val="08777B8D"/>
    <w:rsid w:val="087800ED"/>
    <w:rsid w:val="087E7D5B"/>
    <w:rsid w:val="08800881"/>
    <w:rsid w:val="08803B1F"/>
    <w:rsid w:val="088C0FC3"/>
    <w:rsid w:val="088C339A"/>
    <w:rsid w:val="088D0A8F"/>
    <w:rsid w:val="08911A63"/>
    <w:rsid w:val="08964C78"/>
    <w:rsid w:val="08972BDA"/>
    <w:rsid w:val="089D626D"/>
    <w:rsid w:val="089F097B"/>
    <w:rsid w:val="089F6497"/>
    <w:rsid w:val="08A14E3C"/>
    <w:rsid w:val="08A6479A"/>
    <w:rsid w:val="08A84621"/>
    <w:rsid w:val="08AC4F3A"/>
    <w:rsid w:val="08AE6494"/>
    <w:rsid w:val="08B03C59"/>
    <w:rsid w:val="08B05D0D"/>
    <w:rsid w:val="08B251D2"/>
    <w:rsid w:val="08B71D15"/>
    <w:rsid w:val="08B71D47"/>
    <w:rsid w:val="08BE04EB"/>
    <w:rsid w:val="08C05759"/>
    <w:rsid w:val="08C610E8"/>
    <w:rsid w:val="08C86C44"/>
    <w:rsid w:val="08C93438"/>
    <w:rsid w:val="08CC44EE"/>
    <w:rsid w:val="08CC6077"/>
    <w:rsid w:val="08CF1A99"/>
    <w:rsid w:val="08CF52C9"/>
    <w:rsid w:val="08D204C9"/>
    <w:rsid w:val="08D407F0"/>
    <w:rsid w:val="08D630B8"/>
    <w:rsid w:val="08D63CF4"/>
    <w:rsid w:val="08D91170"/>
    <w:rsid w:val="08E3001D"/>
    <w:rsid w:val="08E90378"/>
    <w:rsid w:val="08ED6D0A"/>
    <w:rsid w:val="08F0663C"/>
    <w:rsid w:val="08F069B9"/>
    <w:rsid w:val="08F14CEE"/>
    <w:rsid w:val="08F16320"/>
    <w:rsid w:val="08F17EB6"/>
    <w:rsid w:val="08F63668"/>
    <w:rsid w:val="08F826CD"/>
    <w:rsid w:val="08F91080"/>
    <w:rsid w:val="08FC53AE"/>
    <w:rsid w:val="08FE21F6"/>
    <w:rsid w:val="08FE49D8"/>
    <w:rsid w:val="08FE70E0"/>
    <w:rsid w:val="0901442A"/>
    <w:rsid w:val="09024E9D"/>
    <w:rsid w:val="09034888"/>
    <w:rsid w:val="09080114"/>
    <w:rsid w:val="090A2766"/>
    <w:rsid w:val="090B0EF5"/>
    <w:rsid w:val="090E3976"/>
    <w:rsid w:val="091302B4"/>
    <w:rsid w:val="091437CC"/>
    <w:rsid w:val="09172C7C"/>
    <w:rsid w:val="0919537A"/>
    <w:rsid w:val="091A7E88"/>
    <w:rsid w:val="091B0D35"/>
    <w:rsid w:val="091F08AB"/>
    <w:rsid w:val="091F47E9"/>
    <w:rsid w:val="09207146"/>
    <w:rsid w:val="092546A9"/>
    <w:rsid w:val="09260072"/>
    <w:rsid w:val="09275A73"/>
    <w:rsid w:val="092841F5"/>
    <w:rsid w:val="092D5330"/>
    <w:rsid w:val="092D6FC5"/>
    <w:rsid w:val="09326BCA"/>
    <w:rsid w:val="09334E13"/>
    <w:rsid w:val="09394B8A"/>
    <w:rsid w:val="093C2869"/>
    <w:rsid w:val="09424472"/>
    <w:rsid w:val="094723B3"/>
    <w:rsid w:val="09494786"/>
    <w:rsid w:val="09495B18"/>
    <w:rsid w:val="094A13E4"/>
    <w:rsid w:val="094A5D89"/>
    <w:rsid w:val="094A7A79"/>
    <w:rsid w:val="09513454"/>
    <w:rsid w:val="095168B7"/>
    <w:rsid w:val="09544B9B"/>
    <w:rsid w:val="09577600"/>
    <w:rsid w:val="09583BFB"/>
    <w:rsid w:val="09585FD7"/>
    <w:rsid w:val="095D34C4"/>
    <w:rsid w:val="09616291"/>
    <w:rsid w:val="096325FE"/>
    <w:rsid w:val="096A27F9"/>
    <w:rsid w:val="096C5FA9"/>
    <w:rsid w:val="0976529C"/>
    <w:rsid w:val="097D6253"/>
    <w:rsid w:val="097E6DF5"/>
    <w:rsid w:val="09850947"/>
    <w:rsid w:val="09870340"/>
    <w:rsid w:val="09875E78"/>
    <w:rsid w:val="098B0C58"/>
    <w:rsid w:val="098B44BD"/>
    <w:rsid w:val="098E6B39"/>
    <w:rsid w:val="098F70CB"/>
    <w:rsid w:val="09905773"/>
    <w:rsid w:val="099309D3"/>
    <w:rsid w:val="099363D3"/>
    <w:rsid w:val="099759A2"/>
    <w:rsid w:val="099B3D19"/>
    <w:rsid w:val="099B473F"/>
    <w:rsid w:val="099E33AE"/>
    <w:rsid w:val="09A15DF7"/>
    <w:rsid w:val="09A564D5"/>
    <w:rsid w:val="09A7373A"/>
    <w:rsid w:val="09A974A2"/>
    <w:rsid w:val="09AB1AC5"/>
    <w:rsid w:val="09AE7021"/>
    <w:rsid w:val="09B162A6"/>
    <w:rsid w:val="09B1658A"/>
    <w:rsid w:val="09B375AE"/>
    <w:rsid w:val="09B40738"/>
    <w:rsid w:val="09B417C2"/>
    <w:rsid w:val="09BE1537"/>
    <w:rsid w:val="09C871CE"/>
    <w:rsid w:val="09CA2B1E"/>
    <w:rsid w:val="09CE04C7"/>
    <w:rsid w:val="09D04A54"/>
    <w:rsid w:val="09D3205A"/>
    <w:rsid w:val="09D35D64"/>
    <w:rsid w:val="09D36D05"/>
    <w:rsid w:val="09D94A34"/>
    <w:rsid w:val="09D94D63"/>
    <w:rsid w:val="09DA1763"/>
    <w:rsid w:val="09DC181E"/>
    <w:rsid w:val="09E33524"/>
    <w:rsid w:val="09E747B7"/>
    <w:rsid w:val="09E75CBA"/>
    <w:rsid w:val="09EF1E88"/>
    <w:rsid w:val="09F23837"/>
    <w:rsid w:val="09F27BBE"/>
    <w:rsid w:val="09F53D88"/>
    <w:rsid w:val="09F579A6"/>
    <w:rsid w:val="09F77BCD"/>
    <w:rsid w:val="09F9731C"/>
    <w:rsid w:val="09FB42A8"/>
    <w:rsid w:val="09FB478C"/>
    <w:rsid w:val="09FE5794"/>
    <w:rsid w:val="0A005DBB"/>
    <w:rsid w:val="0A0521D6"/>
    <w:rsid w:val="0A074822"/>
    <w:rsid w:val="0A0A32D3"/>
    <w:rsid w:val="0A0E3BE6"/>
    <w:rsid w:val="0A125E5B"/>
    <w:rsid w:val="0A136497"/>
    <w:rsid w:val="0A16231E"/>
    <w:rsid w:val="0A174751"/>
    <w:rsid w:val="0A1D104D"/>
    <w:rsid w:val="0A1F31D0"/>
    <w:rsid w:val="0A2060BE"/>
    <w:rsid w:val="0A216E1D"/>
    <w:rsid w:val="0A230241"/>
    <w:rsid w:val="0A2D4874"/>
    <w:rsid w:val="0A3271CA"/>
    <w:rsid w:val="0A360C9B"/>
    <w:rsid w:val="0A385885"/>
    <w:rsid w:val="0A387F27"/>
    <w:rsid w:val="0A3A5202"/>
    <w:rsid w:val="0A3C4135"/>
    <w:rsid w:val="0A3D3B6A"/>
    <w:rsid w:val="0A3D5E9D"/>
    <w:rsid w:val="0A4463CF"/>
    <w:rsid w:val="0A4B093E"/>
    <w:rsid w:val="0A4C397E"/>
    <w:rsid w:val="0A5A4633"/>
    <w:rsid w:val="0A5B5372"/>
    <w:rsid w:val="0A5C773B"/>
    <w:rsid w:val="0A5D64E4"/>
    <w:rsid w:val="0A5E6ECF"/>
    <w:rsid w:val="0A60493D"/>
    <w:rsid w:val="0A625C21"/>
    <w:rsid w:val="0A6656C4"/>
    <w:rsid w:val="0A666D0A"/>
    <w:rsid w:val="0A6E209A"/>
    <w:rsid w:val="0A6E5EE2"/>
    <w:rsid w:val="0A751F1C"/>
    <w:rsid w:val="0A767571"/>
    <w:rsid w:val="0A7868A8"/>
    <w:rsid w:val="0A7B3EA3"/>
    <w:rsid w:val="0A7C39B7"/>
    <w:rsid w:val="0A7E573E"/>
    <w:rsid w:val="0A7F067C"/>
    <w:rsid w:val="0A825C3D"/>
    <w:rsid w:val="0A8422D6"/>
    <w:rsid w:val="0A8628DF"/>
    <w:rsid w:val="0A8A3778"/>
    <w:rsid w:val="0A8E7047"/>
    <w:rsid w:val="0A8F1DF8"/>
    <w:rsid w:val="0A985F94"/>
    <w:rsid w:val="0A9B52CF"/>
    <w:rsid w:val="0A9B5ADD"/>
    <w:rsid w:val="0A9C76AB"/>
    <w:rsid w:val="0A9F25CD"/>
    <w:rsid w:val="0AA11A8C"/>
    <w:rsid w:val="0AA57F7A"/>
    <w:rsid w:val="0AA80D27"/>
    <w:rsid w:val="0AA92AC6"/>
    <w:rsid w:val="0AAB7015"/>
    <w:rsid w:val="0AAC2D8B"/>
    <w:rsid w:val="0AAD18A1"/>
    <w:rsid w:val="0AB023D9"/>
    <w:rsid w:val="0AB15E0C"/>
    <w:rsid w:val="0AC2263A"/>
    <w:rsid w:val="0AC81D4C"/>
    <w:rsid w:val="0AC9640E"/>
    <w:rsid w:val="0AD43593"/>
    <w:rsid w:val="0ADA15A8"/>
    <w:rsid w:val="0AE06873"/>
    <w:rsid w:val="0AE3196A"/>
    <w:rsid w:val="0AE52488"/>
    <w:rsid w:val="0AE5458F"/>
    <w:rsid w:val="0AE87458"/>
    <w:rsid w:val="0AE87FD7"/>
    <w:rsid w:val="0AEA11CF"/>
    <w:rsid w:val="0AF63A89"/>
    <w:rsid w:val="0AF85D61"/>
    <w:rsid w:val="0AF908E9"/>
    <w:rsid w:val="0AFA4D48"/>
    <w:rsid w:val="0B021FA6"/>
    <w:rsid w:val="0B0318AC"/>
    <w:rsid w:val="0B0B2C03"/>
    <w:rsid w:val="0B113C03"/>
    <w:rsid w:val="0B1365EF"/>
    <w:rsid w:val="0B157C15"/>
    <w:rsid w:val="0B1653FC"/>
    <w:rsid w:val="0B1859FB"/>
    <w:rsid w:val="0B1C57C4"/>
    <w:rsid w:val="0B1E0D6A"/>
    <w:rsid w:val="0B1E224A"/>
    <w:rsid w:val="0B1F1C95"/>
    <w:rsid w:val="0B1F4A6F"/>
    <w:rsid w:val="0B217DC2"/>
    <w:rsid w:val="0B2232ED"/>
    <w:rsid w:val="0B246088"/>
    <w:rsid w:val="0B256AB0"/>
    <w:rsid w:val="0B2D40E1"/>
    <w:rsid w:val="0B30796F"/>
    <w:rsid w:val="0B323AA5"/>
    <w:rsid w:val="0B3654C7"/>
    <w:rsid w:val="0B382BC0"/>
    <w:rsid w:val="0B3864D2"/>
    <w:rsid w:val="0B3B3FBB"/>
    <w:rsid w:val="0B3C5CFD"/>
    <w:rsid w:val="0B3F7864"/>
    <w:rsid w:val="0B405F77"/>
    <w:rsid w:val="0B466FE0"/>
    <w:rsid w:val="0B490A9C"/>
    <w:rsid w:val="0B4A15AB"/>
    <w:rsid w:val="0B4D636F"/>
    <w:rsid w:val="0B5203AB"/>
    <w:rsid w:val="0B525C29"/>
    <w:rsid w:val="0B530EB5"/>
    <w:rsid w:val="0B542B8B"/>
    <w:rsid w:val="0B565BD6"/>
    <w:rsid w:val="0B57703F"/>
    <w:rsid w:val="0B5904BE"/>
    <w:rsid w:val="0B5C3CA5"/>
    <w:rsid w:val="0B5E5A35"/>
    <w:rsid w:val="0B6215D3"/>
    <w:rsid w:val="0B661992"/>
    <w:rsid w:val="0B6A0ED9"/>
    <w:rsid w:val="0B6C3500"/>
    <w:rsid w:val="0B71761E"/>
    <w:rsid w:val="0B7363A6"/>
    <w:rsid w:val="0B757EF3"/>
    <w:rsid w:val="0B79222F"/>
    <w:rsid w:val="0B7A5D59"/>
    <w:rsid w:val="0B7B7FAA"/>
    <w:rsid w:val="0B7C7736"/>
    <w:rsid w:val="0B8061D0"/>
    <w:rsid w:val="0B806789"/>
    <w:rsid w:val="0B8E1CC8"/>
    <w:rsid w:val="0B942AA2"/>
    <w:rsid w:val="0B9537CF"/>
    <w:rsid w:val="0B964A23"/>
    <w:rsid w:val="0B965315"/>
    <w:rsid w:val="0B9820EB"/>
    <w:rsid w:val="0BA17543"/>
    <w:rsid w:val="0BA87724"/>
    <w:rsid w:val="0BA922EE"/>
    <w:rsid w:val="0BA9428E"/>
    <w:rsid w:val="0BAB1CA9"/>
    <w:rsid w:val="0BAC4DF8"/>
    <w:rsid w:val="0BAE4A60"/>
    <w:rsid w:val="0BB45C6F"/>
    <w:rsid w:val="0BB86931"/>
    <w:rsid w:val="0BB90ACE"/>
    <w:rsid w:val="0BBC3A16"/>
    <w:rsid w:val="0BBF18C4"/>
    <w:rsid w:val="0BC50490"/>
    <w:rsid w:val="0BC60211"/>
    <w:rsid w:val="0BC85D8B"/>
    <w:rsid w:val="0BCC6A0E"/>
    <w:rsid w:val="0BCE4F81"/>
    <w:rsid w:val="0BCF5836"/>
    <w:rsid w:val="0BD14982"/>
    <w:rsid w:val="0BD36791"/>
    <w:rsid w:val="0BD37D2D"/>
    <w:rsid w:val="0BD70BED"/>
    <w:rsid w:val="0BDA7C9E"/>
    <w:rsid w:val="0BDC335D"/>
    <w:rsid w:val="0BDE615E"/>
    <w:rsid w:val="0BE32EDF"/>
    <w:rsid w:val="0BE914C2"/>
    <w:rsid w:val="0BEA26EA"/>
    <w:rsid w:val="0BEC4BA0"/>
    <w:rsid w:val="0BEE28A3"/>
    <w:rsid w:val="0BEF58C8"/>
    <w:rsid w:val="0BF7313B"/>
    <w:rsid w:val="0BF87C2D"/>
    <w:rsid w:val="0C01188A"/>
    <w:rsid w:val="0C01293A"/>
    <w:rsid w:val="0C054535"/>
    <w:rsid w:val="0C0B2798"/>
    <w:rsid w:val="0C141E80"/>
    <w:rsid w:val="0C1421DB"/>
    <w:rsid w:val="0C147E0C"/>
    <w:rsid w:val="0C182336"/>
    <w:rsid w:val="0C183F23"/>
    <w:rsid w:val="0C186D59"/>
    <w:rsid w:val="0C1A4F33"/>
    <w:rsid w:val="0C1E6FED"/>
    <w:rsid w:val="0C267FFC"/>
    <w:rsid w:val="0C317BA2"/>
    <w:rsid w:val="0C32005F"/>
    <w:rsid w:val="0C3227FE"/>
    <w:rsid w:val="0C3C2097"/>
    <w:rsid w:val="0C3D7A41"/>
    <w:rsid w:val="0C41204A"/>
    <w:rsid w:val="0C424914"/>
    <w:rsid w:val="0C44580D"/>
    <w:rsid w:val="0C454055"/>
    <w:rsid w:val="0C467327"/>
    <w:rsid w:val="0C491D3F"/>
    <w:rsid w:val="0C4B62BE"/>
    <w:rsid w:val="0C4F403F"/>
    <w:rsid w:val="0C516AD5"/>
    <w:rsid w:val="0C5174B4"/>
    <w:rsid w:val="0C55172C"/>
    <w:rsid w:val="0C584831"/>
    <w:rsid w:val="0C5B0AE7"/>
    <w:rsid w:val="0C604D2B"/>
    <w:rsid w:val="0C661413"/>
    <w:rsid w:val="0C667690"/>
    <w:rsid w:val="0C694828"/>
    <w:rsid w:val="0C6F19F3"/>
    <w:rsid w:val="0C7336F3"/>
    <w:rsid w:val="0C742C4F"/>
    <w:rsid w:val="0C75128E"/>
    <w:rsid w:val="0C7977E7"/>
    <w:rsid w:val="0C7B2C59"/>
    <w:rsid w:val="0C8156D4"/>
    <w:rsid w:val="0C8F4D21"/>
    <w:rsid w:val="0C933B81"/>
    <w:rsid w:val="0C9355E2"/>
    <w:rsid w:val="0C955DD3"/>
    <w:rsid w:val="0C984647"/>
    <w:rsid w:val="0C98515B"/>
    <w:rsid w:val="0C9E0CB7"/>
    <w:rsid w:val="0CA40D2D"/>
    <w:rsid w:val="0CA43A0C"/>
    <w:rsid w:val="0CA43C43"/>
    <w:rsid w:val="0CA55EFE"/>
    <w:rsid w:val="0CAB06F5"/>
    <w:rsid w:val="0CAE2BB0"/>
    <w:rsid w:val="0CAF4666"/>
    <w:rsid w:val="0CB7623B"/>
    <w:rsid w:val="0CBB5434"/>
    <w:rsid w:val="0CBE14FA"/>
    <w:rsid w:val="0CC131FD"/>
    <w:rsid w:val="0CC2133F"/>
    <w:rsid w:val="0CC267B2"/>
    <w:rsid w:val="0CC356CE"/>
    <w:rsid w:val="0CC72A8A"/>
    <w:rsid w:val="0CCA0EC7"/>
    <w:rsid w:val="0CD26000"/>
    <w:rsid w:val="0CD71CC6"/>
    <w:rsid w:val="0CD74325"/>
    <w:rsid w:val="0CDF29BE"/>
    <w:rsid w:val="0CE45CBF"/>
    <w:rsid w:val="0CEA03B2"/>
    <w:rsid w:val="0CEC4F0A"/>
    <w:rsid w:val="0CF44B52"/>
    <w:rsid w:val="0CF67EB6"/>
    <w:rsid w:val="0CF94B9B"/>
    <w:rsid w:val="0CFA15DA"/>
    <w:rsid w:val="0CFA53B5"/>
    <w:rsid w:val="0D046DE4"/>
    <w:rsid w:val="0D050119"/>
    <w:rsid w:val="0D1D14B7"/>
    <w:rsid w:val="0D1E343A"/>
    <w:rsid w:val="0D220D79"/>
    <w:rsid w:val="0D22276C"/>
    <w:rsid w:val="0D266526"/>
    <w:rsid w:val="0D26731B"/>
    <w:rsid w:val="0D2C26B8"/>
    <w:rsid w:val="0D2E4A03"/>
    <w:rsid w:val="0D3048DC"/>
    <w:rsid w:val="0D3205BC"/>
    <w:rsid w:val="0D324303"/>
    <w:rsid w:val="0D326B6D"/>
    <w:rsid w:val="0D372D9B"/>
    <w:rsid w:val="0D3844E3"/>
    <w:rsid w:val="0D3B3572"/>
    <w:rsid w:val="0D3C4E46"/>
    <w:rsid w:val="0D3D721C"/>
    <w:rsid w:val="0D4303DB"/>
    <w:rsid w:val="0D4957AA"/>
    <w:rsid w:val="0D503946"/>
    <w:rsid w:val="0D5E1277"/>
    <w:rsid w:val="0D603141"/>
    <w:rsid w:val="0D610991"/>
    <w:rsid w:val="0D68666D"/>
    <w:rsid w:val="0D6B3E41"/>
    <w:rsid w:val="0D6B6F7E"/>
    <w:rsid w:val="0D727282"/>
    <w:rsid w:val="0D742837"/>
    <w:rsid w:val="0D7454D4"/>
    <w:rsid w:val="0D745C15"/>
    <w:rsid w:val="0D7B47EA"/>
    <w:rsid w:val="0D810B39"/>
    <w:rsid w:val="0D895B72"/>
    <w:rsid w:val="0D8A5C55"/>
    <w:rsid w:val="0D8C2748"/>
    <w:rsid w:val="0D8E34B3"/>
    <w:rsid w:val="0D9329D5"/>
    <w:rsid w:val="0D950837"/>
    <w:rsid w:val="0D9719B2"/>
    <w:rsid w:val="0D9D3F77"/>
    <w:rsid w:val="0DA54443"/>
    <w:rsid w:val="0DA85F83"/>
    <w:rsid w:val="0DA874FA"/>
    <w:rsid w:val="0DA96082"/>
    <w:rsid w:val="0DAC6A23"/>
    <w:rsid w:val="0DAD3A74"/>
    <w:rsid w:val="0DAE1370"/>
    <w:rsid w:val="0DB36871"/>
    <w:rsid w:val="0DB53D86"/>
    <w:rsid w:val="0DB60F91"/>
    <w:rsid w:val="0DB6208F"/>
    <w:rsid w:val="0DB85A73"/>
    <w:rsid w:val="0DBA2D83"/>
    <w:rsid w:val="0DBE1339"/>
    <w:rsid w:val="0DC54A77"/>
    <w:rsid w:val="0DC55432"/>
    <w:rsid w:val="0DC7182E"/>
    <w:rsid w:val="0DC77617"/>
    <w:rsid w:val="0DC85045"/>
    <w:rsid w:val="0DC96B3C"/>
    <w:rsid w:val="0DCC1153"/>
    <w:rsid w:val="0DCC6E5A"/>
    <w:rsid w:val="0DD1772C"/>
    <w:rsid w:val="0DD26777"/>
    <w:rsid w:val="0DD36CFA"/>
    <w:rsid w:val="0DD542F7"/>
    <w:rsid w:val="0DDB29B1"/>
    <w:rsid w:val="0DDC1AD5"/>
    <w:rsid w:val="0DDE284E"/>
    <w:rsid w:val="0DE13045"/>
    <w:rsid w:val="0DE446AF"/>
    <w:rsid w:val="0DE461EB"/>
    <w:rsid w:val="0DE7167F"/>
    <w:rsid w:val="0DE72EC8"/>
    <w:rsid w:val="0DE80DEB"/>
    <w:rsid w:val="0DEE036E"/>
    <w:rsid w:val="0DF36D47"/>
    <w:rsid w:val="0DF432CB"/>
    <w:rsid w:val="0DF65566"/>
    <w:rsid w:val="0DF856CF"/>
    <w:rsid w:val="0DFD2EA4"/>
    <w:rsid w:val="0DFD7BF0"/>
    <w:rsid w:val="0E0029F0"/>
    <w:rsid w:val="0E017EAC"/>
    <w:rsid w:val="0E0A1F01"/>
    <w:rsid w:val="0E0B5A0B"/>
    <w:rsid w:val="0E107A35"/>
    <w:rsid w:val="0E112FCA"/>
    <w:rsid w:val="0E187D33"/>
    <w:rsid w:val="0E1B2516"/>
    <w:rsid w:val="0E216380"/>
    <w:rsid w:val="0E232681"/>
    <w:rsid w:val="0E24242E"/>
    <w:rsid w:val="0E26549A"/>
    <w:rsid w:val="0E285636"/>
    <w:rsid w:val="0E2D033E"/>
    <w:rsid w:val="0E2F0959"/>
    <w:rsid w:val="0E3255D1"/>
    <w:rsid w:val="0E327B2C"/>
    <w:rsid w:val="0E371392"/>
    <w:rsid w:val="0E390F60"/>
    <w:rsid w:val="0E402478"/>
    <w:rsid w:val="0E405874"/>
    <w:rsid w:val="0E421CC8"/>
    <w:rsid w:val="0E4815E4"/>
    <w:rsid w:val="0E495987"/>
    <w:rsid w:val="0E4B3275"/>
    <w:rsid w:val="0E4C5D17"/>
    <w:rsid w:val="0E4F3AA2"/>
    <w:rsid w:val="0E525832"/>
    <w:rsid w:val="0E5A06CE"/>
    <w:rsid w:val="0E5B3C27"/>
    <w:rsid w:val="0E5C74F8"/>
    <w:rsid w:val="0E625038"/>
    <w:rsid w:val="0E6478DD"/>
    <w:rsid w:val="0E6504EA"/>
    <w:rsid w:val="0E650D0D"/>
    <w:rsid w:val="0E69591A"/>
    <w:rsid w:val="0E6E16BB"/>
    <w:rsid w:val="0E6E3580"/>
    <w:rsid w:val="0E7276CE"/>
    <w:rsid w:val="0E732702"/>
    <w:rsid w:val="0E76293E"/>
    <w:rsid w:val="0E78743E"/>
    <w:rsid w:val="0E853A56"/>
    <w:rsid w:val="0E872FF4"/>
    <w:rsid w:val="0E873A69"/>
    <w:rsid w:val="0E880C81"/>
    <w:rsid w:val="0E885944"/>
    <w:rsid w:val="0E8A1B7D"/>
    <w:rsid w:val="0E8B0A0B"/>
    <w:rsid w:val="0E8B5AAD"/>
    <w:rsid w:val="0E8D24A6"/>
    <w:rsid w:val="0E903091"/>
    <w:rsid w:val="0E955353"/>
    <w:rsid w:val="0E97315E"/>
    <w:rsid w:val="0E9A6D13"/>
    <w:rsid w:val="0E9D3B57"/>
    <w:rsid w:val="0E9E1E14"/>
    <w:rsid w:val="0E9F31F5"/>
    <w:rsid w:val="0EA053D2"/>
    <w:rsid w:val="0EA14828"/>
    <w:rsid w:val="0EA15CCE"/>
    <w:rsid w:val="0EA40977"/>
    <w:rsid w:val="0EA55215"/>
    <w:rsid w:val="0EA5619B"/>
    <w:rsid w:val="0EA65CB2"/>
    <w:rsid w:val="0EA9554F"/>
    <w:rsid w:val="0EA96FC7"/>
    <w:rsid w:val="0EAC18F1"/>
    <w:rsid w:val="0EAE78D2"/>
    <w:rsid w:val="0EB110A4"/>
    <w:rsid w:val="0EB14564"/>
    <w:rsid w:val="0EB40B5A"/>
    <w:rsid w:val="0EB50363"/>
    <w:rsid w:val="0ECE26A7"/>
    <w:rsid w:val="0ECE754B"/>
    <w:rsid w:val="0ECF4008"/>
    <w:rsid w:val="0ED05F35"/>
    <w:rsid w:val="0EDA2E9D"/>
    <w:rsid w:val="0EDC5326"/>
    <w:rsid w:val="0EDD2719"/>
    <w:rsid w:val="0EDD5594"/>
    <w:rsid w:val="0EE23ECD"/>
    <w:rsid w:val="0EE248DA"/>
    <w:rsid w:val="0EE42984"/>
    <w:rsid w:val="0EEC59A0"/>
    <w:rsid w:val="0EF35179"/>
    <w:rsid w:val="0EF4243E"/>
    <w:rsid w:val="0EF7590A"/>
    <w:rsid w:val="0EF960F5"/>
    <w:rsid w:val="0EFC6EC9"/>
    <w:rsid w:val="0EFE563C"/>
    <w:rsid w:val="0EFF7F38"/>
    <w:rsid w:val="0F003202"/>
    <w:rsid w:val="0F01198D"/>
    <w:rsid w:val="0F0537A2"/>
    <w:rsid w:val="0F056AAE"/>
    <w:rsid w:val="0F0927CC"/>
    <w:rsid w:val="0F0E06BA"/>
    <w:rsid w:val="0F132D17"/>
    <w:rsid w:val="0F132E0A"/>
    <w:rsid w:val="0F152185"/>
    <w:rsid w:val="0F191055"/>
    <w:rsid w:val="0F195511"/>
    <w:rsid w:val="0F1B71E7"/>
    <w:rsid w:val="0F24015C"/>
    <w:rsid w:val="0F256A48"/>
    <w:rsid w:val="0F287C36"/>
    <w:rsid w:val="0F2976B5"/>
    <w:rsid w:val="0F2B59CD"/>
    <w:rsid w:val="0F2B5A4C"/>
    <w:rsid w:val="0F3128EA"/>
    <w:rsid w:val="0F314FBF"/>
    <w:rsid w:val="0F3248BD"/>
    <w:rsid w:val="0F32780C"/>
    <w:rsid w:val="0F3438F2"/>
    <w:rsid w:val="0F3668D6"/>
    <w:rsid w:val="0F395959"/>
    <w:rsid w:val="0F3A2773"/>
    <w:rsid w:val="0F431132"/>
    <w:rsid w:val="0F445D24"/>
    <w:rsid w:val="0F4C451D"/>
    <w:rsid w:val="0F4D6443"/>
    <w:rsid w:val="0F4F3F8C"/>
    <w:rsid w:val="0F51497A"/>
    <w:rsid w:val="0F5200C3"/>
    <w:rsid w:val="0F522040"/>
    <w:rsid w:val="0F550BA7"/>
    <w:rsid w:val="0F5D1D2A"/>
    <w:rsid w:val="0F610259"/>
    <w:rsid w:val="0F7174C8"/>
    <w:rsid w:val="0F7D5679"/>
    <w:rsid w:val="0F8243C9"/>
    <w:rsid w:val="0F880404"/>
    <w:rsid w:val="0F8A585E"/>
    <w:rsid w:val="0F8B1050"/>
    <w:rsid w:val="0F927EBD"/>
    <w:rsid w:val="0F9B15BF"/>
    <w:rsid w:val="0F9D721B"/>
    <w:rsid w:val="0F9F2DEA"/>
    <w:rsid w:val="0FA15B6A"/>
    <w:rsid w:val="0FA35595"/>
    <w:rsid w:val="0FA45902"/>
    <w:rsid w:val="0FA46C01"/>
    <w:rsid w:val="0FA66AAA"/>
    <w:rsid w:val="0FAB707B"/>
    <w:rsid w:val="0FB26478"/>
    <w:rsid w:val="0FB302F4"/>
    <w:rsid w:val="0FB50B48"/>
    <w:rsid w:val="0FB545E6"/>
    <w:rsid w:val="0FB634D7"/>
    <w:rsid w:val="0FBE3E97"/>
    <w:rsid w:val="0FBE5C6D"/>
    <w:rsid w:val="0FC11CAD"/>
    <w:rsid w:val="0FC14947"/>
    <w:rsid w:val="0FC62B48"/>
    <w:rsid w:val="0FCA6A35"/>
    <w:rsid w:val="0FCD00D3"/>
    <w:rsid w:val="0FCE2BAD"/>
    <w:rsid w:val="0FCE35DE"/>
    <w:rsid w:val="0FD057C2"/>
    <w:rsid w:val="0FD663C8"/>
    <w:rsid w:val="0FD703CB"/>
    <w:rsid w:val="0FD747BD"/>
    <w:rsid w:val="0FDA1DE7"/>
    <w:rsid w:val="0FDE0D09"/>
    <w:rsid w:val="0FE032A2"/>
    <w:rsid w:val="0FE27A6E"/>
    <w:rsid w:val="0FE67545"/>
    <w:rsid w:val="0FE879F7"/>
    <w:rsid w:val="0FEB31CB"/>
    <w:rsid w:val="0FEE2494"/>
    <w:rsid w:val="0FF70621"/>
    <w:rsid w:val="0FF74E9C"/>
    <w:rsid w:val="0FF90778"/>
    <w:rsid w:val="0FFA0A90"/>
    <w:rsid w:val="0FFA1521"/>
    <w:rsid w:val="0FFC1C64"/>
    <w:rsid w:val="0FFE1BA5"/>
    <w:rsid w:val="1006109B"/>
    <w:rsid w:val="10092160"/>
    <w:rsid w:val="10097398"/>
    <w:rsid w:val="10097CE7"/>
    <w:rsid w:val="101602A5"/>
    <w:rsid w:val="10193DEF"/>
    <w:rsid w:val="101A170F"/>
    <w:rsid w:val="101D1216"/>
    <w:rsid w:val="102338FE"/>
    <w:rsid w:val="102436AB"/>
    <w:rsid w:val="102800D8"/>
    <w:rsid w:val="10293F81"/>
    <w:rsid w:val="1032423C"/>
    <w:rsid w:val="10333E85"/>
    <w:rsid w:val="10375BD1"/>
    <w:rsid w:val="1040787C"/>
    <w:rsid w:val="10462DCD"/>
    <w:rsid w:val="104E1616"/>
    <w:rsid w:val="10555FDE"/>
    <w:rsid w:val="105B1767"/>
    <w:rsid w:val="1066095B"/>
    <w:rsid w:val="10686D71"/>
    <w:rsid w:val="106F2937"/>
    <w:rsid w:val="10737220"/>
    <w:rsid w:val="1077645A"/>
    <w:rsid w:val="107B3BA4"/>
    <w:rsid w:val="107E7B28"/>
    <w:rsid w:val="107F6251"/>
    <w:rsid w:val="10830DEA"/>
    <w:rsid w:val="108340E4"/>
    <w:rsid w:val="10850C78"/>
    <w:rsid w:val="1086413D"/>
    <w:rsid w:val="10921AF2"/>
    <w:rsid w:val="1097279D"/>
    <w:rsid w:val="1098248A"/>
    <w:rsid w:val="10A03B0F"/>
    <w:rsid w:val="10A175C2"/>
    <w:rsid w:val="10AD00C7"/>
    <w:rsid w:val="10B40447"/>
    <w:rsid w:val="10B67022"/>
    <w:rsid w:val="10BA3DE0"/>
    <w:rsid w:val="10BE37A4"/>
    <w:rsid w:val="10CA431B"/>
    <w:rsid w:val="10CD391F"/>
    <w:rsid w:val="10D015E9"/>
    <w:rsid w:val="10D42042"/>
    <w:rsid w:val="10D5249D"/>
    <w:rsid w:val="10D9437E"/>
    <w:rsid w:val="10DA3D48"/>
    <w:rsid w:val="10DA4802"/>
    <w:rsid w:val="10DC269F"/>
    <w:rsid w:val="10DE2031"/>
    <w:rsid w:val="10E57825"/>
    <w:rsid w:val="10E70BC3"/>
    <w:rsid w:val="10E72B99"/>
    <w:rsid w:val="10E9605F"/>
    <w:rsid w:val="10EA2E82"/>
    <w:rsid w:val="10EA32D3"/>
    <w:rsid w:val="10EA4377"/>
    <w:rsid w:val="10EB519A"/>
    <w:rsid w:val="10EC2118"/>
    <w:rsid w:val="10EC3029"/>
    <w:rsid w:val="10EC46D8"/>
    <w:rsid w:val="10EE3E0C"/>
    <w:rsid w:val="10F149AA"/>
    <w:rsid w:val="10F178B9"/>
    <w:rsid w:val="10F20CB1"/>
    <w:rsid w:val="10F347AE"/>
    <w:rsid w:val="10F41476"/>
    <w:rsid w:val="10F772F4"/>
    <w:rsid w:val="10F95C92"/>
    <w:rsid w:val="10FF125A"/>
    <w:rsid w:val="11022FCA"/>
    <w:rsid w:val="11056ABB"/>
    <w:rsid w:val="11097D7B"/>
    <w:rsid w:val="110B67F7"/>
    <w:rsid w:val="110B6FC6"/>
    <w:rsid w:val="110D6FD9"/>
    <w:rsid w:val="110E0D1D"/>
    <w:rsid w:val="110F4028"/>
    <w:rsid w:val="11120391"/>
    <w:rsid w:val="11131F10"/>
    <w:rsid w:val="111376D4"/>
    <w:rsid w:val="11140F9E"/>
    <w:rsid w:val="111A7A4C"/>
    <w:rsid w:val="111D6813"/>
    <w:rsid w:val="112010F2"/>
    <w:rsid w:val="11246AAD"/>
    <w:rsid w:val="112A38CF"/>
    <w:rsid w:val="112C3589"/>
    <w:rsid w:val="112D6082"/>
    <w:rsid w:val="112E3F9D"/>
    <w:rsid w:val="113570C3"/>
    <w:rsid w:val="11387CDC"/>
    <w:rsid w:val="113B47C7"/>
    <w:rsid w:val="11417850"/>
    <w:rsid w:val="114245D9"/>
    <w:rsid w:val="114255F5"/>
    <w:rsid w:val="11447A98"/>
    <w:rsid w:val="11462546"/>
    <w:rsid w:val="11476893"/>
    <w:rsid w:val="114A7566"/>
    <w:rsid w:val="114D1F20"/>
    <w:rsid w:val="114E63F9"/>
    <w:rsid w:val="11505258"/>
    <w:rsid w:val="11505B1E"/>
    <w:rsid w:val="11510706"/>
    <w:rsid w:val="115258C0"/>
    <w:rsid w:val="11546677"/>
    <w:rsid w:val="11552CD8"/>
    <w:rsid w:val="11561723"/>
    <w:rsid w:val="11580F48"/>
    <w:rsid w:val="115B2871"/>
    <w:rsid w:val="115F5E20"/>
    <w:rsid w:val="11600DD9"/>
    <w:rsid w:val="116748E3"/>
    <w:rsid w:val="116E4C49"/>
    <w:rsid w:val="11766F4E"/>
    <w:rsid w:val="11783705"/>
    <w:rsid w:val="118474C9"/>
    <w:rsid w:val="11852468"/>
    <w:rsid w:val="11861824"/>
    <w:rsid w:val="118F0D35"/>
    <w:rsid w:val="118F6932"/>
    <w:rsid w:val="11915DB2"/>
    <w:rsid w:val="11931983"/>
    <w:rsid w:val="119471F3"/>
    <w:rsid w:val="11955CB3"/>
    <w:rsid w:val="119D1757"/>
    <w:rsid w:val="119F13F6"/>
    <w:rsid w:val="11A07069"/>
    <w:rsid w:val="11A31936"/>
    <w:rsid w:val="11A67894"/>
    <w:rsid w:val="11A7020A"/>
    <w:rsid w:val="11AB43CD"/>
    <w:rsid w:val="11AF2ACC"/>
    <w:rsid w:val="11B26D59"/>
    <w:rsid w:val="11B37779"/>
    <w:rsid w:val="11BC5653"/>
    <w:rsid w:val="11BE69B3"/>
    <w:rsid w:val="11BE7053"/>
    <w:rsid w:val="11C435F1"/>
    <w:rsid w:val="11C52B43"/>
    <w:rsid w:val="11C80268"/>
    <w:rsid w:val="11C9691D"/>
    <w:rsid w:val="11D52693"/>
    <w:rsid w:val="11D66F4D"/>
    <w:rsid w:val="11DA1B42"/>
    <w:rsid w:val="11DE12DB"/>
    <w:rsid w:val="11DE2917"/>
    <w:rsid w:val="11E01226"/>
    <w:rsid w:val="11E15CDC"/>
    <w:rsid w:val="11E737F6"/>
    <w:rsid w:val="11F03312"/>
    <w:rsid w:val="11F125F1"/>
    <w:rsid w:val="11F16112"/>
    <w:rsid w:val="11F31E2B"/>
    <w:rsid w:val="11F72F08"/>
    <w:rsid w:val="11FB1A05"/>
    <w:rsid w:val="11FB37C2"/>
    <w:rsid w:val="11FC5AB1"/>
    <w:rsid w:val="11FE09D0"/>
    <w:rsid w:val="1203156A"/>
    <w:rsid w:val="12044A2D"/>
    <w:rsid w:val="12047B94"/>
    <w:rsid w:val="1206144A"/>
    <w:rsid w:val="12067CC7"/>
    <w:rsid w:val="120F4EEC"/>
    <w:rsid w:val="12116ECA"/>
    <w:rsid w:val="12121D82"/>
    <w:rsid w:val="1212603F"/>
    <w:rsid w:val="121A0569"/>
    <w:rsid w:val="1221490E"/>
    <w:rsid w:val="122176BE"/>
    <w:rsid w:val="12256954"/>
    <w:rsid w:val="122B2298"/>
    <w:rsid w:val="122F5196"/>
    <w:rsid w:val="12341CDF"/>
    <w:rsid w:val="12352CAC"/>
    <w:rsid w:val="123638A4"/>
    <w:rsid w:val="123B7259"/>
    <w:rsid w:val="123F2777"/>
    <w:rsid w:val="12471B5E"/>
    <w:rsid w:val="1248173B"/>
    <w:rsid w:val="124A507A"/>
    <w:rsid w:val="124B2F7F"/>
    <w:rsid w:val="124C7A3F"/>
    <w:rsid w:val="12500984"/>
    <w:rsid w:val="125078CB"/>
    <w:rsid w:val="1253660A"/>
    <w:rsid w:val="12550AB1"/>
    <w:rsid w:val="125766EF"/>
    <w:rsid w:val="12590A7B"/>
    <w:rsid w:val="125B60BF"/>
    <w:rsid w:val="125F26AD"/>
    <w:rsid w:val="126176FB"/>
    <w:rsid w:val="12643D0A"/>
    <w:rsid w:val="126B1886"/>
    <w:rsid w:val="126F6F99"/>
    <w:rsid w:val="12712368"/>
    <w:rsid w:val="12741503"/>
    <w:rsid w:val="12745F88"/>
    <w:rsid w:val="127F678A"/>
    <w:rsid w:val="12814A2F"/>
    <w:rsid w:val="12843746"/>
    <w:rsid w:val="1285661A"/>
    <w:rsid w:val="128579A3"/>
    <w:rsid w:val="12870378"/>
    <w:rsid w:val="1287447C"/>
    <w:rsid w:val="128D191F"/>
    <w:rsid w:val="128E2242"/>
    <w:rsid w:val="128E75B2"/>
    <w:rsid w:val="128F00D5"/>
    <w:rsid w:val="128F17F3"/>
    <w:rsid w:val="12902C0B"/>
    <w:rsid w:val="129917C1"/>
    <w:rsid w:val="129E61B3"/>
    <w:rsid w:val="12A029BD"/>
    <w:rsid w:val="12A05FF7"/>
    <w:rsid w:val="12A20F38"/>
    <w:rsid w:val="12A563FF"/>
    <w:rsid w:val="12A81631"/>
    <w:rsid w:val="12AA268F"/>
    <w:rsid w:val="12AA6BFE"/>
    <w:rsid w:val="12AE247A"/>
    <w:rsid w:val="12B03738"/>
    <w:rsid w:val="12BA1ABE"/>
    <w:rsid w:val="12BD2AAD"/>
    <w:rsid w:val="12C06BF6"/>
    <w:rsid w:val="12C217DE"/>
    <w:rsid w:val="12C41147"/>
    <w:rsid w:val="12C65BEA"/>
    <w:rsid w:val="12C917B6"/>
    <w:rsid w:val="12CE5FE9"/>
    <w:rsid w:val="12CF4AA4"/>
    <w:rsid w:val="12D12F62"/>
    <w:rsid w:val="12DC08C1"/>
    <w:rsid w:val="12E70891"/>
    <w:rsid w:val="12E77EE3"/>
    <w:rsid w:val="12E938E9"/>
    <w:rsid w:val="12EE0CD1"/>
    <w:rsid w:val="12F01411"/>
    <w:rsid w:val="12F11107"/>
    <w:rsid w:val="12F23CF3"/>
    <w:rsid w:val="12F42EDA"/>
    <w:rsid w:val="12F50D71"/>
    <w:rsid w:val="12F528AA"/>
    <w:rsid w:val="12F61C01"/>
    <w:rsid w:val="12FA2678"/>
    <w:rsid w:val="12FB1891"/>
    <w:rsid w:val="12FB75F8"/>
    <w:rsid w:val="12FC7D16"/>
    <w:rsid w:val="12FD5644"/>
    <w:rsid w:val="12FE23B5"/>
    <w:rsid w:val="12FF01AD"/>
    <w:rsid w:val="130E339B"/>
    <w:rsid w:val="1319232B"/>
    <w:rsid w:val="131F2A4A"/>
    <w:rsid w:val="13217968"/>
    <w:rsid w:val="1323471A"/>
    <w:rsid w:val="13243B67"/>
    <w:rsid w:val="13244657"/>
    <w:rsid w:val="13246618"/>
    <w:rsid w:val="13261B14"/>
    <w:rsid w:val="13266715"/>
    <w:rsid w:val="13353720"/>
    <w:rsid w:val="13355348"/>
    <w:rsid w:val="13356FC5"/>
    <w:rsid w:val="133F2227"/>
    <w:rsid w:val="13401307"/>
    <w:rsid w:val="1341087D"/>
    <w:rsid w:val="13415449"/>
    <w:rsid w:val="13430782"/>
    <w:rsid w:val="13445A95"/>
    <w:rsid w:val="13457C77"/>
    <w:rsid w:val="13463A81"/>
    <w:rsid w:val="134A253F"/>
    <w:rsid w:val="134F7B48"/>
    <w:rsid w:val="13510D61"/>
    <w:rsid w:val="13563A58"/>
    <w:rsid w:val="13565EBB"/>
    <w:rsid w:val="135704DF"/>
    <w:rsid w:val="13571758"/>
    <w:rsid w:val="135B2C79"/>
    <w:rsid w:val="135C3FDB"/>
    <w:rsid w:val="135D6879"/>
    <w:rsid w:val="135E720E"/>
    <w:rsid w:val="1362756D"/>
    <w:rsid w:val="136B76D6"/>
    <w:rsid w:val="136E0833"/>
    <w:rsid w:val="136E4142"/>
    <w:rsid w:val="137064D1"/>
    <w:rsid w:val="137C786F"/>
    <w:rsid w:val="13802D01"/>
    <w:rsid w:val="13870E32"/>
    <w:rsid w:val="13875DAF"/>
    <w:rsid w:val="138C2EBE"/>
    <w:rsid w:val="138C38C8"/>
    <w:rsid w:val="138E1659"/>
    <w:rsid w:val="138F77A5"/>
    <w:rsid w:val="13941E97"/>
    <w:rsid w:val="1396091E"/>
    <w:rsid w:val="13982777"/>
    <w:rsid w:val="13984DE5"/>
    <w:rsid w:val="13A41AE5"/>
    <w:rsid w:val="13A52868"/>
    <w:rsid w:val="13AA6295"/>
    <w:rsid w:val="13AC61DA"/>
    <w:rsid w:val="13AF7E77"/>
    <w:rsid w:val="13B018A9"/>
    <w:rsid w:val="13B1486C"/>
    <w:rsid w:val="13B375AA"/>
    <w:rsid w:val="13B53732"/>
    <w:rsid w:val="13B72369"/>
    <w:rsid w:val="13B90EC9"/>
    <w:rsid w:val="13BA2E35"/>
    <w:rsid w:val="13BB4F81"/>
    <w:rsid w:val="13BE0340"/>
    <w:rsid w:val="13BE3C7E"/>
    <w:rsid w:val="13C02576"/>
    <w:rsid w:val="13C40E67"/>
    <w:rsid w:val="13C41463"/>
    <w:rsid w:val="13CA2ED9"/>
    <w:rsid w:val="13D03E74"/>
    <w:rsid w:val="13D23224"/>
    <w:rsid w:val="13D615EE"/>
    <w:rsid w:val="13D65A0F"/>
    <w:rsid w:val="13D7799F"/>
    <w:rsid w:val="13E314CE"/>
    <w:rsid w:val="13E36E36"/>
    <w:rsid w:val="13E845D8"/>
    <w:rsid w:val="13EA0047"/>
    <w:rsid w:val="13EA58D4"/>
    <w:rsid w:val="13EB5F5A"/>
    <w:rsid w:val="13EE07B3"/>
    <w:rsid w:val="13F34CF9"/>
    <w:rsid w:val="13F753A8"/>
    <w:rsid w:val="13FE4270"/>
    <w:rsid w:val="14062960"/>
    <w:rsid w:val="14071C92"/>
    <w:rsid w:val="140E44CE"/>
    <w:rsid w:val="140F7006"/>
    <w:rsid w:val="141574C3"/>
    <w:rsid w:val="14166A48"/>
    <w:rsid w:val="14197496"/>
    <w:rsid w:val="141B72A2"/>
    <w:rsid w:val="141E0A92"/>
    <w:rsid w:val="141F173E"/>
    <w:rsid w:val="1420532B"/>
    <w:rsid w:val="14205B65"/>
    <w:rsid w:val="1425603C"/>
    <w:rsid w:val="142A6A59"/>
    <w:rsid w:val="1430686B"/>
    <w:rsid w:val="143542C5"/>
    <w:rsid w:val="143D46CC"/>
    <w:rsid w:val="14405B20"/>
    <w:rsid w:val="14456AE5"/>
    <w:rsid w:val="14457123"/>
    <w:rsid w:val="145322E7"/>
    <w:rsid w:val="14540005"/>
    <w:rsid w:val="145C0325"/>
    <w:rsid w:val="145C7E94"/>
    <w:rsid w:val="1460094C"/>
    <w:rsid w:val="146404E1"/>
    <w:rsid w:val="146A3E8A"/>
    <w:rsid w:val="146D63F5"/>
    <w:rsid w:val="14721C63"/>
    <w:rsid w:val="147352A9"/>
    <w:rsid w:val="147816EC"/>
    <w:rsid w:val="147E283A"/>
    <w:rsid w:val="147E2B3E"/>
    <w:rsid w:val="148451F1"/>
    <w:rsid w:val="14870E69"/>
    <w:rsid w:val="1487192A"/>
    <w:rsid w:val="1488788F"/>
    <w:rsid w:val="148B4EB0"/>
    <w:rsid w:val="148C3A0D"/>
    <w:rsid w:val="148D3122"/>
    <w:rsid w:val="149237DC"/>
    <w:rsid w:val="149871A3"/>
    <w:rsid w:val="149B0F7B"/>
    <w:rsid w:val="149B3867"/>
    <w:rsid w:val="149E579C"/>
    <w:rsid w:val="14AB77DB"/>
    <w:rsid w:val="14AE2653"/>
    <w:rsid w:val="14B247AF"/>
    <w:rsid w:val="14B257F2"/>
    <w:rsid w:val="14B81726"/>
    <w:rsid w:val="14B93673"/>
    <w:rsid w:val="14BE23C2"/>
    <w:rsid w:val="14BF2FD0"/>
    <w:rsid w:val="14C70062"/>
    <w:rsid w:val="14CA26DE"/>
    <w:rsid w:val="14CD77A1"/>
    <w:rsid w:val="14CE0AC5"/>
    <w:rsid w:val="14D057C6"/>
    <w:rsid w:val="14D12AD2"/>
    <w:rsid w:val="14D265E7"/>
    <w:rsid w:val="14D27D67"/>
    <w:rsid w:val="14D442F5"/>
    <w:rsid w:val="14D76B5D"/>
    <w:rsid w:val="14DA5429"/>
    <w:rsid w:val="14DB3C80"/>
    <w:rsid w:val="14DC3402"/>
    <w:rsid w:val="14DD5381"/>
    <w:rsid w:val="14DF397F"/>
    <w:rsid w:val="14E31486"/>
    <w:rsid w:val="14E57A0B"/>
    <w:rsid w:val="14E844EE"/>
    <w:rsid w:val="14E923B1"/>
    <w:rsid w:val="14EC3947"/>
    <w:rsid w:val="14ED66AC"/>
    <w:rsid w:val="14EF6637"/>
    <w:rsid w:val="14F13E8C"/>
    <w:rsid w:val="14F216BF"/>
    <w:rsid w:val="14F37962"/>
    <w:rsid w:val="14F44100"/>
    <w:rsid w:val="14F643C5"/>
    <w:rsid w:val="14FC7138"/>
    <w:rsid w:val="14FD04E8"/>
    <w:rsid w:val="14FD1C51"/>
    <w:rsid w:val="14FD4062"/>
    <w:rsid w:val="150443D2"/>
    <w:rsid w:val="15045F61"/>
    <w:rsid w:val="15046C2A"/>
    <w:rsid w:val="15097EC8"/>
    <w:rsid w:val="150C0537"/>
    <w:rsid w:val="150C1044"/>
    <w:rsid w:val="150D0120"/>
    <w:rsid w:val="15150AD7"/>
    <w:rsid w:val="151A3CA6"/>
    <w:rsid w:val="151F1C51"/>
    <w:rsid w:val="15203BA1"/>
    <w:rsid w:val="152053E9"/>
    <w:rsid w:val="15240DAF"/>
    <w:rsid w:val="15280CA3"/>
    <w:rsid w:val="15291CAE"/>
    <w:rsid w:val="152C0003"/>
    <w:rsid w:val="152F557D"/>
    <w:rsid w:val="15312EF7"/>
    <w:rsid w:val="15343F9B"/>
    <w:rsid w:val="15365A04"/>
    <w:rsid w:val="153666CB"/>
    <w:rsid w:val="15384E1B"/>
    <w:rsid w:val="153C36DA"/>
    <w:rsid w:val="153E732D"/>
    <w:rsid w:val="15402C0A"/>
    <w:rsid w:val="154378D7"/>
    <w:rsid w:val="15461F2D"/>
    <w:rsid w:val="1548752A"/>
    <w:rsid w:val="154904EE"/>
    <w:rsid w:val="154A4400"/>
    <w:rsid w:val="154C7C40"/>
    <w:rsid w:val="154D2716"/>
    <w:rsid w:val="154F6E5A"/>
    <w:rsid w:val="15505277"/>
    <w:rsid w:val="15513C60"/>
    <w:rsid w:val="155668A1"/>
    <w:rsid w:val="15584149"/>
    <w:rsid w:val="155A5E3D"/>
    <w:rsid w:val="155D3D04"/>
    <w:rsid w:val="155F4539"/>
    <w:rsid w:val="156169DF"/>
    <w:rsid w:val="15622BC2"/>
    <w:rsid w:val="15674D86"/>
    <w:rsid w:val="15675983"/>
    <w:rsid w:val="15675B84"/>
    <w:rsid w:val="156922DC"/>
    <w:rsid w:val="15747196"/>
    <w:rsid w:val="157B399C"/>
    <w:rsid w:val="157E0375"/>
    <w:rsid w:val="157E3211"/>
    <w:rsid w:val="15806894"/>
    <w:rsid w:val="158D5788"/>
    <w:rsid w:val="15934F42"/>
    <w:rsid w:val="159537F8"/>
    <w:rsid w:val="15A0766C"/>
    <w:rsid w:val="15A470A2"/>
    <w:rsid w:val="15A81E4F"/>
    <w:rsid w:val="15B41E5A"/>
    <w:rsid w:val="15BE551B"/>
    <w:rsid w:val="15C0326F"/>
    <w:rsid w:val="15C542A7"/>
    <w:rsid w:val="15CB1D34"/>
    <w:rsid w:val="15CC7F71"/>
    <w:rsid w:val="15D701D1"/>
    <w:rsid w:val="15EA506C"/>
    <w:rsid w:val="15EB4698"/>
    <w:rsid w:val="15EC34FB"/>
    <w:rsid w:val="15EF01F8"/>
    <w:rsid w:val="15F5718E"/>
    <w:rsid w:val="15F74E44"/>
    <w:rsid w:val="15F81EEC"/>
    <w:rsid w:val="15F82247"/>
    <w:rsid w:val="15FD5304"/>
    <w:rsid w:val="15FF6318"/>
    <w:rsid w:val="16066695"/>
    <w:rsid w:val="16080782"/>
    <w:rsid w:val="160B579C"/>
    <w:rsid w:val="160D3FB6"/>
    <w:rsid w:val="160F5763"/>
    <w:rsid w:val="161403D2"/>
    <w:rsid w:val="16160703"/>
    <w:rsid w:val="16182471"/>
    <w:rsid w:val="16190138"/>
    <w:rsid w:val="161A27E5"/>
    <w:rsid w:val="161D1BB2"/>
    <w:rsid w:val="162325FA"/>
    <w:rsid w:val="162377B5"/>
    <w:rsid w:val="16246EFF"/>
    <w:rsid w:val="16294639"/>
    <w:rsid w:val="16297FE4"/>
    <w:rsid w:val="1630747B"/>
    <w:rsid w:val="1631429D"/>
    <w:rsid w:val="163263DB"/>
    <w:rsid w:val="163D0273"/>
    <w:rsid w:val="164113AB"/>
    <w:rsid w:val="16414513"/>
    <w:rsid w:val="164157E0"/>
    <w:rsid w:val="164631BB"/>
    <w:rsid w:val="16485F64"/>
    <w:rsid w:val="164B4D5C"/>
    <w:rsid w:val="164D259C"/>
    <w:rsid w:val="164D6C28"/>
    <w:rsid w:val="164F3E60"/>
    <w:rsid w:val="164F74DC"/>
    <w:rsid w:val="165005A1"/>
    <w:rsid w:val="1651463E"/>
    <w:rsid w:val="165420AE"/>
    <w:rsid w:val="165D3A29"/>
    <w:rsid w:val="16600773"/>
    <w:rsid w:val="16601E3E"/>
    <w:rsid w:val="166449AE"/>
    <w:rsid w:val="167269A1"/>
    <w:rsid w:val="16785613"/>
    <w:rsid w:val="167A0758"/>
    <w:rsid w:val="167C2578"/>
    <w:rsid w:val="167E6594"/>
    <w:rsid w:val="167F138F"/>
    <w:rsid w:val="167F31C5"/>
    <w:rsid w:val="167F32E5"/>
    <w:rsid w:val="168A77A9"/>
    <w:rsid w:val="168E0964"/>
    <w:rsid w:val="16947571"/>
    <w:rsid w:val="1696675B"/>
    <w:rsid w:val="169B04EC"/>
    <w:rsid w:val="169E6EA1"/>
    <w:rsid w:val="169F128A"/>
    <w:rsid w:val="16A0572B"/>
    <w:rsid w:val="16A2776A"/>
    <w:rsid w:val="16A46F24"/>
    <w:rsid w:val="16A62648"/>
    <w:rsid w:val="16A852CD"/>
    <w:rsid w:val="16A92E9F"/>
    <w:rsid w:val="16AA1F59"/>
    <w:rsid w:val="16B15096"/>
    <w:rsid w:val="16B57728"/>
    <w:rsid w:val="16B75A05"/>
    <w:rsid w:val="16B83ED0"/>
    <w:rsid w:val="16BA1E2C"/>
    <w:rsid w:val="16BA2F50"/>
    <w:rsid w:val="16BC2D2B"/>
    <w:rsid w:val="16BD57F1"/>
    <w:rsid w:val="16BE760B"/>
    <w:rsid w:val="16C13B40"/>
    <w:rsid w:val="16C5661A"/>
    <w:rsid w:val="16C73159"/>
    <w:rsid w:val="16C76513"/>
    <w:rsid w:val="16C83DD0"/>
    <w:rsid w:val="16CB23E9"/>
    <w:rsid w:val="16D25221"/>
    <w:rsid w:val="16D77C67"/>
    <w:rsid w:val="16DD3265"/>
    <w:rsid w:val="16DE23DD"/>
    <w:rsid w:val="16DE71A1"/>
    <w:rsid w:val="16DF1E46"/>
    <w:rsid w:val="16E11C53"/>
    <w:rsid w:val="16E41CB2"/>
    <w:rsid w:val="16E4569E"/>
    <w:rsid w:val="16EB3E8E"/>
    <w:rsid w:val="16EC0691"/>
    <w:rsid w:val="16ED43A8"/>
    <w:rsid w:val="16F77587"/>
    <w:rsid w:val="170B3D07"/>
    <w:rsid w:val="171022A0"/>
    <w:rsid w:val="1714304A"/>
    <w:rsid w:val="17164AE1"/>
    <w:rsid w:val="171C61B3"/>
    <w:rsid w:val="171E53C0"/>
    <w:rsid w:val="17210BE0"/>
    <w:rsid w:val="17222E66"/>
    <w:rsid w:val="17225BDF"/>
    <w:rsid w:val="17230E61"/>
    <w:rsid w:val="172B781B"/>
    <w:rsid w:val="172F7655"/>
    <w:rsid w:val="17302439"/>
    <w:rsid w:val="17305B0E"/>
    <w:rsid w:val="173132B8"/>
    <w:rsid w:val="17330E78"/>
    <w:rsid w:val="17343ABE"/>
    <w:rsid w:val="17371C1C"/>
    <w:rsid w:val="173C1E13"/>
    <w:rsid w:val="17431A89"/>
    <w:rsid w:val="1745368F"/>
    <w:rsid w:val="17466051"/>
    <w:rsid w:val="174B6EAD"/>
    <w:rsid w:val="175044D9"/>
    <w:rsid w:val="17540B0D"/>
    <w:rsid w:val="17546938"/>
    <w:rsid w:val="1758673B"/>
    <w:rsid w:val="17610DB1"/>
    <w:rsid w:val="17610F01"/>
    <w:rsid w:val="17673708"/>
    <w:rsid w:val="17681FD4"/>
    <w:rsid w:val="17687249"/>
    <w:rsid w:val="176B55CF"/>
    <w:rsid w:val="177024A2"/>
    <w:rsid w:val="17714444"/>
    <w:rsid w:val="17793CEB"/>
    <w:rsid w:val="17854DE4"/>
    <w:rsid w:val="1787049C"/>
    <w:rsid w:val="178B38EE"/>
    <w:rsid w:val="179331AE"/>
    <w:rsid w:val="17981887"/>
    <w:rsid w:val="179D2CD4"/>
    <w:rsid w:val="179E1F48"/>
    <w:rsid w:val="179F0671"/>
    <w:rsid w:val="17A37351"/>
    <w:rsid w:val="17A67351"/>
    <w:rsid w:val="17A73252"/>
    <w:rsid w:val="17A765CA"/>
    <w:rsid w:val="17AD4F49"/>
    <w:rsid w:val="17AE5691"/>
    <w:rsid w:val="17B24A33"/>
    <w:rsid w:val="17BA317C"/>
    <w:rsid w:val="17BA4043"/>
    <w:rsid w:val="17BD67E1"/>
    <w:rsid w:val="17BE5884"/>
    <w:rsid w:val="17BE5919"/>
    <w:rsid w:val="17C30E60"/>
    <w:rsid w:val="17C36ADC"/>
    <w:rsid w:val="17C55A00"/>
    <w:rsid w:val="17C77F1F"/>
    <w:rsid w:val="17C83303"/>
    <w:rsid w:val="17CB5FC5"/>
    <w:rsid w:val="17D4767B"/>
    <w:rsid w:val="17D554CB"/>
    <w:rsid w:val="17D82F0D"/>
    <w:rsid w:val="17DB7757"/>
    <w:rsid w:val="17DC365A"/>
    <w:rsid w:val="17DC7985"/>
    <w:rsid w:val="17DE7344"/>
    <w:rsid w:val="17E60AB2"/>
    <w:rsid w:val="17E61015"/>
    <w:rsid w:val="17EB3AA8"/>
    <w:rsid w:val="17ED6868"/>
    <w:rsid w:val="17F217EA"/>
    <w:rsid w:val="17F31687"/>
    <w:rsid w:val="17F3209C"/>
    <w:rsid w:val="17F37996"/>
    <w:rsid w:val="17F76A0C"/>
    <w:rsid w:val="17F86A52"/>
    <w:rsid w:val="17FB63B3"/>
    <w:rsid w:val="17FC13EC"/>
    <w:rsid w:val="17FD4467"/>
    <w:rsid w:val="17FE640E"/>
    <w:rsid w:val="18030171"/>
    <w:rsid w:val="18030935"/>
    <w:rsid w:val="18081120"/>
    <w:rsid w:val="180A574A"/>
    <w:rsid w:val="180B04C2"/>
    <w:rsid w:val="180B04FF"/>
    <w:rsid w:val="180F2FE3"/>
    <w:rsid w:val="181030EF"/>
    <w:rsid w:val="181D1B61"/>
    <w:rsid w:val="181E01EF"/>
    <w:rsid w:val="18217CC3"/>
    <w:rsid w:val="1822035B"/>
    <w:rsid w:val="18222245"/>
    <w:rsid w:val="18292032"/>
    <w:rsid w:val="18296003"/>
    <w:rsid w:val="182C5311"/>
    <w:rsid w:val="182F3430"/>
    <w:rsid w:val="183062C4"/>
    <w:rsid w:val="18324810"/>
    <w:rsid w:val="183732AD"/>
    <w:rsid w:val="183A59A8"/>
    <w:rsid w:val="183A7946"/>
    <w:rsid w:val="183B178C"/>
    <w:rsid w:val="183E4CBA"/>
    <w:rsid w:val="183E4D3B"/>
    <w:rsid w:val="183F36BF"/>
    <w:rsid w:val="18493A90"/>
    <w:rsid w:val="184C7834"/>
    <w:rsid w:val="185359D9"/>
    <w:rsid w:val="18566661"/>
    <w:rsid w:val="185A1CA3"/>
    <w:rsid w:val="185C1D09"/>
    <w:rsid w:val="1862617A"/>
    <w:rsid w:val="1866241B"/>
    <w:rsid w:val="186B53DE"/>
    <w:rsid w:val="186F6A98"/>
    <w:rsid w:val="18725456"/>
    <w:rsid w:val="18746DDA"/>
    <w:rsid w:val="18757C6D"/>
    <w:rsid w:val="187F3DDC"/>
    <w:rsid w:val="188315AE"/>
    <w:rsid w:val="18832F7E"/>
    <w:rsid w:val="18871BA5"/>
    <w:rsid w:val="188A4372"/>
    <w:rsid w:val="188A5521"/>
    <w:rsid w:val="188A7AEC"/>
    <w:rsid w:val="188F307D"/>
    <w:rsid w:val="18902390"/>
    <w:rsid w:val="18924F10"/>
    <w:rsid w:val="189260F2"/>
    <w:rsid w:val="18A54178"/>
    <w:rsid w:val="18A55E9E"/>
    <w:rsid w:val="18A82EAB"/>
    <w:rsid w:val="18AA43AB"/>
    <w:rsid w:val="18AF71C7"/>
    <w:rsid w:val="18B711E3"/>
    <w:rsid w:val="18C13129"/>
    <w:rsid w:val="18C322C5"/>
    <w:rsid w:val="18CE11DD"/>
    <w:rsid w:val="18D45BD7"/>
    <w:rsid w:val="18D52E25"/>
    <w:rsid w:val="18D74CCD"/>
    <w:rsid w:val="18DF0411"/>
    <w:rsid w:val="18DF69DB"/>
    <w:rsid w:val="18E22CB5"/>
    <w:rsid w:val="18E43B19"/>
    <w:rsid w:val="18E63BAA"/>
    <w:rsid w:val="18E73E9F"/>
    <w:rsid w:val="18E861B4"/>
    <w:rsid w:val="18E95BDE"/>
    <w:rsid w:val="18EA624F"/>
    <w:rsid w:val="18F37ABB"/>
    <w:rsid w:val="18F96844"/>
    <w:rsid w:val="18F9686D"/>
    <w:rsid w:val="18FD39A2"/>
    <w:rsid w:val="18FF0359"/>
    <w:rsid w:val="19006523"/>
    <w:rsid w:val="19015E05"/>
    <w:rsid w:val="190C621D"/>
    <w:rsid w:val="190D46B9"/>
    <w:rsid w:val="191600E6"/>
    <w:rsid w:val="19183373"/>
    <w:rsid w:val="191B2FB3"/>
    <w:rsid w:val="192053A4"/>
    <w:rsid w:val="19206220"/>
    <w:rsid w:val="19232088"/>
    <w:rsid w:val="19256118"/>
    <w:rsid w:val="192A760E"/>
    <w:rsid w:val="19337F09"/>
    <w:rsid w:val="193427CF"/>
    <w:rsid w:val="19350FA8"/>
    <w:rsid w:val="193B26A0"/>
    <w:rsid w:val="193E2666"/>
    <w:rsid w:val="19413B4D"/>
    <w:rsid w:val="194151CE"/>
    <w:rsid w:val="194459DE"/>
    <w:rsid w:val="19461E1A"/>
    <w:rsid w:val="19473484"/>
    <w:rsid w:val="194819E4"/>
    <w:rsid w:val="19545ED2"/>
    <w:rsid w:val="195B2B48"/>
    <w:rsid w:val="195B4504"/>
    <w:rsid w:val="195C25EF"/>
    <w:rsid w:val="195F681F"/>
    <w:rsid w:val="19643B40"/>
    <w:rsid w:val="19646C5A"/>
    <w:rsid w:val="196E2D93"/>
    <w:rsid w:val="19712CA5"/>
    <w:rsid w:val="19725738"/>
    <w:rsid w:val="19755B59"/>
    <w:rsid w:val="197608AC"/>
    <w:rsid w:val="197D2F1D"/>
    <w:rsid w:val="197F3A5C"/>
    <w:rsid w:val="19844CC0"/>
    <w:rsid w:val="198659C4"/>
    <w:rsid w:val="1989571F"/>
    <w:rsid w:val="19910225"/>
    <w:rsid w:val="19917FE0"/>
    <w:rsid w:val="19945A4F"/>
    <w:rsid w:val="19961E95"/>
    <w:rsid w:val="199820AC"/>
    <w:rsid w:val="199A385C"/>
    <w:rsid w:val="199B11E7"/>
    <w:rsid w:val="199B6759"/>
    <w:rsid w:val="19A116F2"/>
    <w:rsid w:val="19A176E2"/>
    <w:rsid w:val="19A43BAD"/>
    <w:rsid w:val="19A752C1"/>
    <w:rsid w:val="19AC0FEA"/>
    <w:rsid w:val="19AE2F31"/>
    <w:rsid w:val="19AF4850"/>
    <w:rsid w:val="19AF4C07"/>
    <w:rsid w:val="19B05DA9"/>
    <w:rsid w:val="19B24067"/>
    <w:rsid w:val="19B30EC4"/>
    <w:rsid w:val="19B321E7"/>
    <w:rsid w:val="19B665C2"/>
    <w:rsid w:val="19B71306"/>
    <w:rsid w:val="19B822B5"/>
    <w:rsid w:val="19BB7218"/>
    <w:rsid w:val="19BC5EBD"/>
    <w:rsid w:val="19C3363D"/>
    <w:rsid w:val="19C4060A"/>
    <w:rsid w:val="19C52ECA"/>
    <w:rsid w:val="19CB4DCB"/>
    <w:rsid w:val="19D90357"/>
    <w:rsid w:val="19DB6EA5"/>
    <w:rsid w:val="19DC1C04"/>
    <w:rsid w:val="19DD0607"/>
    <w:rsid w:val="19DF50A0"/>
    <w:rsid w:val="19E62457"/>
    <w:rsid w:val="19E972F2"/>
    <w:rsid w:val="19EB20C8"/>
    <w:rsid w:val="19EB4EA4"/>
    <w:rsid w:val="19F357AF"/>
    <w:rsid w:val="19F40C70"/>
    <w:rsid w:val="19F518A6"/>
    <w:rsid w:val="19F812F0"/>
    <w:rsid w:val="19F90CD4"/>
    <w:rsid w:val="19FE5CE7"/>
    <w:rsid w:val="1A024195"/>
    <w:rsid w:val="1A024AB1"/>
    <w:rsid w:val="1A031883"/>
    <w:rsid w:val="1A044FF1"/>
    <w:rsid w:val="1A074DAE"/>
    <w:rsid w:val="1A081639"/>
    <w:rsid w:val="1A1274C3"/>
    <w:rsid w:val="1A164117"/>
    <w:rsid w:val="1A167AE2"/>
    <w:rsid w:val="1A2035C8"/>
    <w:rsid w:val="1A214472"/>
    <w:rsid w:val="1A215924"/>
    <w:rsid w:val="1A223CD0"/>
    <w:rsid w:val="1A26336F"/>
    <w:rsid w:val="1A281E2B"/>
    <w:rsid w:val="1A357C5D"/>
    <w:rsid w:val="1A365770"/>
    <w:rsid w:val="1A38580A"/>
    <w:rsid w:val="1A3B0C6E"/>
    <w:rsid w:val="1A3E3BF5"/>
    <w:rsid w:val="1A3E6FC8"/>
    <w:rsid w:val="1A4110A2"/>
    <w:rsid w:val="1A452B5E"/>
    <w:rsid w:val="1A4B1D4A"/>
    <w:rsid w:val="1A4B3AE9"/>
    <w:rsid w:val="1A4D5B41"/>
    <w:rsid w:val="1A5165AD"/>
    <w:rsid w:val="1A530231"/>
    <w:rsid w:val="1A536677"/>
    <w:rsid w:val="1A551250"/>
    <w:rsid w:val="1A5E0AE5"/>
    <w:rsid w:val="1A5F216B"/>
    <w:rsid w:val="1A615FB1"/>
    <w:rsid w:val="1A634E53"/>
    <w:rsid w:val="1A65520C"/>
    <w:rsid w:val="1A690E30"/>
    <w:rsid w:val="1A6A5B97"/>
    <w:rsid w:val="1A711448"/>
    <w:rsid w:val="1A723F69"/>
    <w:rsid w:val="1A7330E0"/>
    <w:rsid w:val="1A766774"/>
    <w:rsid w:val="1A79786B"/>
    <w:rsid w:val="1A7C73EC"/>
    <w:rsid w:val="1A7E3557"/>
    <w:rsid w:val="1A7E5C03"/>
    <w:rsid w:val="1A7F2D4B"/>
    <w:rsid w:val="1A817615"/>
    <w:rsid w:val="1A826D6D"/>
    <w:rsid w:val="1A854342"/>
    <w:rsid w:val="1A863ABA"/>
    <w:rsid w:val="1A882A88"/>
    <w:rsid w:val="1A8B60BD"/>
    <w:rsid w:val="1A8C2D07"/>
    <w:rsid w:val="1A8F2609"/>
    <w:rsid w:val="1A921697"/>
    <w:rsid w:val="1A9455AF"/>
    <w:rsid w:val="1A963806"/>
    <w:rsid w:val="1A99602C"/>
    <w:rsid w:val="1A9B1478"/>
    <w:rsid w:val="1A9B3760"/>
    <w:rsid w:val="1A9C09F9"/>
    <w:rsid w:val="1A9F5F82"/>
    <w:rsid w:val="1AA00AA7"/>
    <w:rsid w:val="1AA04A05"/>
    <w:rsid w:val="1AA162B4"/>
    <w:rsid w:val="1AA44480"/>
    <w:rsid w:val="1AA90E05"/>
    <w:rsid w:val="1AAA49D8"/>
    <w:rsid w:val="1AAB6D43"/>
    <w:rsid w:val="1AB144F2"/>
    <w:rsid w:val="1AB37765"/>
    <w:rsid w:val="1AB42BD4"/>
    <w:rsid w:val="1AB728AB"/>
    <w:rsid w:val="1ABC6EBD"/>
    <w:rsid w:val="1ABF07AD"/>
    <w:rsid w:val="1ABF11CF"/>
    <w:rsid w:val="1AC13998"/>
    <w:rsid w:val="1AC304FA"/>
    <w:rsid w:val="1AC55476"/>
    <w:rsid w:val="1AC65EAF"/>
    <w:rsid w:val="1AC839AF"/>
    <w:rsid w:val="1ACA0C26"/>
    <w:rsid w:val="1ACB2542"/>
    <w:rsid w:val="1AD02DF3"/>
    <w:rsid w:val="1AD30AFD"/>
    <w:rsid w:val="1AD74F8E"/>
    <w:rsid w:val="1AD77C74"/>
    <w:rsid w:val="1AD83A26"/>
    <w:rsid w:val="1AD95B37"/>
    <w:rsid w:val="1AD97DCF"/>
    <w:rsid w:val="1ADF6058"/>
    <w:rsid w:val="1AE265E0"/>
    <w:rsid w:val="1AE427F0"/>
    <w:rsid w:val="1AE65E02"/>
    <w:rsid w:val="1AE730EE"/>
    <w:rsid w:val="1AE758A9"/>
    <w:rsid w:val="1AE91933"/>
    <w:rsid w:val="1AEB7C4F"/>
    <w:rsid w:val="1AEF1A7E"/>
    <w:rsid w:val="1AF0621C"/>
    <w:rsid w:val="1AF53B46"/>
    <w:rsid w:val="1AF87CEB"/>
    <w:rsid w:val="1AF90561"/>
    <w:rsid w:val="1B084B5C"/>
    <w:rsid w:val="1B0C63AD"/>
    <w:rsid w:val="1B0C7B3C"/>
    <w:rsid w:val="1B0E322A"/>
    <w:rsid w:val="1B1623E2"/>
    <w:rsid w:val="1B1C34C7"/>
    <w:rsid w:val="1B1E4F90"/>
    <w:rsid w:val="1B22181E"/>
    <w:rsid w:val="1B221ABC"/>
    <w:rsid w:val="1B235E69"/>
    <w:rsid w:val="1B2A33C1"/>
    <w:rsid w:val="1B2A41D6"/>
    <w:rsid w:val="1B2F798F"/>
    <w:rsid w:val="1B305B6D"/>
    <w:rsid w:val="1B333AAD"/>
    <w:rsid w:val="1B37207D"/>
    <w:rsid w:val="1B381C05"/>
    <w:rsid w:val="1B3D4FC4"/>
    <w:rsid w:val="1B3D6EBF"/>
    <w:rsid w:val="1B44353B"/>
    <w:rsid w:val="1B454EC3"/>
    <w:rsid w:val="1B483B37"/>
    <w:rsid w:val="1B4C7A95"/>
    <w:rsid w:val="1B4D1DA8"/>
    <w:rsid w:val="1B4F0617"/>
    <w:rsid w:val="1B593CBE"/>
    <w:rsid w:val="1B5A4AFE"/>
    <w:rsid w:val="1B5A4C39"/>
    <w:rsid w:val="1B610A7A"/>
    <w:rsid w:val="1B6C3BE5"/>
    <w:rsid w:val="1B70108F"/>
    <w:rsid w:val="1B757F4D"/>
    <w:rsid w:val="1B787EB4"/>
    <w:rsid w:val="1B85456B"/>
    <w:rsid w:val="1B926866"/>
    <w:rsid w:val="1B9461AE"/>
    <w:rsid w:val="1B961C12"/>
    <w:rsid w:val="1B98158A"/>
    <w:rsid w:val="1B99781A"/>
    <w:rsid w:val="1B9D1EE3"/>
    <w:rsid w:val="1BA069E2"/>
    <w:rsid w:val="1BA42150"/>
    <w:rsid w:val="1BA7378B"/>
    <w:rsid w:val="1BA91B7A"/>
    <w:rsid w:val="1BB006F0"/>
    <w:rsid w:val="1BB13832"/>
    <w:rsid w:val="1BB41073"/>
    <w:rsid w:val="1BB7143E"/>
    <w:rsid w:val="1BB866ED"/>
    <w:rsid w:val="1BBE445C"/>
    <w:rsid w:val="1BC20346"/>
    <w:rsid w:val="1BC46BC2"/>
    <w:rsid w:val="1BC573A4"/>
    <w:rsid w:val="1BC95176"/>
    <w:rsid w:val="1BCE39BC"/>
    <w:rsid w:val="1BCE71A4"/>
    <w:rsid w:val="1BD2315D"/>
    <w:rsid w:val="1BD32D6F"/>
    <w:rsid w:val="1BEC381A"/>
    <w:rsid w:val="1BEE042E"/>
    <w:rsid w:val="1BEE74FF"/>
    <w:rsid w:val="1BF0291B"/>
    <w:rsid w:val="1BF02C51"/>
    <w:rsid w:val="1BF60B3D"/>
    <w:rsid w:val="1BF66240"/>
    <w:rsid w:val="1BFA5EA3"/>
    <w:rsid w:val="1C064141"/>
    <w:rsid w:val="1C0A5B3B"/>
    <w:rsid w:val="1C0D6C4A"/>
    <w:rsid w:val="1C0F5965"/>
    <w:rsid w:val="1C104585"/>
    <w:rsid w:val="1C1B7898"/>
    <w:rsid w:val="1C1F56A4"/>
    <w:rsid w:val="1C22489A"/>
    <w:rsid w:val="1C231ECE"/>
    <w:rsid w:val="1C237DD9"/>
    <w:rsid w:val="1C286AF0"/>
    <w:rsid w:val="1C2B1A87"/>
    <w:rsid w:val="1C352C13"/>
    <w:rsid w:val="1C3C12F2"/>
    <w:rsid w:val="1C3E3201"/>
    <w:rsid w:val="1C4111F0"/>
    <w:rsid w:val="1C433302"/>
    <w:rsid w:val="1C494EA4"/>
    <w:rsid w:val="1C4D5CA6"/>
    <w:rsid w:val="1C514348"/>
    <w:rsid w:val="1C55293A"/>
    <w:rsid w:val="1C5B55D3"/>
    <w:rsid w:val="1C5E115C"/>
    <w:rsid w:val="1C5F2B17"/>
    <w:rsid w:val="1C601F30"/>
    <w:rsid w:val="1C63040D"/>
    <w:rsid w:val="1C651ABC"/>
    <w:rsid w:val="1C65336E"/>
    <w:rsid w:val="1C654344"/>
    <w:rsid w:val="1C6715A8"/>
    <w:rsid w:val="1C6B574B"/>
    <w:rsid w:val="1C6E20B4"/>
    <w:rsid w:val="1C6F77EC"/>
    <w:rsid w:val="1C7031FA"/>
    <w:rsid w:val="1C7368AD"/>
    <w:rsid w:val="1C787A72"/>
    <w:rsid w:val="1C7B5C0B"/>
    <w:rsid w:val="1C7C3636"/>
    <w:rsid w:val="1C7D1D8E"/>
    <w:rsid w:val="1C7D5628"/>
    <w:rsid w:val="1C843763"/>
    <w:rsid w:val="1C863563"/>
    <w:rsid w:val="1C896F2A"/>
    <w:rsid w:val="1C8B3DAA"/>
    <w:rsid w:val="1C92742B"/>
    <w:rsid w:val="1C93046F"/>
    <w:rsid w:val="1C9360B6"/>
    <w:rsid w:val="1C94165B"/>
    <w:rsid w:val="1C96424A"/>
    <w:rsid w:val="1CA07B04"/>
    <w:rsid w:val="1CA46E94"/>
    <w:rsid w:val="1CA64A66"/>
    <w:rsid w:val="1CA74D0D"/>
    <w:rsid w:val="1CA838C3"/>
    <w:rsid w:val="1CA853D3"/>
    <w:rsid w:val="1CAC710F"/>
    <w:rsid w:val="1CAC7178"/>
    <w:rsid w:val="1CAE6526"/>
    <w:rsid w:val="1CAF1CB8"/>
    <w:rsid w:val="1CB02484"/>
    <w:rsid w:val="1CB1054C"/>
    <w:rsid w:val="1CB9161B"/>
    <w:rsid w:val="1CB9402B"/>
    <w:rsid w:val="1CBE0589"/>
    <w:rsid w:val="1CBF37D7"/>
    <w:rsid w:val="1CC02344"/>
    <w:rsid w:val="1CC052CB"/>
    <w:rsid w:val="1CC05C51"/>
    <w:rsid w:val="1CC26313"/>
    <w:rsid w:val="1CCA24DC"/>
    <w:rsid w:val="1CCA3A35"/>
    <w:rsid w:val="1CD32C99"/>
    <w:rsid w:val="1CDC4DCF"/>
    <w:rsid w:val="1CE56619"/>
    <w:rsid w:val="1CF03D72"/>
    <w:rsid w:val="1CF61DB1"/>
    <w:rsid w:val="1CFB2E5F"/>
    <w:rsid w:val="1CFD3A7A"/>
    <w:rsid w:val="1CFE273F"/>
    <w:rsid w:val="1CFF1B17"/>
    <w:rsid w:val="1D02054D"/>
    <w:rsid w:val="1D027659"/>
    <w:rsid w:val="1D056A73"/>
    <w:rsid w:val="1D0B42FE"/>
    <w:rsid w:val="1D0C4B64"/>
    <w:rsid w:val="1D126BE0"/>
    <w:rsid w:val="1D180983"/>
    <w:rsid w:val="1D1A12E5"/>
    <w:rsid w:val="1D1B0EE4"/>
    <w:rsid w:val="1D1B37D3"/>
    <w:rsid w:val="1D1B3908"/>
    <w:rsid w:val="1D1E143A"/>
    <w:rsid w:val="1D1E302C"/>
    <w:rsid w:val="1D2040E7"/>
    <w:rsid w:val="1D24276D"/>
    <w:rsid w:val="1D2A731F"/>
    <w:rsid w:val="1D2C3848"/>
    <w:rsid w:val="1D2E6203"/>
    <w:rsid w:val="1D2F705F"/>
    <w:rsid w:val="1D370212"/>
    <w:rsid w:val="1D372379"/>
    <w:rsid w:val="1D375767"/>
    <w:rsid w:val="1D4063EA"/>
    <w:rsid w:val="1D411319"/>
    <w:rsid w:val="1D4171E7"/>
    <w:rsid w:val="1D4353B0"/>
    <w:rsid w:val="1D436835"/>
    <w:rsid w:val="1D460B72"/>
    <w:rsid w:val="1D487CEA"/>
    <w:rsid w:val="1D556D94"/>
    <w:rsid w:val="1D584D49"/>
    <w:rsid w:val="1D586425"/>
    <w:rsid w:val="1D5935AB"/>
    <w:rsid w:val="1D5A2453"/>
    <w:rsid w:val="1D5F1303"/>
    <w:rsid w:val="1D5F6CE9"/>
    <w:rsid w:val="1D630640"/>
    <w:rsid w:val="1D632BED"/>
    <w:rsid w:val="1D634C47"/>
    <w:rsid w:val="1D6409D5"/>
    <w:rsid w:val="1D6502F5"/>
    <w:rsid w:val="1D683E2A"/>
    <w:rsid w:val="1D6A27CA"/>
    <w:rsid w:val="1D6A74C5"/>
    <w:rsid w:val="1D70741E"/>
    <w:rsid w:val="1D7434F7"/>
    <w:rsid w:val="1D747244"/>
    <w:rsid w:val="1D752993"/>
    <w:rsid w:val="1D7736D0"/>
    <w:rsid w:val="1D82746D"/>
    <w:rsid w:val="1D8507D1"/>
    <w:rsid w:val="1D854CC3"/>
    <w:rsid w:val="1D89014E"/>
    <w:rsid w:val="1D8B1D91"/>
    <w:rsid w:val="1D8C38E8"/>
    <w:rsid w:val="1D8E1E5D"/>
    <w:rsid w:val="1D90332D"/>
    <w:rsid w:val="1D930002"/>
    <w:rsid w:val="1D9916E0"/>
    <w:rsid w:val="1D9A104A"/>
    <w:rsid w:val="1D9A61D2"/>
    <w:rsid w:val="1D9D3AE6"/>
    <w:rsid w:val="1D9D3DE5"/>
    <w:rsid w:val="1D9E6C73"/>
    <w:rsid w:val="1DA42FDD"/>
    <w:rsid w:val="1DA51D27"/>
    <w:rsid w:val="1DA5639E"/>
    <w:rsid w:val="1DA64502"/>
    <w:rsid w:val="1DA73979"/>
    <w:rsid w:val="1DAC5A2D"/>
    <w:rsid w:val="1DAE5B30"/>
    <w:rsid w:val="1DAE5F30"/>
    <w:rsid w:val="1DB06F38"/>
    <w:rsid w:val="1DBA61EA"/>
    <w:rsid w:val="1DBB74D9"/>
    <w:rsid w:val="1DBC390E"/>
    <w:rsid w:val="1DBC733B"/>
    <w:rsid w:val="1DBD749B"/>
    <w:rsid w:val="1DC05108"/>
    <w:rsid w:val="1DC17113"/>
    <w:rsid w:val="1DC42058"/>
    <w:rsid w:val="1DC54AEF"/>
    <w:rsid w:val="1DC84969"/>
    <w:rsid w:val="1DCA3F48"/>
    <w:rsid w:val="1DCD5BF3"/>
    <w:rsid w:val="1DCE5BBE"/>
    <w:rsid w:val="1DD2145D"/>
    <w:rsid w:val="1DD33898"/>
    <w:rsid w:val="1DD662E1"/>
    <w:rsid w:val="1DDA5D0C"/>
    <w:rsid w:val="1DDC5B56"/>
    <w:rsid w:val="1DDC7FC7"/>
    <w:rsid w:val="1DDE4705"/>
    <w:rsid w:val="1DE6570E"/>
    <w:rsid w:val="1DE85C24"/>
    <w:rsid w:val="1DE93238"/>
    <w:rsid w:val="1DEC7E62"/>
    <w:rsid w:val="1DEE497A"/>
    <w:rsid w:val="1DF21391"/>
    <w:rsid w:val="1DF33B33"/>
    <w:rsid w:val="1DF527B3"/>
    <w:rsid w:val="1DF85F81"/>
    <w:rsid w:val="1DFA7D52"/>
    <w:rsid w:val="1DFB1729"/>
    <w:rsid w:val="1DFD5D92"/>
    <w:rsid w:val="1E022F11"/>
    <w:rsid w:val="1E03201A"/>
    <w:rsid w:val="1E056D63"/>
    <w:rsid w:val="1E0D46C1"/>
    <w:rsid w:val="1E0E046F"/>
    <w:rsid w:val="1E0E62F8"/>
    <w:rsid w:val="1E0F432F"/>
    <w:rsid w:val="1E0F6206"/>
    <w:rsid w:val="1E170B2E"/>
    <w:rsid w:val="1E183811"/>
    <w:rsid w:val="1E1D22FA"/>
    <w:rsid w:val="1E1E6B0B"/>
    <w:rsid w:val="1E1F565A"/>
    <w:rsid w:val="1E1F6B7C"/>
    <w:rsid w:val="1E222BC8"/>
    <w:rsid w:val="1E2345AD"/>
    <w:rsid w:val="1E256398"/>
    <w:rsid w:val="1E29536D"/>
    <w:rsid w:val="1E2963D1"/>
    <w:rsid w:val="1E29706B"/>
    <w:rsid w:val="1E2C3CA2"/>
    <w:rsid w:val="1E2D11CD"/>
    <w:rsid w:val="1E302551"/>
    <w:rsid w:val="1E31632B"/>
    <w:rsid w:val="1E3A37E7"/>
    <w:rsid w:val="1E3D15C7"/>
    <w:rsid w:val="1E430BC3"/>
    <w:rsid w:val="1E442BE6"/>
    <w:rsid w:val="1E471EB1"/>
    <w:rsid w:val="1E4C18DE"/>
    <w:rsid w:val="1E551BA8"/>
    <w:rsid w:val="1E5656CD"/>
    <w:rsid w:val="1E58681E"/>
    <w:rsid w:val="1E590D31"/>
    <w:rsid w:val="1E5C3C58"/>
    <w:rsid w:val="1E6556E4"/>
    <w:rsid w:val="1E692EF9"/>
    <w:rsid w:val="1E6A17C3"/>
    <w:rsid w:val="1E6A5AD3"/>
    <w:rsid w:val="1E772EFB"/>
    <w:rsid w:val="1E7A60FB"/>
    <w:rsid w:val="1E7B44BF"/>
    <w:rsid w:val="1E7B50D6"/>
    <w:rsid w:val="1E7C1F5B"/>
    <w:rsid w:val="1E7C275B"/>
    <w:rsid w:val="1E7C7F45"/>
    <w:rsid w:val="1E7D08AD"/>
    <w:rsid w:val="1E7E4FD5"/>
    <w:rsid w:val="1E814422"/>
    <w:rsid w:val="1E817DD5"/>
    <w:rsid w:val="1E8204DE"/>
    <w:rsid w:val="1E861C44"/>
    <w:rsid w:val="1E8E079F"/>
    <w:rsid w:val="1E92705B"/>
    <w:rsid w:val="1E9453D0"/>
    <w:rsid w:val="1E9662C6"/>
    <w:rsid w:val="1E997C22"/>
    <w:rsid w:val="1E9A23FA"/>
    <w:rsid w:val="1E9C7D66"/>
    <w:rsid w:val="1EA01F7D"/>
    <w:rsid w:val="1EA700A1"/>
    <w:rsid w:val="1EA8487B"/>
    <w:rsid w:val="1EAA2D50"/>
    <w:rsid w:val="1EAB284C"/>
    <w:rsid w:val="1EAB4540"/>
    <w:rsid w:val="1EAD0BCA"/>
    <w:rsid w:val="1EB00828"/>
    <w:rsid w:val="1EB126A4"/>
    <w:rsid w:val="1EB734DB"/>
    <w:rsid w:val="1EB9051A"/>
    <w:rsid w:val="1EBD523F"/>
    <w:rsid w:val="1EBE0182"/>
    <w:rsid w:val="1EC51D10"/>
    <w:rsid w:val="1ED16BF5"/>
    <w:rsid w:val="1ED2558A"/>
    <w:rsid w:val="1EE140C5"/>
    <w:rsid w:val="1EE40E1B"/>
    <w:rsid w:val="1EE97D0B"/>
    <w:rsid w:val="1EEB11FE"/>
    <w:rsid w:val="1EED3A55"/>
    <w:rsid w:val="1EF03958"/>
    <w:rsid w:val="1EF22B06"/>
    <w:rsid w:val="1EF35BB9"/>
    <w:rsid w:val="1EF436E9"/>
    <w:rsid w:val="1EF66BD2"/>
    <w:rsid w:val="1F003944"/>
    <w:rsid w:val="1F010D12"/>
    <w:rsid w:val="1F0D2AA6"/>
    <w:rsid w:val="1F0D3E89"/>
    <w:rsid w:val="1F15250F"/>
    <w:rsid w:val="1F1672C4"/>
    <w:rsid w:val="1F180AC2"/>
    <w:rsid w:val="1F1B76B9"/>
    <w:rsid w:val="1F1D6B6B"/>
    <w:rsid w:val="1F1D7AE6"/>
    <w:rsid w:val="1F223BCF"/>
    <w:rsid w:val="1F2C42A6"/>
    <w:rsid w:val="1F2D00B7"/>
    <w:rsid w:val="1F323D5B"/>
    <w:rsid w:val="1F393024"/>
    <w:rsid w:val="1F463C29"/>
    <w:rsid w:val="1F4720D8"/>
    <w:rsid w:val="1F480F9B"/>
    <w:rsid w:val="1F483294"/>
    <w:rsid w:val="1F492F5E"/>
    <w:rsid w:val="1F4B25CA"/>
    <w:rsid w:val="1F4C1775"/>
    <w:rsid w:val="1F501167"/>
    <w:rsid w:val="1F5423E8"/>
    <w:rsid w:val="1F5451C5"/>
    <w:rsid w:val="1F56044F"/>
    <w:rsid w:val="1F566D05"/>
    <w:rsid w:val="1F590BC0"/>
    <w:rsid w:val="1F5B282B"/>
    <w:rsid w:val="1F5F5F67"/>
    <w:rsid w:val="1F6200CC"/>
    <w:rsid w:val="1F6217E3"/>
    <w:rsid w:val="1F66462B"/>
    <w:rsid w:val="1F667192"/>
    <w:rsid w:val="1F6B61B1"/>
    <w:rsid w:val="1F6C1183"/>
    <w:rsid w:val="1F6D24BA"/>
    <w:rsid w:val="1F6F313C"/>
    <w:rsid w:val="1F71399E"/>
    <w:rsid w:val="1F78515F"/>
    <w:rsid w:val="1F7B332C"/>
    <w:rsid w:val="1F7C1EAB"/>
    <w:rsid w:val="1F7C5225"/>
    <w:rsid w:val="1F7D3228"/>
    <w:rsid w:val="1F843368"/>
    <w:rsid w:val="1F844120"/>
    <w:rsid w:val="1F871929"/>
    <w:rsid w:val="1F893CEC"/>
    <w:rsid w:val="1F8D5EE3"/>
    <w:rsid w:val="1F915AB7"/>
    <w:rsid w:val="1F92089E"/>
    <w:rsid w:val="1F945B43"/>
    <w:rsid w:val="1F946E90"/>
    <w:rsid w:val="1F947ABC"/>
    <w:rsid w:val="1F964556"/>
    <w:rsid w:val="1F975007"/>
    <w:rsid w:val="1F9B1295"/>
    <w:rsid w:val="1F9B464A"/>
    <w:rsid w:val="1F9F50C4"/>
    <w:rsid w:val="1FA04890"/>
    <w:rsid w:val="1FA47F06"/>
    <w:rsid w:val="1FA60C8D"/>
    <w:rsid w:val="1FA60E60"/>
    <w:rsid w:val="1FA80B7C"/>
    <w:rsid w:val="1FAA6998"/>
    <w:rsid w:val="1FAF6B48"/>
    <w:rsid w:val="1FB02B49"/>
    <w:rsid w:val="1FB143BE"/>
    <w:rsid w:val="1FB27FD8"/>
    <w:rsid w:val="1FBB3191"/>
    <w:rsid w:val="1FBC43A1"/>
    <w:rsid w:val="1FC153FC"/>
    <w:rsid w:val="1FC31D4B"/>
    <w:rsid w:val="1FC6534B"/>
    <w:rsid w:val="1FCA1AFA"/>
    <w:rsid w:val="1FCD2B89"/>
    <w:rsid w:val="1FCD5298"/>
    <w:rsid w:val="1FD14170"/>
    <w:rsid w:val="1FD24B2F"/>
    <w:rsid w:val="1FD80684"/>
    <w:rsid w:val="1FD8682A"/>
    <w:rsid w:val="1FD8713A"/>
    <w:rsid w:val="1FDA31CE"/>
    <w:rsid w:val="1FEA6B44"/>
    <w:rsid w:val="1FED01A9"/>
    <w:rsid w:val="1FEF53F9"/>
    <w:rsid w:val="1FF00E00"/>
    <w:rsid w:val="1FF413F1"/>
    <w:rsid w:val="1FF5383A"/>
    <w:rsid w:val="1FF97CBB"/>
    <w:rsid w:val="1FFF3366"/>
    <w:rsid w:val="200238CB"/>
    <w:rsid w:val="200670F6"/>
    <w:rsid w:val="2008360E"/>
    <w:rsid w:val="20102CE5"/>
    <w:rsid w:val="201034E2"/>
    <w:rsid w:val="20110CC5"/>
    <w:rsid w:val="20147F07"/>
    <w:rsid w:val="20157D5E"/>
    <w:rsid w:val="201743B5"/>
    <w:rsid w:val="20181D72"/>
    <w:rsid w:val="20192555"/>
    <w:rsid w:val="201B71C0"/>
    <w:rsid w:val="201C50E7"/>
    <w:rsid w:val="201D7F75"/>
    <w:rsid w:val="20271DBC"/>
    <w:rsid w:val="20287417"/>
    <w:rsid w:val="202F4248"/>
    <w:rsid w:val="20357D3F"/>
    <w:rsid w:val="203D74A1"/>
    <w:rsid w:val="20404AE9"/>
    <w:rsid w:val="20405006"/>
    <w:rsid w:val="204940AB"/>
    <w:rsid w:val="20506917"/>
    <w:rsid w:val="2051798B"/>
    <w:rsid w:val="205E1F20"/>
    <w:rsid w:val="20633584"/>
    <w:rsid w:val="20653F67"/>
    <w:rsid w:val="20656CDE"/>
    <w:rsid w:val="20662234"/>
    <w:rsid w:val="20676207"/>
    <w:rsid w:val="20681CD3"/>
    <w:rsid w:val="2068646E"/>
    <w:rsid w:val="206F08F3"/>
    <w:rsid w:val="20733E5D"/>
    <w:rsid w:val="207F1C4B"/>
    <w:rsid w:val="2087255A"/>
    <w:rsid w:val="208B65A8"/>
    <w:rsid w:val="208C6224"/>
    <w:rsid w:val="20967BF6"/>
    <w:rsid w:val="20994569"/>
    <w:rsid w:val="209A618D"/>
    <w:rsid w:val="209D2E70"/>
    <w:rsid w:val="209D3B28"/>
    <w:rsid w:val="20AB68A9"/>
    <w:rsid w:val="20AD22A6"/>
    <w:rsid w:val="20AD47C7"/>
    <w:rsid w:val="20AE0D36"/>
    <w:rsid w:val="20AF386A"/>
    <w:rsid w:val="20B00221"/>
    <w:rsid w:val="20B129DF"/>
    <w:rsid w:val="20B13391"/>
    <w:rsid w:val="20BE073D"/>
    <w:rsid w:val="20BF016E"/>
    <w:rsid w:val="20C31588"/>
    <w:rsid w:val="20CE5171"/>
    <w:rsid w:val="20D10A9D"/>
    <w:rsid w:val="20D34FE3"/>
    <w:rsid w:val="20D56001"/>
    <w:rsid w:val="20DA08A2"/>
    <w:rsid w:val="20E3145E"/>
    <w:rsid w:val="20E31DCA"/>
    <w:rsid w:val="20E7093A"/>
    <w:rsid w:val="20E83D9F"/>
    <w:rsid w:val="20F02CD5"/>
    <w:rsid w:val="20F2434C"/>
    <w:rsid w:val="20F25EFF"/>
    <w:rsid w:val="20F26794"/>
    <w:rsid w:val="20F327ED"/>
    <w:rsid w:val="20F40425"/>
    <w:rsid w:val="20F5741A"/>
    <w:rsid w:val="20F63037"/>
    <w:rsid w:val="20FB14C1"/>
    <w:rsid w:val="20FC7EF4"/>
    <w:rsid w:val="20FF51DF"/>
    <w:rsid w:val="20FF5CAF"/>
    <w:rsid w:val="20FF63B5"/>
    <w:rsid w:val="20FF697D"/>
    <w:rsid w:val="210350DD"/>
    <w:rsid w:val="210C0532"/>
    <w:rsid w:val="210C4761"/>
    <w:rsid w:val="21100051"/>
    <w:rsid w:val="21102D41"/>
    <w:rsid w:val="21110B08"/>
    <w:rsid w:val="21151212"/>
    <w:rsid w:val="21172615"/>
    <w:rsid w:val="21194E6F"/>
    <w:rsid w:val="211C5292"/>
    <w:rsid w:val="211C59FD"/>
    <w:rsid w:val="21264980"/>
    <w:rsid w:val="212A29FA"/>
    <w:rsid w:val="212D436C"/>
    <w:rsid w:val="212F071C"/>
    <w:rsid w:val="21300A95"/>
    <w:rsid w:val="21301F7E"/>
    <w:rsid w:val="21324370"/>
    <w:rsid w:val="213F37E8"/>
    <w:rsid w:val="21422EA0"/>
    <w:rsid w:val="214A5444"/>
    <w:rsid w:val="214D1D43"/>
    <w:rsid w:val="215204B8"/>
    <w:rsid w:val="215C362A"/>
    <w:rsid w:val="215D0731"/>
    <w:rsid w:val="215E4780"/>
    <w:rsid w:val="215E4E85"/>
    <w:rsid w:val="215F5C36"/>
    <w:rsid w:val="2160721A"/>
    <w:rsid w:val="2163146D"/>
    <w:rsid w:val="216469A4"/>
    <w:rsid w:val="21677B2B"/>
    <w:rsid w:val="216A1BBA"/>
    <w:rsid w:val="216B4A0E"/>
    <w:rsid w:val="216D0DAE"/>
    <w:rsid w:val="217700BD"/>
    <w:rsid w:val="217A2145"/>
    <w:rsid w:val="217C38E6"/>
    <w:rsid w:val="219530AB"/>
    <w:rsid w:val="2197414F"/>
    <w:rsid w:val="219913A3"/>
    <w:rsid w:val="219F4A79"/>
    <w:rsid w:val="21A32958"/>
    <w:rsid w:val="21A379C8"/>
    <w:rsid w:val="21A5075F"/>
    <w:rsid w:val="21AE2DDB"/>
    <w:rsid w:val="21B031B7"/>
    <w:rsid w:val="21B34EBB"/>
    <w:rsid w:val="21B40389"/>
    <w:rsid w:val="21B46763"/>
    <w:rsid w:val="21B72063"/>
    <w:rsid w:val="21C27C40"/>
    <w:rsid w:val="21C67FB1"/>
    <w:rsid w:val="21C97DF1"/>
    <w:rsid w:val="21CB16EF"/>
    <w:rsid w:val="21CD335F"/>
    <w:rsid w:val="21D16A22"/>
    <w:rsid w:val="21D261C8"/>
    <w:rsid w:val="21DA1BE7"/>
    <w:rsid w:val="21DA6615"/>
    <w:rsid w:val="21DC5129"/>
    <w:rsid w:val="21DF39A7"/>
    <w:rsid w:val="21E010A6"/>
    <w:rsid w:val="21E2478E"/>
    <w:rsid w:val="21E428C7"/>
    <w:rsid w:val="21E962EC"/>
    <w:rsid w:val="21ED6538"/>
    <w:rsid w:val="21F028EE"/>
    <w:rsid w:val="21F13EFD"/>
    <w:rsid w:val="21F25C65"/>
    <w:rsid w:val="21F410AB"/>
    <w:rsid w:val="21F70CF9"/>
    <w:rsid w:val="21F92C80"/>
    <w:rsid w:val="21FA72F0"/>
    <w:rsid w:val="21FB0414"/>
    <w:rsid w:val="21FB546E"/>
    <w:rsid w:val="21FF5628"/>
    <w:rsid w:val="22046348"/>
    <w:rsid w:val="220B66C0"/>
    <w:rsid w:val="221A2C89"/>
    <w:rsid w:val="22203060"/>
    <w:rsid w:val="222251A1"/>
    <w:rsid w:val="22237321"/>
    <w:rsid w:val="222B1927"/>
    <w:rsid w:val="22334FD9"/>
    <w:rsid w:val="22337D0F"/>
    <w:rsid w:val="22395429"/>
    <w:rsid w:val="22397644"/>
    <w:rsid w:val="223C019C"/>
    <w:rsid w:val="223C3BB9"/>
    <w:rsid w:val="223C4886"/>
    <w:rsid w:val="223E6104"/>
    <w:rsid w:val="22427394"/>
    <w:rsid w:val="224301C2"/>
    <w:rsid w:val="22465D4C"/>
    <w:rsid w:val="2247760B"/>
    <w:rsid w:val="224C6936"/>
    <w:rsid w:val="224F0D53"/>
    <w:rsid w:val="224F292A"/>
    <w:rsid w:val="2250004B"/>
    <w:rsid w:val="22505E08"/>
    <w:rsid w:val="2258225C"/>
    <w:rsid w:val="225824EF"/>
    <w:rsid w:val="225C67A3"/>
    <w:rsid w:val="225D43C3"/>
    <w:rsid w:val="22604A7F"/>
    <w:rsid w:val="2262168D"/>
    <w:rsid w:val="22644CFC"/>
    <w:rsid w:val="22674339"/>
    <w:rsid w:val="226B4A1D"/>
    <w:rsid w:val="226D41BF"/>
    <w:rsid w:val="22700CFC"/>
    <w:rsid w:val="22702AAE"/>
    <w:rsid w:val="22703FD6"/>
    <w:rsid w:val="22745741"/>
    <w:rsid w:val="22750289"/>
    <w:rsid w:val="227917DC"/>
    <w:rsid w:val="22795CB3"/>
    <w:rsid w:val="22797F99"/>
    <w:rsid w:val="227A178C"/>
    <w:rsid w:val="227E17BF"/>
    <w:rsid w:val="227F6529"/>
    <w:rsid w:val="2285482B"/>
    <w:rsid w:val="228F0EEC"/>
    <w:rsid w:val="228F24A4"/>
    <w:rsid w:val="229509AE"/>
    <w:rsid w:val="229927B9"/>
    <w:rsid w:val="229B7D3B"/>
    <w:rsid w:val="229C4298"/>
    <w:rsid w:val="22A6485D"/>
    <w:rsid w:val="22A6721E"/>
    <w:rsid w:val="22A72A0C"/>
    <w:rsid w:val="22A93129"/>
    <w:rsid w:val="22AF5449"/>
    <w:rsid w:val="22B008E3"/>
    <w:rsid w:val="22B027EC"/>
    <w:rsid w:val="22B53DAC"/>
    <w:rsid w:val="22B92EB7"/>
    <w:rsid w:val="22BF02F9"/>
    <w:rsid w:val="22BF3B1B"/>
    <w:rsid w:val="22C411DE"/>
    <w:rsid w:val="22C53195"/>
    <w:rsid w:val="22C5333F"/>
    <w:rsid w:val="22C927BF"/>
    <w:rsid w:val="22CE3FAC"/>
    <w:rsid w:val="22D84C68"/>
    <w:rsid w:val="22D9210F"/>
    <w:rsid w:val="22DE4E86"/>
    <w:rsid w:val="22DF07DE"/>
    <w:rsid w:val="22E1171B"/>
    <w:rsid w:val="22E133B7"/>
    <w:rsid w:val="22E13C1F"/>
    <w:rsid w:val="22E149E0"/>
    <w:rsid w:val="22E80310"/>
    <w:rsid w:val="22EC43A1"/>
    <w:rsid w:val="22ED28DD"/>
    <w:rsid w:val="22F0714E"/>
    <w:rsid w:val="22F42C8E"/>
    <w:rsid w:val="22F6445F"/>
    <w:rsid w:val="230577CC"/>
    <w:rsid w:val="230B1A0F"/>
    <w:rsid w:val="231105C8"/>
    <w:rsid w:val="23140E68"/>
    <w:rsid w:val="23143D56"/>
    <w:rsid w:val="23187828"/>
    <w:rsid w:val="232A7A00"/>
    <w:rsid w:val="232B7EB2"/>
    <w:rsid w:val="232D3C1A"/>
    <w:rsid w:val="232D5522"/>
    <w:rsid w:val="232E0778"/>
    <w:rsid w:val="23351632"/>
    <w:rsid w:val="2337518D"/>
    <w:rsid w:val="233F2443"/>
    <w:rsid w:val="23423E08"/>
    <w:rsid w:val="2345105E"/>
    <w:rsid w:val="234752C5"/>
    <w:rsid w:val="23486F1A"/>
    <w:rsid w:val="234961E3"/>
    <w:rsid w:val="234C6B0A"/>
    <w:rsid w:val="234D07EB"/>
    <w:rsid w:val="234F16C1"/>
    <w:rsid w:val="234F406D"/>
    <w:rsid w:val="23500C51"/>
    <w:rsid w:val="23510532"/>
    <w:rsid w:val="23512855"/>
    <w:rsid w:val="23544DF1"/>
    <w:rsid w:val="23580CE7"/>
    <w:rsid w:val="23591D4D"/>
    <w:rsid w:val="235A0FF0"/>
    <w:rsid w:val="235B026A"/>
    <w:rsid w:val="235B2D45"/>
    <w:rsid w:val="235D0E12"/>
    <w:rsid w:val="23602395"/>
    <w:rsid w:val="2360611C"/>
    <w:rsid w:val="236662E1"/>
    <w:rsid w:val="23671802"/>
    <w:rsid w:val="236B5E2C"/>
    <w:rsid w:val="236E15DF"/>
    <w:rsid w:val="23706820"/>
    <w:rsid w:val="23711B5A"/>
    <w:rsid w:val="23770F13"/>
    <w:rsid w:val="237F1545"/>
    <w:rsid w:val="2384026C"/>
    <w:rsid w:val="238568EF"/>
    <w:rsid w:val="23882DDF"/>
    <w:rsid w:val="238926DE"/>
    <w:rsid w:val="238E0B0E"/>
    <w:rsid w:val="238E6127"/>
    <w:rsid w:val="23933554"/>
    <w:rsid w:val="2394318C"/>
    <w:rsid w:val="239D0F11"/>
    <w:rsid w:val="239D1011"/>
    <w:rsid w:val="239F4C04"/>
    <w:rsid w:val="23A10CE2"/>
    <w:rsid w:val="23A21303"/>
    <w:rsid w:val="23A60364"/>
    <w:rsid w:val="23AA583E"/>
    <w:rsid w:val="23AB7944"/>
    <w:rsid w:val="23B024BB"/>
    <w:rsid w:val="23B534EA"/>
    <w:rsid w:val="23BC7D9D"/>
    <w:rsid w:val="23BD1427"/>
    <w:rsid w:val="23BE7B82"/>
    <w:rsid w:val="23BF6E9C"/>
    <w:rsid w:val="23C71AD7"/>
    <w:rsid w:val="23C87B0F"/>
    <w:rsid w:val="23C93B79"/>
    <w:rsid w:val="23CA6E15"/>
    <w:rsid w:val="23CB5008"/>
    <w:rsid w:val="23CC6E3E"/>
    <w:rsid w:val="23CC7AA1"/>
    <w:rsid w:val="23CE0ED9"/>
    <w:rsid w:val="23D07183"/>
    <w:rsid w:val="23D1190F"/>
    <w:rsid w:val="23D266FB"/>
    <w:rsid w:val="23D35626"/>
    <w:rsid w:val="23D44525"/>
    <w:rsid w:val="23DF66BA"/>
    <w:rsid w:val="23E12950"/>
    <w:rsid w:val="23E30EF9"/>
    <w:rsid w:val="23EC44A9"/>
    <w:rsid w:val="23EC7779"/>
    <w:rsid w:val="23F04C25"/>
    <w:rsid w:val="23F73342"/>
    <w:rsid w:val="23FC3DD2"/>
    <w:rsid w:val="2406199A"/>
    <w:rsid w:val="2408117A"/>
    <w:rsid w:val="24087A59"/>
    <w:rsid w:val="240933DB"/>
    <w:rsid w:val="240C488A"/>
    <w:rsid w:val="240D5CDA"/>
    <w:rsid w:val="240E5257"/>
    <w:rsid w:val="240F2EA3"/>
    <w:rsid w:val="241337C4"/>
    <w:rsid w:val="2413515E"/>
    <w:rsid w:val="241460BA"/>
    <w:rsid w:val="241C21CA"/>
    <w:rsid w:val="24263CC1"/>
    <w:rsid w:val="242A2E6C"/>
    <w:rsid w:val="242D4944"/>
    <w:rsid w:val="24316339"/>
    <w:rsid w:val="24361608"/>
    <w:rsid w:val="2438037E"/>
    <w:rsid w:val="243A5B8D"/>
    <w:rsid w:val="243B546E"/>
    <w:rsid w:val="243B6099"/>
    <w:rsid w:val="24405732"/>
    <w:rsid w:val="24466B91"/>
    <w:rsid w:val="24467401"/>
    <w:rsid w:val="244B56DC"/>
    <w:rsid w:val="244C623D"/>
    <w:rsid w:val="244F1096"/>
    <w:rsid w:val="24515446"/>
    <w:rsid w:val="24557198"/>
    <w:rsid w:val="245B0D26"/>
    <w:rsid w:val="245F350C"/>
    <w:rsid w:val="24652AEF"/>
    <w:rsid w:val="246539CD"/>
    <w:rsid w:val="24677E11"/>
    <w:rsid w:val="246840AA"/>
    <w:rsid w:val="24685A09"/>
    <w:rsid w:val="24691E73"/>
    <w:rsid w:val="247171AF"/>
    <w:rsid w:val="2471782F"/>
    <w:rsid w:val="2477435A"/>
    <w:rsid w:val="247B40DE"/>
    <w:rsid w:val="247D6100"/>
    <w:rsid w:val="24802E5B"/>
    <w:rsid w:val="24811CF0"/>
    <w:rsid w:val="24843FBE"/>
    <w:rsid w:val="248773E6"/>
    <w:rsid w:val="248905DC"/>
    <w:rsid w:val="248A6837"/>
    <w:rsid w:val="248A7AB5"/>
    <w:rsid w:val="24900E5C"/>
    <w:rsid w:val="249218C1"/>
    <w:rsid w:val="24923E9A"/>
    <w:rsid w:val="249401CF"/>
    <w:rsid w:val="249849D5"/>
    <w:rsid w:val="249870A9"/>
    <w:rsid w:val="249D7DC9"/>
    <w:rsid w:val="249F6FCE"/>
    <w:rsid w:val="24A45317"/>
    <w:rsid w:val="24A9278B"/>
    <w:rsid w:val="24A96A07"/>
    <w:rsid w:val="24AE1C1A"/>
    <w:rsid w:val="24B64269"/>
    <w:rsid w:val="24BB6BC7"/>
    <w:rsid w:val="24BF4AFE"/>
    <w:rsid w:val="24C06F3E"/>
    <w:rsid w:val="24C77C54"/>
    <w:rsid w:val="24C869C2"/>
    <w:rsid w:val="24C869E4"/>
    <w:rsid w:val="24C965F2"/>
    <w:rsid w:val="24CE34AA"/>
    <w:rsid w:val="24D061FD"/>
    <w:rsid w:val="24D31C4C"/>
    <w:rsid w:val="24D51D69"/>
    <w:rsid w:val="24D6546F"/>
    <w:rsid w:val="24E317DC"/>
    <w:rsid w:val="24E67685"/>
    <w:rsid w:val="24F0131F"/>
    <w:rsid w:val="24F0593B"/>
    <w:rsid w:val="24F06FDE"/>
    <w:rsid w:val="24F2699B"/>
    <w:rsid w:val="24F319B1"/>
    <w:rsid w:val="24F57F32"/>
    <w:rsid w:val="24F7327D"/>
    <w:rsid w:val="24F738FC"/>
    <w:rsid w:val="24FB76E7"/>
    <w:rsid w:val="24FC3829"/>
    <w:rsid w:val="24FD183D"/>
    <w:rsid w:val="25000F05"/>
    <w:rsid w:val="25055DFE"/>
    <w:rsid w:val="2508106A"/>
    <w:rsid w:val="25086152"/>
    <w:rsid w:val="250A75A0"/>
    <w:rsid w:val="250C5A7A"/>
    <w:rsid w:val="250F2AB6"/>
    <w:rsid w:val="25100E16"/>
    <w:rsid w:val="25186D9B"/>
    <w:rsid w:val="251E387F"/>
    <w:rsid w:val="252206D5"/>
    <w:rsid w:val="25246959"/>
    <w:rsid w:val="252A315A"/>
    <w:rsid w:val="252A6609"/>
    <w:rsid w:val="252F1D29"/>
    <w:rsid w:val="25307C4A"/>
    <w:rsid w:val="25357C04"/>
    <w:rsid w:val="25386C90"/>
    <w:rsid w:val="253B235F"/>
    <w:rsid w:val="253F24F4"/>
    <w:rsid w:val="254411FF"/>
    <w:rsid w:val="25442D60"/>
    <w:rsid w:val="25447128"/>
    <w:rsid w:val="25464DCB"/>
    <w:rsid w:val="25482B59"/>
    <w:rsid w:val="25496E32"/>
    <w:rsid w:val="254B5C63"/>
    <w:rsid w:val="254E220C"/>
    <w:rsid w:val="255357B6"/>
    <w:rsid w:val="25561683"/>
    <w:rsid w:val="255D23F4"/>
    <w:rsid w:val="256428A4"/>
    <w:rsid w:val="25676693"/>
    <w:rsid w:val="25686BD5"/>
    <w:rsid w:val="256929A6"/>
    <w:rsid w:val="257A2F13"/>
    <w:rsid w:val="2580065C"/>
    <w:rsid w:val="2581713E"/>
    <w:rsid w:val="25862F66"/>
    <w:rsid w:val="25863999"/>
    <w:rsid w:val="25866A5C"/>
    <w:rsid w:val="258D5372"/>
    <w:rsid w:val="25936FE3"/>
    <w:rsid w:val="25947155"/>
    <w:rsid w:val="2595378F"/>
    <w:rsid w:val="25972375"/>
    <w:rsid w:val="259F2A25"/>
    <w:rsid w:val="259F6166"/>
    <w:rsid w:val="25A10A0C"/>
    <w:rsid w:val="25A402B4"/>
    <w:rsid w:val="25A540BD"/>
    <w:rsid w:val="25A80235"/>
    <w:rsid w:val="25A820BA"/>
    <w:rsid w:val="25A84DE4"/>
    <w:rsid w:val="25AF4998"/>
    <w:rsid w:val="25B02595"/>
    <w:rsid w:val="25B25B22"/>
    <w:rsid w:val="25B4359A"/>
    <w:rsid w:val="25B45D2A"/>
    <w:rsid w:val="25B572B1"/>
    <w:rsid w:val="25BD5F45"/>
    <w:rsid w:val="25BD7568"/>
    <w:rsid w:val="25BE3B43"/>
    <w:rsid w:val="25C70018"/>
    <w:rsid w:val="25CC76E2"/>
    <w:rsid w:val="25CE699A"/>
    <w:rsid w:val="25D04F6E"/>
    <w:rsid w:val="25D60C3A"/>
    <w:rsid w:val="25D64FA0"/>
    <w:rsid w:val="25D8636E"/>
    <w:rsid w:val="25DF3580"/>
    <w:rsid w:val="25E61264"/>
    <w:rsid w:val="25E72089"/>
    <w:rsid w:val="25E76618"/>
    <w:rsid w:val="25E77480"/>
    <w:rsid w:val="25EB2B99"/>
    <w:rsid w:val="25EC0AA2"/>
    <w:rsid w:val="25ED56A6"/>
    <w:rsid w:val="25F352E7"/>
    <w:rsid w:val="25F44BF1"/>
    <w:rsid w:val="25F46C6D"/>
    <w:rsid w:val="25F63D54"/>
    <w:rsid w:val="25F8509D"/>
    <w:rsid w:val="25FA7940"/>
    <w:rsid w:val="2601464B"/>
    <w:rsid w:val="26035FD5"/>
    <w:rsid w:val="26044ECF"/>
    <w:rsid w:val="260513C1"/>
    <w:rsid w:val="260914F4"/>
    <w:rsid w:val="26096879"/>
    <w:rsid w:val="260A6F94"/>
    <w:rsid w:val="260C6BAA"/>
    <w:rsid w:val="260E2B70"/>
    <w:rsid w:val="260E761C"/>
    <w:rsid w:val="260F421F"/>
    <w:rsid w:val="2610791F"/>
    <w:rsid w:val="26127831"/>
    <w:rsid w:val="261573ED"/>
    <w:rsid w:val="261858BC"/>
    <w:rsid w:val="261B57DF"/>
    <w:rsid w:val="261B7A49"/>
    <w:rsid w:val="261F5E92"/>
    <w:rsid w:val="26246D9C"/>
    <w:rsid w:val="262543C6"/>
    <w:rsid w:val="262706D7"/>
    <w:rsid w:val="262862F0"/>
    <w:rsid w:val="26291A62"/>
    <w:rsid w:val="26305261"/>
    <w:rsid w:val="263B2EC9"/>
    <w:rsid w:val="263C3616"/>
    <w:rsid w:val="263C7F8F"/>
    <w:rsid w:val="26443BF7"/>
    <w:rsid w:val="26450AC8"/>
    <w:rsid w:val="264B4695"/>
    <w:rsid w:val="26534174"/>
    <w:rsid w:val="26537403"/>
    <w:rsid w:val="2654479A"/>
    <w:rsid w:val="26557267"/>
    <w:rsid w:val="26572DD3"/>
    <w:rsid w:val="2658110E"/>
    <w:rsid w:val="265C3754"/>
    <w:rsid w:val="265D31C5"/>
    <w:rsid w:val="265F7901"/>
    <w:rsid w:val="26642079"/>
    <w:rsid w:val="26643581"/>
    <w:rsid w:val="2665319A"/>
    <w:rsid w:val="26665D61"/>
    <w:rsid w:val="26673A2F"/>
    <w:rsid w:val="26676D78"/>
    <w:rsid w:val="266B27C6"/>
    <w:rsid w:val="266B677E"/>
    <w:rsid w:val="266E1EDD"/>
    <w:rsid w:val="26727388"/>
    <w:rsid w:val="26743610"/>
    <w:rsid w:val="26783EFD"/>
    <w:rsid w:val="26797AE9"/>
    <w:rsid w:val="267B134B"/>
    <w:rsid w:val="267B465F"/>
    <w:rsid w:val="268233BF"/>
    <w:rsid w:val="2682543C"/>
    <w:rsid w:val="268340CF"/>
    <w:rsid w:val="26843A49"/>
    <w:rsid w:val="2685136D"/>
    <w:rsid w:val="26864FAE"/>
    <w:rsid w:val="26865008"/>
    <w:rsid w:val="268D7948"/>
    <w:rsid w:val="26911DBF"/>
    <w:rsid w:val="26943AEC"/>
    <w:rsid w:val="26982079"/>
    <w:rsid w:val="269B3ADB"/>
    <w:rsid w:val="26A05988"/>
    <w:rsid w:val="26A12A32"/>
    <w:rsid w:val="26A134DE"/>
    <w:rsid w:val="26A52729"/>
    <w:rsid w:val="26A74DFB"/>
    <w:rsid w:val="26B258BA"/>
    <w:rsid w:val="26B608EC"/>
    <w:rsid w:val="26C821C9"/>
    <w:rsid w:val="26CA57A3"/>
    <w:rsid w:val="26CE38C6"/>
    <w:rsid w:val="26D40555"/>
    <w:rsid w:val="26D57B47"/>
    <w:rsid w:val="26D77E47"/>
    <w:rsid w:val="26DA70CF"/>
    <w:rsid w:val="26E21E26"/>
    <w:rsid w:val="26EE4FDD"/>
    <w:rsid w:val="26F6314F"/>
    <w:rsid w:val="26FA6A0D"/>
    <w:rsid w:val="26FC2109"/>
    <w:rsid w:val="26FF6237"/>
    <w:rsid w:val="270260E1"/>
    <w:rsid w:val="27027117"/>
    <w:rsid w:val="270534AB"/>
    <w:rsid w:val="270D75CC"/>
    <w:rsid w:val="27131026"/>
    <w:rsid w:val="27167621"/>
    <w:rsid w:val="271D5835"/>
    <w:rsid w:val="271E4BC3"/>
    <w:rsid w:val="271F534D"/>
    <w:rsid w:val="27214C7A"/>
    <w:rsid w:val="27271699"/>
    <w:rsid w:val="2728542F"/>
    <w:rsid w:val="272C3A91"/>
    <w:rsid w:val="272F114F"/>
    <w:rsid w:val="272F3C7A"/>
    <w:rsid w:val="27392E04"/>
    <w:rsid w:val="273C5D63"/>
    <w:rsid w:val="273C639B"/>
    <w:rsid w:val="273D2622"/>
    <w:rsid w:val="27413258"/>
    <w:rsid w:val="27431137"/>
    <w:rsid w:val="274A41BD"/>
    <w:rsid w:val="274C4DD1"/>
    <w:rsid w:val="274D6110"/>
    <w:rsid w:val="27555A3D"/>
    <w:rsid w:val="27594BF7"/>
    <w:rsid w:val="27602FA2"/>
    <w:rsid w:val="27611E5C"/>
    <w:rsid w:val="2765133E"/>
    <w:rsid w:val="276649DA"/>
    <w:rsid w:val="276907AC"/>
    <w:rsid w:val="276F29A0"/>
    <w:rsid w:val="27754D58"/>
    <w:rsid w:val="27761385"/>
    <w:rsid w:val="27810585"/>
    <w:rsid w:val="2781259E"/>
    <w:rsid w:val="27836607"/>
    <w:rsid w:val="278468EB"/>
    <w:rsid w:val="27885CC7"/>
    <w:rsid w:val="278A3A3B"/>
    <w:rsid w:val="278B37C6"/>
    <w:rsid w:val="278D63AF"/>
    <w:rsid w:val="278E05E2"/>
    <w:rsid w:val="27942698"/>
    <w:rsid w:val="279453DF"/>
    <w:rsid w:val="27965EC8"/>
    <w:rsid w:val="27970656"/>
    <w:rsid w:val="279B1C73"/>
    <w:rsid w:val="279D580D"/>
    <w:rsid w:val="27A047B4"/>
    <w:rsid w:val="27A328D7"/>
    <w:rsid w:val="27A51784"/>
    <w:rsid w:val="27B147CA"/>
    <w:rsid w:val="27BB2AB5"/>
    <w:rsid w:val="27BB4838"/>
    <w:rsid w:val="27C55AEA"/>
    <w:rsid w:val="27C5619E"/>
    <w:rsid w:val="27C64E8A"/>
    <w:rsid w:val="27CC0F3E"/>
    <w:rsid w:val="27CD0D15"/>
    <w:rsid w:val="27D07631"/>
    <w:rsid w:val="27D6232F"/>
    <w:rsid w:val="27D668B3"/>
    <w:rsid w:val="27D82A9F"/>
    <w:rsid w:val="27DA3795"/>
    <w:rsid w:val="27DC3709"/>
    <w:rsid w:val="27E11CB3"/>
    <w:rsid w:val="27E159C3"/>
    <w:rsid w:val="27E23552"/>
    <w:rsid w:val="27E34B5D"/>
    <w:rsid w:val="27EA2601"/>
    <w:rsid w:val="27ED20DC"/>
    <w:rsid w:val="27EE4234"/>
    <w:rsid w:val="27EF6D1E"/>
    <w:rsid w:val="27F32C75"/>
    <w:rsid w:val="27F43259"/>
    <w:rsid w:val="27F52C2A"/>
    <w:rsid w:val="27FB3E62"/>
    <w:rsid w:val="27FD204C"/>
    <w:rsid w:val="27FD3FC2"/>
    <w:rsid w:val="27FF404B"/>
    <w:rsid w:val="28001AFA"/>
    <w:rsid w:val="280341F3"/>
    <w:rsid w:val="28064478"/>
    <w:rsid w:val="2808561A"/>
    <w:rsid w:val="280B3E1F"/>
    <w:rsid w:val="280D6543"/>
    <w:rsid w:val="280E7EB5"/>
    <w:rsid w:val="280F1B99"/>
    <w:rsid w:val="2818298E"/>
    <w:rsid w:val="28196823"/>
    <w:rsid w:val="281B59FB"/>
    <w:rsid w:val="281E5655"/>
    <w:rsid w:val="2822071D"/>
    <w:rsid w:val="28262710"/>
    <w:rsid w:val="282821B1"/>
    <w:rsid w:val="28286B99"/>
    <w:rsid w:val="28294683"/>
    <w:rsid w:val="282A515D"/>
    <w:rsid w:val="282E15AD"/>
    <w:rsid w:val="283264E3"/>
    <w:rsid w:val="2833275E"/>
    <w:rsid w:val="283B2723"/>
    <w:rsid w:val="283C49F1"/>
    <w:rsid w:val="28444418"/>
    <w:rsid w:val="2848303F"/>
    <w:rsid w:val="28494B3A"/>
    <w:rsid w:val="28507E6C"/>
    <w:rsid w:val="28522111"/>
    <w:rsid w:val="2854647B"/>
    <w:rsid w:val="28555B62"/>
    <w:rsid w:val="285A5615"/>
    <w:rsid w:val="28611978"/>
    <w:rsid w:val="28641471"/>
    <w:rsid w:val="2864414E"/>
    <w:rsid w:val="286646A0"/>
    <w:rsid w:val="28667C3A"/>
    <w:rsid w:val="28671193"/>
    <w:rsid w:val="286946C9"/>
    <w:rsid w:val="286F6114"/>
    <w:rsid w:val="28703515"/>
    <w:rsid w:val="28725090"/>
    <w:rsid w:val="287A599F"/>
    <w:rsid w:val="287C4BEE"/>
    <w:rsid w:val="287D6708"/>
    <w:rsid w:val="287F7BEF"/>
    <w:rsid w:val="2882629A"/>
    <w:rsid w:val="288F42CC"/>
    <w:rsid w:val="28900D18"/>
    <w:rsid w:val="28906CFF"/>
    <w:rsid w:val="2891016B"/>
    <w:rsid w:val="2893406A"/>
    <w:rsid w:val="28945AA7"/>
    <w:rsid w:val="289968C6"/>
    <w:rsid w:val="28A330FB"/>
    <w:rsid w:val="28A40FC8"/>
    <w:rsid w:val="28A475B7"/>
    <w:rsid w:val="28A61B69"/>
    <w:rsid w:val="28AB04AB"/>
    <w:rsid w:val="28AB1CD1"/>
    <w:rsid w:val="28AB350A"/>
    <w:rsid w:val="28AC3B5A"/>
    <w:rsid w:val="28AE0147"/>
    <w:rsid w:val="28B02257"/>
    <w:rsid w:val="28B12660"/>
    <w:rsid w:val="28B34956"/>
    <w:rsid w:val="28B431CC"/>
    <w:rsid w:val="28B83A30"/>
    <w:rsid w:val="28BA7EF3"/>
    <w:rsid w:val="28BB20C1"/>
    <w:rsid w:val="28BB3DE5"/>
    <w:rsid w:val="28BE14B6"/>
    <w:rsid w:val="28BF4458"/>
    <w:rsid w:val="28C330E2"/>
    <w:rsid w:val="28CA2378"/>
    <w:rsid w:val="28CB1A4B"/>
    <w:rsid w:val="28CB5657"/>
    <w:rsid w:val="28CE6567"/>
    <w:rsid w:val="28CF0737"/>
    <w:rsid w:val="28CF4024"/>
    <w:rsid w:val="28CF7C54"/>
    <w:rsid w:val="28D0224B"/>
    <w:rsid w:val="28D15352"/>
    <w:rsid w:val="28D55E8E"/>
    <w:rsid w:val="28DA15D1"/>
    <w:rsid w:val="28DD319D"/>
    <w:rsid w:val="28E033D2"/>
    <w:rsid w:val="28E56DF3"/>
    <w:rsid w:val="28E84463"/>
    <w:rsid w:val="28E856B9"/>
    <w:rsid w:val="28E9046F"/>
    <w:rsid w:val="28E94F77"/>
    <w:rsid w:val="28EA2BCE"/>
    <w:rsid w:val="28EA7C02"/>
    <w:rsid w:val="28F10668"/>
    <w:rsid w:val="28F25FD4"/>
    <w:rsid w:val="28F57DEA"/>
    <w:rsid w:val="28F714C3"/>
    <w:rsid w:val="28F95E20"/>
    <w:rsid w:val="28FB27A2"/>
    <w:rsid w:val="28FF4022"/>
    <w:rsid w:val="290044B4"/>
    <w:rsid w:val="2903540A"/>
    <w:rsid w:val="29064F12"/>
    <w:rsid w:val="29086B8B"/>
    <w:rsid w:val="290B3C99"/>
    <w:rsid w:val="290B573F"/>
    <w:rsid w:val="290F7A77"/>
    <w:rsid w:val="29110199"/>
    <w:rsid w:val="2911436E"/>
    <w:rsid w:val="29114C59"/>
    <w:rsid w:val="29143B21"/>
    <w:rsid w:val="29174C71"/>
    <w:rsid w:val="291B0D88"/>
    <w:rsid w:val="291D7124"/>
    <w:rsid w:val="291F341D"/>
    <w:rsid w:val="29245D9A"/>
    <w:rsid w:val="29270CC1"/>
    <w:rsid w:val="2935598C"/>
    <w:rsid w:val="293B3DCA"/>
    <w:rsid w:val="293E22EC"/>
    <w:rsid w:val="293E4EF5"/>
    <w:rsid w:val="29422134"/>
    <w:rsid w:val="29457013"/>
    <w:rsid w:val="29464EE5"/>
    <w:rsid w:val="2946519F"/>
    <w:rsid w:val="294828B6"/>
    <w:rsid w:val="2949368E"/>
    <w:rsid w:val="29547B9E"/>
    <w:rsid w:val="295C312F"/>
    <w:rsid w:val="29613FEB"/>
    <w:rsid w:val="29637F93"/>
    <w:rsid w:val="296E0083"/>
    <w:rsid w:val="296E595E"/>
    <w:rsid w:val="297133D3"/>
    <w:rsid w:val="297406E3"/>
    <w:rsid w:val="29781DF2"/>
    <w:rsid w:val="297A1636"/>
    <w:rsid w:val="297F1838"/>
    <w:rsid w:val="297F2E39"/>
    <w:rsid w:val="297F4FC2"/>
    <w:rsid w:val="2984142D"/>
    <w:rsid w:val="29920DD4"/>
    <w:rsid w:val="29936665"/>
    <w:rsid w:val="29986BBA"/>
    <w:rsid w:val="299B1364"/>
    <w:rsid w:val="299C5560"/>
    <w:rsid w:val="299E7025"/>
    <w:rsid w:val="29A10BA0"/>
    <w:rsid w:val="29A72780"/>
    <w:rsid w:val="29A731CA"/>
    <w:rsid w:val="29A76D0D"/>
    <w:rsid w:val="29A7783D"/>
    <w:rsid w:val="29A836E7"/>
    <w:rsid w:val="29B92D19"/>
    <w:rsid w:val="29BE3289"/>
    <w:rsid w:val="29C20925"/>
    <w:rsid w:val="29C329E6"/>
    <w:rsid w:val="29C42749"/>
    <w:rsid w:val="29C6264C"/>
    <w:rsid w:val="29CC6065"/>
    <w:rsid w:val="29CE586D"/>
    <w:rsid w:val="29CF5B95"/>
    <w:rsid w:val="29D12DD7"/>
    <w:rsid w:val="29D14CE8"/>
    <w:rsid w:val="29D756D5"/>
    <w:rsid w:val="29D9252D"/>
    <w:rsid w:val="29DC164F"/>
    <w:rsid w:val="29DD4120"/>
    <w:rsid w:val="29E354CA"/>
    <w:rsid w:val="29E418D5"/>
    <w:rsid w:val="29EC2B2B"/>
    <w:rsid w:val="29ED2300"/>
    <w:rsid w:val="29ED2CFD"/>
    <w:rsid w:val="29ED7FBC"/>
    <w:rsid w:val="29F131CB"/>
    <w:rsid w:val="29F8504A"/>
    <w:rsid w:val="29FC148F"/>
    <w:rsid w:val="29FD3138"/>
    <w:rsid w:val="29FF2BEC"/>
    <w:rsid w:val="29FF4CBD"/>
    <w:rsid w:val="2A0E66D5"/>
    <w:rsid w:val="2A12149A"/>
    <w:rsid w:val="2A1301E3"/>
    <w:rsid w:val="2A154BFC"/>
    <w:rsid w:val="2A1617C9"/>
    <w:rsid w:val="2A194D23"/>
    <w:rsid w:val="2A1D2B6C"/>
    <w:rsid w:val="2A220A36"/>
    <w:rsid w:val="2A2831B3"/>
    <w:rsid w:val="2A2D4C25"/>
    <w:rsid w:val="2A2D65A1"/>
    <w:rsid w:val="2A3436BE"/>
    <w:rsid w:val="2A374F1D"/>
    <w:rsid w:val="2A377BBE"/>
    <w:rsid w:val="2A3B279A"/>
    <w:rsid w:val="2A3B6830"/>
    <w:rsid w:val="2A416F5C"/>
    <w:rsid w:val="2A423861"/>
    <w:rsid w:val="2A464CC0"/>
    <w:rsid w:val="2A4742ED"/>
    <w:rsid w:val="2A4A5AEA"/>
    <w:rsid w:val="2A4B7703"/>
    <w:rsid w:val="2A4E53F0"/>
    <w:rsid w:val="2A583472"/>
    <w:rsid w:val="2A606731"/>
    <w:rsid w:val="2A63076B"/>
    <w:rsid w:val="2A6336E7"/>
    <w:rsid w:val="2A643110"/>
    <w:rsid w:val="2A67263F"/>
    <w:rsid w:val="2A6A7D2E"/>
    <w:rsid w:val="2A7109D8"/>
    <w:rsid w:val="2A733BF5"/>
    <w:rsid w:val="2A736D81"/>
    <w:rsid w:val="2A7F198E"/>
    <w:rsid w:val="2A8046B1"/>
    <w:rsid w:val="2A8941F8"/>
    <w:rsid w:val="2A8D6F7B"/>
    <w:rsid w:val="2A8F15AC"/>
    <w:rsid w:val="2A980E56"/>
    <w:rsid w:val="2A9C59F9"/>
    <w:rsid w:val="2AA02AF4"/>
    <w:rsid w:val="2AA14F60"/>
    <w:rsid w:val="2AA628DC"/>
    <w:rsid w:val="2AAC115B"/>
    <w:rsid w:val="2AAD3113"/>
    <w:rsid w:val="2AB04818"/>
    <w:rsid w:val="2AB6526D"/>
    <w:rsid w:val="2AB7118C"/>
    <w:rsid w:val="2ABC027A"/>
    <w:rsid w:val="2AC37F7F"/>
    <w:rsid w:val="2AC41E67"/>
    <w:rsid w:val="2AC47CDF"/>
    <w:rsid w:val="2ACA6E61"/>
    <w:rsid w:val="2ACD1088"/>
    <w:rsid w:val="2ACF082C"/>
    <w:rsid w:val="2AD00F8E"/>
    <w:rsid w:val="2AD24B9D"/>
    <w:rsid w:val="2AD27986"/>
    <w:rsid w:val="2AD76568"/>
    <w:rsid w:val="2ADA6BEE"/>
    <w:rsid w:val="2ADF0A57"/>
    <w:rsid w:val="2ADF4AEE"/>
    <w:rsid w:val="2AE815E3"/>
    <w:rsid w:val="2AEA5FD2"/>
    <w:rsid w:val="2AF01C35"/>
    <w:rsid w:val="2AF15991"/>
    <w:rsid w:val="2AFA41F7"/>
    <w:rsid w:val="2AFB1DA9"/>
    <w:rsid w:val="2AFB6A43"/>
    <w:rsid w:val="2B016B5F"/>
    <w:rsid w:val="2B03259D"/>
    <w:rsid w:val="2B060E8D"/>
    <w:rsid w:val="2B064D4C"/>
    <w:rsid w:val="2B0A2232"/>
    <w:rsid w:val="2B0D55CA"/>
    <w:rsid w:val="2B105A96"/>
    <w:rsid w:val="2B1C123A"/>
    <w:rsid w:val="2B1D1D3B"/>
    <w:rsid w:val="2B2368DD"/>
    <w:rsid w:val="2B2566B8"/>
    <w:rsid w:val="2B261508"/>
    <w:rsid w:val="2B2B35CD"/>
    <w:rsid w:val="2B2D6E31"/>
    <w:rsid w:val="2B3243E4"/>
    <w:rsid w:val="2B325BE6"/>
    <w:rsid w:val="2B340310"/>
    <w:rsid w:val="2B35456F"/>
    <w:rsid w:val="2B396AC1"/>
    <w:rsid w:val="2B3B3539"/>
    <w:rsid w:val="2B3B3C08"/>
    <w:rsid w:val="2B3F23E0"/>
    <w:rsid w:val="2B487924"/>
    <w:rsid w:val="2B4E4581"/>
    <w:rsid w:val="2B502AF7"/>
    <w:rsid w:val="2B5170AE"/>
    <w:rsid w:val="2B530555"/>
    <w:rsid w:val="2B542C3D"/>
    <w:rsid w:val="2B560CB2"/>
    <w:rsid w:val="2B5B5FB3"/>
    <w:rsid w:val="2B63180D"/>
    <w:rsid w:val="2B631B69"/>
    <w:rsid w:val="2B663530"/>
    <w:rsid w:val="2B68048F"/>
    <w:rsid w:val="2B6A49D1"/>
    <w:rsid w:val="2B6B0617"/>
    <w:rsid w:val="2B6B0679"/>
    <w:rsid w:val="2B6D6B9C"/>
    <w:rsid w:val="2B745013"/>
    <w:rsid w:val="2B764911"/>
    <w:rsid w:val="2B782B4B"/>
    <w:rsid w:val="2B7D15D4"/>
    <w:rsid w:val="2B7E625A"/>
    <w:rsid w:val="2B7F2C20"/>
    <w:rsid w:val="2B855B08"/>
    <w:rsid w:val="2B860D79"/>
    <w:rsid w:val="2B882B53"/>
    <w:rsid w:val="2B8D7706"/>
    <w:rsid w:val="2B924ECF"/>
    <w:rsid w:val="2B932582"/>
    <w:rsid w:val="2B937945"/>
    <w:rsid w:val="2B982051"/>
    <w:rsid w:val="2B9A78C3"/>
    <w:rsid w:val="2BA0446A"/>
    <w:rsid w:val="2BA26CCD"/>
    <w:rsid w:val="2BA40F0B"/>
    <w:rsid w:val="2BA40F79"/>
    <w:rsid w:val="2BA77298"/>
    <w:rsid w:val="2BAC2C8D"/>
    <w:rsid w:val="2BAD6662"/>
    <w:rsid w:val="2BAF5F00"/>
    <w:rsid w:val="2BB4385F"/>
    <w:rsid w:val="2BB4483F"/>
    <w:rsid w:val="2BB7092B"/>
    <w:rsid w:val="2BB76F93"/>
    <w:rsid w:val="2BBA0B43"/>
    <w:rsid w:val="2BBB2B4F"/>
    <w:rsid w:val="2BBF131F"/>
    <w:rsid w:val="2BBF717A"/>
    <w:rsid w:val="2BC02C7B"/>
    <w:rsid w:val="2BC447D5"/>
    <w:rsid w:val="2BC76916"/>
    <w:rsid w:val="2BC82119"/>
    <w:rsid w:val="2BC91C4F"/>
    <w:rsid w:val="2BCC3CF9"/>
    <w:rsid w:val="2BD27BB9"/>
    <w:rsid w:val="2BD353C9"/>
    <w:rsid w:val="2BD9784B"/>
    <w:rsid w:val="2BDC7D8E"/>
    <w:rsid w:val="2BE46B40"/>
    <w:rsid w:val="2BEB7E5B"/>
    <w:rsid w:val="2BEC583D"/>
    <w:rsid w:val="2BEE3951"/>
    <w:rsid w:val="2BEE74DF"/>
    <w:rsid w:val="2BF12079"/>
    <w:rsid w:val="2BF2331F"/>
    <w:rsid w:val="2BF50B53"/>
    <w:rsid w:val="2BF91786"/>
    <w:rsid w:val="2BFF6016"/>
    <w:rsid w:val="2C0456FC"/>
    <w:rsid w:val="2C0D2D57"/>
    <w:rsid w:val="2C117099"/>
    <w:rsid w:val="2C1217F7"/>
    <w:rsid w:val="2C14169A"/>
    <w:rsid w:val="2C15594D"/>
    <w:rsid w:val="2C167D82"/>
    <w:rsid w:val="2C1873C3"/>
    <w:rsid w:val="2C1E49F2"/>
    <w:rsid w:val="2C236729"/>
    <w:rsid w:val="2C243376"/>
    <w:rsid w:val="2C2452AC"/>
    <w:rsid w:val="2C314C36"/>
    <w:rsid w:val="2C3B0336"/>
    <w:rsid w:val="2C3D1562"/>
    <w:rsid w:val="2C3E0A13"/>
    <w:rsid w:val="2C4911AA"/>
    <w:rsid w:val="2C4C6AD4"/>
    <w:rsid w:val="2C4C7537"/>
    <w:rsid w:val="2C585F00"/>
    <w:rsid w:val="2C5D31CF"/>
    <w:rsid w:val="2C624030"/>
    <w:rsid w:val="2C644319"/>
    <w:rsid w:val="2C644D17"/>
    <w:rsid w:val="2C651002"/>
    <w:rsid w:val="2C6D36B3"/>
    <w:rsid w:val="2C6D3FA8"/>
    <w:rsid w:val="2C6D49BB"/>
    <w:rsid w:val="2C6F1E20"/>
    <w:rsid w:val="2C6F3A85"/>
    <w:rsid w:val="2C7017B1"/>
    <w:rsid w:val="2C715859"/>
    <w:rsid w:val="2C762C12"/>
    <w:rsid w:val="2C794DC0"/>
    <w:rsid w:val="2C7D4D98"/>
    <w:rsid w:val="2C7D5017"/>
    <w:rsid w:val="2C800ED4"/>
    <w:rsid w:val="2C827873"/>
    <w:rsid w:val="2C891BAB"/>
    <w:rsid w:val="2C8965CB"/>
    <w:rsid w:val="2C936AFA"/>
    <w:rsid w:val="2C940A63"/>
    <w:rsid w:val="2C95743B"/>
    <w:rsid w:val="2C963890"/>
    <w:rsid w:val="2C9B60F2"/>
    <w:rsid w:val="2C9E7BFA"/>
    <w:rsid w:val="2C9F0BC1"/>
    <w:rsid w:val="2CA25DE0"/>
    <w:rsid w:val="2CA33AE3"/>
    <w:rsid w:val="2CB13DE0"/>
    <w:rsid w:val="2CB809A2"/>
    <w:rsid w:val="2CBA7440"/>
    <w:rsid w:val="2CBD7A54"/>
    <w:rsid w:val="2CBF1879"/>
    <w:rsid w:val="2CC3119F"/>
    <w:rsid w:val="2CC347F2"/>
    <w:rsid w:val="2CC457C2"/>
    <w:rsid w:val="2CC4600E"/>
    <w:rsid w:val="2CCA5F15"/>
    <w:rsid w:val="2CCC1F05"/>
    <w:rsid w:val="2CCC4427"/>
    <w:rsid w:val="2CCD1466"/>
    <w:rsid w:val="2CCD4A50"/>
    <w:rsid w:val="2CCF27B1"/>
    <w:rsid w:val="2CD13576"/>
    <w:rsid w:val="2CD366DE"/>
    <w:rsid w:val="2CD854D2"/>
    <w:rsid w:val="2CDC67CD"/>
    <w:rsid w:val="2CE16081"/>
    <w:rsid w:val="2CE449E1"/>
    <w:rsid w:val="2CE5742D"/>
    <w:rsid w:val="2CEB4CB8"/>
    <w:rsid w:val="2CED50F4"/>
    <w:rsid w:val="2CEF56E5"/>
    <w:rsid w:val="2CF053D9"/>
    <w:rsid w:val="2CF36E28"/>
    <w:rsid w:val="2CF41A03"/>
    <w:rsid w:val="2CF44696"/>
    <w:rsid w:val="2CF574F5"/>
    <w:rsid w:val="2CF7542B"/>
    <w:rsid w:val="2CF82E38"/>
    <w:rsid w:val="2CFA792A"/>
    <w:rsid w:val="2CFE5E5E"/>
    <w:rsid w:val="2D017667"/>
    <w:rsid w:val="2D091BEF"/>
    <w:rsid w:val="2D126C1A"/>
    <w:rsid w:val="2D1B0CA6"/>
    <w:rsid w:val="2D2173AF"/>
    <w:rsid w:val="2D243C12"/>
    <w:rsid w:val="2D254E79"/>
    <w:rsid w:val="2D274330"/>
    <w:rsid w:val="2D2C06A2"/>
    <w:rsid w:val="2D31777C"/>
    <w:rsid w:val="2D351E3C"/>
    <w:rsid w:val="2D354D5C"/>
    <w:rsid w:val="2D365EF8"/>
    <w:rsid w:val="2D3F7FB2"/>
    <w:rsid w:val="2D420CB4"/>
    <w:rsid w:val="2D452267"/>
    <w:rsid w:val="2D463CA9"/>
    <w:rsid w:val="2D473366"/>
    <w:rsid w:val="2D495BC7"/>
    <w:rsid w:val="2D4B1B05"/>
    <w:rsid w:val="2D585AD1"/>
    <w:rsid w:val="2D593773"/>
    <w:rsid w:val="2D5C055D"/>
    <w:rsid w:val="2D5C0868"/>
    <w:rsid w:val="2D6179CA"/>
    <w:rsid w:val="2D650F48"/>
    <w:rsid w:val="2D6A15AC"/>
    <w:rsid w:val="2D6C7132"/>
    <w:rsid w:val="2D6E0B20"/>
    <w:rsid w:val="2D710F41"/>
    <w:rsid w:val="2D74341C"/>
    <w:rsid w:val="2D753F9F"/>
    <w:rsid w:val="2D765BA0"/>
    <w:rsid w:val="2D776B60"/>
    <w:rsid w:val="2D7D77D3"/>
    <w:rsid w:val="2D7F2139"/>
    <w:rsid w:val="2D8179F1"/>
    <w:rsid w:val="2D8307E8"/>
    <w:rsid w:val="2D840AAD"/>
    <w:rsid w:val="2D860254"/>
    <w:rsid w:val="2D871EB9"/>
    <w:rsid w:val="2D875BA7"/>
    <w:rsid w:val="2D892E33"/>
    <w:rsid w:val="2D896F62"/>
    <w:rsid w:val="2D8C622D"/>
    <w:rsid w:val="2D8D0A7C"/>
    <w:rsid w:val="2D964106"/>
    <w:rsid w:val="2D9853EF"/>
    <w:rsid w:val="2D9D5F02"/>
    <w:rsid w:val="2DA33697"/>
    <w:rsid w:val="2DA447ED"/>
    <w:rsid w:val="2DA602D1"/>
    <w:rsid w:val="2DAC54F2"/>
    <w:rsid w:val="2DAF22FF"/>
    <w:rsid w:val="2DB569E7"/>
    <w:rsid w:val="2DB70718"/>
    <w:rsid w:val="2DB7294D"/>
    <w:rsid w:val="2DB75510"/>
    <w:rsid w:val="2DBF5A1C"/>
    <w:rsid w:val="2DC0733B"/>
    <w:rsid w:val="2DC13632"/>
    <w:rsid w:val="2DCD4903"/>
    <w:rsid w:val="2DCD74B7"/>
    <w:rsid w:val="2DD01A7D"/>
    <w:rsid w:val="2DDC33D6"/>
    <w:rsid w:val="2DE20F32"/>
    <w:rsid w:val="2DE653D2"/>
    <w:rsid w:val="2DE6622A"/>
    <w:rsid w:val="2DE7184B"/>
    <w:rsid w:val="2DEC117C"/>
    <w:rsid w:val="2DF14965"/>
    <w:rsid w:val="2DF24C8C"/>
    <w:rsid w:val="2DF26F8F"/>
    <w:rsid w:val="2DF35DE3"/>
    <w:rsid w:val="2DF37E90"/>
    <w:rsid w:val="2DF52272"/>
    <w:rsid w:val="2DF85CC4"/>
    <w:rsid w:val="2DFE2C1E"/>
    <w:rsid w:val="2DFF0F24"/>
    <w:rsid w:val="2E054CA3"/>
    <w:rsid w:val="2E074BB6"/>
    <w:rsid w:val="2E075B5F"/>
    <w:rsid w:val="2E0940AC"/>
    <w:rsid w:val="2E0B5BD4"/>
    <w:rsid w:val="2E0C5397"/>
    <w:rsid w:val="2E0D57C1"/>
    <w:rsid w:val="2E0F105C"/>
    <w:rsid w:val="2E131DA2"/>
    <w:rsid w:val="2E165503"/>
    <w:rsid w:val="2E1656B2"/>
    <w:rsid w:val="2E1A223B"/>
    <w:rsid w:val="2E1A315B"/>
    <w:rsid w:val="2E236224"/>
    <w:rsid w:val="2E255D8E"/>
    <w:rsid w:val="2E2752A7"/>
    <w:rsid w:val="2E282B1B"/>
    <w:rsid w:val="2E2855D7"/>
    <w:rsid w:val="2E29660A"/>
    <w:rsid w:val="2E2D1F93"/>
    <w:rsid w:val="2E2F2F93"/>
    <w:rsid w:val="2E3039DE"/>
    <w:rsid w:val="2E32320A"/>
    <w:rsid w:val="2E33643A"/>
    <w:rsid w:val="2E340DEE"/>
    <w:rsid w:val="2E36522F"/>
    <w:rsid w:val="2E390913"/>
    <w:rsid w:val="2E39646D"/>
    <w:rsid w:val="2E3C4173"/>
    <w:rsid w:val="2E4A3B14"/>
    <w:rsid w:val="2E4D28F9"/>
    <w:rsid w:val="2E4E6788"/>
    <w:rsid w:val="2E4E716C"/>
    <w:rsid w:val="2E506946"/>
    <w:rsid w:val="2E560E65"/>
    <w:rsid w:val="2E60526A"/>
    <w:rsid w:val="2E6111CB"/>
    <w:rsid w:val="2E612948"/>
    <w:rsid w:val="2E682693"/>
    <w:rsid w:val="2E6B1056"/>
    <w:rsid w:val="2E6B22C4"/>
    <w:rsid w:val="2E6C3338"/>
    <w:rsid w:val="2E6E3A5F"/>
    <w:rsid w:val="2E744F92"/>
    <w:rsid w:val="2E7838F4"/>
    <w:rsid w:val="2E7B19BC"/>
    <w:rsid w:val="2E7E3AAB"/>
    <w:rsid w:val="2E7F6D16"/>
    <w:rsid w:val="2E854E2B"/>
    <w:rsid w:val="2E897186"/>
    <w:rsid w:val="2E8C6C00"/>
    <w:rsid w:val="2E8F099E"/>
    <w:rsid w:val="2E9657D1"/>
    <w:rsid w:val="2E97109A"/>
    <w:rsid w:val="2E9D338C"/>
    <w:rsid w:val="2E9F0A25"/>
    <w:rsid w:val="2EA735EC"/>
    <w:rsid w:val="2EA80F2A"/>
    <w:rsid w:val="2EA8329F"/>
    <w:rsid w:val="2EAA4673"/>
    <w:rsid w:val="2EAC19C5"/>
    <w:rsid w:val="2EB17D4B"/>
    <w:rsid w:val="2EB67CD2"/>
    <w:rsid w:val="2EB7023D"/>
    <w:rsid w:val="2EBA16A3"/>
    <w:rsid w:val="2EBD258D"/>
    <w:rsid w:val="2EC0750D"/>
    <w:rsid w:val="2EC1154B"/>
    <w:rsid w:val="2EC26C3B"/>
    <w:rsid w:val="2EC34407"/>
    <w:rsid w:val="2EC41C75"/>
    <w:rsid w:val="2EC54D7C"/>
    <w:rsid w:val="2ECA4C80"/>
    <w:rsid w:val="2ECA55AB"/>
    <w:rsid w:val="2ECC205A"/>
    <w:rsid w:val="2ECF27CD"/>
    <w:rsid w:val="2ED65BE8"/>
    <w:rsid w:val="2ED91864"/>
    <w:rsid w:val="2EE246F7"/>
    <w:rsid w:val="2EE33B03"/>
    <w:rsid w:val="2EE50720"/>
    <w:rsid w:val="2EE540E2"/>
    <w:rsid w:val="2EE71210"/>
    <w:rsid w:val="2EEE3A14"/>
    <w:rsid w:val="2EF56069"/>
    <w:rsid w:val="2EF63D96"/>
    <w:rsid w:val="2EFE70EA"/>
    <w:rsid w:val="2EFF7F43"/>
    <w:rsid w:val="2F094588"/>
    <w:rsid w:val="2F0A2E60"/>
    <w:rsid w:val="2F0B6010"/>
    <w:rsid w:val="2F0F5E6C"/>
    <w:rsid w:val="2F144BA1"/>
    <w:rsid w:val="2F1472B2"/>
    <w:rsid w:val="2F15175E"/>
    <w:rsid w:val="2F1965CE"/>
    <w:rsid w:val="2F1B0DCB"/>
    <w:rsid w:val="2F1F52DB"/>
    <w:rsid w:val="2F1F6BDC"/>
    <w:rsid w:val="2F213710"/>
    <w:rsid w:val="2F235B5F"/>
    <w:rsid w:val="2F246902"/>
    <w:rsid w:val="2F2873D2"/>
    <w:rsid w:val="2F31104A"/>
    <w:rsid w:val="2F345A4E"/>
    <w:rsid w:val="2F353893"/>
    <w:rsid w:val="2F3558DC"/>
    <w:rsid w:val="2F391208"/>
    <w:rsid w:val="2F3C02FF"/>
    <w:rsid w:val="2F3D5AF4"/>
    <w:rsid w:val="2F482021"/>
    <w:rsid w:val="2F495B7F"/>
    <w:rsid w:val="2F4C652D"/>
    <w:rsid w:val="2F506980"/>
    <w:rsid w:val="2F5136FD"/>
    <w:rsid w:val="2F525C76"/>
    <w:rsid w:val="2F534A70"/>
    <w:rsid w:val="2F540FD6"/>
    <w:rsid w:val="2F543DED"/>
    <w:rsid w:val="2F5774C0"/>
    <w:rsid w:val="2F5A03FD"/>
    <w:rsid w:val="2F5B11D0"/>
    <w:rsid w:val="2F5E3E04"/>
    <w:rsid w:val="2F5F6DD9"/>
    <w:rsid w:val="2F655F8D"/>
    <w:rsid w:val="2F69017F"/>
    <w:rsid w:val="2F696D16"/>
    <w:rsid w:val="2F734F3D"/>
    <w:rsid w:val="2F74298E"/>
    <w:rsid w:val="2F7439FD"/>
    <w:rsid w:val="2F810978"/>
    <w:rsid w:val="2F81331D"/>
    <w:rsid w:val="2F832740"/>
    <w:rsid w:val="2F845B0F"/>
    <w:rsid w:val="2F871ED1"/>
    <w:rsid w:val="2F8765CE"/>
    <w:rsid w:val="2F8974F3"/>
    <w:rsid w:val="2F8B7F2C"/>
    <w:rsid w:val="2F90325B"/>
    <w:rsid w:val="2F91125E"/>
    <w:rsid w:val="2F937FF7"/>
    <w:rsid w:val="2F94551B"/>
    <w:rsid w:val="2F981609"/>
    <w:rsid w:val="2F982757"/>
    <w:rsid w:val="2F994372"/>
    <w:rsid w:val="2F9E5EA5"/>
    <w:rsid w:val="2F9E7878"/>
    <w:rsid w:val="2FA45E0F"/>
    <w:rsid w:val="2FA54014"/>
    <w:rsid w:val="2FAD7538"/>
    <w:rsid w:val="2FC3097A"/>
    <w:rsid w:val="2FC32B07"/>
    <w:rsid w:val="2FC375BE"/>
    <w:rsid w:val="2FC7473A"/>
    <w:rsid w:val="2FC82BB1"/>
    <w:rsid w:val="2FCB47E8"/>
    <w:rsid w:val="2FCB63B7"/>
    <w:rsid w:val="2FD01276"/>
    <w:rsid w:val="2FD713A0"/>
    <w:rsid w:val="2FD75257"/>
    <w:rsid w:val="2FE529C8"/>
    <w:rsid w:val="2FE54664"/>
    <w:rsid w:val="2FEA705F"/>
    <w:rsid w:val="2FF02F81"/>
    <w:rsid w:val="2FF350D2"/>
    <w:rsid w:val="2FF4725E"/>
    <w:rsid w:val="2FF74E94"/>
    <w:rsid w:val="2FF856A7"/>
    <w:rsid w:val="2FF90DD5"/>
    <w:rsid w:val="3004761C"/>
    <w:rsid w:val="30052719"/>
    <w:rsid w:val="30053B94"/>
    <w:rsid w:val="30073775"/>
    <w:rsid w:val="30080303"/>
    <w:rsid w:val="3009094D"/>
    <w:rsid w:val="300C5637"/>
    <w:rsid w:val="300E063A"/>
    <w:rsid w:val="30191215"/>
    <w:rsid w:val="301A5748"/>
    <w:rsid w:val="301C5642"/>
    <w:rsid w:val="30211517"/>
    <w:rsid w:val="302317EE"/>
    <w:rsid w:val="30235EC1"/>
    <w:rsid w:val="30260DE0"/>
    <w:rsid w:val="3029024B"/>
    <w:rsid w:val="30291E4A"/>
    <w:rsid w:val="302F7069"/>
    <w:rsid w:val="30353774"/>
    <w:rsid w:val="30391B26"/>
    <w:rsid w:val="3039330A"/>
    <w:rsid w:val="303B14E8"/>
    <w:rsid w:val="3045056B"/>
    <w:rsid w:val="304543E0"/>
    <w:rsid w:val="3045686B"/>
    <w:rsid w:val="30483C50"/>
    <w:rsid w:val="304E0AB6"/>
    <w:rsid w:val="304F3787"/>
    <w:rsid w:val="305164DD"/>
    <w:rsid w:val="30525EDB"/>
    <w:rsid w:val="305658AD"/>
    <w:rsid w:val="30591D9B"/>
    <w:rsid w:val="305E1C43"/>
    <w:rsid w:val="305F6B3C"/>
    <w:rsid w:val="3061067F"/>
    <w:rsid w:val="30656340"/>
    <w:rsid w:val="30677197"/>
    <w:rsid w:val="306B1DB4"/>
    <w:rsid w:val="30750524"/>
    <w:rsid w:val="307575A5"/>
    <w:rsid w:val="307753B1"/>
    <w:rsid w:val="307A3993"/>
    <w:rsid w:val="307E7A42"/>
    <w:rsid w:val="30804CFC"/>
    <w:rsid w:val="30835ECE"/>
    <w:rsid w:val="308620C7"/>
    <w:rsid w:val="308B1DD6"/>
    <w:rsid w:val="308D1D92"/>
    <w:rsid w:val="309128A7"/>
    <w:rsid w:val="30921E71"/>
    <w:rsid w:val="30926456"/>
    <w:rsid w:val="30933D66"/>
    <w:rsid w:val="309356E3"/>
    <w:rsid w:val="30956954"/>
    <w:rsid w:val="309769A8"/>
    <w:rsid w:val="309A5141"/>
    <w:rsid w:val="30A10F05"/>
    <w:rsid w:val="30A17351"/>
    <w:rsid w:val="30AB7502"/>
    <w:rsid w:val="30AE2A75"/>
    <w:rsid w:val="30AE798C"/>
    <w:rsid w:val="30AF5DAC"/>
    <w:rsid w:val="30B04024"/>
    <w:rsid w:val="30B1488A"/>
    <w:rsid w:val="30B34068"/>
    <w:rsid w:val="30B35E6C"/>
    <w:rsid w:val="30B54D76"/>
    <w:rsid w:val="30B63EA7"/>
    <w:rsid w:val="30B74FC8"/>
    <w:rsid w:val="30BC1B4B"/>
    <w:rsid w:val="30BE131A"/>
    <w:rsid w:val="30BF5ACA"/>
    <w:rsid w:val="30C548B8"/>
    <w:rsid w:val="30C62B40"/>
    <w:rsid w:val="30CF6BC1"/>
    <w:rsid w:val="30D305AB"/>
    <w:rsid w:val="30D31EF2"/>
    <w:rsid w:val="30D37129"/>
    <w:rsid w:val="30D96930"/>
    <w:rsid w:val="30DB319A"/>
    <w:rsid w:val="30DB4606"/>
    <w:rsid w:val="30DF127D"/>
    <w:rsid w:val="30DF3CB8"/>
    <w:rsid w:val="30E1439D"/>
    <w:rsid w:val="30E2605B"/>
    <w:rsid w:val="30E83A59"/>
    <w:rsid w:val="30EA7435"/>
    <w:rsid w:val="30EA7D27"/>
    <w:rsid w:val="30EC139C"/>
    <w:rsid w:val="30F20A41"/>
    <w:rsid w:val="30F704D9"/>
    <w:rsid w:val="30F873DA"/>
    <w:rsid w:val="30F96292"/>
    <w:rsid w:val="30FA3478"/>
    <w:rsid w:val="30FC1D37"/>
    <w:rsid w:val="30FF0EAE"/>
    <w:rsid w:val="31010C18"/>
    <w:rsid w:val="31012912"/>
    <w:rsid w:val="31020C44"/>
    <w:rsid w:val="31053F52"/>
    <w:rsid w:val="3106514C"/>
    <w:rsid w:val="310E0310"/>
    <w:rsid w:val="310E768F"/>
    <w:rsid w:val="31102412"/>
    <w:rsid w:val="31121758"/>
    <w:rsid w:val="31124E9A"/>
    <w:rsid w:val="31173DFF"/>
    <w:rsid w:val="31193470"/>
    <w:rsid w:val="311A3D6A"/>
    <w:rsid w:val="311E11D3"/>
    <w:rsid w:val="31265BFB"/>
    <w:rsid w:val="31266475"/>
    <w:rsid w:val="31266804"/>
    <w:rsid w:val="31290D32"/>
    <w:rsid w:val="312A28DC"/>
    <w:rsid w:val="312F01B3"/>
    <w:rsid w:val="31333AE7"/>
    <w:rsid w:val="313557EC"/>
    <w:rsid w:val="31355AD0"/>
    <w:rsid w:val="31360F0D"/>
    <w:rsid w:val="3136539D"/>
    <w:rsid w:val="3137299F"/>
    <w:rsid w:val="313E0F38"/>
    <w:rsid w:val="3142153C"/>
    <w:rsid w:val="314512AE"/>
    <w:rsid w:val="31494996"/>
    <w:rsid w:val="314C28D9"/>
    <w:rsid w:val="314D4799"/>
    <w:rsid w:val="314E049C"/>
    <w:rsid w:val="315055AE"/>
    <w:rsid w:val="315946E8"/>
    <w:rsid w:val="315B7628"/>
    <w:rsid w:val="315E37B1"/>
    <w:rsid w:val="3162687F"/>
    <w:rsid w:val="31630E75"/>
    <w:rsid w:val="316642D0"/>
    <w:rsid w:val="31673E88"/>
    <w:rsid w:val="316D19EC"/>
    <w:rsid w:val="31735E49"/>
    <w:rsid w:val="317403DA"/>
    <w:rsid w:val="31763C2A"/>
    <w:rsid w:val="31774CEB"/>
    <w:rsid w:val="31795759"/>
    <w:rsid w:val="317A05B2"/>
    <w:rsid w:val="317B4E22"/>
    <w:rsid w:val="317E3C29"/>
    <w:rsid w:val="317F186A"/>
    <w:rsid w:val="31867EF8"/>
    <w:rsid w:val="318B6C93"/>
    <w:rsid w:val="31904342"/>
    <w:rsid w:val="31911C16"/>
    <w:rsid w:val="31973481"/>
    <w:rsid w:val="319B1457"/>
    <w:rsid w:val="319D5A01"/>
    <w:rsid w:val="319E7B4D"/>
    <w:rsid w:val="319F1C9F"/>
    <w:rsid w:val="319F34AE"/>
    <w:rsid w:val="31A3330F"/>
    <w:rsid w:val="31A55169"/>
    <w:rsid w:val="31A720B0"/>
    <w:rsid w:val="31A8472B"/>
    <w:rsid w:val="31A86AD6"/>
    <w:rsid w:val="31A943BA"/>
    <w:rsid w:val="31AC1E3A"/>
    <w:rsid w:val="31B03F5F"/>
    <w:rsid w:val="31B20EB8"/>
    <w:rsid w:val="31B26D86"/>
    <w:rsid w:val="31B404AF"/>
    <w:rsid w:val="31B4145A"/>
    <w:rsid w:val="31B478DA"/>
    <w:rsid w:val="31C4529E"/>
    <w:rsid w:val="31C74456"/>
    <w:rsid w:val="31CA4F66"/>
    <w:rsid w:val="31CC4697"/>
    <w:rsid w:val="31CD1211"/>
    <w:rsid w:val="31D41E37"/>
    <w:rsid w:val="31D61070"/>
    <w:rsid w:val="31D92777"/>
    <w:rsid w:val="31DD4C1C"/>
    <w:rsid w:val="31E07C5E"/>
    <w:rsid w:val="31E221F8"/>
    <w:rsid w:val="31EC5974"/>
    <w:rsid w:val="31F31BE0"/>
    <w:rsid w:val="31F71655"/>
    <w:rsid w:val="31F76FD0"/>
    <w:rsid w:val="31F975B1"/>
    <w:rsid w:val="31FB1457"/>
    <w:rsid w:val="32060641"/>
    <w:rsid w:val="32060B5A"/>
    <w:rsid w:val="32083C6C"/>
    <w:rsid w:val="320A0A1D"/>
    <w:rsid w:val="320C33F6"/>
    <w:rsid w:val="320C3B14"/>
    <w:rsid w:val="320F6718"/>
    <w:rsid w:val="32144DD6"/>
    <w:rsid w:val="32197CD9"/>
    <w:rsid w:val="321C66AC"/>
    <w:rsid w:val="321D3152"/>
    <w:rsid w:val="321E348F"/>
    <w:rsid w:val="32235C3C"/>
    <w:rsid w:val="32243E19"/>
    <w:rsid w:val="32291770"/>
    <w:rsid w:val="322C78F0"/>
    <w:rsid w:val="322D2AB8"/>
    <w:rsid w:val="32304201"/>
    <w:rsid w:val="32333C5D"/>
    <w:rsid w:val="32336936"/>
    <w:rsid w:val="32371675"/>
    <w:rsid w:val="32386685"/>
    <w:rsid w:val="323B553A"/>
    <w:rsid w:val="32463575"/>
    <w:rsid w:val="32463BB2"/>
    <w:rsid w:val="324E19CA"/>
    <w:rsid w:val="324E30BE"/>
    <w:rsid w:val="324F7585"/>
    <w:rsid w:val="32581D0F"/>
    <w:rsid w:val="325B7A28"/>
    <w:rsid w:val="325F1E6F"/>
    <w:rsid w:val="326031A2"/>
    <w:rsid w:val="326214C3"/>
    <w:rsid w:val="3262560D"/>
    <w:rsid w:val="32725B9D"/>
    <w:rsid w:val="327471BB"/>
    <w:rsid w:val="32754A7D"/>
    <w:rsid w:val="327B4E1D"/>
    <w:rsid w:val="328B1A8E"/>
    <w:rsid w:val="328B51C0"/>
    <w:rsid w:val="328E6C03"/>
    <w:rsid w:val="328E7DF6"/>
    <w:rsid w:val="3290557C"/>
    <w:rsid w:val="329059D7"/>
    <w:rsid w:val="32910A73"/>
    <w:rsid w:val="32920B1B"/>
    <w:rsid w:val="329A3ECC"/>
    <w:rsid w:val="329E2735"/>
    <w:rsid w:val="329F67C0"/>
    <w:rsid w:val="32A12A7D"/>
    <w:rsid w:val="32A320FC"/>
    <w:rsid w:val="32A64A6F"/>
    <w:rsid w:val="32AB38A1"/>
    <w:rsid w:val="32AC7547"/>
    <w:rsid w:val="32AE48F6"/>
    <w:rsid w:val="32B71673"/>
    <w:rsid w:val="32B730C6"/>
    <w:rsid w:val="32BC55F4"/>
    <w:rsid w:val="32BE32FE"/>
    <w:rsid w:val="32BE4CF1"/>
    <w:rsid w:val="32C12B27"/>
    <w:rsid w:val="32C23733"/>
    <w:rsid w:val="32C567C6"/>
    <w:rsid w:val="32C76751"/>
    <w:rsid w:val="32CF774B"/>
    <w:rsid w:val="32D125E2"/>
    <w:rsid w:val="32D336EC"/>
    <w:rsid w:val="32D50855"/>
    <w:rsid w:val="32D50B2A"/>
    <w:rsid w:val="32D61FAD"/>
    <w:rsid w:val="32D7086D"/>
    <w:rsid w:val="32D821B2"/>
    <w:rsid w:val="32DB5F32"/>
    <w:rsid w:val="32E27573"/>
    <w:rsid w:val="32E825E5"/>
    <w:rsid w:val="32EA6061"/>
    <w:rsid w:val="32EB3349"/>
    <w:rsid w:val="32EC451F"/>
    <w:rsid w:val="32EE7B70"/>
    <w:rsid w:val="32F00FAE"/>
    <w:rsid w:val="32F70C0F"/>
    <w:rsid w:val="32F901E3"/>
    <w:rsid w:val="32FE7AB6"/>
    <w:rsid w:val="33016D5E"/>
    <w:rsid w:val="330233E0"/>
    <w:rsid w:val="3306434C"/>
    <w:rsid w:val="330C07F0"/>
    <w:rsid w:val="330C3B9D"/>
    <w:rsid w:val="330E3D3A"/>
    <w:rsid w:val="331213DB"/>
    <w:rsid w:val="331C53BB"/>
    <w:rsid w:val="331C6A65"/>
    <w:rsid w:val="33225299"/>
    <w:rsid w:val="33235EB1"/>
    <w:rsid w:val="33251592"/>
    <w:rsid w:val="332C04D8"/>
    <w:rsid w:val="332E7402"/>
    <w:rsid w:val="332F09FA"/>
    <w:rsid w:val="33374012"/>
    <w:rsid w:val="33381B3D"/>
    <w:rsid w:val="3339339E"/>
    <w:rsid w:val="33396A1D"/>
    <w:rsid w:val="333A57BC"/>
    <w:rsid w:val="333F0524"/>
    <w:rsid w:val="333F26F5"/>
    <w:rsid w:val="33406132"/>
    <w:rsid w:val="33420E62"/>
    <w:rsid w:val="33434FAC"/>
    <w:rsid w:val="3349090E"/>
    <w:rsid w:val="335679DD"/>
    <w:rsid w:val="335E66B0"/>
    <w:rsid w:val="33606CE3"/>
    <w:rsid w:val="336544A2"/>
    <w:rsid w:val="336B18B0"/>
    <w:rsid w:val="336C6A4E"/>
    <w:rsid w:val="33772FFA"/>
    <w:rsid w:val="33794B51"/>
    <w:rsid w:val="33811AF5"/>
    <w:rsid w:val="33881E3A"/>
    <w:rsid w:val="338E7EEA"/>
    <w:rsid w:val="3391295B"/>
    <w:rsid w:val="339349C4"/>
    <w:rsid w:val="33941678"/>
    <w:rsid w:val="33943DF0"/>
    <w:rsid w:val="33945FE7"/>
    <w:rsid w:val="3398728B"/>
    <w:rsid w:val="339A131A"/>
    <w:rsid w:val="339A165A"/>
    <w:rsid w:val="33A03628"/>
    <w:rsid w:val="33A26843"/>
    <w:rsid w:val="33A603D8"/>
    <w:rsid w:val="33A660C9"/>
    <w:rsid w:val="33A93C4D"/>
    <w:rsid w:val="33A96D62"/>
    <w:rsid w:val="33AB06A2"/>
    <w:rsid w:val="33AF24F3"/>
    <w:rsid w:val="33B22BC4"/>
    <w:rsid w:val="33B85C1D"/>
    <w:rsid w:val="33B8711A"/>
    <w:rsid w:val="33BE15C5"/>
    <w:rsid w:val="33BE30B2"/>
    <w:rsid w:val="33BF4A76"/>
    <w:rsid w:val="33C10B05"/>
    <w:rsid w:val="33C338EC"/>
    <w:rsid w:val="33C43EBF"/>
    <w:rsid w:val="33C44B90"/>
    <w:rsid w:val="33C65357"/>
    <w:rsid w:val="33C84620"/>
    <w:rsid w:val="33D26BF5"/>
    <w:rsid w:val="33D91133"/>
    <w:rsid w:val="33DD2EA7"/>
    <w:rsid w:val="33E17C0F"/>
    <w:rsid w:val="33E22763"/>
    <w:rsid w:val="33E31820"/>
    <w:rsid w:val="33E67D99"/>
    <w:rsid w:val="33E77F69"/>
    <w:rsid w:val="33EA5555"/>
    <w:rsid w:val="33EE1643"/>
    <w:rsid w:val="33F218A8"/>
    <w:rsid w:val="33F415CF"/>
    <w:rsid w:val="33FE38EB"/>
    <w:rsid w:val="34000C23"/>
    <w:rsid w:val="340023EF"/>
    <w:rsid w:val="34013AA4"/>
    <w:rsid w:val="34035AEF"/>
    <w:rsid w:val="340916F0"/>
    <w:rsid w:val="34096C46"/>
    <w:rsid w:val="340D5375"/>
    <w:rsid w:val="34110B96"/>
    <w:rsid w:val="34142C34"/>
    <w:rsid w:val="34170AB6"/>
    <w:rsid w:val="341734FB"/>
    <w:rsid w:val="34182CE3"/>
    <w:rsid w:val="34187DA8"/>
    <w:rsid w:val="34196474"/>
    <w:rsid w:val="341A0208"/>
    <w:rsid w:val="341B5819"/>
    <w:rsid w:val="341B76DC"/>
    <w:rsid w:val="341C508C"/>
    <w:rsid w:val="341D266E"/>
    <w:rsid w:val="34221E92"/>
    <w:rsid w:val="34222385"/>
    <w:rsid w:val="342B5767"/>
    <w:rsid w:val="342C493A"/>
    <w:rsid w:val="342F3403"/>
    <w:rsid w:val="3434000F"/>
    <w:rsid w:val="34366D3E"/>
    <w:rsid w:val="34393710"/>
    <w:rsid w:val="34396603"/>
    <w:rsid w:val="343F1AB0"/>
    <w:rsid w:val="344251D9"/>
    <w:rsid w:val="34425CC2"/>
    <w:rsid w:val="34440A4A"/>
    <w:rsid w:val="344865AC"/>
    <w:rsid w:val="344B169A"/>
    <w:rsid w:val="344F1DBE"/>
    <w:rsid w:val="3457002E"/>
    <w:rsid w:val="345948FA"/>
    <w:rsid w:val="3464096D"/>
    <w:rsid w:val="34641C6A"/>
    <w:rsid w:val="34650C4A"/>
    <w:rsid w:val="3467782E"/>
    <w:rsid w:val="346C4729"/>
    <w:rsid w:val="346C7651"/>
    <w:rsid w:val="346E4AD9"/>
    <w:rsid w:val="347169A0"/>
    <w:rsid w:val="3473027A"/>
    <w:rsid w:val="347663F3"/>
    <w:rsid w:val="347666F3"/>
    <w:rsid w:val="34785E2B"/>
    <w:rsid w:val="347C3462"/>
    <w:rsid w:val="347F3E6F"/>
    <w:rsid w:val="3482407D"/>
    <w:rsid w:val="348429E5"/>
    <w:rsid w:val="34861E67"/>
    <w:rsid w:val="348723C3"/>
    <w:rsid w:val="34877D42"/>
    <w:rsid w:val="34877F2E"/>
    <w:rsid w:val="34881306"/>
    <w:rsid w:val="348D7AAA"/>
    <w:rsid w:val="34901FD2"/>
    <w:rsid w:val="34924A41"/>
    <w:rsid w:val="34980E7C"/>
    <w:rsid w:val="34993673"/>
    <w:rsid w:val="349C5B3A"/>
    <w:rsid w:val="349D2C61"/>
    <w:rsid w:val="349F1505"/>
    <w:rsid w:val="34A54E20"/>
    <w:rsid w:val="34A6174B"/>
    <w:rsid w:val="34AD06D3"/>
    <w:rsid w:val="34B6218F"/>
    <w:rsid w:val="34B80043"/>
    <w:rsid w:val="34C11443"/>
    <w:rsid w:val="34C32B06"/>
    <w:rsid w:val="34C4430C"/>
    <w:rsid w:val="34C93A20"/>
    <w:rsid w:val="34CC13C4"/>
    <w:rsid w:val="34D23A3A"/>
    <w:rsid w:val="34D82F87"/>
    <w:rsid w:val="34D84FE2"/>
    <w:rsid w:val="34E35E43"/>
    <w:rsid w:val="34E602BA"/>
    <w:rsid w:val="34E64F89"/>
    <w:rsid w:val="34EA4683"/>
    <w:rsid w:val="34EA7671"/>
    <w:rsid w:val="34ED0BE6"/>
    <w:rsid w:val="34ED4529"/>
    <w:rsid w:val="34ED4537"/>
    <w:rsid w:val="34F0082E"/>
    <w:rsid w:val="34F167EB"/>
    <w:rsid w:val="34F32E15"/>
    <w:rsid w:val="34F510AD"/>
    <w:rsid w:val="34F63B6A"/>
    <w:rsid w:val="34F75E70"/>
    <w:rsid w:val="34FE6B8A"/>
    <w:rsid w:val="34FF74E8"/>
    <w:rsid w:val="35032A9A"/>
    <w:rsid w:val="35035E4C"/>
    <w:rsid w:val="35061558"/>
    <w:rsid w:val="350A4DF0"/>
    <w:rsid w:val="35102BE6"/>
    <w:rsid w:val="351049BA"/>
    <w:rsid w:val="351151FB"/>
    <w:rsid w:val="351259AC"/>
    <w:rsid w:val="351815D5"/>
    <w:rsid w:val="35185B00"/>
    <w:rsid w:val="351A1523"/>
    <w:rsid w:val="351C22C1"/>
    <w:rsid w:val="35203A5F"/>
    <w:rsid w:val="35243BF3"/>
    <w:rsid w:val="352561DE"/>
    <w:rsid w:val="352A55DA"/>
    <w:rsid w:val="352C7AA7"/>
    <w:rsid w:val="35323CBE"/>
    <w:rsid w:val="353527FC"/>
    <w:rsid w:val="353D1711"/>
    <w:rsid w:val="35433D79"/>
    <w:rsid w:val="355265CB"/>
    <w:rsid w:val="3557754F"/>
    <w:rsid w:val="35580993"/>
    <w:rsid w:val="355E449A"/>
    <w:rsid w:val="356557B2"/>
    <w:rsid w:val="356A0765"/>
    <w:rsid w:val="356A7103"/>
    <w:rsid w:val="356B4A0F"/>
    <w:rsid w:val="356C306A"/>
    <w:rsid w:val="357B00F4"/>
    <w:rsid w:val="357E4F7E"/>
    <w:rsid w:val="35815E7D"/>
    <w:rsid w:val="358F4210"/>
    <w:rsid w:val="358F5B07"/>
    <w:rsid w:val="35912CD1"/>
    <w:rsid w:val="35924C63"/>
    <w:rsid w:val="35984205"/>
    <w:rsid w:val="359B748D"/>
    <w:rsid w:val="359C5FD7"/>
    <w:rsid w:val="35A04235"/>
    <w:rsid w:val="35A05B63"/>
    <w:rsid w:val="35A46A19"/>
    <w:rsid w:val="35A65177"/>
    <w:rsid w:val="35A84450"/>
    <w:rsid w:val="35A8765F"/>
    <w:rsid w:val="35AC7139"/>
    <w:rsid w:val="35AD44D7"/>
    <w:rsid w:val="35AF2855"/>
    <w:rsid w:val="35B62B62"/>
    <w:rsid w:val="35C01981"/>
    <w:rsid w:val="35C56DA5"/>
    <w:rsid w:val="35C85377"/>
    <w:rsid w:val="35C93100"/>
    <w:rsid w:val="35CB679F"/>
    <w:rsid w:val="35CE7C0F"/>
    <w:rsid w:val="35DD63C8"/>
    <w:rsid w:val="35DF1B37"/>
    <w:rsid w:val="35E431EA"/>
    <w:rsid w:val="35E46BDC"/>
    <w:rsid w:val="35E52FD5"/>
    <w:rsid w:val="35EA5EBF"/>
    <w:rsid w:val="35ED34AC"/>
    <w:rsid w:val="35ED5147"/>
    <w:rsid w:val="35F371ED"/>
    <w:rsid w:val="35F472FA"/>
    <w:rsid w:val="35F573CF"/>
    <w:rsid w:val="36003E64"/>
    <w:rsid w:val="36095601"/>
    <w:rsid w:val="360E0F12"/>
    <w:rsid w:val="360E7C3F"/>
    <w:rsid w:val="3610636B"/>
    <w:rsid w:val="36157FB4"/>
    <w:rsid w:val="36182BF9"/>
    <w:rsid w:val="361C23EB"/>
    <w:rsid w:val="36206948"/>
    <w:rsid w:val="36207514"/>
    <w:rsid w:val="362317F5"/>
    <w:rsid w:val="36267C80"/>
    <w:rsid w:val="36275368"/>
    <w:rsid w:val="362979E4"/>
    <w:rsid w:val="362D0B7D"/>
    <w:rsid w:val="362D4B77"/>
    <w:rsid w:val="362E23DF"/>
    <w:rsid w:val="362E6A4C"/>
    <w:rsid w:val="363166F5"/>
    <w:rsid w:val="3634217E"/>
    <w:rsid w:val="36361531"/>
    <w:rsid w:val="3638445F"/>
    <w:rsid w:val="363C0182"/>
    <w:rsid w:val="363E1430"/>
    <w:rsid w:val="363E5CAA"/>
    <w:rsid w:val="363F0BB6"/>
    <w:rsid w:val="36423BC9"/>
    <w:rsid w:val="3643345C"/>
    <w:rsid w:val="36474BDD"/>
    <w:rsid w:val="36496CA7"/>
    <w:rsid w:val="364B0B12"/>
    <w:rsid w:val="364B0DD4"/>
    <w:rsid w:val="364F695D"/>
    <w:rsid w:val="36561E90"/>
    <w:rsid w:val="36577AE6"/>
    <w:rsid w:val="3658551E"/>
    <w:rsid w:val="36597C05"/>
    <w:rsid w:val="365C69CD"/>
    <w:rsid w:val="365D69F1"/>
    <w:rsid w:val="366230B2"/>
    <w:rsid w:val="3663546A"/>
    <w:rsid w:val="36662A1C"/>
    <w:rsid w:val="366F4EE0"/>
    <w:rsid w:val="36716C58"/>
    <w:rsid w:val="367833E8"/>
    <w:rsid w:val="367D0327"/>
    <w:rsid w:val="367F20FB"/>
    <w:rsid w:val="368B4D39"/>
    <w:rsid w:val="368D64E8"/>
    <w:rsid w:val="368F0C1B"/>
    <w:rsid w:val="3690366E"/>
    <w:rsid w:val="369245A3"/>
    <w:rsid w:val="369767AB"/>
    <w:rsid w:val="369831E4"/>
    <w:rsid w:val="369C7E59"/>
    <w:rsid w:val="36A00F3D"/>
    <w:rsid w:val="36A06928"/>
    <w:rsid w:val="36A10A03"/>
    <w:rsid w:val="36A3607A"/>
    <w:rsid w:val="36A64A05"/>
    <w:rsid w:val="36A66A05"/>
    <w:rsid w:val="36AE1149"/>
    <w:rsid w:val="36B07577"/>
    <w:rsid w:val="36B17A13"/>
    <w:rsid w:val="36BA23CD"/>
    <w:rsid w:val="36BD014E"/>
    <w:rsid w:val="36C72EA6"/>
    <w:rsid w:val="36C808D4"/>
    <w:rsid w:val="36C93E46"/>
    <w:rsid w:val="36D10933"/>
    <w:rsid w:val="36D338E5"/>
    <w:rsid w:val="36DE5EB9"/>
    <w:rsid w:val="36E3434E"/>
    <w:rsid w:val="36E569A8"/>
    <w:rsid w:val="36E74B18"/>
    <w:rsid w:val="36E8442D"/>
    <w:rsid w:val="36EA5651"/>
    <w:rsid w:val="36EC530F"/>
    <w:rsid w:val="36EF4E4B"/>
    <w:rsid w:val="36F15624"/>
    <w:rsid w:val="36F2533B"/>
    <w:rsid w:val="36F60759"/>
    <w:rsid w:val="36F62450"/>
    <w:rsid w:val="36FB0371"/>
    <w:rsid w:val="36FE3EDB"/>
    <w:rsid w:val="37007658"/>
    <w:rsid w:val="370315A3"/>
    <w:rsid w:val="370C2573"/>
    <w:rsid w:val="37114743"/>
    <w:rsid w:val="37160D1F"/>
    <w:rsid w:val="371C2EC5"/>
    <w:rsid w:val="371F3BCA"/>
    <w:rsid w:val="37217841"/>
    <w:rsid w:val="372618F2"/>
    <w:rsid w:val="372628BA"/>
    <w:rsid w:val="37272101"/>
    <w:rsid w:val="372C524F"/>
    <w:rsid w:val="372C7E65"/>
    <w:rsid w:val="372E650F"/>
    <w:rsid w:val="37315E51"/>
    <w:rsid w:val="373326BF"/>
    <w:rsid w:val="37333CB9"/>
    <w:rsid w:val="37377339"/>
    <w:rsid w:val="373B343A"/>
    <w:rsid w:val="373F40B0"/>
    <w:rsid w:val="37407054"/>
    <w:rsid w:val="37440A7D"/>
    <w:rsid w:val="374A18B7"/>
    <w:rsid w:val="374E7705"/>
    <w:rsid w:val="37500DCB"/>
    <w:rsid w:val="3753438C"/>
    <w:rsid w:val="37547094"/>
    <w:rsid w:val="37561197"/>
    <w:rsid w:val="37577311"/>
    <w:rsid w:val="375A45C0"/>
    <w:rsid w:val="375B53C9"/>
    <w:rsid w:val="375C0FB6"/>
    <w:rsid w:val="375C6074"/>
    <w:rsid w:val="3760480E"/>
    <w:rsid w:val="3774509B"/>
    <w:rsid w:val="377473E7"/>
    <w:rsid w:val="37760E4A"/>
    <w:rsid w:val="377F1CCF"/>
    <w:rsid w:val="37800A19"/>
    <w:rsid w:val="37804A20"/>
    <w:rsid w:val="37826A9A"/>
    <w:rsid w:val="3782734B"/>
    <w:rsid w:val="37871748"/>
    <w:rsid w:val="37872314"/>
    <w:rsid w:val="378749F0"/>
    <w:rsid w:val="378B6DFD"/>
    <w:rsid w:val="378E7F07"/>
    <w:rsid w:val="379078CD"/>
    <w:rsid w:val="379600B3"/>
    <w:rsid w:val="37970527"/>
    <w:rsid w:val="37973732"/>
    <w:rsid w:val="37992529"/>
    <w:rsid w:val="379A1570"/>
    <w:rsid w:val="379D6C70"/>
    <w:rsid w:val="37A469A9"/>
    <w:rsid w:val="37A95CB6"/>
    <w:rsid w:val="37AA5AEB"/>
    <w:rsid w:val="37AB24FA"/>
    <w:rsid w:val="37AB3EE8"/>
    <w:rsid w:val="37B15269"/>
    <w:rsid w:val="37B36759"/>
    <w:rsid w:val="37B4540F"/>
    <w:rsid w:val="37B82715"/>
    <w:rsid w:val="37BD561B"/>
    <w:rsid w:val="37BD79EB"/>
    <w:rsid w:val="37BE7569"/>
    <w:rsid w:val="37C01C6B"/>
    <w:rsid w:val="37C05138"/>
    <w:rsid w:val="37C123F3"/>
    <w:rsid w:val="37C86253"/>
    <w:rsid w:val="37CB4F21"/>
    <w:rsid w:val="37CC5948"/>
    <w:rsid w:val="37D013DE"/>
    <w:rsid w:val="37D137B9"/>
    <w:rsid w:val="37D5085F"/>
    <w:rsid w:val="37D55C61"/>
    <w:rsid w:val="37D647AF"/>
    <w:rsid w:val="37D8157A"/>
    <w:rsid w:val="37DD25A6"/>
    <w:rsid w:val="37DD5419"/>
    <w:rsid w:val="37DF634C"/>
    <w:rsid w:val="37E22DB7"/>
    <w:rsid w:val="37E240BD"/>
    <w:rsid w:val="37E61719"/>
    <w:rsid w:val="37E963AC"/>
    <w:rsid w:val="37F1292A"/>
    <w:rsid w:val="37F6219B"/>
    <w:rsid w:val="37F77B0B"/>
    <w:rsid w:val="37F84FA1"/>
    <w:rsid w:val="37FC7073"/>
    <w:rsid w:val="37FF11BB"/>
    <w:rsid w:val="38000E95"/>
    <w:rsid w:val="38003C74"/>
    <w:rsid w:val="380055CF"/>
    <w:rsid w:val="38007CB0"/>
    <w:rsid w:val="3806191E"/>
    <w:rsid w:val="38091522"/>
    <w:rsid w:val="380A5641"/>
    <w:rsid w:val="380B3133"/>
    <w:rsid w:val="380F5B38"/>
    <w:rsid w:val="381676CB"/>
    <w:rsid w:val="381A36B3"/>
    <w:rsid w:val="381B1A2F"/>
    <w:rsid w:val="38244D85"/>
    <w:rsid w:val="38294734"/>
    <w:rsid w:val="382A1A98"/>
    <w:rsid w:val="382B0304"/>
    <w:rsid w:val="382B3204"/>
    <w:rsid w:val="382D24D6"/>
    <w:rsid w:val="382D7EEC"/>
    <w:rsid w:val="382F15E4"/>
    <w:rsid w:val="383253FA"/>
    <w:rsid w:val="38403DF6"/>
    <w:rsid w:val="384243B3"/>
    <w:rsid w:val="38487442"/>
    <w:rsid w:val="384970A3"/>
    <w:rsid w:val="384B4FB2"/>
    <w:rsid w:val="384F0A0B"/>
    <w:rsid w:val="3850770A"/>
    <w:rsid w:val="38511A4F"/>
    <w:rsid w:val="38581210"/>
    <w:rsid w:val="385D45FA"/>
    <w:rsid w:val="386013CA"/>
    <w:rsid w:val="38640CA3"/>
    <w:rsid w:val="3864678D"/>
    <w:rsid w:val="386D3591"/>
    <w:rsid w:val="386D40BC"/>
    <w:rsid w:val="38700816"/>
    <w:rsid w:val="38715CDE"/>
    <w:rsid w:val="387307FD"/>
    <w:rsid w:val="38743F69"/>
    <w:rsid w:val="38792225"/>
    <w:rsid w:val="387A1860"/>
    <w:rsid w:val="387A35BB"/>
    <w:rsid w:val="387C686A"/>
    <w:rsid w:val="3880133A"/>
    <w:rsid w:val="388143A2"/>
    <w:rsid w:val="388456E2"/>
    <w:rsid w:val="388E27F0"/>
    <w:rsid w:val="388E646E"/>
    <w:rsid w:val="388F19D4"/>
    <w:rsid w:val="388F46C4"/>
    <w:rsid w:val="389303D9"/>
    <w:rsid w:val="38951D3F"/>
    <w:rsid w:val="389A3A2C"/>
    <w:rsid w:val="38A052B0"/>
    <w:rsid w:val="38A401AA"/>
    <w:rsid w:val="38A433B4"/>
    <w:rsid w:val="38A44A1B"/>
    <w:rsid w:val="38A46C7D"/>
    <w:rsid w:val="38A82D95"/>
    <w:rsid w:val="38AF1D93"/>
    <w:rsid w:val="38B20798"/>
    <w:rsid w:val="38B3171C"/>
    <w:rsid w:val="38BA3CA9"/>
    <w:rsid w:val="38BC7ABA"/>
    <w:rsid w:val="38BC7C26"/>
    <w:rsid w:val="38BD199E"/>
    <w:rsid w:val="38BE450F"/>
    <w:rsid w:val="38C01C16"/>
    <w:rsid w:val="38C22687"/>
    <w:rsid w:val="38C87CBA"/>
    <w:rsid w:val="38CC0843"/>
    <w:rsid w:val="38CD435F"/>
    <w:rsid w:val="38D01F2D"/>
    <w:rsid w:val="38D22B05"/>
    <w:rsid w:val="38D7036B"/>
    <w:rsid w:val="38D90754"/>
    <w:rsid w:val="38DF2CB3"/>
    <w:rsid w:val="38E03549"/>
    <w:rsid w:val="38E74DBD"/>
    <w:rsid w:val="38E91B3F"/>
    <w:rsid w:val="38F134E8"/>
    <w:rsid w:val="38F529F8"/>
    <w:rsid w:val="38F93D01"/>
    <w:rsid w:val="38FA15DA"/>
    <w:rsid w:val="38FC69E2"/>
    <w:rsid w:val="390025F1"/>
    <w:rsid w:val="39045842"/>
    <w:rsid w:val="3906782D"/>
    <w:rsid w:val="39081131"/>
    <w:rsid w:val="390B02FF"/>
    <w:rsid w:val="39104A85"/>
    <w:rsid w:val="39114379"/>
    <w:rsid w:val="391525C4"/>
    <w:rsid w:val="39153CE4"/>
    <w:rsid w:val="3915685A"/>
    <w:rsid w:val="39165483"/>
    <w:rsid w:val="3918699A"/>
    <w:rsid w:val="39196CBA"/>
    <w:rsid w:val="391A5DF7"/>
    <w:rsid w:val="391B3770"/>
    <w:rsid w:val="391D0B10"/>
    <w:rsid w:val="391D6B7E"/>
    <w:rsid w:val="392132DF"/>
    <w:rsid w:val="3921454B"/>
    <w:rsid w:val="392D0C82"/>
    <w:rsid w:val="39303E09"/>
    <w:rsid w:val="39304E28"/>
    <w:rsid w:val="393115DD"/>
    <w:rsid w:val="39321FCA"/>
    <w:rsid w:val="393705B2"/>
    <w:rsid w:val="3943279E"/>
    <w:rsid w:val="39493818"/>
    <w:rsid w:val="394B1553"/>
    <w:rsid w:val="395545F5"/>
    <w:rsid w:val="395C272D"/>
    <w:rsid w:val="395C2881"/>
    <w:rsid w:val="39600486"/>
    <w:rsid w:val="39606556"/>
    <w:rsid w:val="39611C1D"/>
    <w:rsid w:val="39651A41"/>
    <w:rsid w:val="396B6A88"/>
    <w:rsid w:val="396E6AC4"/>
    <w:rsid w:val="396F7656"/>
    <w:rsid w:val="39722BC9"/>
    <w:rsid w:val="3972760D"/>
    <w:rsid w:val="39732371"/>
    <w:rsid w:val="39762F1A"/>
    <w:rsid w:val="397F4974"/>
    <w:rsid w:val="397F7411"/>
    <w:rsid w:val="39850A79"/>
    <w:rsid w:val="39863748"/>
    <w:rsid w:val="39867CC3"/>
    <w:rsid w:val="398B33DC"/>
    <w:rsid w:val="398B46E6"/>
    <w:rsid w:val="398C7732"/>
    <w:rsid w:val="398D5B2C"/>
    <w:rsid w:val="39904837"/>
    <w:rsid w:val="39A02D32"/>
    <w:rsid w:val="39A67F09"/>
    <w:rsid w:val="39B03A96"/>
    <w:rsid w:val="39B501E2"/>
    <w:rsid w:val="39B867A9"/>
    <w:rsid w:val="39B96A15"/>
    <w:rsid w:val="39BC323D"/>
    <w:rsid w:val="39BC7AE7"/>
    <w:rsid w:val="39C2301C"/>
    <w:rsid w:val="39C7345B"/>
    <w:rsid w:val="39C90FD8"/>
    <w:rsid w:val="39C9195B"/>
    <w:rsid w:val="39CA6F35"/>
    <w:rsid w:val="39CB7F36"/>
    <w:rsid w:val="39CC0226"/>
    <w:rsid w:val="39CD4814"/>
    <w:rsid w:val="39CD6FE2"/>
    <w:rsid w:val="39CE77C2"/>
    <w:rsid w:val="39D04E7A"/>
    <w:rsid w:val="39D071F0"/>
    <w:rsid w:val="39D307CD"/>
    <w:rsid w:val="39D428CD"/>
    <w:rsid w:val="39D65BAA"/>
    <w:rsid w:val="39D863F8"/>
    <w:rsid w:val="39D96B69"/>
    <w:rsid w:val="39DD5631"/>
    <w:rsid w:val="39DF63E0"/>
    <w:rsid w:val="39E35B2A"/>
    <w:rsid w:val="39E50BFF"/>
    <w:rsid w:val="39E544E3"/>
    <w:rsid w:val="39EB557F"/>
    <w:rsid w:val="39ED1DED"/>
    <w:rsid w:val="39EE56EB"/>
    <w:rsid w:val="39EF2DA7"/>
    <w:rsid w:val="39F04677"/>
    <w:rsid w:val="39F300C8"/>
    <w:rsid w:val="39F3075F"/>
    <w:rsid w:val="39F41BDC"/>
    <w:rsid w:val="39F5376A"/>
    <w:rsid w:val="39F910CD"/>
    <w:rsid w:val="39FD5DD4"/>
    <w:rsid w:val="39FE321A"/>
    <w:rsid w:val="3A0F1DE5"/>
    <w:rsid w:val="3A0F79D9"/>
    <w:rsid w:val="3A11210A"/>
    <w:rsid w:val="3A1632F0"/>
    <w:rsid w:val="3A163F0C"/>
    <w:rsid w:val="3A167BF9"/>
    <w:rsid w:val="3A170C65"/>
    <w:rsid w:val="3A187E17"/>
    <w:rsid w:val="3A1D2B0D"/>
    <w:rsid w:val="3A1F438D"/>
    <w:rsid w:val="3A277BF6"/>
    <w:rsid w:val="3A2A6824"/>
    <w:rsid w:val="3A2D0E60"/>
    <w:rsid w:val="3A2D4EF8"/>
    <w:rsid w:val="3A30794E"/>
    <w:rsid w:val="3A351B16"/>
    <w:rsid w:val="3A367335"/>
    <w:rsid w:val="3A375588"/>
    <w:rsid w:val="3A3B26A3"/>
    <w:rsid w:val="3A3B7FCA"/>
    <w:rsid w:val="3A3F5916"/>
    <w:rsid w:val="3A465EF8"/>
    <w:rsid w:val="3A4D5ED2"/>
    <w:rsid w:val="3A4E2186"/>
    <w:rsid w:val="3A5240DC"/>
    <w:rsid w:val="3A5450AE"/>
    <w:rsid w:val="3A56204E"/>
    <w:rsid w:val="3A5A3EEE"/>
    <w:rsid w:val="3A5A7993"/>
    <w:rsid w:val="3A5B64F5"/>
    <w:rsid w:val="3A667197"/>
    <w:rsid w:val="3A6E1138"/>
    <w:rsid w:val="3A710926"/>
    <w:rsid w:val="3A736B7B"/>
    <w:rsid w:val="3A774A91"/>
    <w:rsid w:val="3A8119A0"/>
    <w:rsid w:val="3A8304C1"/>
    <w:rsid w:val="3A856B07"/>
    <w:rsid w:val="3A862345"/>
    <w:rsid w:val="3A877100"/>
    <w:rsid w:val="3A8815A9"/>
    <w:rsid w:val="3A8D1F7A"/>
    <w:rsid w:val="3A9018B6"/>
    <w:rsid w:val="3A904845"/>
    <w:rsid w:val="3A972F6B"/>
    <w:rsid w:val="3A976261"/>
    <w:rsid w:val="3A9821BC"/>
    <w:rsid w:val="3A9E766B"/>
    <w:rsid w:val="3AA061CE"/>
    <w:rsid w:val="3AA472D1"/>
    <w:rsid w:val="3AAA53EF"/>
    <w:rsid w:val="3AAA5BCE"/>
    <w:rsid w:val="3AB1331A"/>
    <w:rsid w:val="3ABA1E84"/>
    <w:rsid w:val="3ABA2E62"/>
    <w:rsid w:val="3AC30D62"/>
    <w:rsid w:val="3AC55EE2"/>
    <w:rsid w:val="3AC66325"/>
    <w:rsid w:val="3ACB637C"/>
    <w:rsid w:val="3ACF5106"/>
    <w:rsid w:val="3AD1304F"/>
    <w:rsid w:val="3AD7175E"/>
    <w:rsid w:val="3ADA49C2"/>
    <w:rsid w:val="3ADA5693"/>
    <w:rsid w:val="3ADB0FC8"/>
    <w:rsid w:val="3ADD4DD0"/>
    <w:rsid w:val="3ADD6DF6"/>
    <w:rsid w:val="3AE22745"/>
    <w:rsid w:val="3AEA6135"/>
    <w:rsid w:val="3AEB357F"/>
    <w:rsid w:val="3AEC146D"/>
    <w:rsid w:val="3AEC4EA6"/>
    <w:rsid w:val="3AF20FB8"/>
    <w:rsid w:val="3AF352EA"/>
    <w:rsid w:val="3AF62003"/>
    <w:rsid w:val="3AF77B4C"/>
    <w:rsid w:val="3AF8507D"/>
    <w:rsid w:val="3AF923B2"/>
    <w:rsid w:val="3AFC0282"/>
    <w:rsid w:val="3AFD0D03"/>
    <w:rsid w:val="3AFD6D1B"/>
    <w:rsid w:val="3AFF209B"/>
    <w:rsid w:val="3B003CBB"/>
    <w:rsid w:val="3B006B84"/>
    <w:rsid w:val="3B0723D4"/>
    <w:rsid w:val="3B0C7C4B"/>
    <w:rsid w:val="3B0F69E0"/>
    <w:rsid w:val="3B1020D1"/>
    <w:rsid w:val="3B11751C"/>
    <w:rsid w:val="3B1C0B6C"/>
    <w:rsid w:val="3B1C521B"/>
    <w:rsid w:val="3B260099"/>
    <w:rsid w:val="3B2755B3"/>
    <w:rsid w:val="3B2B74F0"/>
    <w:rsid w:val="3B345184"/>
    <w:rsid w:val="3B365D9D"/>
    <w:rsid w:val="3B3B00B4"/>
    <w:rsid w:val="3B4575D9"/>
    <w:rsid w:val="3B4A340D"/>
    <w:rsid w:val="3B5210B6"/>
    <w:rsid w:val="3B5456DB"/>
    <w:rsid w:val="3B562D38"/>
    <w:rsid w:val="3B5972F0"/>
    <w:rsid w:val="3B5A7E6F"/>
    <w:rsid w:val="3B5C4D60"/>
    <w:rsid w:val="3B5F0A78"/>
    <w:rsid w:val="3B613E19"/>
    <w:rsid w:val="3B632BB3"/>
    <w:rsid w:val="3B6A2E1A"/>
    <w:rsid w:val="3B6B2439"/>
    <w:rsid w:val="3B6B71FE"/>
    <w:rsid w:val="3B6E59FE"/>
    <w:rsid w:val="3B7031E3"/>
    <w:rsid w:val="3B746460"/>
    <w:rsid w:val="3B757491"/>
    <w:rsid w:val="3B7876F8"/>
    <w:rsid w:val="3B7A5DB3"/>
    <w:rsid w:val="3B7B7E17"/>
    <w:rsid w:val="3B7D43FE"/>
    <w:rsid w:val="3B7D6A7E"/>
    <w:rsid w:val="3B7E797B"/>
    <w:rsid w:val="3B7F274B"/>
    <w:rsid w:val="3B8115C5"/>
    <w:rsid w:val="3B857945"/>
    <w:rsid w:val="3B8A61D5"/>
    <w:rsid w:val="3B8E49F5"/>
    <w:rsid w:val="3B8E644D"/>
    <w:rsid w:val="3B994ACD"/>
    <w:rsid w:val="3B9B61DF"/>
    <w:rsid w:val="3B9D2C50"/>
    <w:rsid w:val="3BA11AD3"/>
    <w:rsid w:val="3BA21EFB"/>
    <w:rsid w:val="3BA24ED8"/>
    <w:rsid w:val="3BA43233"/>
    <w:rsid w:val="3BA66A9B"/>
    <w:rsid w:val="3BA72684"/>
    <w:rsid w:val="3BA8437F"/>
    <w:rsid w:val="3BA865AA"/>
    <w:rsid w:val="3BAF5585"/>
    <w:rsid w:val="3BB070E0"/>
    <w:rsid w:val="3BB07F70"/>
    <w:rsid w:val="3BB6388A"/>
    <w:rsid w:val="3BB85BA6"/>
    <w:rsid w:val="3BBA006F"/>
    <w:rsid w:val="3BBA4646"/>
    <w:rsid w:val="3BBD5021"/>
    <w:rsid w:val="3BC10C6F"/>
    <w:rsid w:val="3BC33E29"/>
    <w:rsid w:val="3BC43EC9"/>
    <w:rsid w:val="3BC60519"/>
    <w:rsid w:val="3BCD60DC"/>
    <w:rsid w:val="3BCE1591"/>
    <w:rsid w:val="3BCF12AB"/>
    <w:rsid w:val="3BD57A05"/>
    <w:rsid w:val="3BD6597A"/>
    <w:rsid w:val="3BDA5D14"/>
    <w:rsid w:val="3BDB1401"/>
    <w:rsid w:val="3BE152C9"/>
    <w:rsid w:val="3BE2632E"/>
    <w:rsid w:val="3BE36B6A"/>
    <w:rsid w:val="3BE8244C"/>
    <w:rsid w:val="3BE87FF5"/>
    <w:rsid w:val="3BE94E90"/>
    <w:rsid w:val="3BEA0627"/>
    <w:rsid w:val="3BEB4949"/>
    <w:rsid w:val="3BED63FE"/>
    <w:rsid w:val="3BF06D78"/>
    <w:rsid w:val="3BF571CD"/>
    <w:rsid w:val="3BF67E69"/>
    <w:rsid w:val="3BF72A56"/>
    <w:rsid w:val="3BF90149"/>
    <w:rsid w:val="3BFC3555"/>
    <w:rsid w:val="3BFC6350"/>
    <w:rsid w:val="3C05180E"/>
    <w:rsid w:val="3C061EE1"/>
    <w:rsid w:val="3C077ECC"/>
    <w:rsid w:val="3C08140C"/>
    <w:rsid w:val="3C084270"/>
    <w:rsid w:val="3C095926"/>
    <w:rsid w:val="3C0971B1"/>
    <w:rsid w:val="3C0E0645"/>
    <w:rsid w:val="3C0E61EF"/>
    <w:rsid w:val="3C0F795D"/>
    <w:rsid w:val="3C140DF5"/>
    <w:rsid w:val="3C1757F6"/>
    <w:rsid w:val="3C175925"/>
    <w:rsid w:val="3C176199"/>
    <w:rsid w:val="3C193C1C"/>
    <w:rsid w:val="3C1A4C3E"/>
    <w:rsid w:val="3C235BE8"/>
    <w:rsid w:val="3C28421E"/>
    <w:rsid w:val="3C2B302C"/>
    <w:rsid w:val="3C2F44E4"/>
    <w:rsid w:val="3C31022B"/>
    <w:rsid w:val="3C34643A"/>
    <w:rsid w:val="3C3D798E"/>
    <w:rsid w:val="3C3E7731"/>
    <w:rsid w:val="3C3F7953"/>
    <w:rsid w:val="3C431E7F"/>
    <w:rsid w:val="3C4F5BD6"/>
    <w:rsid w:val="3C507B33"/>
    <w:rsid w:val="3C507D7D"/>
    <w:rsid w:val="3C510FDE"/>
    <w:rsid w:val="3C51160B"/>
    <w:rsid w:val="3C5208E7"/>
    <w:rsid w:val="3C5314F2"/>
    <w:rsid w:val="3C5524FE"/>
    <w:rsid w:val="3C5B1EED"/>
    <w:rsid w:val="3C6123A5"/>
    <w:rsid w:val="3C635360"/>
    <w:rsid w:val="3C683875"/>
    <w:rsid w:val="3C6B54AA"/>
    <w:rsid w:val="3C6C7394"/>
    <w:rsid w:val="3C6E4152"/>
    <w:rsid w:val="3C73378C"/>
    <w:rsid w:val="3C742339"/>
    <w:rsid w:val="3C763595"/>
    <w:rsid w:val="3C776039"/>
    <w:rsid w:val="3C7962A5"/>
    <w:rsid w:val="3C7A7508"/>
    <w:rsid w:val="3C7B74A9"/>
    <w:rsid w:val="3C7E2774"/>
    <w:rsid w:val="3C825F8E"/>
    <w:rsid w:val="3C840FEB"/>
    <w:rsid w:val="3C897B8C"/>
    <w:rsid w:val="3C8B70A3"/>
    <w:rsid w:val="3C8C5E4F"/>
    <w:rsid w:val="3C903145"/>
    <w:rsid w:val="3C915AE9"/>
    <w:rsid w:val="3C9743B3"/>
    <w:rsid w:val="3C9B5233"/>
    <w:rsid w:val="3C9C04F0"/>
    <w:rsid w:val="3CA10874"/>
    <w:rsid w:val="3CA25CB1"/>
    <w:rsid w:val="3CA31BBB"/>
    <w:rsid w:val="3CA41F17"/>
    <w:rsid w:val="3CA46201"/>
    <w:rsid w:val="3CA8283B"/>
    <w:rsid w:val="3CA83690"/>
    <w:rsid w:val="3CA95CF3"/>
    <w:rsid w:val="3CAD0DDB"/>
    <w:rsid w:val="3CAD4317"/>
    <w:rsid w:val="3CAD5A10"/>
    <w:rsid w:val="3CB1401D"/>
    <w:rsid w:val="3CB16978"/>
    <w:rsid w:val="3CB3183A"/>
    <w:rsid w:val="3CB40C54"/>
    <w:rsid w:val="3CB602DB"/>
    <w:rsid w:val="3CB624EA"/>
    <w:rsid w:val="3CBC7FC5"/>
    <w:rsid w:val="3CBD4F6B"/>
    <w:rsid w:val="3CBF67B0"/>
    <w:rsid w:val="3CC237D6"/>
    <w:rsid w:val="3CC67B16"/>
    <w:rsid w:val="3CC74A6B"/>
    <w:rsid w:val="3CCB3174"/>
    <w:rsid w:val="3CCC7778"/>
    <w:rsid w:val="3CCF6855"/>
    <w:rsid w:val="3CCF6CCC"/>
    <w:rsid w:val="3CDC65C3"/>
    <w:rsid w:val="3CDD1B15"/>
    <w:rsid w:val="3CDF1FD9"/>
    <w:rsid w:val="3CE036A9"/>
    <w:rsid w:val="3CE14D06"/>
    <w:rsid w:val="3CE373DB"/>
    <w:rsid w:val="3CE746FB"/>
    <w:rsid w:val="3CF01098"/>
    <w:rsid w:val="3CF170A7"/>
    <w:rsid w:val="3CF3277F"/>
    <w:rsid w:val="3CF43C36"/>
    <w:rsid w:val="3CFB76E1"/>
    <w:rsid w:val="3D012F28"/>
    <w:rsid w:val="3D023EA4"/>
    <w:rsid w:val="3D02671D"/>
    <w:rsid w:val="3D0658E1"/>
    <w:rsid w:val="3D197C68"/>
    <w:rsid w:val="3D305945"/>
    <w:rsid w:val="3D3200F0"/>
    <w:rsid w:val="3D3404AA"/>
    <w:rsid w:val="3D34260C"/>
    <w:rsid w:val="3D3523FF"/>
    <w:rsid w:val="3D3530D1"/>
    <w:rsid w:val="3D353A23"/>
    <w:rsid w:val="3D372442"/>
    <w:rsid w:val="3D382455"/>
    <w:rsid w:val="3D3C2D1F"/>
    <w:rsid w:val="3D3C464A"/>
    <w:rsid w:val="3D3E4784"/>
    <w:rsid w:val="3D3F647D"/>
    <w:rsid w:val="3D404608"/>
    <w:rsid w:val="3D423CFD"/>
    <w:rsid w:val="3D4430AE"/>
    <w:rsid w:val="3D44461F"/>
    <w:rsid w:val="3D4C4B07"/>
    <w:rsid w:val="3D524A9B"/>
    <w:rsid w:val="3D5718C9"/>
    <w:rsid w:val="3D5A0FBD"/>
    <w:rsid w:val="3D5F3F8D"/>
    <w:rsid w:val="3D603338"/>
    <w:rsid w:val="3D6077AD"/>
    <w:rsid w:val="3D614306"/>
    <w:rsid w:val="3D690E8A"/>
    <w:rsid w:val="3D695069"/>
    <w:rsid w:val="3D6C0590"/>
    <w:rsid w:val="3D6C7078"/>
    <w:rsid w:val="3D6D5828"/>
    <w:rsid w:val="3D7112E6"/>
    <w:rsid w:val="3D742F88"/>
    <w:rsid w:val="3D774EF6"/>
    <w:rsid w:val="3D784EAF"/>
    <w:rsid w:val="3D8121B6"/>
    <w:rsid w:val="3D856CBD"/>
    <w:rsid w:val="3D874A4E"/>
    <w:rsid w:val="3D89668C"/>
    <w:rsid w:val="3D8B1EEB"/>
    <w:rsid w:val="3D8C246B"/>
    <w:rsid w:val="3D8D3CE4"/>
    <w:rsid w:val="3D947E01"/>
    <w:rsid w:val="3D963F4B"/>
    <w:rsid w:val="3D9803EC"/>
    <w:rsid w:val="3D9B2FA1"/>
    <w:rsid w:val="3D9D4169"/>
    <w:rsid w:val="3DA046DD"/>
    <w:rsid w:val="3DA13357"/>
    <w:rsid w:val="3DA23D40"/>
    <w:rsid w:val="3DA336EA"/>
    <w:rsid w:val="3DA33A5C"/>
    <w:rsid w:val="3DA56751"/>
    <w:rsid w:val="3DA90E19"/>
    <w:rsid w:val="3DB061A2"/>
    <w:rsid w:val="3DB7313B"/>
    <w:rsid w:val="3DBF1A3A"/>
    <w:rsid w:val="3DC653D7"/>
    <w:rsid w:val="3DC8175B"/>
    <w:rsid w:val="3DC97A91"/>
    <w:rsid w:val="3DCF1637"/>
    <w:rsid w:val="3DCF4E38"/>
    <w:rsid w:val="3DD20B1F"/>
    <w:rsid w:val="3DD40B58"/>
    <w:rsid w:val="3DD67B2E"/>
    <w:rsid w:val="3DD75956"/>
    <w:rsid w:val="3DDA6272"/>
    <w:rsid w:val="3DDB2618"/>
    <w:rsid w:val="3DDC5569"/>
    <w:rsid w:val="3DDD122D"/>
    <w:rsid w:val="3DDF63B6"/>
    <w:rsid w:val="3DE70377"/>
    <w:rsid w:val="3DF36FBA"/>
    <w:rsid w:val="3DF51877"/>
    <w:rsid w:val="3DF67904"/>
    <w:rsid w:val="3DFD5CDB"/>
    <w:rsid w:val="3DFE4DAA"/>
    <w:rsid w:val="3E013127"/>
    <w:rsid w:val="3E0725D7"/>
    <w:rsid w:val="3E0814A8"/>
    <w:rsid w:val="3E097024"/>
    <w:rsid w:val="3E105087"/>
    <w:rsid w:val="3E110060"/>
    <w:rsid w:val="3E122DA6"/>
    <w:rsid w:val="3E1242B6"/>
    <w:rsid w:val="3E1B0E85"/>
    <w:rsid w:val="3E1B5552"/>
    <w:rsid w:val="3E2A35D0"/>
    <w:rsid w:val="3E2F5DC4"/>
    <w:rsid w:val="3E322F17"/>
    <w:rsid w:val="3E324684"/>
    <w:rsid w:val="3E345121"/>
    <w:rsid w:val="3E3A7F24"/>
    <w:rsid w:val="3E3C5613"/>
    <w:rsid w:val="3E401FCA"/>
    <w:rsid w:val="3E455267"/>
    <w:rsid w:val="3E487471"/>
    <w:rsid w:val="3E4A24E9"/>
    <w:rsid w:val="3E4F4E19"/>
    <w:rsid w:val="3E502C8F"/>
    <w:rsid w:val="3E505C31"/>
    <w:rsid w:val="3E510ED0"/>
    <w:rsid w:val="3E56176E"/>
    <w:rsid w:val="3E5936F8"/>
    <w:rsid w:val="3E5D42B2"/>
    <w:rsid w:val="3E654381"/>
    <w:rsid w:val="3E6812D0"/>
    <w:rsid w:val="3E6828CB"/>
    <w:rsid w:val="3E6B394A"/>
    <w:rsid w:val="3E7A098A"/>
    <w:rsid w:val="3E845FA6"/>
    <w:rsid w:val="3E8B3446"/>
    <w:rsid w:val="3E8C4AE6"/>
    <w:rsid w:val="3E903010"/>
    <w:rsid w:val="3E966101"/>
    <w:rsid w:val="3E9C077C"/>
    <w:rsid w:val="3E9F178F"/>
    <w:rsid w:val="3EA00E1C"/>
    <w:rsid w:val="3EA34AF3"/>
    <w:rsid w:val="3EA82A29"/>
    <w:rsid w:val="3EBE4405"/>
    <w:rsid w:val="3EC248BB"/>
    <w:rsid w:val="3EC8145D"/>
    <w:rsid w:val="3ECC1E5E"/>
    <w:rsid w:val="3ECE47C1"/>
    <w:rsid w:val="3ECF64DE"/>
    <w:rsid w:val="3ED23D53"/>
    <w:rsid w:val="3ED64F79"/>
    <w:rsid w:val="3EDA3A7C"/>
    <w:rsid w:val="3EDB545F"/>
    <w:rsid w:val="3EE96712"/>
    <w:rsid w:val="3EEF442A"/>
    <w:rsid w:val="3EF3437A"/>
    <w:rsid w:val="3EF6619C"/>
    <w:rsid w:val="3EF66CCE"/>
    <w:rsid w:val="3EF91FD3"/>
    <w:rsid w:val="3F031898"/>
    <w:rsid w:val="3F0D024E"/>
    <w:rsid w:val="3F0F3011"/>
    <w:rsid w:val="3F117570"/>
    <w:rsid w:val="3F1F5D17"/>
    <w:rsid w:val="3F303824"/>
    <w:rsid w:val="3F354F02"/>
    <w:rsid w:val="3F360AC0"/>
    <w:rsid w:val="3F363726"/>
    <w:rsid w:val="3F387F42"/>
    <w:rsid w:val="3F3C4460"/>
    <w:rsid w:val="3F42359B"/>
    <w:rsid w:val="3F43074A"/>
    <w:rsid w:val="3F4321A2"/>
    <w:rsid w:val="3F4E2573"/>
    <w:rsid w:val="3F502F13"/>
    <w:rsid w:val="3F533943"/>
    <w:rsid w:val="3F533C5E"/>
    <w:rsid w:val="3F537338"/>
    <w:rsid w:val="3F5651AD"/>
    <w:rsid w:val="3F573154"/>
    <w:rsid w:val="3F5974B7"/>
    <w:rsid w:val="3F5D0737"/>
    <w:rsid w:val="3F603994"/>
    <w:rsid w:val="3F610BAA"/>
    <w:rsid w:val="3F6309CF"/>
    <w:rsid w:val="3F63682B"/>
    <w:rsid w:val="3F6433F9"/>
    <w:rsid w:val="3F692AC3"/>
    <w:rsid w:val="3F6B74DD"/>
    <w:rsid w:val="3F6C4B4F"/>
    <w:rsid w:val="3F6D1A89"/>
    <w:rsid w:val="3F72116B"/>
    <w:rsid w:val="3F7454F9"/>
    <w:rsid w:val="3F7D69C8"/>
    <w:rsid w:val="3F885F00"/>
    <w:rsid w:val="3F89305E"/>
    <w:rsid w:val="3F8C5717"/>
    <w:rsid w:val="3F91252E"/>
    <w:rsid w:val="3F923CC7"/>
    <w:rsid w:val="3F975A34"/>
    <w:rsid w:val="3F98586B"/>
    <w:rsid w:val="3FA93A0C"/>
    <w:rsid w:val="3FAD367C"/>
    <w:rsid w:val="3FAE0314"/>
    <w:rsid w:val="3FAF7D9B"/>
    <w:rsid w:val="3FB73CC6"/>
    <w:rsid w:val="3FB80233"/>
    <w:rsid w:val="3FB85F02"/>
    <w:rsid w:val="3FB8657D"/>
    <w:rsid w:val="3FBF0B8E"/>
    <w:rsid w:val="3FC13B48"/>
    <w:rsid w:val="3FC53A63"/>
    <w:rsid w:val="3FD01D9E"/>
    <w:rsid w:val="3FD452B6"/>
    <w:rsid w:val="3FD6453E"/>
    <w:rsid w:val="3FDA087E"/>
    <w:rsid w:val="3FDD0E8D"/>
    <w:rsid w:val="3FDE7495"/>
    <w:rsid w:val="3FEC5E12"/>
    <w:rsid w:val="3FF6530E"/>
    <w:rsid w:val="3FFA2AFF"/>
    <w:rsid w:val="3FFE7643"/>
    <w:rsid w:val="3FFF0E62"/>
    <w:rsid w:val="400143E0"/>
    <w:rsid w:val="4002161F"/>
    <w:rsid w:val="40036648"/>
    <w:rsid w:val="40081E2A"/>
    <w:rsid w:val="40092190"/>
    <w:rsid w:val="400F46B9"/>
    <w:rsid w:val="40162FDA"/>
    <w:rsid w:val="40192328"/>
    <w:rsid w:val="40225601"/>
    <w:rsid w:val="40261190"/>
    <w:rsid w:val="40280CF4"/>
    <w:rsid w:val="402C1865"/>
    <w:rsid w:val="402D3291"/>
    <w:rsid w:val="402E5086"/>
    <w:rsid w:val="40303E35"/>
    <w:rsid w:val="4035297F"/>
    <w:rsid w:val="403C235F"/>
    <w:rsid w:val="40412CC6"/>
    <w:rsid w:val="40420DAC"/>
    <w:rsid w:val="4042659D"/>
    <w:rsid w:val="40476F6F"/>
    <w:rsid w:val="4047793F"/>
    <w:rsid w:val="404B28BB"/>
    <w:rsid w:val="404E3DDD"/>
    <w:rsid w:val="404E475E"/>
    <w:rsid w:val="40545663"/>
    <w:rsid w:val="40560F67"/>
    <w:rsid w:val="40563CC1"/>
    <w:rsid w:val="40564DFE"/>
    <w:rsid w:val="405C1B80"/>
    <w:rsid w:val="405C2CD5"/>
    <w:rsid w:val="40611870"/>
    <w:rsid w:val="40634B37"/>
    <w:rsid w:val="40660C52"/>
    <w:rsid w:val="406858E8"/>
    <w:rsid w:val="406937B0"/>
    <w:rsid w:val="40695A37"/>
    <w:rsid w:val="407441AF"/>
    <w:rsid w:val="407464C9"/>
    <w:rsid w:val="40750797"/>
    <w:rsid w:val="40780972"/>
    <w:rsid w:val="40784DFA"/>
    <w:rsid w:val="40795259"/>
    <w:rsid w:val="407A447D"/>
    <w:rsid w:val="407B59BC"/>
    <w:rsid w:val="407D66EE"/>
    <w:rsid w:val="407F01D1"/>
    <w:rsid w:val="4087226E"/>
    <w:rsid w:val="4089511E"/>
    <w:rsid w:val="408B2BB9"/>
    <w:rsid w:val="408B52B1"/>
    <w:rsid w:val="4092627D"/>
    <w:rsid w:val="40964DAE"/>
    <w:rsid w:val="40976867"/>
    <w:rsid w:val="409C30A6"/>
    <w:rsid w:val="409E39BD"/>
    <w:rsid w:val="409F382A"/>
    <w:rsid w:val="40A11073"/>
    <w:rsid w:val="40A17B6E"/>
    <w:rsid w:val="40A20D92"/>
    <w:rsid w:val="40A4787C"/>
    <w:rsid w:val="40A52B82"/>
    <w:rsid w:val="40A56CA3"/>
    <w:rsid w:val="40A855FA"/>
    <w:rsid w:val="40BA5165"/>
    <w:rsid w:val="40BB2AE5"/>
    <w:rsid w:val="40C0051A"/>
    <w:rsid w:val="40C4331F"/>
    <w:rsid w:val="40C459AE"/>
    <w:rsid w:val="40C531E8"/>
    <w:rsid w:val="40C56F20"/>
    <w:rsid w:val="40C636CD"/>
    <w:rsid w:val="40C855E0"/>
    <w:rsid w:val="40C9361D"/>
    <w:rsid w:val="40CD2595"/>
    <w:rsid w:val="40CD26EE"/>
    <w:rsid w:val="40D103B7"/>
    <w:rsid w:val="40D3675F"/>
    <w:rsid w:val="40D70387"/>
    <w:rsid w:val="40D92243"/>
    <w:rsid w:val="40DA3804"/>
    <w:rsid w:val="40DE15F9"/>
    <w:rsid w:val="40DF3A49"/>
    <w:rsid w:val="40E04D51"/>
    <w:rsid w:val="40E251AB"/>
    <w:rsid w:val="40E32CCD"/>
    <w:rsid w:val="40E6682A"/>
    <w:rsid w:val="40E82B9E"/>
    <w:rsid w:val="40E96C4E"/>
    <w:rsid w:val="40EB78BE"/>
    <w:rsid w:val="40ED6D82"/>
    <w:rsid w:val="40EF2C58"/>
    <w:rsid w:val="40F04B12"/>
    <w:rsid w:val="40F13CEF"/>
    <w:rsid w:val="40F43384"/>
    <w:rsid w:val="40F64693"/>
    <w:rsid w:val="40F65B1C"/>
    <w:rsid w:val="40FA2CE9"/>
    <w:rsid w:val="40FC6A4D"/>
    <w:rsid w:val="40FC7285"/>
    <w:rsid w:val="410455F1"/>
    <w:rsid w:val="410718C8"/>
    <w:rsid w:val="410F05D4"/>
    <w:rsid w:val="411104FA"/>
    <w:rsid w:val="411810EC"/>
    <w:rsid w:val="411811EF"/>
    <w:rsid w:val="41193B7C"/>
    <w:rsid w:val="411976B9"/>
    <w:rsid w:val="411A0E79"/>
    <w:rsid w:val="411C4570"/>
    <w:rsid w:val="411C678C"/>
    <w:rsid w:val="412174F5"/>
    <w:rsid w:val="4128701C"/>
    <w:rsid w:val="412952E4"/>
    <w:rsid w:val="412C2646"/>
    <w:rsid w:val="41316CA8"/>
    <w:rsid w:val="41321E18"/>
    <w:rsid w:val="41326C5B"/>
    <w:rsid w:val="41367B37"/>
    <w:rsid w:val="41380361"/>
    <w:rsid w:val="41397A77"/>
    <w:rsid w:val="41464337"/>
    <w:rsid w:val="414B20F5"/>
    <w:rsid w:val="414E7692"/>
    <w:rsid w:val="41503A6F"/>
    <w:rsid w:val="415201DA"/>
    <w:rsid w:val="41537921"/>
    <w:rsid w:val="41570155"/>
    <w:rsid w:val="415812B5"/>
    <w:rsid w:val="415A57BD"/>
    <w:rsid w:val="415A614E"/>
    <w:rsid w:val="416151E2"/>
    <w:rsid w:val="41632FBF"/>
    <w:rsid w:val="417935F4"/>
    <w:rsid w:val="41825FDF"/>
    <w:rsid w:val="41834C62"/>
    <w:rsid w:val="418511C5"/>
    <w:rsid w:val="41863707"/>
    <w:rsid w:val="418813AC"/>
    <w:rsid w:val="418A5515"/>
    <w:rsid w:val="418A6238"/>
    <w:rsid w:val="4192733A"/>
    <w:rsid w:val="41927D8A"/>
    <w:rsid w:val="41932E0F"/>
    <w:rsid w:val="41935E0F"/>
    <w:rsid w:val="41994FB4"/>
    <w:rsid w:val="419A63D8"/>
    <w:rsid w:val="419B6236"/>
    <w:rsid w:val="419B6389"/>
    <w:rsid w:val="419D144D"/>
    <w:rsid w:val="419D2CB0"/>
    <w:rsid w:val="419E22D0"/>
    <w:rsid w:val="419F0418"/>
    <w:rsid w:val="41A32E8F"/>
    <w:rsid w:val="41A504F4"/>
    <w:rsid w:val="41A555C1"/>
    <w:rsid w:val="41A6163E"/>
    <w:rsid w:val="41A77397"/>
    <w:rsid w:val="41AB5554"/>
    <w:rsid w:val="41AB78F8"/>
    <w:rsid w:val="41AC7C83"/>
    <w:rsid w:val="41AD49D7"/>
    <w:rsid w:val="41B111CE"/>
    <w:rsid w:val="41B149AD"/>
    <w:rsid w:val="41B1585B"/>
    <w:rsid w:val="41B2400A"/>
    <w:rsid w:val="41B3655D"/>
    <w:rsid w:val="41B50E25"/>
    <w:rsid w:val="41B746E2"/>
    <w:rsid w:val="41B86AFB"/>
    <w:rsid w:val="41BA6D7A"/>
    <w:rsid w:val="41BE239D"/>
    <w:rsid w:val="41BF7B24"/>
    <w:rsid w:val="41C24B64"/>
    <w:rsid w:val="41C321CC"/>
    <w:rsid w:val="41CC11D7"/>
    <w:rsid w:val="41D42481"/>
    <w:rsid w:val="41D82E7A"/>
    <w:rsid w:val="41DA10BE"/>
    <w:rsid w:val="41DF4D25"/>
    <w:rsid w:val="41E37B48"/>
    <w:rsid w:val="41E65166"/>
    <w:rsid w:val="41E91E3E"/>
    <w:rsid w:val="41EB02C3"/>
    <w:rsid w:val="41EC14C3"/>
    <w:rsid w:val="41ED3AAB"/>
    <w:rsid w:val="41EE0AEB"/>
    <w:rsid w:val="41F12708"/>
    <w:rsid w:val="41F423E7"/>
    <w:rsid w:val="41F74F68"/>
    <w:rsid w:val="42024645"/>
    <w:rsid w:val="42033CD3"/>
    <w:rsid w:val="42036E39"/>
    <w:rsid w:val="42037C38"/>
    <w:rsid w:val="4208055D"/>
    <w:rsid w:val="42090236"/>
    <w:rsid w:val="42094E51"/>
    <w:rsid w:val="42170111"/>
    <w:rsid w:val="421754DB"/>
    <w:rsid w:val="421B2946"/>
    <w:rsid w:val="421C74AB"/>
    <w:rsid w:val="42207ED7"/>
    <w:rsid w:val="42230AF6"/>
    <w:rsid w:val="42262523"/>
    <w:rsid w:val="42262CCF"/>
    <w:rsid w:val="422653EE"/>
    <w:rsid w:val="4227414D"/>
    <w:rsid w:val="422807CA"/>
    <w:rsid w:val="422A4A78"/>
    <w:rsid w:val="422A79CD"/>
    <w:rsid w:val="422B1350"/>
    <w:rsid w:val="422E229A"/>
    <w:rsid w:val="422F25CE"/>
    <w:rsid w:val="423159D3"/>
    <w:rsid w:val="4232467C"/>
    <w:rsid w:val="42342226"/>
    <w:rsid w:val="423A0CE9"/>
    <w:rsid w:val="423B40EF"/>
    <w:rsid w:val="423D3DCD"/>
    <w:rsid w:val="4241022D"/>
    <w:rsid w:val="4241235F"/>
    <w:rsid w:val="424273C9"/>
    <w:rsid w:val="42480270"/>
    <w:rsid w:val="4248354A"/>
    <w:rsid w:val="424D6BB8"/>
    <w:rsid w:val="4252056E"/>
    <w:rsid w:val="4254325D"/>
    <w:rsid w:val="425A38B2"/>
    <w:rsid w:val="425C127A"/>
    <w:rsid w:val="425C1622"/>
    <w:rsid w:val="425E51E0"/>
    <w:rsid w:val="42634C3E"/>
    <w:rsid w:val="42637203"/>
    <w:rsid w:val="42640DB4"/>
    <w:rsid w:val="426B02A8"/>
    <w:rsid w:val="426B5D4E"/>
    <w:rsid w:val="426E178D"/>
    <w:rsid w:val="426F7775"/>
    <w:rsid w:val="4271351C"/>
    <w:rsid w:val="42720D92"/>
    <w:rsid w:val="42771C42"/>
    <w:rsid w:val="42774ED1"/>
    <w:rsid w:val="427B7ED7"/>
    <w:rsid w:val="42821228"/>
    <w:rsid w:val="42833717"/>
    <w:rsid w:val="42836743"/>
    <w:rsid w:val="42841EC5"/>
    <w:rsid w:val="42874414"/>
    <w:rsid w:val="428760AE"/>
    <w:rsid w:val="428A523A"/>
    <w:rsid w:val="428C65F9"/>
    <w:rsid w:val="428D2C17"/>
    <w:rsid w:val="42924FF8"/>
    <w:rsid w:val="42976E8B"/>
    <w:rsid w:val="42993B71"/>
    <w:rsid w:val="429A4206"/>
    <w:rsid w:val="429C15F4"/>
    <w:rsid w:val="429F3B2D"/>
    <w:rsid w:val="42A05C1D"/>
    <w:rsid w:val="42A340BF"/>
    <w:rsid w:val="42AB7F25"/>
    <w:rsid w:val="42AC6C77"/>
    <w:rsid w:val="42AE6ED4"/>
    <w:rsid w:val="42AF49EE"/>
    <w:rsid w:val="42B30BEB"/>
    <w:rsid w:val="42B90F99"/>
    <w:rsid w:val="42BF28AF"/>
    <w:rsid w:val="42C33512"/>
    <w:rsid w:val="42C362E1"/>
    <w:rsid w:val="42C42A86"/>
    <w:rsid w:val="42C73741"/>
    <w:rsid w:val="42C94C5A"/>
    <w:rsid w:val="42CD5F4E"/>
    <w:rsid w:val="42CE43B2"/>
    <w:rsid w:val="42D019AD"/>
    <w:rsid w:val="42D66D17"/>
    <w:rsid w:val="42DD7393"/>
    <w:rsid w:val="42E26186"/>
    <w:rsid w:val="42E460AF"/>
    <w:rsid w:val="42E9744A"/>
    <w:rsid w:val="42EF509B"/>
    <w:rsid w:val="42EF7C86"/>
    <w:rsid w:val="42F32B60"/>
    <w:rsid w:val="42F411E7"/>
    <w:rsid w:val="42F74DE6"/>
    <w:rsid w:val="42F76B2B"/>
    <w:rsid w:val="42FC4642"/>
    <w:rsid w:val="42FE7EC3"/>
    <w:rsid w:val="43025FCB"/>
    <w:rsid w:val="4307152D"/>
    <w:rsid w:val="430A5FB3"/>
    <w:rsid w:val="430C0FDD"/>
    <w:rsid w:val="430C3491"/>
    <w:rsid w:val="430D4AD7"/>
    <w:rsid w:val="43156322"/>
    <w:rsid w:val="431C01E3"/>
    <w:rsid w:val="431D2BCC"/>
    <w:rsid w:val="432369D0"/>
    <w:rsid w:val="43264CB7"/>
    <w:rsid w:val="432733CC"/>
    <w:rsid w:val="43290328"/>
    <w:rsid w:val="43290B01"/>
    <w:rsid w:val="432B3B93"/>
    <w:rsid w:val="433258C1"/>
    <w:rsid w:val="433C638F"/>
    <w:rsid w:val="43477B26"/>
    <w:rsid w:val="4349403C"/>
    <w:rsid w:val="434A5AE3"/>
    <w:rsid w:val="434B725C"/>
    <w:rsid w:val="434D5CB8"/>
    <w:rsid w:val="434F542F"/>
    <w:rsid w:val="43506C2F"/>
    <w:rsid w:val="435744DC"/>
    <w:rsid w:val="43590232"/>
    <w:rsid w:val="4366649D"/>
    <w:rsid w:val="43676800"/>
    <w:rsid w:val="43687AB2"/>
    <w:rsid w:val="436B54A2"/>
    <w:rsid w:val="436D5599"/>
    <w:rsid w:val="436D63D3"/>
    <w:rsid w:val="436F33E3"/>
    <w:rsid w:val="437238F0"/>
    <w:rsid w:val="43752F53"/>
    <w:rsid w:val="43763E80"/>
    <w:rsid w:val="437B611F"/>
    <w:rsid w:val="437F0E80"/>
    <w:rsid w:val="438307B2"/>
    <w:rsid w:val="43847BA8"/>
    <w:rsid w:val="43847CDD"/>
    <w:rsid w:val="438C3E77"/>
    <w:rsid w:val="43926061"/>
    <w:rsid w:val="43926202"/>
    <w:rsid w:val="43943F18"/>
    <w:rsid w:val="439519E4"/>
    <w:rsid w:val="439E3C7F"/>
    <w:rsid w:val="43BC6C6F"/>
    <w:rsid w:val="43BE2279"/>
    <w:rsid w:val="43C1212C"/>
    <w:rsid w:val="43C30A00"/>
    <w:rsid w:val="43C55214"/>
    <w:rsid w:val="43C965BF"/>
    <w:rsid w:val="43CB70B9"/>
    <w:rsid w:val="43D14E35"/>
    <w:rsid w:val="43D44ACF"/>
    <w:rsid w:val="43D54AD4"/>
    <w:rsid w:val="43D845AF"/>
    <w:rsid w:val="43DD6865"/>
    <w:rsid w:val="43E51165"/>
    <w:rsid w:val="43EA278C"/>
    <w:rsid w:val="43ED7C37"/>
    <w:rsid w:val="43F31E8F"/>
    <w:rsid w:val="43F575BA"/>
    <w:rsid w:val="43F627A6"/>
    <w:rsid w:val="43FF016F"/>
    <w:rsid w:val="43FF472A"/>
    <w:rsid w:val="44022AAA"/>
    <w:rsid w:val="440526BB"/>
    <w:rsid w:val="440717D9"/>
    <w:rsid w:val="440A5724"/>
    <w:rsid w:val="440A5F54"/>
    <w:rsid w:val="440C06E6"/>
    <w:rsid w:val="44124C6A"/>
    <w:rsid w:val="44127972"/>
    <w:rsid w:val="44192EAE"/>
    <w:rsid w:val="442350BD"/>
    <w:rsid w:val="44247AC4"/>
    <w:rsid w:val="44256435"/>
    <w:rsid w:val="442578DC"/>
    <w:rsid w:val="44263A54"/>
    <w:rsid w:val="44290710"/>
    <w:rsid w:val="44291A5D"/>
    <w:rsid w:val="44293B16"/>
    <w:rsid w:val="442E6333"/>
    <w:rsid w:val="442F1126"/>
    <w:rsid w:val="443961FC"/>
    <w:rsid w:val="443A772B"/>
    <w:rsid w:val="443C3D43"/>
    <w:rsid w:val="4442686C"/>
    <w:rsid w:val="44427A1D"/>
    <w:rsid w:val="44442160"/>
    <w:rsid w:val="44457E82"/>
    <w:rsid w:val="444951B0"/>
    <w:rsid w:val="444D5F37"/>
    <w:rsid w:val="444E2DEE"/>
    <w:rsid w:val="44501F85"/>
    <w:rsid w:val="44522FDF"/>
    <w:rsid w:val="445740B0"/>
    <w:rsid w:val="445978B6"/>
    <w:rsid w:val="445A62C1"/>
    <w:rsid w:val="446A2F6C"/>
    <w:rsid w:val="446A39FF"/>
    <w:rsid w:val="44736E0A"/>
    <w:rsid w:val="44762CDC"/>
    <w:rsid w:val="44845121"/>
    <w:rsid w:val="448E79BC"/>
    <w:rsid w:val="44A151CC"/>
    <w:rsid w:val="44A21D28"/>
    <w:rsid w:val="44A42086"/>
    <w:rsid w:val="44AE7902"/>
    <w:rsid w:val="44B42399"/>
    <w:rsid w:val="44B434D8"/>
    <w:rsid w:val="44B6272E"/>
    <w:rsid w:val="44B630C2"/>
    <w:rsid w:val="44B67B44"/>
    <w:rsid w:val="44B84744"/>
    <w:rsid w:val="44B878C3"/>
    <w:rsid w:val="44B93A41"/>
    <w:rsid w:val="44BD6436"/>
    <w:rsid w:val="44BD7786"/>
    <w:rsid w:val="44BE7FC1"/>
    <w:rsid w:val="44C4663C"/>
    <w:rsid w:val="44C74DC7"/>
    <w:rsid w:val="44C85C24"/>
    <w:rsid w:val="44CD7C7C"/>
    <w:rsid w:val="44D35494"/>
    <w:rsid w:val="44D717F8"/>
    <w:rsid w:val="44D961EA"/>
    <w:rsid w:val="44E2072E"/>
    <w:rsid w:val="44E4074A"/>
    <w:rsid w:val="44E63083"/>
    <w:rsid w:val="44EA322C"/>
    <w:rsid w:val="44EE1F5D"/>
    <w:rsid w:val="44EE516F"/>
    <w:rsid w:val="44F17D29"/>
    <w:rsid w:val="44F23955"/>
    <w:rsid w:val="44F54B60"/>
    <w:rsid w:val="44FB228A"/>
    <w:rsid w:val="44FB4149"/>
    <w:rsid w:val="45031706"/>
    <w:rsid w:val="450632E4"/>
    <w:rsid w:val="45083794"/>
    <w:rsid w:val="45091A06"/>
    <w:rsid w:val="450B3377"/>
    <w:rsid w:val="450C078B"/>
    <w:rsid w:val="450E0987"/>
    <w:rsid w:val="45100D2F"/>
    <w:rsid w:val="451177A9"/>
    <w:rsid w:val="451279AF"/>
    <w:rsid w:val="4513404D"/>
    <w:rsid w:val="451411A7"/>
    <w:rsid w:val="4516646F"/>
    <w:rsid w:val="451B3F62"/>
    <w:rsid w:val="45233568"/>
    <w:rsid w:val="452339B0"/>
    <w:rsid w:val="452436F6"/>
    <w:rsid w:val="4528099E"/>
    <w:rsid w:val="452A7D4C"/>
    <w:rsid w:val="452F462D"/>
    <w:rsid w:val="452F7F44"/>
    <w:rsid w:val="45310097"/>
    <w:rsid w:val="453143A3"/>
    <w:rsid w:val="45345253"/>
    <w:rsid w:val="4538081B"/>
    <w:rsid w:val="45384E44"/>
    <w:rsid w:val="45387506"/>
    <w:rsid w:val="453A3572"/>
    <w:rsid w:val="454077B9"/>
    <w:rsid w:val="45423C79"/>
    <w:rsid w:val="454305E9"/>
    <w:rsid w:val="45451A56"/>
    <w:rsid w:val="454E616E"/>
    <w:rsid w:val="454F0A9D"/>
    <w:rsid w:val="454F45A4"/>
    <w:rsid w:val="456240A2"/>
    <w:rsid w:val="45625E05"/>
    <w:rsid w:val="45635D45"/>
    <w:rsid w:val="456D10A2"/>
    <w:rsid w:val="456E46D1"/>
    <w:rsid w:val="457674B0"/>
    <w:rsid w:val="457A49EB"/>
    <w:rsid w:val="457F4CD9"/>
    <w:rsid w:val="457F5A68"/>
    <w:rsid w:val="45837BC0"/>
    <w:rsid w:val="458B2EA3"/>
    <w:rsid w:val="458E0EF3"/>
    <w:rsid w:val="45957062"/>
    <w:rsid w:val="4596295A"/>
    <w:rsid w:val="45966015"/>
    <w:rsid w:val="459742FB"/>
    <w:rsid w:val="45975534"/>
    <w:rsid w:val="459B412A"/>
    <w:rsid w:val="459D6165"/>
    <w:rsid w:val="459E7A55"/>
    <w:rsid w:val="459F45CC"/>
    <w:rsid w:val="45A65B9E"/>
    <w:rsid w:val="45A839D0"/>
    <w:rsid w:val="45A9054F"/>
    <w:rsid w:val="45AF06BE"/>
    <w:rsid w:val="45B3117D"/>
    <w:rsid w:val="45B81C42"/>
    <w:rsid w:val="45BC72E4"/>
    <w:rsid w:val="45C475BE"/>
    <w:rsid w:val="45C56AE0"/>
    <w:rsid w:val="45C62EAE"/>
    <w:rsid w:val="45C944BB"/>
    <w:rsid w:val="45D33FC3"/>
    <w:rsid w:val="45D34710"/>
    <w:rsid w:val="45D46FF5"/>
    <w:rsid w:val="45DC6CE7"/>
    <w:rsid w:val="45DD71DA"/>
    <w:rsid w:val="45E1711D"/>
    <w:rsid w:val="45E3723A"/>
    <w:rsid w:val="45EE0B4F"/>
    <w:rsid w:val="45F16B3F"/>
    <w:rsid w:val="45F17523"/>
    <w:rsid w:val="45F42E8C"/>
    <w:rsid w:val="45F75D8A"/>
    <w:rsid w:val="45FC13A7"/>
    <w:rsid w:val="45FF6727"/>
    <w:rsid w:val="46005027"/>
    <w:rsid w:val="46034692"/>
    <w:rsid w:val="46097440"/>
    <w:rsid w:val="460A0F24"/>
    <w:rsid w:val="460A4318"/>
    <w:rsid w:val="460E5BC6"/>
    <w:rsid w:val="46151F15"/>
    <w:rsid w:val="46165878"/>
    <w:rsid w:val="46196B3B"/>
    <w:rsid w:val="461C3B1B"/>
    <w:rsid w:val="461D6D2A"/>
    <w:rsid w:val="46247678"/>
    <w:rsid w:val="4626209D"/>
    <w:rsid w:val="462710E3"/>
    <w:rsid w:val="462814D1"/>
    <w:rsid w:val="462929B2"/>
    <w:rsid w:val="462E1464"/>
    <w:rsid w:val="46355F9F"/>
    <w:rsid w:val="463632D5"/>
    <w:rsid w:val="46381CE7"/>
    <w:rsid w:val="46396F83"/>
    <w:rsid w:val="463B55E9"/>
    <w:rsid w:val="4641024F"/>
    <w:rsid w:val="46433286"/>
    <w:rsid w:val="4646760B"/>
    <w:rsid w:val="464A2A30"/>
    <w:rsid w:val="464D3F66"/>
    <w:rsid w:val="464F17DA"/>
    <w:rsid w:val="46556635"/>
    <w:rsid w:val="46606346"/>
    <w:rsid w:val="4662508F"/>
    <w:rsid w:val="466816A4"/>
    <w:rsid w:val="466856BB"/>
    <w:rsid w:val="466C5FF4"/>
    <w:rsid w:val="466E40C7"/>
    <w:rsid w:val="4671196C"/>
    <w:rsid w:val="46713D2A"/>
    <w:rsid w:val="4679447A"/>
    <w:rsid w:val="4684307F"/>
    <w:rsid w:val="46876AB7"/>
    <w:rsid w:val="46894648"/>
    <w:rsid w:val="468D51FE"/>
    <w:rsid w:val="468E124A"/>
    <w:rsid w:val="468E17A0"/>
    <w:rsid w:val="468E3724"/>
    <w:rsid w:val="468E73C0"/>
    <w:rsid w:val="46911947"/>
    <w:rsid w:val="46935262"/>
    <w:rsid w:val="46947AE4"/>
    <w:rsid w:val="469A0D50"/>
    <w:rsid w:val="469D3C5C"/>
    <w:rsid w:val="469E3760"/>
    <w:rsid w:val="46A01EF1"/>
    <w:rsid w:val="46A3388D"/>
    <w:rsid w:val="46A41530"/>
    <w:rsid w:val="46A73158"/>
    <w:rsid w:val="46A9228D"/>
    <w:rsid w:val="46A93EF6"/>
    <w:rsid w:val="46B15DC1"/>
    <w:rsid w:val="46B30480"/>
    <w:rsid w:val="46B352CA"/>
    <w:rsid w:val="46B73439"/>
    <w:rsid w:val="46BA4383"/>
    <w:rsid w:val="46BF509E"/>
    <w:rsid w:val="46C1204F"/>
    <w:rsid w:val="46C31E4A"/>
    <w:rsid w:val="46C34F08"/>
    <w:rsid w:val="46C403F9"/>
    <w:rsid w:val="46C45CE7"/>
    <w:rsid w:val="46CB6EF7"/>
    <w:rsid w:val="46CC7B06"/>
    <w:rsid w:val="46DF3AFE"/>
    <w:rsid w:val="46E03CC4"/>
    <w:rsid w:val="46E31BF7"/>
    <w:rsid w:val="46E720F3"/>
    <w:rsid w:val="46E937A1"/>
    <w:rsid w:val="46ED51CA"/>
    <w:rsid w:val="46EF0209"/>
    <w:rsid w:val="46FC21E6"/>
    <w:rsid w:val="46FC7EC9"/>
    <w:rsid w:val="46FD2C98"/>
    <w:rsid w:val="46FE35E1"/>
    <w:rsid w:val="46FE3AA1"/>
    <w:rsid w:val="470177F4"/>
    <w:rsid w:val="47034ED8"/>
    <w:rsid w:val="47035380"/>
    <w:rsid w:val="4705193D"/>
    <w:rsid w:val="470B08D0"/>
    <w:rsid w:val="470B331B"/>
    <w:rsid w:val="470F04FF"/>
    <w:rsid w:val="471574A8"/>
    <w:rsid w:val="47182451"/>
    <w:rsid w:val="471C6AD0"/>
    <w:rsid w:val="47215C93"/>
    <w:rsid w:val="47222862"/>
    <w:rsid w:val="472726F5"/>
    <w:rsid w:val="472C0410"/>
    <w:rsid w:val="473246AE"/>
    <w:rsid w:val="47406397"/>
    <w:rsid w:val="474143DF"/>
    <w:rsid w:val="47430E7E"/>
    <w:rsid w:val="47451D7F"/>
    <w:rsid w:val="47473111"/>
    <w:rsid w:val="47496729"/>
    <w:rsid w:val="474F4FE5"/>
    <w:rsid w:val="47535EF8"/>
    <w:rsid w:val="47564536"/>
    <w:rsid w:val="47566850"/>
    <w:rsid w:val="47595868"/>
    <w:rsid w:val="47600A4F"/>
    <w:rsid w:val="476645A0"/>
    <w:rsid w:val="476C6259"/>
    <w:rsid w:val="476D79A3"/>
    <w:rsid w:val="476F24A5"/>
    <w:rsid w:val="476F7BAA"/>
    <w:rsid w:val="47701105"/>
    <w:rsid w:val="4771164D"/>
    <w:rsid w:val="4774294D"/>
    <w:rsid w:val="477638B7"/>
    <w:rsid w:val="478775B7"/>
    <w:rsid w:val="47880F91"/>
    <w:rsid w:val="478D6A0D"/>
    <w:rsid w:val="4793068D"/>
    <w:rsid w:val="47944BD5"/>
    <w:rsid w:val="4796617C"/>
    <w:rsid w:val="47970817"/>
    <w:rsid w:val="479974DB"/>
    <w:rsid w:val="479C1561"/>
    <w:rsid w:val="479F0DFF"/>
    <w:rsid w:val="47A05E87"/>
    <w:rsid w:val="47A36122"/>
    <w:rsid w:val="47A6018E"/>
    <w:rsid w:val="47AC420C"/>
    <w:rsid w:val="47AF294A"/>
    <w:rsid w:val="47B02ECF"/>
    <w:rsid w:val="47B521F2"/>
    <w:rsid w:val="47B57453"/>
    <w:rsid w:val="47B61C3F"/>
    <w:rsid w:val="47B62149"/>
    <w:rsid w:val="47B81FE1"/>
    <w:rsid w:val="47BE4792"/>
    <w:rsid w:val="47BF7062"/>
    <w:rsid w:val="47C001B2"/>
    <w:rsid w:val="47C30B8A"/>
    <w:rsid w:val="47C527DB"/>
    <w:rsid w:val="47C83AF1"/>
    <w:rsid w:val="47C84938"/>
    <w:rsid w:val="47C95E86"/>
    <w:rsid w:val="47CC3D45"/>
    <w:rsid w:val="47D0052C"/>
    <w:rsid w:val="47D372D4"/>
    <w:rsid w:val="47DC1D3A"/>
    <w:rsid w:val="47DC5D8D"/>
    <w:rsid w:val="47E20CAD"/>
    <w:rsid w:val="47E677B6"/>
    <w:rsid w:val="47ED0DF4"/>
    <w:rsid w:val="47ED32B6"/>
    <w:rsid w:val="47EF03B9"/>
    <w:rsid w:val="47F078CC"/>
    <w:rsid w:val="47F353DF"/>
    <w:rsid w:val="47F857E6"/>
    <w:rsid w:val="47F859E4"/>
    <w:rsid w:val="47F90943"/>
    <w:rsid w:val="47F92B4E"/>
    <w:rsid w:val="47FA4E74"/>
    <w:rsid w:val="4800744B"/>
    <w:rsid w:val="48011631"/>
    <w:rsid w:val="48047400"/>
    <w:rsid w:val="48061110"/>
    <w:rsid w:val="4806761E"/>
    <w:rsid w:val="48087D04"/>
    <w:rsid w:val="480E3A25"/>
    <w:rsid w:val="48143585"/>
    <w:rsid w:val="481963B1"/>
    <w:rsid w:val="481A33FF"/>
    <w:rsid w:val="481E1721"/>
    <w:rsid w:val="481E199E"/>
    <w:rsid w:val="482319FA"/>
    <w:rsid w:val="48273E41"/>
    <w:rsid w:val="48292F44"/>
    <w:rsid w:val="48297FA6"/>
    <w:rsid w:val="482E6E8E"/>
    <w:rsid w:val="48310D1A"/>
    <w:rsid w:val="4831131A"/>
    <w:rsid w:val="483116B1"/>
    <w:rsid w:val="4833584C"/>
    <w:rsid w:val="48336474"/>
    <w:rsid w:val="48362AAE"/>
    <w:rsid w:val="48376DE9"/>
    <w:rsid w:val="483A7C69"/>
    <w:rsid w:val="483F2922"/>
    <w:rsid w:val="48427326"/>
    <w:rsid w:val="4846529D"/>
    <w:rsid w:val="484660EF"/>
    <w:rsid w:val="484A128F"/>
    <w:rsid w:val="484C4EEE"/>
    <w:rsid w:val="484E6902"/>
    <w:rsid w:val="48503537"/>
    <w:rsid w:val="48515F40"/>
    <w:rsid w:val="485D4D48"/>
    <w:rsid w:val="485D7E44"/>
    <w:rsid w:val="485D7E4B"/>
    <w:rsid w:val="48600105"/>
    <w:rsid w:val="48601911"/>
    <w:rsid w:val="486046AD"/>
    <w:rsid w:val="4860529A"/>
    <w:rsid w:val="48640E58"/>
    <w:rsid w:val="486506E4"/>
    <w:rsid w:val="48705096"/>
    <w:rsid w:val="48780EAE"/>
    <w:rsid w:val="487E2AF1"/>
    <w:rsid w:val="4880425B"/>
    <w:rsid w:val="48820731"/>
    <w:rsid w:val="48824392"/>
    <w:rsid w:val="4885763C"/>
    <w:rsid w:val="4885796D"/>
    <w:rsid w:val="48863EB4"/>
    <w:rsid w:val="488675D8"/>
    <w:rsid w:val="48885B91"/>
    <w:rsid w:val="488A41A8"/>
    <w:rsid w:val="489267FE"/>
    <w:rsid w:val="48A20D8A"/>
    <w:rsid w:val="48A52F03"/>
    <w:rsid w:val="48B55FF3"/>
    <w:rsid w:val="48BC6743"/>
    <w:rsid w:val="48C03B8F"/>
    <w:rsid w:val="48C239C9"/>
    <w:rsid w:val="48C7597B"/>
    <w:rsid w:val="48C82754"/>
    <w:rsid w:val="48CA6316"/>
    <w:rsid w:val="48CB28F3"/>
    <w:rsid w:val="48D247BF"/>
    <w:rsid w:val="48D333CC"/>
    <w:rsid w:val="48D57ED2"/>
    <w:rsid w:val="48D80467"/>
    <w:rsid w:val="48D8158A"/>
    <w:rsid w:val="48DA0233"/>
    <w:rsid w:val="48DC39B6"/>
    <w:rsid w:val="48E30C0F"/>
    <w:rsid w:val="48E76B3F"/>
    <w:rsid w:val="48E90E62"/>
    <w:rsid w:val="48EB5B16"/>
    <w:rsid w:val="48ED040E"/>
    <w:rsid w:val="48F06868"/>
    <w:rsid w:val="48F43FA0"/>
    <w:rsid w:val="48F565E9"/>
    <w:rsid w:val="48F74808"/>
    <w:rsid w:val="48F838BB"/>
    <w:rsid w:val="48F8748D"/>
    <w:rsid w:val="48FB37ED"/>
    <w:rsid w:val="48FF6A4B"/>
    <w:rsid w:val="490239DB"/>
    <w:rsid w:val="4905123C"/>
    <w:rsid w:val="490B30C0"/>
    <w:rsid w:val="49123EA5"/>
    <w:rsid w:val="491277AB"/>
    <w:rsid w:val="49147971"/>
    <w:rsid w:val="49156F45"/>
    <w:rsid w:val="491E1BD4"/>
    <w:rsid w:val="49203FB0"/>
    <w:rsid w:val="492616CD"/>
    <w:rsid w:val="49273C13"/>
    <w:rsid w:val="492B4756"/>
    <w:rsid w:val="492D0477"/>
    <w:rsid w:val="492D2517"/>
    <w:rsid w:val="492E1867"/>
    <w:rsid w:val="492F0BB6"/>
    <w:rsid w:val="492F5EA3"/>
    <w:rsid w:val="49307225"/>
    <w:rsid w:val="4934039D"/>
    <w:rsid w:val="49361D9C"/>
    <w:rsid w:val="493735D3"/>
    <w:rsid w:val="493908B3"/>
    <w:rsid w:val="493C0842"/>
    <w:rsid w:val="49415114"/>
    <w:rsid w:val="49444EED"/>
    <w:rsid w:val="49473ACD"/>
    <w:rsid w:val="49481D91"/>
    <w:rsid w:val="494B0221"/>
    <w:rsid w:val="49514FA7"/>
    <w:rsid w:val="4956538A"/>
    <w:rsid w:val="495E0E22"/>
    <w:rsid w:val="495F69C7"/>
    <w:rsid w:val="49665310"/>
    <w:rsid w:val="496A00E7"/>
    <w:rsid w:val="496B467E"/>
    <w:rsid w:val="496E0FC1"/>
    <w:rsid w:val="496F388B"/>
    <w:rsid w:val="496F5001"/>
    <w:rsid w:val="496F7C31"/>
    <w:rsid w:val="497233C7"/>
    <w:rsid w:val="497918CB"/>
    <w:rsid w:val="497B3CBA"/>
    <w:rsid w:val="497F1CBD"/>
    <w:rsid w:val="49805685"/>
    <w:rsid w:val="49840769"/>
    <w:rsid w:val="49845EB5"/>
    <w:rsid w:val="498700A9"/>
    <w:rsid w:val="49966355"/>
    <w:rsid w:val="4997181B"/>
    <w:rsid w:val="49A0064C"/>
    <w:rsid w:val="49A02489"/>
    <w:rsid w:val="49A3436E"/>
    <w:rsid w:val="49A44527"/>
    <w:rsid w:val="49A91C6B"/>
    <w:rsid w:val="49B209E0"/>
    <w:rsid w:val="49B535E7"/>
    <w:rsid w:val="49BA1820"/>
    <w:rsid w:val="49BA526C"/>
    <w:rsid w:val="49C27318"/>
    <w:rsid w:val="49C4339B"/>
    <w:rsid w:val="49C448E7"/>
    <w:rsid w:val="49C67579"/>
    <w:rsid w:val="49C76B13"/>
    <w:rsid w:val="49CE7801"/>
    <w:rsid w:val="49CF68BF"/>
    <w:rsid w:val="49D407C0"/>
    <w:rsid w:val="49DF3683"/>
    <w:rsid w:val="49E536E5"/>
    <w:rsid w:val="49EA0888"/>
    <w:rsid w:val="49EA6D81"/>
    <w:rsid w:val="49EF0E5B"/>
    <w:rsid w:val="49F26394"/>
    <w:rsid w:val="49F44698"/>
    <w:rsid w:val="49F61384"/>
    <w:rsid w:val="49F67F48"/>
    <w:rsid w:val="49F92259"/>
    <w:rsid w:val="49F93FB7"/>
    <w:rsid w:val="49F94658"/>
    <w:rsid w:val="49F95C3B"/>
    <w:rsid w:val="49FA5B8C"/>
    <w:rsid w:val="49FC650B"/>
    <w:rsid w:val="4A032BAD"/>
    <w:rsid w:val="4A0676B8"/>
    <w:rsid w:val="4A160EDA"/>
    <w:rsid w:val="4A1732CD"/>
    <w:rsid w:val="4A18095C"/>
    <w:rsid w:val="4A222A24"/>
    <w:rsid w:val="4A284EA3"/>
    <w:rsid w:val="4A2B1832"/>
    <w:rsid w:val="4A2C43CB"/>
    <w:rsid w:val="4A305732"/>
    <w:rsid w:val="4A3A31BB"/>
    <w:rsid w:val="4A3C7F28"/>
    <w:rsid w:val="4A3F14B3"/>
    <w:rsid w:val="4A3F6F9E"/>
    <w:rsid w:val="4A466B13"/>
    <w:rsid w:val="4A4721B9"/>
    <w:rsid w:val="4A48115F"/>
    <w:rsid w:val="4A4D524F"/>
    <w:rsid w:val="4A5007D0"/>
    <w:rsid w:val="4A547C36"/>
    <w:rsid w:val="4A55169A"/>
    <w:rsid w:val="4A5A748D"/>
    <w:rsid w:val="4A5C0362"/>
    <w:rsid w:val="4A5E51FE"/>
    <w:rsid w:val="4A605254"/>
    <w:rsid w:val="4A617EDB"/>
    <w:rsid w:val="4A626795"/>
    <w:rsid w:val="4A6470DF"/>
    <w:rsid w:val="4A6621D5"/>
    <w:rsid w:val="4A6B284D"/>
    <w:rsid w:val="4A6F08B1"/>
    <w:rsid w:val="4A6F099A"/>
    <w:rsid w:val="4A702380"/>
    <w:rsid w:val="4A710BE8"/>
    <w:rsid w:val="4A711346"/>
    <w:rsid w:val="4A7322E8"/>
    <w:rsid w:val="4A803E8B"/>
    <w:rsid w:val="4A905188"/>
    <w:rsid w:val="4A9136B5"/>
    <w:rsid w:val="4A926BBE"/>
    <w:rsid w:val="4A983E46"/>
    <w:rsid w:val="4A9E60FF"/>
    <w:rsid w:val="4A9F3893"/>
    <w:rsid w:val="4AA72675"/>
    <w:rsid w:val="4AAE20BD"/>
    <w:rsid w:val="4AAF4B6E"/>
    <w:rsid w:val="4AAF7C93"/>
    <w:rsid w:val="4AB00771"/>
    <w:rsid w:val="4AB3018D"/>
    <w:rsid w:val="4AB73652"/>
    <w:rsid w:val="4ABB5B9F"/>
    <w:rsid w:val="4AC0735D"/>
    <w:rsid w:val="4AC35555"/>
    <w:rsid w:val="4AC820CC"/>
    <w:rsid w:val="4AC85880"/>
    <w:rsid w:val="4AC91701"/>
    <w:rsid w:val="4ACA6D7B"/>
    <w:rsid w:val="4ACD2347"/>
    <w:rsid w:val="4AD23505"/>
    <w:rsid w:val="4AD35C4C"/>
    <w:rsid w:val="4AD5713C"/>
    <w:rsid w:val="4AD7562C"/>
    <w:rsid w:val="4ADC7508"/>
    <w:rsid w:val="4AE1469C"/>
    <w:rsid w:val="4AE25119"/>
    <w:rsid w:val="4AEB11E8"/>
    <w:rsid w:val="4AEC0F8B"/>
    <w:rsid w:val="4AED588E"/>
    <w:rsid w:val="4AED7D6A"/>
    <w:rsid w:val="4AEE14E9"/>
    <w:rsid w:val="4AEE5AB3"/>
    <w:rsid w:val="4AEE792F"/>
    <w:rsid w:val="4AF574D6"/>
    <w:rsid w:val="4AF836F8"/>
    <w:rsid w:val="4AFA2338"/>
    <w:rsid w:val="4AFD2E70"/>
    <w:rsid w:val="4B044893"/>
    <w:rsid w:val="4B070957"/>
    <w:rsid w:val="4B0B6C3D"/>
    <w:rsid w:val="4B106D5B"/>
    <w:rsid w:val="4B1A2749"/>
    <w:rsid w:val="4B214A8D"/>
    <w:rsid w:val="4B24167F"/>
    <w:rsid w:val="4B2553EF"/>
    <w:rsid w:val="4B255600"/>
    <w:rsid w:val="4B2B40C5"/>
    <w:rsid w:val="4B2F3E39"/>
    <w:rsid w:val="4B310E23"/>
    <w:rsid w:val="4B3A0DC5"/>
    <w:rsid w:val="4B3A51F2"/>
    <w:rsid w:val="4B3A5D41"/>
    <w:rsid w:val="4B3D3ADF"/>
    <w:rsid w:val="4B40131E"/>
    <w:rsid w:val="4B417F1B"/>
    <w:rsid w:val="4B4E2B43"/>
    <w:rsid w:val="4B50594E"/>
    <w:rsid w:val="4B515C07"/>
    <w:rsid w:val="4B5606C4"/>
    <w:rsid w:val="4B560794"/>
    <w:rsid w:val="4B560F28"/>
    <w:rsid w:val="4B5A1B9F"/>
    <w:rsid w:val="4B5C4769"/>
    <w:rsid w:val="4B6045F2"/>
    <w:rsid w:val="4B610573"/>
    <w:rsid w:val="4B6679E6"/>
    <w:rsid w:val="4B676659"/>
    <w:rsid w:val="4B6C0F3D"/>
    <w:rsid w:val="4B6D53E0"/>
    <w:rsid w:val="4B6F0B45"/>
    <w:rsid w:val="4B752845"/>
    <w:rsid w:val="4B781DD7"/>
    <w:rsid w:val="4B807FA2"/>
    <w:rsid w:val="4B89568F"/>
    <w:rsid w:val="4B8A11C6"/>
    <w:rsid w:val="4B8B3399"/>
    <w:rsid w:val="4B8D610B"/>
    <w:rsid w:val="4B9206DF"/>
    <w:rsid w:val="4B956D86"/>
    <w:rsid w:val="4B967573"/>
    <w:rsid w:val="4B970A2C"/>
    <w:rsid w:val="4B98073E"/>
    <w:rsid w:val="4B987099"/>
    <w:rsid w:val="4B994C72"/>
    <w:rsid w:val="4B9D4B1D"/>
    <w:rsid w:val="4BA84912"/>
    <w:rsid w:val="4BA95205"/>
    <w:rsid w:val="4BAD7DE7"/>
    <w:rsid w:val="4BB1529D"/>
    <w:rsid w:val="4BB177FB"/>
    <w:rsid w:val="4BB335BF"/>
    <w:rsid w:val="4BB44413"/>
    <w:rsid w:val="4BB93B22"/>
    <w:rsid w:val="4BC36C0C"/>
    <w:rsid w:val="4BC413F4"/>
    <w:rsid w:val="4BCA5BE3"/>
    <w:rsid w:val="4BCE2730"/>
    <w:rsid w:val="4BD46B8F"/>
    <w:rsid w:val="4BD510FD"/>
    <w:rsid w:val="4BDD4C49"/>
    <w:rsid w:val="4BE43991"/>
    <w:rsid w:val="4BE65E24"/>
    <w:rsid w:val="4BE8506C"/>
    <w:rsid w:val="4BE85930"/>
    <w:rsid w:val="4BEA1493"/>
    <w:rsid w:val="4BEB7E45"/>
    <w:rsid w:val="4BF10E3B"/>
    <w:rsid w:val="4BF4009C"/>
    <w:rsid w:val="4BF419A1"/>
    <w:rsid w:val="4BF427B8"/>
    <w:rsid w:val="4BF6329D"/>
    <w:rsid w:val="4BF639B6"/>
    <w:rsid w:val="4BF70FC0"/>
    <w:rsid w:val="4BF85F30"/>
    <w:rsid w:val="4BFE4ECD"/>
    <w:rsid w:val="4C0130AC"/>
    <w:rsid w:val="4C075915"/>
    <w:rsid w:val="4C0C1C88"/>
    <w:rsid w:val="4C1110E6"/>
    <w:rsid w:val="4C113E11"/>
    <w:rsid w:val="4C131A31"/>
    <w:rsid w:val="4C180642"/>
    <w:rsid w:val="4C1855B1"/>
    <w:rsid w:val="4C1B420F"/>
    <w:rsid w:val="4C1F06F5"/>
    <w:rsid w:val="4C210096"/>
    <w:rsid w:val="4C220478"/>
    <w:rsid w:val="4C2944F0"/>
    <w:rsid w:val="4C296FC4"/>
    <w:rsid w:val="4C2F220C"/>
    <w:rsid w:val="4C304509"/>
    <w:rsid w:val="4C357039"/>
    <w:rsid w:val="4C3923F1"/>
    <w:rsid w:val="4C3B0447"/>
    <w:rsid w:val="4C3B1ECB"/>
    <w:rsid w:val="4C3B4E05"/>
    <w:rsid w:val="4C3D72B3"/>
    <w:rsid w:val="4C3F7658"/>
    <w:rsid w:val="4C447E39"/>
    <w:rsid w:val="4C4628EF"/>
    <w:rsid w:val="4C470717"/>
    <w:rsid w:val="4C495F92"/>
    <w:rsid w:val="4C4D42C3"/>
    <w:rsid w:val="4C4F1871"/>
    <w:rsid w:val="4C501305"/>
    <w:rsid w:val="4C5107AF"/>
    <w:rsid w:val="4C516602"/>
    <w:rsid w:val="4C52769B"/>
    <w:rsid w:val="4C5336FA"/>
    <w:rsid w:val="4C5554B2"/>
    <w:rsid w:val="4C597A93"/>
    <w:rsid w:val="4C5B6916"/>
    <w:rsid w:val="4C620828"/>
    <w:rsid w:val="4C634762"/>
    <w:rsid w:val="4C6A45F5"/>
    <w:rsid w:val="4C6C45AC"/>
    <w:rsid w:val="4C6D2899"/>
    <w:rsid w:val="4C711196"/>
    <w:rsid w:val="4C7D7F54"/>
    <w:rsid w:val="4C837387"/>
    <w:rsid w:val="4C86419B"/>
    <w:rsid w:val="4C8654E0"/>
    <w:rsid w:val="4C877DC7"/>
    <w:rsid w:val="4C913E4C"/>
    <w:rsid w:val="4C952FA3"/>
    <w:rsid w:val="4C9850E8"/>
    <w:rsid w:val="4C9C446D"/>
    <w:rsid w:val="4C9F36FD"/>
    <w:rsid w:val="4CA05179"/>
    <w:rsid w:val="4CA22DEA"/>
    <w:rsid w:val="4CA41689"/>
    <w:rsid w:val="4CA51223"/>
    <w:rsid w:val="4CA61C20"/>
    <w:rsid w:val="4CA71D01"/>
    <w:rsid w:val="4CAA07F1"/>
    <w:rsid w:val="4CAD64F9"/>
    <w:rsid w:val="4CB23B7F"/>
    <w:rsid w:val="4CB83D2D"/>
    <w:rsid w:val="4CB856C9"/>
    <w:rsid w:val="4CB8699C"/>
    <w:rsid w:val="4CBC4DC1"/>
    <w:rsid w:val="4CBF105E"/>
    <w:rsid w:val="4CC01CC5"/>
    <w:rsid w:val="4CC16056"/>
    <w:rsid w:val="4CC23420"/>
    <w:rsid w:val="4CC43A1E"/>
    <w:rsid w:val="4CCC06C5"/>
    <w:rsid w:val="4CCC2426"/>
    <w:rsid w:val="4CCC5D08"/>
    <w:rsid w:val="4CCC7E61"/>
    <w:rsid w:val="4CD26029"/>
    <w:rsid w:val="4CD3085C"/>
    <w:rsid w:val="4CD30CD0"/>
    <w:rsid w:val="4CD57136"/>
    <w:rsid w:val="4CD577CD"/>
    <w:rsid w:val="4CD84070"/>
    <w:rsid w:val="4CDD04A6"/>
    <w:rsid w:val="4CE02406"/>
    <w:rsid w:val="4CE0405C"/>
    <w:rsid w:val="4CE11525"/>
    <w:rsid w:val="4CE17742"/>
    <w:rsid w:val="4CE34E0E"/>
    <w:rsid w:val="4CE47D95"/>
    <w:rsid w:val="4CE9143E"/>
    <w:rsid w:val="4CEB4D69"/>
    <w:rsid w:val="4CEF103E"/>
    <w:rsid w:val="4CF071B7"/>
    <w:rsid w:val="4CF41A61"/>
    <w:rsid w:val="4CF42A8C"/>
    <w:rsid w:val="4CF67120"/>
    <w:rsid w:val="4CF73EFF"/>
    <w:rsid w:val="4CFB1EF5"/>
    <w:rsid w:val="4CFF16BF"/>
    <w:rsid w:val="4D000808"/>
    <w:rsid w:val="4D016BA5"/>
    <w:rsid w:val="4D053546"/>
    <w:rsid w:val="4D054F5A"/>
    <w:rsid w:val="4D092035"/>
    <w:rsid w:val="4D094CB5"/>
    <w:rsid w:val="4D0C5E51"/>
    <w:rsid w:val="4D1027C4"/>
    <w:rsid w:val="4D166D88"/>
    <w:rsid w:val="4D1B5855"/>
    <w:rsid w:val="4D1B73F3"/>
    <w:rsid w:val="4D1C1B43"/>
    <w:rsid w:val="4D1E6B05"/>
    <w:rsid w:val="4D1F0510"/>
    <w:rsid w:val="4D2213F9"/>
    <w:rsid w:val="4D232448"/>
    <w:rsid w:val="4D24355F"/>
    <w:rsid w:val="4D2879E7"/>
    <w:rsid w:val="4D2B5785"/>
    <w:rsid w:val="4D2C7B0E"/>
    <w:rsid w:val="4D32093E"/>
    <w:rsid w:val="4D3D6BEB"/>
    <w:rsid w:val="4D427E08"/>
    <w:rsid w:val="4D433813"/>
    <w:rsid w:val="4D437C0C"/>
    <w:rsid w:val="4D443FD7"/>
    <w:rsid w:val="4D4C79B9"/>
    <w:rsid w:val="4D4F29A9"/>
    <w:rsid w:val="4D500648"/>
    <w:rsid w:val="4D552F3D"/>
    <w:rsid w:val="4D5B2955"/>
    <w:rsid w:val="4D602CC3"/>
    <w:rsid w:val="4D637167"/>
    <w:rsid w:val="4D642FE0"/>
    <w:rsid w:val="4D655250"/>
    <w:rsid w:val="4D66175E"/>
    <w:rsid w:val="4D6C7244"/>
    <w:rsid w:val="4D6E22AC"/>
    <w:rsid w:val="4D6E74CA"/>
    <w:rsid w:val="4D6E7BEF"/>
    <w:rsid w:val="4D711892"/>
    <w:rsid w:val="4D736668"/>
    <w:rsid w:val="4D757D55"/>
    <w:rsid w:val="4D782BC8"/>
    <w:rsid w:val="4D794495"/>
    <w:rsid w:val="4D7C4180"/>
    <w:rsid w:val="4D7D2AE4"/>
    <w:rsid w:val="4D8705B1"/>
    <w:rsid w:val="4D890F28"/>
    <w:rsid w:val="4D8B5356"/>
    <w:rsid w:val="4D8B7C33"/>
    <w:rsid w:val="4D8E4DAB"/>
    <w:rsid w:val="4D8F5EEA"/>
    <w:rsid w:val="4D8F7ABC"/>
    <w:rsid w:val="4D92738E"/>
    <w:rsid w:val="4D934F02"/>
    <w:rsid w:val="4D9B259F"/>
    <w:rsid w:val="4D9D4D42"/>
    <w:rsid w:val="4DA010E2"/>
    <w:rsid w:val="4DA26929"/>
    <w:rsid w:val="4DA51D77"/>
    <w:rsid w:val="4DA61BC5"/>
    <w:rsid w:val="4DAB30D4"/>
    <w:rsid w:val="4DAD667E"/>
    <w:rsid w:val="4DB209BA"/>
    <w:rsid w:val="4DB4235F"/>
    <w:rsid w:val="4DB77825"/>
    <w:rsid w:val="4DBC24AE"/>
    <w:rsid w:val="4DBF6B8C"/>
    <w:rsid w:val="4DC101AA"/>
    <w:rsid w:val="4DC20598"/>
    <w:rsid w:val="4DC30886"/>
    <w:rsid w:val="4DC33C7E"/>
    <w:rsid w:val="4DC73954"/>
    <w:rsid w:val="4DCA333A"/>
    <w:rsid w:val="4DCE172E"/>
    <w:rsid w:val="4DCF1FC6"/>
    <w:rsid w:val="4DCF4208"/>
    <w:rsid w:val="4DD073E3"/>
    <w:rsid w:val="4DD30D39"/>
    <w:rsid w:val="4DD92C28"/>
    <w:rsid w:val="4DDA57EE"/>
    <w:rsid w:val="4DE263AB"/>
    <w:rsid w:val="4DE30AAC"/>
    <w:rsid w:val="4DEB2DB6"/>
    <w:rsid w:val="4DF958DF"/>
    <w:rsid w:val="4DFA2B18"/>
    <w:rsid w:val="4DFB330A"/>
    <w:rsid w:val="4DFB4577"/>
    <w:rsid w:val="4DFC71C7"/>
    <w:rsid w:val="4DFF11FC"/>
    <w:rsid w:val="4E03141F"/>
    <w:rsid w:val="4E080721"/>
    <w:rsid w:val="4E0A0635"/>
    <w:rsid w:val="4E0B7495"/>
    <w:rsid w:val="4E0C0A9C"/>
    <w:rsid w:val="4E1C02FB"/>
    <w:rsid w:val="4E1C5164"/>
    <w:rsid w:val="4E213033"/>
    <w:rsid w:val="4E217D5D"/>
    <w:rsid w:val="4E237DCB"/>
    <w:rsid w:val="4E2540BE"/>
    <w:rsid w:val="4E28581F"/>
    <w:rsid w:val="4E316689"/>
    <w:rsid w:val="4E362EE9"/>
    <w:rsid w:val="4E3944B2"/>
    <w:rsid w:val="4E3B68B0"/>
    <w:rsid w:val="4E3E2002"/>
    <w:rsid w:val="4E3E241C"/>
    <w:rsid w:val="4E403D28"/>
    <w:rsid w:val="4E443E38"/>
    <w:rsid w:val="4E4703E5"/>
    <w:rsid w:val="4E486B04"/>
    <w:rsid w:val="4E49668F"/>
    <w:rsid w:val="4E4B3DCF"/>
    <w:rsid w:val="4E4B5EE0"/>
    <w:rsid w:val="4E4B68CA"/>
    <w:rsid w:val="4E50281D"/>
    <w:rsid w:val="4E502F99"/>
    <w:rsid w:val="4E52238C"/>
    <w:rsid w:val="4E540B60"/>
    <w:rsid w:val="4E5552D8"/>
    <w:rsid w:val="4E5932A3"/>
    <w:rsid w:val="4E5F346B"/>
    <w:rsid w:val="4E621670"/>
    <w:rsid w:val="4E646565"/>
    <w:rsid w:val="4E6A63BD"/>
    <w:rsid w:val="4E6C3411"/>
    <w:rsid w:val="4E734414"/>
    <w:rsid w:val="4E7C1E44"/>
    <w:rsid w:val="4E841EEB"/>
    <w:rsid w:val="4E8458FF"/>
    <w:rsid w:val="4E8C26E2"/>
    <w:rsid w:val="4E8C42CD"/>
    <w:rsid w:val="4E943FAD"/>
    <w:rsid w:val="4E9A18CF"/>
    <w:rsid w:val="4E9A2A02"/>
    <w:rsid w:val="4EA80627"/>
    <w:rsid w:val="4EAA4AF3"/>
    <w:rsid w:val="4EAF249E"/>
    <w:rsid w:val="4EB40EC1"/>
    <w:rsid w:val="4EB42E5E"/>
    <w:rsid w:val="4EB94120"/>
    <w:rsid w:val="4EBA76D1"/>
    <w:rsid w:val="4EC96014"/>
    <w:rsid w:val="4ED13C64"/>
    <w:rsid w:val="4ED3525D"/>
    <w:rsid w:val="4ED6205D"/>
    <w:rsid w:val="4ED6372B"/>
    <w:rsid w:val="4ED67CC4"/>
    <w:rsid w:val="4EDA0226"/>
    <w:rsid w:val="4EDF2AB7"/>
    <w:rsid w:val="4EE2452E"/>
    <w:rsid w:val="4EE42AA2"/>
    <w:rsid w:val="4EF050C4"/>
    <w:rsid w:val="4EF128A1"/>
    <w:rsid w:val="4EF830DB"/>
    <w:rsid w:val="4EFB0E89"/>
    <w:rsid w:val="4F086A73"/>
    <w:rsid w:val="4F0B7326"/>
    <w:rsid w:val="4F0E63ED"/>
    <w:rsid w:val="4F136002"/>
    <w:rsid w:val="4F136084"/>
    <w:rsid w:val="4F141432"/>
    <w:rsid w:val="4F181CD9"/>
    <w:rsid w:val="4F1941AF"/>
    <w:rsid w:val="4F1A129E"/>
    <w:rsid w:val="4F1E22AF"/>
    <w:rsid w:val="4F1E4EB6"/>
    <w:rsid w:val="4F2144B3"/>
    <w:rsid w:val="4F225E9B"/>
    <w:rsid w:val="4F2319EA"/>
    <w:rsid w:val="4F2605E2"/>
    <w:rsid w:val="4F335DD8"/>
    <w:rsid w:val="4F3A35A5"/>
    <w:rsid w:val="4F3C3710"/>
    <w:rsid w:val="4F3F2E2E"/>
    <w:rsid w:val="4F417F63"/>
    <w:rsid w:val="4F425723"/>
    <w:rsid w:val="4F4727DE"/>
    <w:rsid w:val="4F490C9B"/>
    <w:rsid w:val="4F4C313F"/>
    <w:rsid w:val="4F5460FC"/>
    <w:rsid w:val="4F565EA4"/>
    <w:rsid w:val="4F5703F1"/>
    <w:rsid w:val="4F5C6BDB"/>
    <w:rsid w:val="4F5F296D"/>
    <w:rsid w:val="4F633946"/>
    <w:rsid w:val="4F6C5F09"/>
    <w:rsid w:val="4F6D3D72"/>
    <w:rsid w:val="4F725150"/>
    <w:rsid w:val="4F777384"/>
    <w:rsid w:val="4F7B1291"/>
    <w:rsid w:val="4F7C0839"/>
    <w:rsid w:val="4F7D171F"/>
    <w:rsid w:val="4F8442D6"/>
    <w:rsid w:val="4F8D5425"/>
    <w:rsid w:val="4F8E50C5"/>
    <w:rsid w:val="4F9060B0"/>
    <w:rsid w:val="4F91230F"/>
    <w:rsid w:val="4F916443"/>
    <w:rsid w:val="4F934928"/>
    <w:rsid w:val="4F944335"/>
    <w:rsid w:val="4F972D47"/>
    <w:rsid w:val="4F973F8B"/>
    <w:rsid w:val="4F9E26F1"/>
    <w:rsid w:val="4F9F73D6"/>
    <w:rsid w:val="4FA22445"/>
    <w:rsid w:val="4FAB1CBF"/>
    <w:rsid w:val="4FAC668B"/>
    <w:rsid w:val="4FAF0F56"/>
    <w:rsid w:val="4FB2084E"/>
    <w:rsid w:val="4FB37A2C"/>
    <w:rsid w:val="4FB834F6"/>
    <w:rsid w:val="4FBB069A"/>
    <w:rsid w:val="4FBB0AC4"/>
    <w:rsid w:val="4FBE7222"/>
    <w:rsid w:val="4FC35124"/>
    <w:rsid w:val="4FC81323"/>
    <w:rsid w:val="4FC92E7B"/>
    <w:rsid w:val="4FD0485F"/>
    <w:rsid w:val="4FD06407"/>
    <w:rsid w:val="4FD85641"/>
    <w:rsid w:val="4FDD7355"/>
    <w:rsid w:val="4FDE7761"/>
    <w:rsid w:val="4FE107D2"/>
    <w:rsid w:val="4FE13FAB"/>
    <w:rsid w:val="4FE47C02"/>
    <w:rsid w:val="4FE6685D"/>
    <w:rsid w:val="4FE86578"/>
    <w:rsid w:val="4FE97B85"/>
    <w:rsid w:val="4FEF6584"/>
    <w:rsid w:val="4FF4497D"/>
    <w:rsid w:val="4FF46C53"/>
    <w:rsid w:val="4FF83073"/>
    <w:rsid w:val="4FFA7C5A"/>
    <w:rsid w:val="4FFE0DC1"/>
    <w:rsid w:val="5002100B"/>
    <w:rsid w:val="500230B4"/>
    <w:rsid w:val="5004521B"/>
    <w:rsid w:val="50057079"/>
    <w:rsid w:val="500A7CC2"/>
    <w:rsid w:val="50106D4A"/>
    <w:rsid w:val="50137F54"/>
    <w:rsid w:val="50156881"/>
    <w:rsid w:val="501B57FF"/>
    <w:rsid w:val="501C4B44"/>
    <w:rsid w:val="50255DEF"/>
    <w:rsid w:val="50256BDF"/>
    <w:rsid w:val="5028331D"/>
    <w:rsid w:val="502B528A"/>
    <w:rsid w:val="502B6A48"/>
    <w:rsid w:val="502E0FD3"/>
    <w:rsid w:val="502E2E7D"/>
    <w:rsid w:val="50304E8D"/>
    <w:rsid w:val="50374F23"/>
    <w:rsid w:val="50380207"/>
    <w:rsid w:val="503B2602"/>
    <w:rsid w:val="503B2A20"/>
    <w:rsid w:val="50423BA0"/>
    <w:rsid w:val="50443C81"/>
    <w:rsid w:val="5048386A"/>
    <w:rsid w:val="50485006"/>
    <w:rsid w:val="50490D2B"/>
    <w:rsid w:val="504B10B2"/>
    <w:rsid w:val="504F5DBB"/>
    <w:rsid w:val="505053D8"/>
    <w:rsid w:val="5054041A"/>
    <w:rsid w:val="505674D0"/>
    <w:rsid w:val="505D08A3"/>
    <w:rsid w:val="505D7E92"/>
    <w:rsid w:val="506359AD"/>
    <w:rsid w:val="50651DA9"/>
    <w:rsid w:val="506A547D"/>
    <w:rsid w:val="506C3172"/>
    <w:rsid w:val="506D61E8"/>
    <w:rsid w:val="506F7B2F"/>
    <w:rsid w:val="50713372"/>
    <w:rsid w:val="5077230E"/>
    <w:rsid w:val="50796706"/>
    <w:rsid w:val="5080739B"/>
    <w:rsid w:val="50854524"/>
    <w:rsid w:val="508605F5"/>
    <w:rsid w:val="50883F40"/>
    <w:rsid w:val="508B4351"/>
    <w:rsid w:val="508C4C50"/>
    <w:rsid w:val="508D2C10"/>
    <w:rsid w:val="508E0092"/>
    <w:rsid w:val="508E2F29"/>
    <w:rsid w:val="508E6252"/>
    <w:rsid w:val="509115C4"/>
    <w:rsid w:val="509A2734"/>
    <w:rsid w:val="509D086D"/>
    <w:rsid w:val="50A02A50"/>
    <w:rsid w:val="50A17817"/>
    <w:rsid w:val="50A21F51"/>
    <w:rsid w:val="50A64170"/>
    <w:rsid w:val="50B55FDD"/>
    <w:rsid w:val="50B73870"/>
    <w:rsid w:val="50B8548E"/>
    <w:rsid w:val="50BF7ED8"/>
    <w:rsid w:val="50C0774C"/>
    <w:rsid w:val="50C61BB1"/>
    <w:rsid w:val="50C8460F"/>
    <w:rsid w:val="50D53FC7"/>
    <w:rsid w:val="50D96D3C"/>
    <w:rsid w:val="50DE34B2"/>
    <w:rsid w:val="50E632A1"/>
    <w:rsid w:val="50ED3095"/>
    <w:rsid w:val="50F04C48"/>
    <w:rsid w:val="50F17685"/>
    <w:rsid w:val="50F90B18"/>
    <w:rsid w:val="50FB4FC3"/>
    <w:rsid w:val="50FB7E8A"/>
    <w:rsid w:val="50FD7604"/>
    <w:rsid w:val="51000D34"/>
    <w:rsid w:val="51017809"/>
    <w:rsid w:val="51081A22"/>
    <w:rsid w:val="51083D89"/>
    <w:rsid w:val="51084811"/>
    <w:rsid w:val="51085AFD"/>
    <w:rsid w:val="510B1748"/>
    <w:rsid w:val="510D6BA9"/>
    <w:rsid w:val="51133D4A"/>
    <w:rsid w:val="511849EB"/>
    <w:rsid w:val="51190763"/>
    <w:rsid w:val="511F146E"/>
    <w:rsid w:val="511F26E9"/>
    <w:rsid w:val="5121370E"/>
    <w:rsid w:val="51233E36"/>
    <w:rsid w:val="51245E63"/>
    <w:rsid w:val="51287C5C"/>
    <w:rsid w:val="512B04E1"/>
    <w:rsid w:val="512C43FE"/>
    <w:rsid w:val="512D01DF"/>
    <w:rsid w:val="512D1683"/>
    <w:rsid w:val="5135270E"/>
    <w:rsid w:val="513678FB"/>
    <w:rsid w:val="513931DB"/>
    <w:rsid w:val="51395B25"/>
    <w:rsid w:val="513B0495"/>
    <w:rsid w:val="513F5F3A"/>
    <w:rsid w:val="513F6171"/>
    <w:rsid w:val="51411C55"/>
    <w:rsid w:val="51414EBD"/>
    <w:rsid w:val="51461EEB"/>
    <w:rsid w:val="51486017"/>
    <w:rsid w:val="514C77AD"/>
    <w:rsid w:val="51524B2D"/>
    <w:rsid w:val="51537F15"/>
    <w:rsid w:val="51560B7B"/>
    <w:rsid w:val="515D10DC"/>
    <w:rsid w:val="516C40CA"/>
    <w:rsid w:val="516F1660"/>
    <w:rsid w:val="517021A2"/>
    <w:rsid w:val="517219A6"/>
    <w:rsid w:val="51740562"/>
    <w:rsid w:val="51751728"/>
    <w:rsid w:val="51767219"/>
    <w:rsid w:val="51792A53"/>
    <w:rsid w:val="517F5288"/>
    <w:rsid w:val="51856B95"/>
    <w:rsid w:val="518869BA"/>
    <w:rsid w:val="518A156E"/>
    <w:rsid w:val="518B3DB3"/>
    <w:rsid w:val="518D570E"/>
    <w:rsid w:val="519068F1"/>
    <w:rsid w:val="51913793"/>
    <w:rsid w:val="51942CC5"/>
    <w:rsid w:val="519A4E95"/>
    <w:rsid w:val="519B58BD"/>
    <w:rsid w:val="519D7E9C"/>
    <w:rsid w:val="51A30643"/>
    <w:rsid w:val="51A51A24"/>
    <w:rsid w:val="51A60FBA"/>
    <w:rsid w:val="51A82FED"/>
    <w:rsid w:val="51AD516D"/>
    <w:rsid w:val="51AF4DD9"/>
    <w:rsid w:val="51B000A1"/>
    <w:rsid w:val="51B031A1"/>
    <w:rsid w:val="51B13857"/>
    <w:rsid w:val="51B3164F"/>
    <w:rsid w:val="51B433AC"/>
    <w:rsid w:val="51B55C62"/>
    <w:rsid w:val="51BC1B34"/>
    <w:rsid w:val="51BE41AC"/>
    <w:rsid w:val="51BF6FA4"/>
    <w:rsid w:val="51C111CE"/>
    <w:rsid w:val="51C5256F"/>
    <w:rsid w:val="51C629BC"/>
    <w:rsid w:val="51CA6BDC"/>
    <w:rsid w:val="51CD3830"/>
    <w:rsid w:val="51CF5C82"/>
    <w:rsid w:val="51D27DB1"/>
    <w:rsid w:val="51D3782C"/>
    <w:rsid w:val="51D40DD5"/>
    <w:rsid w:val="51D445D0"/>
    <w:rsid w:val="51D516A8"/>
    <w:rsid w:val="51D82268"/>
    <w:rsid w:val="51DA2929"/>
    <w:rsid w:val="51E1216A"/>
    <w:rsid w:val="51E267CF"/>
    <w:rsid w:val="51E34E3A"/>
    <w:rsid w:val="51E509F5"/>
    <w:rsid w:val="51E83940"/>
    <w:rsid w:val="51E934D3"/>
    <w:rsid w:val="51ED12C7"/>
    <w:rsid w:val="51EE6FDF"/>
    <w:rsid w:val="51EF11A5"/>
    <w:rsid w:val="51F15144"/>
    <w:rsid w:val="51F24FFD"/>
    <w:rsid w:val="51F429A5"/>
    <w:rsid w:val="51F62A59"/>
    <w:rsid w:val="51FA52C4"/>
    <w:rsid w:val="51FB5A96"/>
    <w:rsid w:val="51FC1328"/>
    <w:rsid w:val="52042A68"/>
    <w:rsid w:val="5206760F"/>
    <w:rsid w:val="52087A46"/>
    <w:rsid w:val="520956D9"/>
    <w:rsid w:val="52114CDA"/>
    <w:rsid w:val="52120F32"/>
    <w:rsid w:val="52175FCE"/>
    <w:rsid w:val="521F12AB"/>
    <w:rsid w:val="521F1465"/>
    <w:rsid w:val="522160D6"/>
    <w:rsid w:val="52233A17"/>
    <w:rsid w:val="522C50EC"/>
    <w:rsid w:val="523272CD"/>
    <w:rsid w:val="523E4676"/>
    <w:rsid w:val="5241578D"/>
    <w:rsid w:val="524334E7"/>
    <w:rsid w:val="52452EA6"/>
    <w:rsid w:val="52462E34"/>
    <w:rsid w:val="524A3A47"/>
    <w:rsid w:val="524F5F96"/>
    <w:rsid w:val="52581FF2"/>
    <w:rsid w:val="52582D27"/>
    <w:rsid w:val="525B08D4"/>
    <w:rsid w:val="52683D9A"/>
    <w:rsid w:val="52692B91"/>
    <w:rsid w:val="526F220D"/>
    <w:rsid w:val="526F5099"/>
    <w:rsid w:val="52700F69"/>
    <w:rsid w:val="527069CD"/>
    <w:rsid w:val="52736EE3"/>
    <w:rsid w:val="52754F84"/>
    <w:rsid w:val="52796D3E"/>
    <w:rsid w:val="527B69D7"/>
    <w:rsid w:val="527D210E"/>
    <w:rsid w:val="527D6C67"/>
    <w:rsid w:val="527E17DD"/>
    <w:rsid w:val="5281579F"/>
    <w:rsid w:val="52815C1C"/>
    <w:rsid w:val="52865FA5"/>
    <w:rsid w:val="528D087F"/>
    <w:rsid w:val="528D0A3F"/>
    <w:rsid w:val="52981E2C"/>
    <w:rsid w:val="529B0F3B"/>
    <w:rsid w:val="529B5657"/>
    <w:rsid w:val="529C7410"/>
    <w:rsid w:val="529E2632"/>
    <w:rsid w:val="52A156BD"/>
    <w:rsid w:val="52A210CB"/>
    <w:rsid w:val="52A23738"/>
    <w:rsid w:val="52A317F5"/>
    <w:rsid w:val="52A85553"/>
    <w:rsid w:val="52AB5C4B"/>
    <w:rsid w:val="52AC30A1"/>
    <w:rsid w:val="52AE449A"/>
    <w:rsid w:val="52B137BB"/>
    <w:rsid w:val="52B218BB"/>
    <w:rsid w:val="52B746CB"/>
    <w:rsid w:val="52B85897"/>
    <w:rsid w:val="52B96128"/>
    <w:rsid w:val="52BD3BEB"/>
    <w:rsid w:val="52BE5EBD"/>
    <w:rsid w:val="52BF500F"/>
    <w:rsid w:val="52C13198"/>
    <w:rsid w:val="52C25137"/>
    <w:rsid w:val="52C77BC8"/>
    <w:rsid w:val="52CB5E63"/>
    <w:rsid w:val="52CC7E50"/>
    <w:rsid w:val="52D3224C"/>
    <w:rsid w:val="52D716EE"/>
    <w:rsid w:val="52DF4493"/>
    <w:rsid w:val="52E06D51"/>
    <w:rsid w:val="52E36EB1"/>
    <w:rsid w:val="52E95DDD"/>
    <w:rsid w:val="52F17CF8"/>
    <w:rsid w:val="52FA20CF"/>
    <w:rsid w:val="53037026"/>
    <w:rsid w:val="53142683"/>
    <w:rsid w:val="531805E0"/>
    <w:rsid w:val="5318288C"/>
    <w:rsid w:val="531E5A52"/>
    <w:rsid w:val="532418C4"/>
    <w:rsid w:val="53251850"/>
    <w:rsid w:val="53253B49"/>
    <w:rsid w:val="532A0B8E"/>
    <w:rsid w:val="532F5534"/>
    <w:rsid w:val="5333118B"/>
    <w:rsid w:val="53354C64"/>
    <w:rsid w:val="53454354"/>
    <w:rsid w:val="5347324B"/>
    <w:rsid w:val="53480B55"/>
    <w:rsid w:val="534831A8"/>
    <w:rsid w:val="534B493D"/>
    <w:rsid w:val="535345D5"/>
    <w:rsid w:val="53547DE4"/>
    <w:rsid w:val="535547E1"/>
    <w:rsid w:val="53554B93"/>
    <w:rsid w:val="53582312"/>
    <w:rsid w:val="535A71B4"/>
    <w:rsid w:val="535C596A"/>
    <w:rsid w:val="53652248"/>
    <w:rsid w:val="536713B1"/>
    <w:rsid w:val="5367387E"/>
    <w:rsid w:val="53692FB4"/>
    <w:rsid w:val="536A21A8"/>
    <w:rsid w:val="536A5969"/>
    <w:rsid w:val="536B1B28"/>
    <w:rsid w:val="536E1E20"/>
    <w:rsid w:val="5377044F"/>
    <w:rsid w:val="53772ECD"/>
    <w:rsid w:val="53783223"/>
    <w:rsid w:val="53784A45"/>
    <w:rsid w:val="53796D4A"/>
    <w:rsid w:val="537E17C7"/>
    <w:rsid w:val="53850798"/>
    <w:rsid w:val="538663C4"/>
    <w:rsid w:val="538B07C0"/>
    <w:rsid w:val="538C3698"/>
    <w:rsid w:val="538C3F9C"/>
    <w:rsid w:val="538D36A5"/>
    <w:rsid w:val="538F17C5"/>
    <w:rsid w:val="539036EE"/>
    <w:rsid w:val="53913CF5"/>
    <w:rsid w:val="53952422"/>
    <w:rsid w:val="539A2638"/>
    <w:rsid w:val="539D182E"/>
    <w:rsid w:val="53A131F7"/>
    <w:rsid w:val="53A2439E"/>
    <w:rsid w:val="53A459B8"/>
    <w:rsid w:val="53A70B3E"/>
    <w:rsid w:val="53A76B0C"/>
    <w:rsid w:val="53AB4BCC"/>
    <w:rsid w:val="53AF61C8"/>
    <w:rsid w:val="53B021A1"/>
    <w:rsid w:val="53B05421"/>
    <w:rsid w:val="53B34E7B"/>
    <w:rsid w:val="53B472ED"/>
    <w:rsid w:val="53B61C29"/>
    <w:rsid w:val="53BB4FCD"/>
    <w:rsid w:val="53BF0899"/>
    <w:rsid w:val="53C23DA1"/>
    <w:rsid w:val="53C85F8B"/>
    <w:rsid w:val="53CC68E2"/>
    <w:rsid w:val="53CD634D"/>
    <w:rsid w:val="53D1733F"/>
    <w:rsid w:val="53D61DFA"/>
    <w:rsid w:val="53D7002B"/>
    <w:rsid w:val="53D856D8"/>
    <w:rsid w:val="53DA15EF"/>
    <w:rsid w:val="53DB0FD7"/>
    <w:rsid w:val="53DC5879"/>
    <w:rsid w:val="53DD208E"/>
    <w:rsid w:val="53DF2C74"/>
    <w:rsid w:val="53E26096"/>
    <w:rsid w:val="53E43F37"/>
    <w:rsid w:val="53ED2EE0"/>
    <w:rsid w:val="53F36ED7"/>
    <w:rsid w:val="53F665EF"/>
    <w:rsid w:val="53F85CCA"/>
    <w:rsid w:val="53FD6495"/>
    <w:rsid w:val="53FD6CE1"/>
    <w:rsid w:val="53FF337D"/>
    <w:rsid w:val="54023A0F"/>
    <w:rsid w:val="540342A0"/>
    <w:rsid w:val="540977B1"/>
    <w:rsid w:val="540C6C99"/>
    <w:rsid w:val="540F4C44"/>
    <w:rsid w:val="541062BB"/>
    <w:rsid w:val="541350A6"/>
    <w:rsid w:val="54156376"/>
    <w:rsid w:val="542D3C9F"/>
    <w:rsid w:val="542D7675"/>
    <w:rsid w:val="543121E0"/>
    <w:rsid w:val="54312626"/>
    <w:rsid w:val="54321549"/>
    <w:rsid w:val="543360D3"/>
    <w:rsid w:val="54341FD5"/>
    <w:rsid w:val="543A68BB"/>
    <w:rsid w:val="543B08D4"/>
    <w:rsid w:val="543B7EA2"/>
    <w:rsid w:val="543C426E"/>
    <w:rsid w:val="543F605C"/>
    <w:rsid w:val="5445476D"/>
    <w:rsid w:val="54472A07"/>
    <w:rsid w:val="54500DBB"/>
    <w:rsid w:val="54507D4D"/>
    <w:rsid w:val="54525924"/>
    <w:rsid w:val="545604AD"/>
    <w:rsid w:val="5457655B"/>
    <w:rsid w:val="54584F10"/>
    <w:rsid w:val="545E1425"/>
    <w:rsid w:val="545E7E44"/>
    <w:rsid w:val="54603157"/>
    <w:rsid w:val="54616354"/>
    <w:rsid w:val="54694DA0"/>
    <w:rsid w:val="546B29C5"/>
    <w:rsid w:val="54735CD2"/>
    <w:rsid w:val="54750257"/>
    <w:rsid w:val="54760152"/>
    <w:rsid w:val="547B14EB"/>
    <w:rsid w:val="547C59D4"/>
    <w:rsid w:val="547D30F5"/>
    <w:rsid w:val="547F0E03"/>
    <w:rsid w:val="54826494"/>
    <w:rsid w:val="54862E5A"/>
    <w:rsid w:val="5487605E"/>
    <w:rsid w:val="54884BF3"/>
    <w:rsid w:val="54886E7E"/>
    <w:rsid w:val="548D1E36"/>
    <w:rsid w:val="549126DF"/>
    <w:rsid w:val="54912FC4"/>
    <w:rsid w:val="549C1F5F"/>
    <w:rsid w:val="549E7964"/>
    <w:rsid w:val="549F3FE0"/>
    <w:rsid w:val="54A37135"/>
    <w:rsid w:val="54A57782"/>
    <w:rsid w:val="54AB7B50"/>
    <w:rsid w:val="54AE0468"/>
    <w:rsid w:val="54B477C7"/>
    <w:rsid w:val="54B72B08"/>
    <w:rsid w:val="54BA7B07"/>
    <w:rsid w:val="54BC222E"/>
    <w:rsid w:val="54BD5A86"/>
    <w:rsid w:val="54BE531A"/>
    <w:rsid w:val="54C225B9"/>
    <w:rsid w:val="54C615CE"/>
    <w:rsid w:val="54C97B55"/>
    <w:rsid w:val="54CC4622"/>
    <w:rsid w:val="54CF044C"/>
    <w:rsid w:val="54D47FC9"/>
    <w:rsid w:val="54D7391B"/>
    <w:rsid w:val="54DB4F03"/>
    <w:rsid w:val="54DD0567"/>
    <w:rsid w:val="54DE2208"/>
    <w:rsid w:val="54E10742"/>
    <w:rsid w:val="54E12200"/>
    <w:rsid w:val="54E23ACC"/>
    <w:rsid w:val="54E86079"/>
    <w:rsid w:val="54EE75D6"/>
    <w:rsid w:val="54F434FA"/>
    <w:rsid w:val="54F43539"/>
    <w:rsid w:val="54F60146"/>
    <w:rsid w:val="54F721D8"/>
    <w:rsid w:val="54F867BD"/>
    <w:rsid w:val="54FB380F"/>
    <w:rsid w:val="54FD4050"/>
    <w:rsid w:val="54FE6D42"/>
    <w:rsid w:val="5503263B"/>
    <w:rsid w:val="55032A84"/>
    <w:rsid w:val="5506011D"/>
    <w:rsid w:val="55063913"/>
    <w:rsid w:val="55074AC1"/>
    <w:rsid w:val="55087ACA"/>
    <w:rsid w:val="550D5EE1"/>
    <w:rsid w:val="55110360"/>
    <w:rsid w:val="55123942"/>
    <w:rsid w:val="551301B7"/>
    <w:rsid w:val="551A37FC"/>
    <w:rsid w:val="551F2AD3"/>
    <w:rsid w:val="55224F22"/>
    <w:rsid w:val="55262770"/>
    <w:rsid w:val="552742CE"/>
    <w:rsid w:val="552A4A58"/>
    <w:rsid w:val="552A5553"/>
    <w:rsid w:val="552B4678"/>
    <w:rsid w:val="5534710D"/>
    <w:rsid w:val="55373754"/>
    <w:rsid w:val="553E1DA1"/>
    <w:rsid w:val="553E25BA"/>
    <w:rsid w:val="55406456"/>
    <w:rsid w:val="554335C9"/>
    <w:rsid w:val="55471873"/>
    <w:rsid w:val="55477100"/>
    <w:rsid w:val="55497DF8"/>
    <w:rsid w:val="554A0FAA"/>
    <w:rsid w:val="554A429B"/>
    <w:rsid w:val="554C7181"/>
    <w:rsid w:val="554E37C7"/>
    <w:rsid w:val="55546431"/>
    <w:rsid w:val="55567A3D"/>
    <w:rsid w:val="555723C0"/>
    <w:rsid w:val="55573BBC"/>
    <w:rsid w:val="55594700"/>
    <w:rsid w:val="55614392"/>
    <w:rsid w:val="55640B42"/>
    <w:rsid w:val="556524BA"/>
    <w:rsid w:val="556B69C0"/>
    <w:rsid w:val="557218C4"/>
    <w:rsid w:val="55800D32"/>
    <w:rsid w:val="558143D0"/>
    <w:rsid w:val="5583431C"/>
    <w:rsid w:val="558A06AC"/>
    <w:rsid w:val="558B1F86"/>
    <w:rsid w:val="558B76FA"/>
    <w:rsid w:val="558C6BDE"/>
    <w:rsid w:val="558E0515"/>
    <w:rsid w:val="558F5578"/>
    <w:rsid w:val="55990C40"/>
    <w:rsid w:val="55A10519"/>
    <w:rsid w:val="55A277AA"/>
    <w:rsid w:val="55B518A4"/>
    <w:rsid w:val="55BA639B"/>
    <w:rsid w:val="55C171F9"/>
    <w:rsid w:val="55C824E1"/>
    <w:rsid w:val="55CD4E53"/>
    <w:rsid w:val="55CD549B"/>
    <w:rsid w:val="55D55869"/>
    <w:rsid w:val="55E91045"/>
    <w:rsid w:val="55ED472A"/>
    <w:rsid w:val="55EF212E"/>
    <w:rsid w:val="55F36021"/>
    <w:rsid w:val="55F37EBA"/>
    <w:rsid w:val="55F544EB"/>
    <w:rsid w:val="55F67873"/>
    <w:rsid w:val="55F77EA5"/>
    <w:rsid w:val="55F96C95"/>
    <w:rsid w:val="55FA028F"/>
    <w:rsid w:val="55FA5CF4"/>
    <w:rsid w:val="55FC4A13"/>
    <w:rsid w:val="55FD3653"/>
    <w:rsid w:val="56021298"/>
    <w:rsid w:val="56043B47"/>
    <w:rsid w:val="560527BE"/>
    <w:rsid w:val="560738C8"/>
    <w:rsid w:val="5608678B"/>
    <w:rsid w:val="560A12EA"/>
    <w:rsid w:val="560C2B1F"/>
    <w:rsid w:val="56113C0F"/>
    <w:rsid w:val="56125D35"/>
    <w:rsid w:val="5619230E"/>
    <w:rsid w:val="56197D51"/>
    <w:rsid w:val="561A3F40"/>
    <w:rsid w:val="561D6AAC"/>
    <w:rsid w:val="561E3016"/>
    <w:rsid w:val="561F2E6A"/>
    <w:rsid w:val="56227F94"/>
    <w:rsid w:val="5623435E"/>
    <w:rsid w:val="56235C09"/>
    <w:rsid w:val="56276495"/>
    <w:rsid w:val="56286972"/>
    <w:rsid w:val="56323FC4"/>
    <w:rsid w:val="563306C4"/>
    <w:rsid w:val="563419BC"/>
    <w:rsid w:val="563612D8"/>
    <w:rsid w:val="56376619"/>
    <w:rsid w:val="563E506B"/>
    <w:rsid w:val="564529E5"/>
    <w:rsid w:val="56486A32"/>
    <w:rsid w:val="5649289E"/>
    <w:rsid w:val="564E2280"/>
    <w:rsid w:val="564E59AE"/>
    <w:rsid w:val="564F3C24"/>
    <w:rsid w:val="56557DCB"/>
    <w:rsid w:val="565600B4"/>
    <w:rsid w:val="565647DB"/>
    <w:rsid w:val="565928CF"/>
    <w:rsid w:val="56610B1D"/>
    <w:rsid w:val="56616792"/>
    <w:rsid w:val="56660AEB"/>
    <w:rsid w:val="566A1121"/>
    <w:rsid w:val="56732364"/>
    <w:rsid w:val="56774A31"/>
    <w:rsid w:val="56776BEF"/>
    <w:rsid w:val="567F3603"/>
    <w:rsid w:val="56805FFC"/>
    <w:rsid w:val="568216FF"/>
    <w:rsid w:val="5683101D"/>
    <w:rsid w:val="56834047"/>
    <w:rsid w:val="568400E8"/>
    <w:rsid w:val="568507BB"/>
    <w:rsid w:val="568B2E99"/>
    <w:rsid w:val="568D2071"/>
    <w:rsid w:val="568F1B84"/>
    <w:rsid w:val="569056C6"/>
    <w:rsid w:val="569658E3"/>
    <w:rsid w:val="56971BD5"/>
    <w:rsid w:val="569B6409"/>
    <w:rsid w:val="56AC5D07"/>
    <w:rsid w:val="56B12552"/>
    <w:rsid w:val="56B46E97"/>
    <w:rsid w:val="56BC0C28"/>
    <w:rsid w:val="56BF550A"/>
    <w:rsid w:val="56C05D1D"/>
    <w:rsid w:val="56C1496B"/>
    <w:rsid w:val="56C4064E"/>
    <w:rsid w:val="56C96FB0"/>
    <w:rsid w:val="56CE6167"/>
    <w:rsid w:val="56D1246A"/>
    <w:rsid w:val="56D50124"/>
    <w:rsid w:val="56D55AEF"/>
    <w:rsid w:val="56D61D72"/>
    <w:rsid w:val="56D937A8"/>
    <w:rsid w:val="56DE671B"/>
    <w:rsid w:val="56DF5010"/>
    <w:rsid w:val="56E71150"/>
    <w:rsid w:val="56EC6D1D"/>
    <w:rsid w:val="56ED3AC9"/>
    <w:rsid w:val="56ED3E4E"/>
    <w:rsid w:val="56F22AB9"/>
    <w:rsid w:val="56F30849"/>
    <w:rsid w:val="56F4037A"/>
    <w:rsid w:val="56F57CB5"/>
    <w:rsid w:val="56FA48C6"/>
    <w:rsid w:val="56FD3423"/>
    <w:rsid w:val="570A6C22"/>
    <w:rsid w:val="570D59D9"/>
    <w:rsid w:val="57135068"/>
    <w:rsid w:val="5717342A"/>
    <w:rsid w:val="57177B13"/>
    <w:rsid w:val="57193C61"/>
    <w:rsid w:val="57196A6A"/>
    <w:rsid w:val="57237F0E"/>
    <w:rsid w:val="5726073A"/>
    <w:rsid w:val="572749C1"/>
    <w:rsid w:val="57292B06"/>
    <w:rsid w:val="572E50D0"/>
    <w:rsid w:val="5736257E"/>
    <w:rsid w:val="573F696A"/>
    <w:rsid w:val="574104B6"/>
    <w:rsid w:val="574245B0"/>
    <w:rsid w:val="57443C50"/>
    <w:rsid w:val="57486BD9"/>
    <w:rsid w:val="574977ED"/>
    <w:rsid w:val="574B11E2"/>
    <w:rsid w:val="574B6369"/>
    <w:rsid w:val="574F1A76"/>
    <w:rsid w:val="574F2306"/>
    <w:rsid w:val="575311C1"/>
    <w:rsid w:val="57593B7C"/>
    <w:rsid w:val="575A6BFE"/>
    <w:rsid w:val="575C19A9"/>
    <w:rsid w:val="575E2110"/>
    <w:rsid w:val="57602C11"/>
    <w:rsid w:val="57615B8D"/>
    <w:rsid w:val="57674619"/>
    <w:rsid w:val="57755706"/>
    <w:rsid w:val="57762BF7"/>
    <w:rsid w:val="5776335D"/>
    <w:rsid w:val="5777649A"/>
    <w:rsid w:val="5778217C"/>
    <w:rsid w:val="577934D8"/>
    <w:rsid w:val="577B63DB"/>
    <w:rsid w:val="577C2FA2"/>
    <w:rsid w:val="577F1F34"/>
    <w:rsid w:val="57832E58"/>
    <w:rsid w:val="578454FF"/>
    <w:rsid w:val="57856F6D"/>
    <w:rsid w:val="57860113"/>
    <w:rsid w:val="578C67C1"/>
    <w:rsid w:val="578E22D0"/>
    <w:rsid w:val="57922494"/>
    <w:rsid w:val="57923CEE"/>
    <w:rsid w:val="5796671E"/>
    <w:rsid w:val="57984976"/>
    <w:rsid w:val="57987567"/>
    <w:rsid w:val="579F3099"/>
    <w:rsid w:val="57A55CFF"/>
    <w:rsid w:val="57A838E5"/>
    <w:rsid w:val="57B00753"/>
    <w:rsid w:val="57B101DB"/>
    <w:rsid w:val="57B21037"/>
    <w:rsid w:val="57B41609"/>
    <w:rsid w:val="57B537FF"/>
    <w:rsid w:val="57B65358"/>
    <w:rsid w:val="57B67EA8"/>
    <w:rsid w:val="57BA6E1E"/>
    <w:rsid w:val="57C124B8"/>
    <w:rsid w:val="57C15753"/>
    <w:rsid w:val="57C1681C"/>
    <w:rsid w:val="57C30381"/>
    <w:rsid w:val="57CB1E12"/>
    <w:rsid w:val="57CB65B4"/>
    <w:rsid w:val="57CF556A"/>
    <w:rsid w:val="57D20105"/>
    <w:rsid w:val="57D278E0"/>
    <w:rsid w:val="57D43561"/>
    <w:rsid w:val="57D546B6"/>
    <w:rsid w:val="57D630AC"/>
    <w:rsid w:val="57D70DF6"/>
    <w:rsid w:val="57D83737"/>
    <w:rsid w:val="57D979A8"/>
    <w:rsid w:val="57E609DC"/>
    <w:rsid w:val="57E906EA"/>
    <w:rsid w:val="57EA6838"/>
    <w:rsid w:val="57EF28E4"/>
    <w:rsid w:val="57F43C04"/>
    <w:rsid w:val="57F848A9"/>
    <w:rsid w:val="57F93A82"/>
    <w:rsid w:val="58017648"/>
    <w:rsid w:val="580221E8"/>
    <w:rsid w:val="580279C3"/>
    <w:rsid w:val="5807173F"/>
    <w:rsid w:val="580B4B0C"/>
    <w:rsid w:val="58105AD7"/>
    <w:rsid w:val="58142169"/>
    <w:rsid w:val="58143A76"/>
    <w:rsid w:val="581960AE"/>
    <w:rsid w:val="581B6C29"/>
    <w:rsid w:val="581E3307"/>
    <w:rsid w:val="581F412D"/>
    <w:rsid w:val="582232EC"/>
    <w:rsid w:val="582358F5"/>
    <w:rsid w:val="58244CF7"/>
    <w:rsid w:val="58284368"/>
    <w:rsid w:val="582A5C46"/>
    <w:rsid w:val="5830520F"/>
    <w:rsid w:val="5835784A"/>
    <w:rsid w:val="583D34E4"/>
    <w:rsid w:val="5840095F"/>
    <w:rsid w:val="584B3798"/>
    <w:rsid w:val="584B7BB1"/>
    <w:rsid w:val="58504CCC"/>
    <w:rsid w:val="58530946"/>
    <w:rsid w:val="585439D9"/>
    <w:rsid w:val="58552C7A"/>
    <w:rsid w:val="5858080B"/>
    <w:rsid w:val="585A1E32"/>
    <w:rsid w:val="585B7394"/>
    <w:rsid w:val="585D38A6"/>
    <w:rsid w:val="58630E1F"/>
    <w:rsid w:val="58632723"/>
    <w:rsid w:val="58652F3C"/>
    <w:rsid w:val="586F5359"/>
    <w:rsid w:val="58752856"/>
    <w:rsid w:val="58767664"/>
    <w:rsid w:val="58782CF3"/>
    <w:rsid w:val="58785697"/>
    <w:rsid w:val="58867780"/>
    <w:rsid w:val="588B4E52"/>
    <w:rsid w:val="588D0501"/>
    <w:rsid w:val="58971A1E"/>
    <w:rsid w:val="58985E36"/>
    <w:rsid w:val="589A02B5"/>
    <w:rsid w:val="589A2A70"/>
    <w:rsid w:val="589D0988"/>
    <w:rsid w:val="58A34EC8"/>
    <w:rsid w:val="58A436EB"/>
    <w:rsid w:val="58A6305C"/>
    <w:rsid w:val="58AC5DAC"/>
    <w:rsid w:val="58B6186B"/>
    <w:rsid w:val="58BB0C34"/>
    <w:rsid w:val="58BF7637"/>
    <w:rsid w:val="58C216ED"/>
    <w:rsid w:val="58C21D35"/>
    <w:rsid w:val="58C71DC0"/>
    <w:rsid w:val="58C86286"/>
    <w:rsid w:val="58C932A7"/>
    <w:rsid w:val="58CA1969"/>
    <w:rsid w:val="58CC2535"/>
    <w:rsid w:val="58D160F3"/>
    <w:rsid w:val="58D30415"/>
    <w:rsid w:val="58DB3A7E"/>
    <w:rsid w:val="58DC3303"/>
    <w:rsid w:val="58DD5405"/>
    <w:rsid w:val="58DD6933"/>
    <w:rsid w:val="58DF3CC5"/>
    <w:rsid w:val="58E208AA"/>
    <w:rsid w:val="58E23EB3"/>
    <w:rsid w:val="58E45ED2"/>
    <w:rsid w:val="58EA0DB0"/>
    <w:rsid w:val="58F45859"/>
    <w:rsid w:val="58F74519"/>
    <w:rsid w:val="58F9047A"/>
    <w:rsid w:val="5904348A"/>
    <w:rsid w:val="59064D1C"/>
    <w:rsid w:val="590C6C7B"/>
    <w:rsid w:val="590E2AF5"/>
    <w:rsid w:val="59100D91"/>
    <w:rsid w:val="59162AC9"/>
    <w:rsid w:val="59164428"/>
    <w:rsid w:val="59172603"/>
    <w:rsid w:val="59194A4A"/>
    <w:rsid w:val="591A778A"/>
    <w:rsid w:val="591C6F4E"/>
    <w:rsid w:val="591C75A0"/>
    <w:rsid w:val="59226169"/>
    <w:rsid w:val="59284548"/>
    <w:rsid w:val="592E02B7"/>
    <w:rsid w:val="593245F9"/>
    <w:rsid w:val="59392DA2"/>
    <w:rsid w:val="593A4B5F"/>
    <w:rsid w:val="593F35AA"/>
    <w:rsid w:val="59470C59"/>
    <w:rsid w:val="59472390"/>
    <w:rsid w:val="59484A1A"/>
    <w:rsid w:val="59521BAE"/>
    <w:rsid w:val="596228A3"/>
    <w:rsid w:val="59625619"/>
    <w:rsid w:val="5977182A"/>
    <w:rsid w:val="5979138A"/>
    <w:rsid w:val="597A4086"/>
    <w:rsid w:val="597E7569"/>
    <w:rsid w:val="59801CE3"/>
    <w:rsid w:val="5986554C"/>
    <w:rsid w:val="598A307F"/>
    <w:rsid w:val="598A5A8B"/>
    <w:rsid w:val="598B3910"/>
    <w:rsid w:val="598C3076"/>
    <w:rsid w:val="5991670B"/>
    <w:rsid w:val="59955386"/>
    <w:rsid w:val="59A644B1"/>
    <w:rsid w:val="59A71B12"/>
    <w:rsid w:val="59A73BAA"/>
    <w:rsid w:val="59A8195B"/>
    <w:rsid w:val="59AF14BA"/>
    <w:rsid w:val="59B01696"/>
    <w:rsid w:val="59B401A6"/>
    <w:rsid w:val="59B436B0"/>
    <w:rsid w:val="59B56875"/>
    <w:rsid w:val="59BB67DE"/>
    <w:rsid w:val="59BE6C25"/>
    <w:rsid w:val="59C14B5F"/>
    <w:rsid w:val="59C37BB6"/>
    <w:rsid w:val="59C42CA9"/>
    <w:rsid w:val="59C52B5E"/>
    <w:rsid w:val="59C650A8"/>
    <w:rsid w:val="59CB0816"/>
    <w:rsid w:val="59CE43BF"/>
    <w:rsid w:val="59CF47D1"/>
    <w:rsid w:val="59D04C8A"/>
    <w:rsid w:val="59D20037"/>
    <w:rsid w:val="59D23C02"/>
    <w:rsid w:val="59D653B2"/>
    <w:rsid w:val="59D9508C"/>
    <w:rsid w:val="59D97FCB"/>
    <w:rsid w:val="59DC446F"/>
    <w:rsid w:val="59DF04D1"/>
    <w:rsid w:val="59E433BA"/>
    <w:rsid w:val="59E77259"/>
    <w:rsid w:val="59E8608D"/>
    <w:rsid w:val="59EC3048"/>
    <w:rsid w:val="59EE4130"/>
    <w:rsid w:val="59EF4161"/>
    <w:rsid w:val="59F31E1E"/>
    <w:rsid w:val="59F4000B"/>
    <w:rsid w:val="59F56140"/>
    <w:rsid w:val="59FB228F"/>
    <w:rsid w:val="59FE0DA0"/>
    <w:rsid w:val="5A0314DC"/>
    <w:rsid w:val="5A065D79"/>
    <w:rsid w:val="5A071214"/>
    <w:rsid w:val="5A07780C"/>
    <w:rsid w:val="5A1267E5"/>
    <w:rsid w:val="5A131696"/>
    <w:rsid w:val="5A1C22D2"/>
    <w:rsid w:val="5A1E6F0E"/>
    <w:rsid w:val="5A22379E"/>
    <w:rsid w:val="5A2538D3"/>
    <w:rsid w:val="5A25497B"/>
    <w:rsid w:val="5A2947AF"/>
    <w:rsid w:val="5A307F92"/>
    <w:rsid w:val="5A3B4FE4"/>
    <w:rsid w:val="5A3C626E"/>
    <w:rsid w:val="5A404848"/>
    <w:rsid w:val="5A432058"/>
    <w:rsid w:val="5A442EE9"/>
    <w:rsid w:val="5A52604A"/>
    <w:rsid w:val="5A533649"/>
    <w:rsid w:val="5A56026B"/>
    <w:rsid w:val="5A561550"/>
    <w:rsid w:val="5A5A26D0"/>
    <w:rsid w:val="5A6049F8"/>
    <w:rsid w:val="5A633C2B"/>
    <w:rsid w:val="5A690905"/>
    <w:rsid w:val="5A6B608B"/>
    <w:rsid w:val="5A6F6A33"/>
    <w:rsid w:val="5A7221CA"/>
    <w:rsid w:val="5A73262E"/>
    <w:rsid w:val="5A7A3635"/>
    <w:rsid w:val="5A7C3DF2"/>
    <w:rsid w:val="5A7D503A"/>
    <w:rsid w:val="5A7E2BEA"/>
    <w:rsid w:val="5A7F1891"/>
    <w:rsid w:val="5A8076F6"/>
    <w:rsid w:val="5A843214"/>
    <w:rsid w:val="5A867708"/>
    <w:rsid w:val="5A8B5DBA"/>
    <w:rsid w:val="5A906526"/>
    <w:rsid w:val="5A934182"/>
    <w:rsid w:val="5A971E4C"/>
    <w:rsid w:val="5A9D7FF7"/>
    <w:rsid w:val="5AA569A7"/>
    <w:rsid w:val="5AA70CB4"/>
    <w:rsid w:val="5AA77C51"/>
    <w:rsid w:val="5AB40DCF"/>
    <w:rsid w:val="5AB629C5"/>
    <w:rsid w:val="5AB65725"/>
    <w:rsid w:val="5ABA0096"/>
    <w:rsid w:val="5ABA3AC2"/>
    <w:rsid w:val="5ABB7F08"/>
    <w:rsid w:val="5ABD6E24"/>
    <w:rsid w:val="5ABF512A"/>
    <w:rsid w:val="5AC36FE2"/>
    <w:rsid w:val="5AC41664"/>
    <w:rsid w:val="5AD01415"/>
    <w:rsid w:val="5AD52400"/>
    <w:rsid w:val="5AD701EC"/>
    <w:rsid w:val="5ADB24B4"/>
    <w:rsid w:val="5ADE207E"/>
    <w:rsid w:val="5AE61526"/>
    <w:rsid w:val="5AE677BF"/>
    <w:rsid w:val="5AE91EE2"/>
    <w:rsid w:val="5AEA7F0F"/>
    <w:rsid w:val="5AEC18C0"/>
    <w:rsid w:val="5AF0367B"/>
    <w:rsid w:val="5AF2270D"/>
    <w:rsid w:val="5AF2335D"/>
    <w:rsid w:val="5AF27B45"/>
    <w:rsid w:val="5AF5022E"/>
    <w:rsid w:val="5AF66EFC"/>
    <w:rsid w:val="5AF670C7"/>
    <w:rsid w:val="5AF779E5"/>
    <w:rsid w:val="5B030A94"/>
    <w:rsid w:val="5B0320BA"/>
    <w:rsid w:val="5B057A62"/>
    <w:rsid w:val="5B060D8C"/>
    <w:rsid w:val="5B0649C1"/>
    <w:rsid w:val="5B0E04AD"/>
    <w:rsid w:val="5B163628"/>
    <w:rsid w:val="5B2501B8"/>
    <w:rsid w:val="5B256467"/>
    <w:rsid w:val="5B302BAB"/>
    <w:rsid w:val="5B383D0D"/>
    <w:rsid w:val="5B3C134F"/>
    <w:rsid w:val="5B4066B0"/>
    <w:rsid w:val="5B4A0BA7"/>
    <w:rsid w:val="5B4F2398"/>
    <w:rsid w:val="5B51080A"/>
    <w:rsid w:val="5B57670C"/>
    <w:rsid w:val="5B5822CE"/>
    <w:rsid w:val="5B612EAB"/>
    <w:rsid w:val="5B665EB1"/>
    <w:rsid w:val="5B6736E2"/>
    <w:rsid w:val="5B6B5D86"/>
    <w:rsid w:val="5B6C5DFA"/>
    <w:rsid w:val="5B705B11"/>
    <w:rsid w:val="5B752414"/>
    <w:rsid w:val="5B7B4225"/>
    <w:rsid w:val="5B7E3296"/>
    <w:rsid w:val="5B7E3381"/>
    <w:rsid w:val="5B804933"/>
    <w:rsid w:val="5B82497C"/>
    <w:rsid w:val="5B827A57"/>
    <w:rsid w:val="5B83148B"/>
    <w:rsid w:val="5B857DE8"/>
    <w:rsid w:val="5B8659BE"/>
    <w:rsid w:val="5B8807C2"/>
    <w:rsid w:val="5B8B7EB9"/>
    <w:rsid w:val="5B904196"/>
    <w:rsid w:val="5B9766E5"/>
    <w:rsid w:val="5B995852"/>
    <w:rsid w:val="5B995F51"/>
    <w:rsid w:val="5B9B078B"/>
    <w:rsid w:val="5BA238D3"/>
    <w:rsid w:val="5BAA7834"/>
    <w:rsid w:val="5BAD789D"/>
    <w:rsid w:val="5BB2184D"/>
    <w:rsid w:val="5BB36804"/>
    <w:rsid w:val="5BBD3C9B"/>
    <w:rsid w:val="5BBE3902"/>
    <w:rsid w:val="5BBF1096"/>
    <w:rsid w:val="5BC26F3D"/>
    <w:rsid w:val="5BC41868"/>
    <w:rsid w:val="5BCB5AD1"/>
    <w:rsid w:val="5BD40850"/>
    <w:rsid w:val="5BD61675"/>
    <w:rsid w:val="5BDE6D1A"/>
    <w:rsid w:val="5BE0087D"/>
    <w:rsid w:val="5BE40FCC"/>
    <w:rsid w:val="5BE44175"/>
    <w:rsid w:val="5BE84889"/>
    <w:rsid w:val="5BEC0325"/>
    <w:rsid w:val="5BEF02ED"/>
    <w:rsid w:val="5BF8154B"/>
    <w:rsid w:val="5BFC2B34"/>
    <w:rsid w:val="5BFD01C2"/>
    <w:rsid w:val="5BFD402D"/>
    <w:rsid w:val="5BFE674E"/>
    <w:rsid w:val="5C00250C"/>
    <w:rsid w:val="5C0071D5"/>
    <w:rsid w:val="5C081A24"/>
    <w:rsid w:val="5C0D7BA5"/>
    <w:rsid w:val="5C106A30"/>
    <w:rsid w:val="5C12160E"/>
    <w:rsid w:val="5C193E71"/>
    <w:rsid w:val="5C1A4A73"/>
    <w:rsid w:val="5C1F198C"/>
    <w:rsid w:val="5C1F3DEC"/>
    <w:rsid w:val="5C200C72"/>
    <w:rsid w:val="5C21179F"/>
    <w:rsid w:val="5C27672C"/>
    <w:rsid w:val="5C2F0227"/>
    <w:rsid w:val="5C301254"/>
    <w:rsid w:val="5C352E8F"/>
    <w:rsid w:val="5C36344E"/>
    <w:rsid w:val="5C3907DA"/>
    <w:rsid w:val="5C3A7197"/>
    <w:rsid w:val="5C3E7FC3"/>
    <w:rsid w:val="5C424670"/>
    <w:rsid w:val="5C494E4E"/>
    <w:rsid w:val="5C497B5A"/>
    <w:rsid w:val="5C4A3D7A"/>
    <w:rsid w:val="5C4C3DC8"/>
    <w:rsid w:val="5C5429F9"/>
    <w:rsid w:val="5C547D3A"/>
    <w:rsid w:val="5C567002"/>
    <w:rsid w:val="5C5B29B3"/>
    <w:rsid w:val="5C5E0E67"/>
    <w:rsid w:val="5C5F2794"/>
    <w:rsid w:val="5C682AE5"/>
    <w:rsid w:val="5C6A766F"/>
    <w:rsid w:val="5C6C5F90"/>
    <w:rsid w:val="5C6D2FA0"/>
    <w:rsid w:val="5C706C2D"/>
    <w:rsid w:val="5C720CAA"/>
    <w:rsid w:val="5C7433FC"/>
    <w:rsid w:val="5C7456EE"/>
    <w:rsid w:val="5C764224"/>
    <w:rsid w:val="5C794BC2"/>
    <w:rsid w:val="5C7B2C04"/>
    <w:rsid w:val="5C7C2216"/>
    <w:rsid w:val="5C7E4316"/>
    <w:rsid w:val="5C812B0D"/>
    <w:rsid w:val="5C826F30"/>
    <w:rsid w:val="5C855347"/>
    <w:rsid w:val="5C86465F"/>
    <w:rsid w:val="5C8864BC"/>
    <w:rsid w:val="5C89609C"/>
    <w:rsid w:val="5C941300"/>
    <w:rsid w:val="5C971825"/>
    <w:rsid w:val="5C976A0D"/>
    <w:rsid w:val="5C9A76F2"/>
    <w:rsid w:val="5CA00072"/>
    <w:rsid w:val="5CA43FE7"/>
    <w:rsid w:val="5CA818AF"/>
    <w:rsid w:val="5CAC4593"/>
    <w:rsid w:val="5CB02616"/>
    <w:rsid w:val="5CB46737"/>
    <w:rsid w:val="5CB63AB9"/>
    <w:rsid w:val="5CB9445D"/>
    <w:rsid w:val="5CBA4A15"/>
    <w:rsid w:val="5CBB1A21"/>
    <w:rsid w:val="5CBB31BC"/>
    <w:rsid w:val="5CBD1E39"/>
    <w:rsid w:val="5CC15664"/>
    <w:rsid w:val="5CC27503"/>
    <w:rsid w:val="5CC3794A"/>
    <w:rsid w:val="5CCA1476"/>
    <w:rsid w:val="5CD04389"/>
    <w:rsid w:val="5CD93785"/>
    <w:rsid w:val="5CE10FA2"/>
    <w:rsid w:val="5CE2525B"/>
    <w:rsid w:val="5CE27921"/>
    <w:rsid w:val="5CE73C09"/>
    <w:rsid w:val="5CEB1110"/>
    <w:rsid w:val="5CEB6DB4"/>
    <w:rsid w:val="5CEC458F"/>
    <w:rsid w:val="5CF45DA4"/>
    <w:rsid w:val="5CF66415"/>
    <w:rsid w:val="5CF76D50"/>
    <w:rsid w:val="5D0036FE"/>
    <w:rsid w:val="5D0377C6"/>
    <w:rsid w:val="5D054DDA"/>
    <w:rsid w:val="5D0A214B"/>
    <w:rsid w:val="5D0B2A04"/>
    <w:rsid w:val="5D100997"/>
    <w:rsid w:val="5D1112E5"/>
    <w:rsid w:val="5D186A89"/>
    <w:rsid w:val="5D1F7DC2"/>
    <w:rsid w:val="5D203353"/>
    <w:rsid w:val="5D2107ED"/>
    <w:rsid w:val="5D283398"/>
    <w:rsid w:val="5D28426F"/>
    <w:rsid w:val="5D2866CA"/>
    <w:rsid w:val="5D2875D7"/>
    <w:rsid w:val="5D2C142E"/>
    <w:rsid w:val="5D31053A"/>
    <w:rsid w:val="5D327C01"/>
    <w:rsid w:val="5D342DCA"/>
    <w:rsid w:val="5D3B159A"/>
    <w:rsid w:val="5D42566F"/>
    <w:rsid w:val="5D451480"/>
    <w:rsid w:val="5D462ADF"/>
    <w:rsid w:val="5D4635E0"/>
    <w:rsid w:val="5D4976DF"/>
    <w:rsid w:val="5D4C109E"/>
    <w:rsid w:val="5D5128CF"/>
    <w:rsid w:val="5D52315D"/>
    <w:rsid w:val="5D571024"/>
    <w:rsid w:val="5D583756"/>
    <w:rsid w:val="5D5E03B1"/>
    <w:rsid w:val="5D60363C"/>
    <w:rsid w:val="5D645C10"/>
    <w:rsid w:val="5D6A411C"/>
    <w:rsid w:val="5D7222DF"/>
    <w:rsid w:val="5D780EDB"/>
    <w:rsid w:val="5D7E302B"/>
    <w:rsid w:val="5D831A9B"/>
    <w:rsid w:val="5D8B7810"/>
    <w:rsid w:val="5D8E1B6C"/>
    <w:rsid w:val="5D90144C"/>
    <w:rsid w:val="5D944DEC"/>
    <w:rsid w:val="5D960CE4"/>
    <w:rsid w:val="5D987BF4"/>
    <w:rsid w:val="5D993A0C"/>
    <w:rsid w:val="5D993DDF"/>
    <w:rsid w:val="5DA22A49"/>
    <w:rsid w:val="5DAD6B58"/>
    <w:rsid w:val="5DAE1FA6"/>
    <w:rsid w:val="5DAF7AE2"/>
    <w:rsid w:val="5DB3734D"/>
    <w:rsid w:val="5DB57280"/>
    <w:rsid w:val="5DB6432C"/>
    <w:rsid w:val="5DB83E8D"/>
    <w:rsid w:val="5DB90709"/>
    <w:rsid w:val="5DBB44F7"/>
    <w:rsid w:val="5DBD41A9"/>
    <w:rsid w:val="5DBD65BF"/>
    <w:rsid w:val="5DC03EAD"/>
    <w:rsid w:val="5DC21FF9"/>
    <w:rsid w:val="5DC330D9"/>
    <w:rsid w:val="5DC420AA"/>
    <w:rsid w:val="5DC44B8B"/>
    <w:rsid w:val="5DC6613B"/>
    <w:rsid w:val="5DD12E69"/>
    <w:rsid w:val="5DD13845"/>
    <w:rsid w:val="5DD55488"/>
    <w:rsid w:val="5DD577CD"/>
    <w:rsid w:val="5DD7073F"/>
    <w:rsid w:val="5DD94B00"/>
    <w:rsid w:val="5DDB27D4"/>
    <w:rsid w:val="5DDC498C"/>
    <w:rsid w:val="5DE22972"/>
    <w:rsid w:val="5DE616D7"/>
    <w:rsid w:val="5DEA1E7F"/>
    <w:rsid w:val="5DEC6CD2"/>
    <w:rsid w:val="5DED0B07"/>
    <w:rsid w:val="5DEE3B25"/>
    <w:rsid w:val="5DEE63DE"/>
    <w:rsid w:val="5DF46D53"/>
    <w:rsid w:val="5E032BCC"/>
    <w:rsid w:val="5E043D3F"/>
    <w:rsid w:val="5E070BE0"/>
    <w:rsid w:val="5E071682"/>
    <w:rsid w:val="5E075781"/>
    <w:rsid w:val="5E081946"/>
    <w:rsid w:val="5E087AA6"/>
    <w:rsid w:val="5E090C48"/>
    <w:rsid w:val="5E0D1E48"/>
    <w:rsid w:val="5E104B25"/>
    <w:rsid w:val="5E1350D4"/>
    <w:rsid w:val="5E150FC6"/>
    <w:rsid w:val="5E19376A"/>
    <w:rsid w:val="5E1C4E7C"/>
    <w:rsid w:val="5E212D8A"/>
    <w:rsid w:val="5E212F7E"/>
    <w:rsid w:val="5E252502"/>
    <w:rsid w:val="5E265500"/>
    <w:rsid w:val="5E2D0F4E"/>
    <w:rsid w:val="5E2E35D7"/>
    <w:rsid w:val="5E311E3D"/>
    <w:rsid w:val="5E364493"/>
    <w:rsid w:val="5E402231"/>
    <w:rsid w:val="5E43213A"/>
    <w:rsid w:val="5E4776B6"/>
    <w:rsid w:val="5E4F0AAE"/>
    <w:rsid w:val="5E5242AF"/>
    <w:rsid w:val="5E53399C"/>
    <w:rsid w:val="5E550A06"/>
    <w:rsid w:val="5E5B69A7"/>
    <w:rsid w:val="5E5C4E7F"/>
    <w:rsid w:val="5E5D5240"/>
    <w:rsid w:val="5E6046CB"/>
    <w:rsid w:val="5E615A83"/>
    <w:rsid w:val="5E64640A"/>
    <w:rsid w:val="5E662345"/>
    <w:rsid w:val="5E67054D"/>
    <w:rsid w:val="5E694149"/>
    <w:rsid w:val="5E6A31B9"/>
    <w:rsid w:val="5E6D1CFA"/>
    <w:rsid w:val="5E7161F3"/>
    <w:rsid w:val="5E753C1F"/>
    <w:rsid w:val="5E7E30ED"/>
    <w:rsid w:val="5E7F109E"/>
    <w:rsid w:val="5E850C3F"/>
    <w:rsid w:val="5E8A1275"/>
    <w:rsid w:val="5E8D2525"/>
    <w:rsid w:val="5E905FB1"/>
    <w:rsid w:val="5E913D40"/>
    <w:rsid w:val="5E916955"/>
    <w:rsid w:val="5E9946AD"/>
    <w:rsid w:val="5E9F54C6"/>
    <w:rsid w:val="5EA44E00"/>
    <w:rsid w:val="5EA50E11"/>
    <w:rsid w:val="5EA56301"/>
    <w:rsid w:val="5EA77D11"/>
    <w:rsid w:val="5EA81133"/>
    <w:rsid w:val="5EB0324A"/>
    <w:rsid w:val="5EB0785B"/>
    <w:rsid w:val="5EB57A7D"/>
    <w:rsid w:val="5EBB56D7"/>
    <w:rsid w:val="5EBC6B5C"/>
    <w:rsid w:val="5EC864F6"/>
    <w:rsid w:val="5ECB1055"/>
    <w:rsid w:val="5ECB6842"/>
    <w:rsid w:val="5ECF5BC4"/>
    <w:rsid w:val="5ED65B89"/>
    <w:rsid w:val="5EDA2697"/>
    <w:rsid w:val="5EDB37CE"/>
    <w:rsid w:val="5EE05530"/>
    <w:rsid w:val="5EE2428C"/>
    <w:rsid w:val="5EF4176F"/>
    <w:rsid w:val="5EF63D19"/>
    <w:rsid w:val="5EF706A0"/>
    <w:rsid w:val="5EFA6C37"/>
    <w:rsid w:val="5EFB6D37"/>
    <w:rsid w:val="5EFD1A38"/>
    <w:rsid w:val="5F0113ED"/>
    <w:rsid w:val="5F02571D"/>
    <w:rsid w:val="5F055FF9"/>
    <w:rsid w:val="5F077BF8"/>
    <w:rsid w:val="5F0F6675"/>
    <w:rsid w:val="5F117ED8"/>
    <w:rsid w:val="5F12366A"/>
    <w:rsid w:val="5F141ADC"/>
    <w:rsid w:val="5F144893"/>
    <w:rsid w:val="5F160D90"/>
    <w:rsid w:val="5F187378"/>
    <w:rsid w:val="5F1C2325"/>
    <w:rsid w:val="5F2324FE"/>
    <w:rsid w:val="5F236ADF"/>
    <w:rsid w:val="5F2640A7"/>
    <w:rsid w:val="5F2722B6"/>
    <w:rsid w:val="5F2B311F"/>
    <w:rsid w:val="5F2F093A"/>
    <w:rsid w:val="5F310D49"/>
    <w:rsid w:val="5F314F2F"/>
    <w:rsid w:val="5F326BA5"/>
    <w:rsid w:val="5F33522C"/>
    <w:rsid w:val="5F373742"/>
    <w:rsid w:val="5F3A0C78"/>
    <w:rsid w:val="5F3C6F4B"/>
    <w:rsid w:val="5F3D2455"/>
    <w:rsid w:val="5F3D2DF1"/>
    <w:rsid w:val="5F3F5149"/>
    <w:rsid w:val="5F42148C"/>
    <w:rsid w:val="5F4508BB"/>
    <w:rsid w:val="5F485E0F"/>
    <w:rsid w:val="5F4968F3"/>
    <w:rsid w:val="5F4B32B2"/>
    <w:rsid w:val="5F4B64F5"/>
    <w:rsid w:val="5F516BBE"/>
    <w:rsid w:val="5F531044"/>
    <w:rsid w:val="5F534EFE"/>
    <w:rsid w:val="5F585F8F"/>
    <w:rsid w:val="5F5870E0"/>
    <w:rsid w:val="5F5E6692"/>
    <w:rsid w:val="5F622835"/>
    <w:rsid w:val="5F68729D"/>
    <w:rsid w:val="5F690CE0"/>
    <w:rsid w:val="5F6F2E29"/>
    <w:rsid w:val="5F740D96"/>
    <w:rsid w:val="5F782B3D"/>
    <w:rsid w:val="5F7A0694"/>
    <w:rsid w:val="5F7C7710"/>
    <w:rsid w:val="5F7E5701"/>
    <w:rsid w:val="5F807F00"/>
    <w:rsid w:val="5F817284"/>
    <w:rsid w:val="5F8451B0"/>
    <w:rsid w:val="5F8609B2"/>
    <w:rsid w:val="5F896CA8"/>
    <w:rsid w:val="5F8C6BC2"/>
    <w:rsid w:val="5F8F253B"/>
    <w:rsid w:val="5FA15102"/>
    <w:rsid w:val="5FA55E9D"/>
    <w:rsid w:val="5FB6579A"/>
    <w:rsid w:val="5FB67320"/>
    <w:rsid w:val="5FB90D63"/>
    <w:rsid w:val="5FB9539E"/>
    <w:rsid w:val="5FBE22A5"/>
    <w:rsid w:val="5FC344A6"/>
    <w:rsid w:val="5FC6521B"/>
    <w:rsid w:val="5FCC33B9"/>
    <w:rsid w:val="5FCE76F6"/>
    <w:rsid w:val="5FCF3A2E"/>
    <w:rsid w:val="5FD9152C"/>
    <w:rsid w:val="5FDA3E87"/>
    <w:rsid w:val="5FDB6519"/>
    <w:rsid w:val="5FDE487E"/>
    <w:rsid w:val="5FE110BD"/>
    <w:rsid w:val="5FE73F0A"/>
    <w:rsid w:val="5FE82500"/>
    <w:rsid w:val="5FEB7CBB"/>
    <w:rsid w:val="5FF056C5"/>
    <w:rsid w:val="5FF130AC"/>
    <w:rsid w:val="5FFA00A9"/>
    <w:rsid w:val="5FFC41CF"/>
    <w:rsid w:val="5FFD210C"/>
    <w:rsid w:val="600323DB"/>
    <w:rsid w:val="60064DC4"/>
    <w:rsid w:val="60090D41"/>
    <w:rsid w:val="600A5310"/>
    <w:rsid w:val="600D0497"/>
    <w:rsid w:val="601015FC"/>
    <w:rsid w:val="6010773A"/>
    <w:rsid w:val="601411D5"/>
    <w:rsid w:val="601447B2"/>
    <w:rsid w:val="60144DE0"/>
    <w:rsid w:val="60155DF8"/>
    <w:rsid w:val="60166175"/>
    <w:rsid w:val="601907B1"/>
    <w:rsid w:val="601E308B"/>
    <w:rsid w:val="601F0C6E"/>
    <w:rsid w:val="602352D9"/>
    <w:rsid w:val="60266A9B"/>
    <w:rsid w:val="60295976"/>
    <w:rsid w:val="602E7878"/>
    <w:rsid w:val="60341A53"/>
    <w:rsid w:val="60352C5F"/>
    <w:rsid w:val="603978DC"/>
    <w:rsid w:val="603A4125"/>
    <w:rsid w:val="603B24DF"/>
    <w:rsid w:val="603D1B8B"/>
    <w:rsid w:val="603D6BC2"/>
    <w:rsid w:val="603E30A3"/>
    <w:rsid w:val="60421562"/>
    <w:rsid w:val="6042720B"/>
    <w:rsid w:val="60467AD4"/>
    <w:rsid w:val="604C2921"/>
    <w:rsid w:val="604D6E8D"/>
    <w:rsid w:val="605023C5"/>
    <w:rsid w:val="60562A73"/>
    <w:rsid w:val="605D6E73"/>
    <w:rsid w:val="60620263"/>
    <w:rsid w:val="6063772D"/>
    <w:rsid w:val="60647FCD"/>
    <w:rsid w:val="60684D0E"/>
    <w:rsid w:val="60697ECB"/>
    <w:rsid w:val="606A0D84"/>
    <w:rsid w:val="606C1230"/>
    <w:rsid w:val="606D7E33"/>
    <w:rsid w:val="606F0297"/>
    <w:rsid w:val="6074649F"/>
    <w:rsid w:val="6077568D"/>
    <w:rsid w:val="607E6ADE"/>
    <w:rsid w:val="6085341F"/>
    <w:rsid w:val="60855B3B"/>
    <w:rsid w:val="608560A7"/>
    <w:rsid w:val="60876328"/>
    <w:rsid w:val="608921E2"/>
    <w:rsid w:val="608F0CB0"/>
    <w:rsid w:val="608F6CE9"/>
    <w:rsid w:val="60910FF0"/>
    <w:rsid w:val="60955738"/>
    <w:rsid w:val="60975CB9"/>
    <w:rsid w:val="6097700C"/>
    <w:rsid w:val="609C0C58"/>
    <w:rsid w:val="609E5B74"/>
    <w:rsid w:val="60A12E8F"/>
    <w:rsid w:val="60A57292"/>
    <w:rsid w:val="60A6094F"/>
    <w:rsid w:val="60A93952"/>
    <w:rsid w:val="60AE711C"/>
    <w:rsid w:val="60B05833"/>
    <w:rsid w:val="60B36E7F"/>
    <w:rsid w:val="60B6509C"/>
    <w:rsid w:val="60B91C2A"/>
    <w:rsid w:val="60BF56CD"/>
    <w:rsid w:val="60BF7678"/>
    <w:rsid w:val="60CA0090"/>
    <w:rsid w:val="60CD1B77"/>
    <w:rsid w:val="60D31B46"/>
    <w:rsid w:val="60D47E73"/>
    <w:rsid w:val="60D669D0"/>
    <w:rsid w:val="60D74F93"/>
    <w:rsid w:val="60DB22E7"/>
    <w:rsid w:val="60DC224D"/>
    <w:rsid w:val="60E4782E"/>
    <w:rsid w:val="60E61F44"/>
    <w:rsid w:val="60E858DB"/>
    <w:rsid w:val="60EA2B08"/>
    <w:rsid w:val="60EB093C"/>
    <w:rsid w:val="60F07529"/>
    <w:rsid w:val="60F10DDA"/>
    <w:rsid w:val="60F47762"/>
    <w:rsid w:val="60F821BD"/>
    <w:rsid w:val="60FE3198"/>
    <w:rsid w:val="610309A4"/>
    <w:rsid w:val="61046F5D"/>
    <w:rsid w:val="610819EC"/>
    <w:rsid w:val="610A257C"/>
    <w:rsid w:val="610B7564"/>
    <w:rsid w:val="611028CC"/>
    <w:rsid w:val="61130ECA"/>
    <w:rsid w:val="61156EDC"/>
    <w:rsid w:val="611E15EE"/>
    <w:rsid w:val="611E6DAB"/>
    <w:rsid w:val="61202D57"/>
    <w:rsid w:val="612235DE"/>
    <w:rsid w:val="61246F99"/>
    <w:rsid w:val="61265B98"/>
    <w:rsid w:val="612F2E28"/>
    <w:rsid w:val="61306596"/>
    <w:rsid w:val="61350884"/>
    <w:rsid w:val="61363AD6"/>
    <w:rsid w:val="613A7793"/>
    <w:rsid w:val="613D2ADD"/>
    <w:rsid w:val="613E08FE"/>
    <w:rsid w:val="61426156"/>
    <w:rsid w:val="615135B3"/>
    <w:rsid w:val="615869CB"/>
    <w:rsid w:val="615B0024"/>
    <w:rsid w:val="615D25F3"/>
    <w:rsid w:val="615E3CF4"/>
    <w:rsid w:val="61612886"/>
    <w:rsid w:val="616A4327"/>
    <w:rsid w:val="616F12DD"/>
    <w:rsid w:val="616F15D4"/>
    <w:rsid w:val="616F59F7"/>
    <w:rsid w:val="616F7A8F"/>
    <w:rsid w:val="61754181"/>
    <w:rsid w:val="617D0254"/>
    <w:rsid w:val="61845A38"/>
    <w:rsid w:val="6186014E"/>
    <w:rsid w:val="618879A0"/>
    <w:rsid w:val="61894BD6"/>
    <w:rsid w:val="618F10CD"/>
    <w:rsid w:val="618F7074"/>
    <w:rsid w:val="61940ECD"/>
    <w:rsid w:val="619E6A1A"/>
    <w:rsid w:val="61A12A82"/>
    <w:rsid w:val="61A94AE4"/>
    <w:rsid w:val="61A97091"/>
    <w:rsid w:val="61AD277A"/>
    <w:rsid w:val="61AD4ED0"/>
    <w:rsid w:val="61AE5616"/>
    <w:rsid w:val="61AE60E5"/>
    <w:rsid w:val="61AF2DCE"/>
    <w:rsid w:val="61B243A7"/>
    <w:rsid w:val="61B54A55"/>
    <w:rsid w:val="61B96328"/>
    <w:rsid w:val="61BB4BDF"/>
    <w:rsid w:val="61BB71B7"/>
    <w:rsid w:val="61BD02A1"/>
    <w:rsid w:val="61BD2F94"/>
    <w:rsid w:val="61BF3342"/>
    <w:rsid w:val="61BF708E"/>
    <w:rsid w:val="61C11FC0"/>
    <w:rsid w:val="61C12E4A"/>
    <w:rsid w:val="61C370EF"/>
    <w:rsid w:val="61C5295F"/>
    <w:rsid w:val="61CF63D9"/>
    <w:rsid w:val="61D00BC7"/>
    <w:rsid w:val="61D31E53"/>
    <w:rsid w:val="61D45F4C"/>
    <w:rsid w:val="61D7234C"/>
    <w:rsid w:val="61D905F0"/>
    <w:rsid w:val="61DC46FB"/>
    <w:rsid w:val="61DF1BFF"/>
    <w:rsid w:val="61DF4779"/>
    <w:rsid w:val="61E32CE1"/>
    <w:rsid w:val="61E43AA6"/>
    <w:rsid w:val="61E45E48"/>
    <w:rsid w:val="61E71EC4"/>
    <w:rsid w:val="61EB338C"/>
    <w:rsid w:val="61F005A0"/>
    <w:rsid w:val="61F84262"/>
    <w:rsid w:val="61F96CBD"/>
    <w:rsid w:val="61F9775F"/>
    <w:rsid w:val="61FC3304"/>
    <w:rsid w:val="61FF0277"/>
    <w:rsid w:val="62001233"/>
    <w:rsid w:val="62034E3D"/>
    <w:rsid w:val="6209761B"/>
    <w:rsid w:val="620A4193"/>
    <w:rsid w:val="620D4A86"/>
    <w:rsid w:val="620F14B1"/>
    <w:rsid w:val="620F2D88"/>
    <w:rsid w:val="62130FF4"/>
    <w:rsid w:val="62143145"/>
    <w:rsid w:val="621760E8"/>
    <w:rsid w:val="621804A8"/>
    <w:rsid w:val="621B584F"/>
    <w:rsid w:val="621C2ABE"/>
    <w:rsid w:val="622175F0"/>
    <w:rsid w:val="62257F92"/>
    <w:rsid w:val="622B23C5"/>
    <w:rsid w:val="622C35DE"/>
    <w:rsid w:val="622D5403"/>
    <w:rsid w:val="622E31BD"/>
    <w:rsid w:val="62381432"/>
    <w:rsid w:val="623C037A"/>
    <w:rsid w:val="623C4152"/>
    <w:rsid w:val="6242474F"/>
    <w:rsid w:val="62427FA0"/>
    <w:rsid w:val="62502798"/>
    <w:rsid w:val="62516D68"/>
    <w:rsid w:val="625765FA"/>
    <w:rsid w:val="625961C6"/>
    <w:rsid w:val="62637096"/>
    <w:rsid w:val="626B3F7C"/>
    <w:rsid w:val="626D2EBA"/>
    <w:rsid w:val="626E3CC7"/>
    <w:rsid w:val="626F2E54"/>
    <w:rsid w:val="62710591"/>
    <w:rsid w:val="627154CE"/>
    <w:rsid w:val="62732C0C"/>
    <w:rsid w:val="62751F52"/>
    <w:rsid w:val="62755856"/>
    <w:rsid w:val="627B1D45"/>
    <w:rsid w:val="62843A61"/>
    <w:rsid w:val="62885226"/>
    <w:rsid w:val="62890CFC"/>
    <w:rsid w:val="628D7B3E"/>
    <w:rsid w:val="629160FF"/>
    <w:rsid w:val="6293160C"/>
    <w:rsid w:val="629411FC"/>
    <w:rsid w:val="62957F33"/>
    <w:rsid w:val="62966CE1"/>
    <w:rsid w:val="6297568D"/>
    <w:rsid w:val="629C647B"/>
    <w:rsid w:val="629F2FF6"/>
    <w:rsid w:val="62A6072D"/>
    <w:rsid w:val="62A73819"/>
    <w:rsid w:val="62AA6F7E"/>
    <w:rsid w:val="62B20A94"/>
    <w:rsid w:val="62B86982"/>
    <w:rsid w:val="62B91D28"/>
    <w:rsid w:val="62BA12B9"/>
    <w:rsid w:val="62C061D4"/>
    <w:rsid w:val="62C26FA6"/>
    <w:rsid w:val="62C36E03"/>
    <w:rsid w:val="62C74D49"/>
    <w:rsid w:val="62CC223D"/>
    <w:rsid w:val="62D10B08"/>
    <w:rsid w:val="62D66738"/>
    <w:rsid w:val="62D920B2"/>
    <w:rsid w:val="62DA6E21"/>
    <w:rsid w:val="62DC5604"/>
    <w:rsid w:val="62DE37E3"/>
    <w:rsid w:val="62E04FA3"/>
    <w:rsid w:val="62E22078"/>
    <w:rsid w:val="62EA0C08"/>
    <w:rsid w:val="62EB0063"/>
    <w:rsid w:val="62ED05C7"/>
    <w:rsid w:val="62ED6621"/>
    <w:rsid w:val="62ED7F82"/>
    <w:rsid w:val="62EE0E14"/>
    <w:rsid w:val="62F06609"/>
    <w:rsid w:val="62F53063"/>
    <w:rsid w:val="62F56E72"/>
    <w:rsid w:val="62F65430"/>
    <w:rsid w:val="62F72628"/>
    <w:rsid w:val="63045251"/>
    <w:rsid w:val="63054219"/>
    <w:rsid w:val="630F088D"/>
    <w:rsid w:val="631749B5"/>
    <w:rsid w:val="631B03F1"/>
    <w:rsid w:val="631B7FA8"/>
    <w:rsid w:val="631C067C"/>
    <w:rsid w:val="631F50E9"/>
    <w:rsid w:val="63216FD6"/>
    <w:rsid w:val="63253621"/>
    <w:rsid w:val="632A3143"/>
    <w:rsid w:val="632B2EC8"/>
    <w:rsid w:val="632F36FE"/>
    <w:rsid w:val="633212EA"/>
    <w:rsid w:val="63324A46"/>
    <w:rsid w:val="633C470C"/>
    <w:rsid w:val="633D3D84"/>
    <w:rsid w:val="634A547F"/>
    <w:rsid w:val="634B3169"/>
    <w:rsid w:val="634C0040"/>
    <w:rsid w:val="634E25B0"/>
    <w:rsid w:val="6358456E"/>
    <w:rsid w:val="635A7BA9"/>
    <w:rsid w:val="635D0E9A"/>
    <w:rsid w:val="635E6311"/>
    <w:rsid w:val="635E7E88"/>
    <w:rsid w:val="636516FE"/>
    <w:rsid w:val="63665984"/>
    <w:rsid w:val="636964C7"/>
    <w:rsid w:val="636C346C"/>
    <w:rsid w:val="636E33BA"/>
    <w:rsid w:val="636F62E2"/>
    <w:rsid w:val="636F6FCB"/>
    <w:rsid w:val="636F7179"/>
    <w:rsid w:val="63755DF1"/>
    <w:rsid w:val="63756D5E"/>
    <w:rsid w:val="637718DB"/>
    <w:rsid w:val="637734BA"/>
    <w:rsid w:val="63791207"/>
    <w:rsid w:val="637A70BC"/>
    <w:rsid w:val="637F2F5E"/>
    <w:rsid w:val="63884DC5"/>
    <w:rsid w:val="638C500E"/>
    <w:rsid w:val="63920C2E"/>
    <w:rsid w:val="63953B16"/>
    <w:rsid w:val="6399011B"/>
    <w:rsid w:val="639935E3"/>
    <w:rsid w:val="639B4E85"/>
    <w:rsid w:val="639C7271"/>
    <w:rsid w:val="63AB1F31"/>
    <w:rsid w:val="63B43B93"/>
    <w:rsid w:val="63B63CF5"/>
    <w:rsid w:val="63BB6955"/>
    <w:rsid w:val="63BC6F57"/>
    <w:rsid w:val="63BF307B"/>
    <w:rsid w:val="63C32224"/>
    <w:rsid w:val="63C32AAE"/>
    <w:rsid w:val="63C504E3"/>
    <w:rsid w:val="63CA3D13"/>
    <w:rsid w:val="63CA64BD"/>
    <w:rsid w:val="63D05448"/>
    <w:rsid w:val="63D148CE"/>
    <w:rsid w:val="63D31977"/>
    <w:rsid w:val="63D84F36"/>
    <w:rsid w:val="63DC539E"/>
    <w:rsid w:val="63DE66C9"/>
    <w:rsid w:val="63E302E3"/>
    <w:rsid w:val="63E90B63"/>
    <w:rsid w:val="63E9484F"/>
    <w:rsid w:val="63EE022D"/>
    <w:rsid w:val="63F15C0D"/>
    <w:rsid w:val="63F22CB8"/>
    <w:rsid w:val="63F320F4"/>
    <w:rsid w:val="63F50DCF"/>
    <w:rsid w:val="63F54EF8"/>
    <w:rsid w:val="63F73EBA"/>
    <w:rsid w:val="63F9455F"/>
    <w:rsid w:val="63F9649B"/>
    <w:rsid w:val="63FB22AA"/>
    <w:rsid w:val="63FB54C2"/>
    <w:rsid w:val="63FE6C22"/>
    <w:rsid w:val="6400542A"/>
    <w:rsid w:val="640269CF"/>
    <w:rsid w:val="64032208"/>
    <w:rsid w:val="64045A81"/>
    <w:rsid w:val="6405029B"/>
    <w:rsid w:val="64076EC8"/>
    <w:rsid w:val="640919D3"/>
    <w:rsid w:val="640A2132"/>
    <w:rsid w:val="640C4621"/>
    <w:rsid w:val="640D5324"/>
    <w:rsid w:val="640F04B4"/>
    <w:rsid w:val="64107F13"/>
    <w:rsid w:val="64193194"/>
    <w:rsid w:val="641A78E3"/>
    <w:rsid w:val="641C1C78"/>
    <w:rsid w:val="64241CC1"/>
    <w:rsid w:val="642506D8"/>
    <w:rsid w:val="64260165"/>
    <w:rsid w:val="642A64F5"/>
    <w:rsid w:val="642B082D"/>
    <w:rsid w:val="642C3E8C"/>
    <w:rsid w:val="642C476E"/>
    <w:rsid w:val="642D4832"/>
    <w:rsid w:val="6431239C"/>
    <w:rsid w:val="643671B4"/>
    <w:rsid w:val="64391DE4"/>
    <w:rsid w:val="643E13FA"/>
    <w:rsid w:val="64466B20"/>
    <w:rsid w:val="64512F9E"/>
    <w:rsid w:val="64532B1B"/>
    <w:rsid w:val="64573B54"/>
    <w:rsid w:val="64597EF8"/>
    <w:rsid w:val="645A679E"/>
    <w:rsid w:val="645D1AC3"/>
    <w:rsid w:val="645E698D"/>
    <w:rsid w:val="6463254B"/>
    <w:rsid w:val="646333D6"/>
    <w:rsid w:val="6464065C"/>
    <w:rsid w:val="64643622"/>
    <w:rsid w:val="64663788"/>
    <w:rsid w:val="64680F9D"/>
    <w:rsid w:val="646A58C5"/>
    <w:rsid w:val="646A6CD1"/>
    <w:rsid w:val="646B5430"/>
    <w:rsid w:val="646D1EFA"/>
    <w:rsid w:val="647060AA"/>
    <w:rsid w:val="64711A70"/>
    <w:rsid w:val="64785CB0"/>
    <w:rsid w:val="64804981"/>
    <w:rsid w:val="64815BCF"/>
    <w:rsid w:val="64835442"/>
    <w:rsid w:val="648779C2"/>
    <w:rsid w:val="648B6567"/>
    <w:rsid w:val="648B7392"/>
    <w:rsid w:val="648C45A6"/>
    <w:rsid w:val="648F78DD"/>
    <w:rsid w:val="64944C65"/>
    <w:rsid w:val="649B251D"/>
    <w:rsid w:val="649D257C"/>
    <w:rsid w:val="64A4450F"/>
    <w:rsid w:val="64A841CF"/>
    <w:rsid w:val="64A8472F"/>
    <w:rsid w:val="64A93A46"/>
    <w:rsid w:val="64AD5BFB"/>
    <w:rsid w:val="64AE7FF8"/>
    <w:rsid w:val="64B21D3D"/>
    <w:rsid w:val="64B7113A"/>
    <w:rsid w:val="64BA4E14"/>
    <w:rsid w:val="64C00D55"/>
    <w:rsid w:val="64C21E65"/>
    <w:rsid w:val="64C32849"/>
    <w:rsid w:val="64C46B4C"/>
    <w:rsid w:val="64C969AC"/>
    <w:rsid w:val="64DB3041"/>
    <w:rsid w:val="64DB5A84"/>
    <w:rsid w:val="64DC0959"/>
    <w:rsid w:val="64DF5ED4"/>
    <w:rsid w:val="64E2104D"/>
    <w:rsid w:val="64E2443B"/>
    <w:rsid w:val="64EE4E6B"/>
    <w:rsid w:val="64F05054"/>
    <w:rsid w:val="64F70338"/>
    <w:rsid w:val="64F775DE"/>
    <w:rsid w:val="64F945CC"/>
    <w:rsid w:val="64FB3C86"/>
    <w:rsid w:val="64FB6F89"/>
    <w:rsid w:val="64FC38D9"/>
    <w:rsid w:val="64FF2B30"/>
    <w:rsid w:val="65025673"/>
    <w:rsid w:val="650526FD"/>
    <w:rsid w:val="650B1658"/>
    <w:rsid w:val="650D338D"/>
    <w:rsid w:val="650F0DD9"/>
    <w:rsid w:val="651016FE"/>
    <w:rsid w:val="6511206B"/>
    <w:rsid w:val="65234357"/>
    <w:rsid w:val="65265DDA"/>
    <w:rsid w:val="652C0D1E"/>
    <w:rsid w:val="652C710D"/>
    <w:rsid w:val="65322450"/>
    <w:rsid w:val="653428FC"/>
    <w:rsid w:val="65393FD5"/>
    <w:rsid w:val="653A4F5E"/>
    <w:rsid w:val="653F412E"/>
    <w:rsid w:val="653F6A01"/>
    <w:rsid w:val="653F77EC"/>
    <w:rsid w:val="65402962"/>
    <w:rsid w:val="6544127A"/>
    <w:rsid w:val="65483895"/>
    <w:rsid w:val="65497CF0"/>
    <w:rsid w:val="654B35BC"/>
    <w:rsid w:val="654B64DA"/>
    <w:rsid w:val="65531C29"/>
    <w:rsid w:val="65533E7D"/>
    <w:rsid w:val="65535C57"/>
    <w:rsid w:val="655425E4"/>
    <w:rsid w:val="655627D1"/>
    <w:rsid w:val="65570A4E"/>
    <w:rsid w:val="655D68B0"/>
    <w:rsid w:val="655E0A11"/>
    <w:rsid w:val="655E4C42"/>
    <w:rsid w:val="655E7DC4"/>
    <w:rsid w:val="655F0C61"/>
    <w:rsid w:val="655F702E"/>
    <w:rsid w:val="65653147"/>
    <w:rsid w:val="6566389C"/>
    <w:rsid w:val="656F7060"/>
    <w:rsid w:val="65780A16"/>
    <w:rsid w:val="65784991"/>
    <w:rsid w:val="657A06B0"/>
    <w:rsid w:val="657C7196"/>
    <w:rsid w:val="657C799E"/>
    <w:rsid w:val="657F0F17"/>
    <w:rsid w:val="658304FD"/>
    <w:rsid w:val="658A4EB5"/>
    <w:rsid w:val="658E3CED"/>
    <w:rsid w:val="65905068"/>
    <w:rsid w:val="659832FA"/>
    <w:rsid w:val="65997FB3"/>
    <w:rsid w:val="659A76E5"/>
    <w:rsid w:val="659B7025"/>
    <w:rsid w:val="659C6B16"/>
    <w:rsid w:val="65A342A1"/>
    <w:rsid w:val="65AE27EC"/>
    <w:rsid w:val="65B02917"/>
    <w:rsid w:val="65B12768"/>
    <w:rsid w:val="65B30851"/>
    <w:rsid w:val="65B404A7"/>
    <w:rsid w:val="65B83AFC"/>
    <w:rsid w:val="65C0157C"/>
    <w:rsid w:val="65C145AB"/>
    <w:rsid w:val="65C35DDB"/>
    <w:rsid w:val="65C95F83"/>
    <w:rsid w:val="65CB3451"/>
    <w:rsid w:val="65D143FA"/>
    <w:rsid w:val="65DC0DBE"/>
    <w:rsid w:val="65DC16C8"/>
    <w:rsid w:val="65E234C3"/>
    <w:rsid w:val="65E44F95"/>
    <w:rsid w:val="65E66959"/>
    <w:rsid w:val="65E66EEC"/>
    <w:rsid w:val="65E85DF7"/>
    <w:rsid w:val="65EB3B3F"/>
    <w:rsid w:val="65EC1DF2"/>
    <w:rsid w:val="65ED4141"/>
    <w:rsid w:val="65EF4597"/>
    <w:rsid w:val="65F30410"/>
    <w:rsid w:val="65F6044D"/>
    <w:rsid w:val="65F71B5C"/>
    <w:rsid w:val="65F97D24"/>
    <w:rsid w:val="66042964"/>
    <w:rsid w:val="66050012"/>
    <w:rsid w:val="66075FBE"/>
    <w:rsid w:val="6608548F"/>
    <w:rsid w:val="66104DEC"/>
    <w:rsid w:val="661137F1"/>
    <w:rsid w:val="66190A71"/>
    <w:rsid w:val="661A04F5"/>
    <w:rsid w:val="661B6029"/>
    <w:rsid w:val="661C0708"/>
    <w:rsid w:val="66213058"/>
    <w:rsid w:val="66213AC9"/>
    <w:rsid w:val="66234470"/>
    <w:rsid w:val="66253F2C"/>
    <w:rsid w:val="66272199"/>
    <w:rsid w:val="66276520"/>
    <w:rsid w:val="662D6B84"/>
    <w:rsid w:val="663B5651"/>
    <w:rsid w:val="663E0DC1"/>
    <w:rsid w:val="66405DA4"/>
    <w:rsid w:val="66420B34"/>
    <w:rsid w:val="6642764D"/>
    <w:rsid w:val="66473C07"/>
    <w:rsid w:val="6649149B"/>
    <w:rsid w:val="664B2E72"/>
    <w:rsid w:val="66512757"/>
    <w:rsid w:val="665652F5"/>
    <w:rsid w:val="6656705E"/>
    <w:rsid w:val="66595C26"/>
    <w:rsid w:val="665B5104"/>
    <w:rsid w:val="6660128A"/>
    <w:rsid w:val="66680C3E"/>
    <w:rsid w:val="66681233"/>
    <w:rsid w:val="666878F2"/>
    <w:rsid w:val="666A370E"/>
    <w:rsid w:val="666F79FD"/>
    <w:rsid w:val="667859ED"/>
    <w:rsid w:val="66830FC4"/>
    <w:rsid w:val="66840FF0"/>
    <w:rsid w:val="668C7A8D"/>
    <w:rsid w:val="669272F8"/>
    <w:rsid w:val="66955461"/>
    <w:rsid w:val="6698040C"/>
    <w:rsid w:val="669D16D6"/>
    <w:rsid w:val="669D311C"/>
    <w:rsid w:val="669E32E4"/>
    <w:rsid w:val="66A02A14"/>
    <w:rsid w:val="66A732BE"/>
    <w:rsid w:val="66B02EE3"/>
    <w:rsid w:val="66B0632F"/>
    <w:rsid w:val="66B43E74"/>
    <w:rsid w:val="66B85BC4"/>
    <w:rsid w:val="66BD54A8"/>
    <w:rsid w:val="66BE3AC1"/>
    <w:rsid w:val="66C062C5"/>
    <w:rsid w:val="66C07799"/>
    <w:rsid w:val="66C50A23"/>
    <w:rsid w:val="66CB1613"/>
    <w:rsid w:val="66CC63B4"/>
    <w:rsid w:val="66CD714C"/>
    <w:rsid w:val="66D80BE1"/>
    <w:rsid w:val="66D83529"/>
    <w:rsid w:val="66D92FDB"/>
    <w:rsid w:val="66D93BA2"/>
    <w:rsid w:val="66D96ABF"/>
    <w:rsid w:val="66E1056C"/>
    <w:rsid w:val="66E80A82"/>
    <w:rsid w:val="66EC5F01"/>
    <w:rsid w:val="66EC648C"/>
    <w:rsid w:val="66EF1425"/>
    <w:rsid w:val="66F06CDC"/>
    <w:rsid w:val="66F371A0"/>
    <w:rsid w:val="66FA1F7B"/>
    <w:rsid w:val="66FE1471"/>
    <w:rsid w:val="66FE6B65"/>
    <w:rsid w:val="67003577"/>
    <w:rsid w:val="6709565B"/>
    <w:rsid w:val="670B37C0"/>
    <w:rsid w:val="670C2C48"/>
    <w:rsid w:val="670C4268"/>
    <w:rsid w:val="671474A5"/>
    <w:rsid w:val="67150FA6"/>
    <w:rsid w:val="67176AE4"/>
    <w:rsid w:val="671B60CB"/>
    <w:rsid w:val="672122C6"/>
    <w:rsid w:val="67212F6C"/>
    <w:rsid w:val="6722736E"/>
    <w:rsid w:val="672C64F1"/>
    <w:rsid w:val="672F37CB"/>
    <w:rsid w:val="67335553"/>
    <w:rsid w:val="673A279D"/>
    <w:rsid w:val="67401725"/>
    <w:rsid w:val="674614F6"/>
    <w:rsid w:val="674644FF"/>
    <w:rsid w:val="674F6690"/>
    <w:rsid w:val="674F6A13"/>
    <w:rsid w:val="67510687"/>
    <w:rsid w:val="67533E79"/>
    <w:rsid w:val="675514B5"/>
    <w:rsid w:val="67561AAE"/>
    <w:rsid w:val="675753A5"/>
    <w:rsid w:val="675A496A"/>
    <w:rsid w:val="675E39EA"/>
    <w:rsid w:val="676050BA"/>
    <w:rsid w:val="676127E9"/>
    <w:rsid w:val="67644285"/>
    <w:rsid w:val="67646AE7"/>
    <w:rsid w:val="6765692C"/>
    <w:rsid w:val="6770294C"/>
    <w:rsid w:val="67707ED4"/>
    <w:rsid w:val="67710FB6"/>
    <w:rsid w:val="67716929"/>
    <w:rsid w:val="6775600B"/>
    <w:rsid w:val="6775717F"/>
    <w:rsid w:val="6776615C"/>
    <w:rsid w:val="677F1DD9"/>
    <w:rsid w:val="67851703"/>
    <w:rsid w:val="67865BFD"/>
    <w:rsid w:val="678B2511"/>
    <w:rsid w:val="678C0D33"/>
    <w:rsid w:val="678D1A76"/>
    <w:rsid w:val="67901AF7"/>
    <w:rsid w:val="6790690F"/>
    <w:rsid w:val="67912DBD"/>
    <w:rsid w:val="679257B3"/>
    <w:rsid w:val="67965181"/>
    <w:rsid w:val="67973C29"/>
    <w:rsid w:val="679E66C5"/>
    <w:rsid w:val="67A11F33"/>
    <w:rsid w:val="67A35B07"/>
    <w:rsid w:val="67A53B5E"/>
    <w:rsid w:val="67A66076"/>
    <w:rsid w:val="67A804E2"/>
    <w:rsid w:val="67AB61A0"/>
    <w:rsid w:val="67AC1D46"/>
    <w:rsid w:val="67AE0E2F"/>
    <w:rsid w:val="67AE771B"/>
    <w:rsid w:val="67B334E5"/>
    <w:rsid w:val="67B34785"/>
    <w:rsid w:val="67B37335"/>
    <w:rsid w:val="67BB13B6"/>
    <w:rsid w:val="67BC730C"/>
    <w:rsid w:val="67BE7512"/>
    <w:rsid w:val="67BE7B17"/>
    <w:rsid w:val="67BF6159"/>
    <w:rsid w:val="67C57002"/>
    <w:rsid w:val="67C92153"/>
    <w:rsid w:val="67CC38BC"/>
    <w:rsid w:val="67CD45A6"/>
    <w:rsid w:val="67D1246F"/>
    <w:rsid w:val="67D727F1"/>
    <w:rsid w:val="67DA29EC"/>
    <w:rsid w:val="67DB16DA"/>
    <w:rsid w:val="67DC57DD"/>
    <w:rsid w:val="67DC74E8"/>
    <w:rsid w:val="67E000B5"/>
    <w:rsid w:val="67E16354"/>
    <w:rsid w:val="67E5381C"/>
    <w:rsid w:val="67E940C1"/>
    <w:rsid w:val="67EB2CF6"/>
    <w:rsid w:val="67EB3A6A"/>
    <w:rsid w:val="67F120E2"/>
    <w:rsid w:val="67F14539"/>
    <w:rsid w:val="67F42CB2"/>
    <w:rsid w:val="67F86BE7"/>
    <w:rsid w:val="67FD7340"/>
    <w:rsid w:val="680F2C40"/>
    <w:rsid w:val="680F7672"/>
    <w:rsid w:val="6813195B"/>
    <w:rsid w:val="68175A5B"/>
    <w:rsid w:val="681C4359"/>
    <w:rsid w:val="681D4C95"/>
    <w:rsid w:val="681E40DB"/>
    <w:rsid w:val="68205D27"/>
    <w:rsid w:val="682120BF"/>
    <w:rsid w:val="68222142"/>
    <w:rsid w:val="68273097"/>
    <w:rsid w:val="682B69AD"/>
    <w:rsid w:val="682F1C6A"/>
    <w:rsid w:val="68311324"/>
    <w:rsid w:val="68324B6D"/>
    <w:rsid w:val="683255B8"/>
    <w:rsid w:val="6835305B"/>
    <w:rsid w:val="68364DC9"/>
    <w:rsid w:val="683A5D66"/>
    <w:rsid w:val="683B561F"/>
    <w:rsid w:val="683C5625"/>
    <w:rsid w:val="683D4274"/>
    <w:rsid w:val="684600A1"/>
    <w:rsid w:val="684601AC"/>
    <w:rsid w:val="684801D3"/>
    <w:rsid w:val="68486721"/>
    <w:rsid w:val="684A60F1"/>
    <w:rsid w:val="684D795F"/>
    <w:rsid w:val="684F1F4E"/>
    <w:rsid w:val="68595D92"/>
    <w:rsid w:val="685B0D9B"/>
    <w:rsid w:val="685E2B44"/>
    <w:rsid w:val="68604789"/>
    <w:rsid w:val="686547AF"/>
    <w:rsid w:val="686C5C55"/>
    <w:rsid w:val="686E2B57"/>
    <w:rsid w:val="687320B2"/>
    <w:rsid w:val="68751EC8"/>
    <w:rsid w:val="687C00C3"/>
    <w:rsid w:val="6886416A"/>
    <w:rsid w:val="68876C8C"/>
    <w:rsid w:val="688E4C50"/>
    <w:rsid w:val="688F1D30"/>
    <w:rsid w:val="68933853"/>
    <w:rsid w:val="689D5E56"/>
    <w:rsid w:val="68A53F77"/>
    <w:rsid w:val="68A6029D"/>
    <w:rsid w:val="68AB3EF2"/>
    <w:rsid w:val="68AC3252"/>
    <w:rsid w:val="68AC60B3"/>
    <w:rsid w:val="68AD3C29"/>
    <w:rsid w:val="68B16B3D"/>
    <w:rsid w:val="68B17A68"/>
    <w:rsid w:val="68B4730C"/>
    <w:rsid w:val="68BD4868"/>
    <w:rsid w:val="68BE0840"/>
    <w:rsid w:val="68C22736"/>
    <w:rsid w:val="68C53BD7"/>
    <w:rsid w:val="68C56982"/>
    <w:rsid w:val="68D34439"/>
    <w:rsid w:val="68D369BA"/>
    <w:rsid w:val="68D93425"/>
    <w:rsid w:val="68D977C9"/>
    <w:rsid w:val="68DA6631"/>
    <w:rsid w:val="68DC403D"/>
    <w:rsid w:val="68DF3FC2"/>
    <w:rsid w:val="68E24A28"/>
    <w:rsid w:val="68E44A6C"/>
    <w:rsid w:val="68EB598A"/>
    <w:rsid w:val="68EE7C6E"/>
    <w:rsid w:val="68F02EA1"/>
    <w:rsid w:val="68F0717D"/>
    <w:rsid w:val="68F17703"/>
    <w:rsid w:val="68F30F7C"/>
    <w:rsid w:val="68F41520"/>
    <w:rsid w:val="68F51837"/>
    <w:rsid w:val="68F87A79"/>
    <w:rsid w:val="68FA2E71"/>
    <w:rsid w:val="68FC6B6E"/>
    <w:rsid w:val="690065CB"/>
    <w:rsid w:val="6901796F"/>
    <w:rsid w:val="69050D91"/>
    <w:rsid w:val="69056F03"/>
    <w:rsid w:val="690657C1"/>
    <w:rsid w:val="690818CD"/>
    <w:rsid w:val="690A0D95"/>
    <w:rsid w:val="690B4676"/>
    <w:rsid w:val="690F5B58"/>
    <w:rsid w:val="6910579F"/>
    <w:rsid w:val="69134141"/>
    <w:rsid w:val="69164C9F"/>
    <w:rsid w:val="691C37D9"/>
    <w:rsid w:val="691D3CFF"/>
    <w:rsid w:val="691E2272"/>
    <w:rsid w:val="69205ABF"/>
    <w:rsid w:val="69211A66"/>
    <w:rsid w:val="69252269"/>
    <w:rsid w:val="692A4931"/>
    <w:rsid w:val="692A69E9"/>
    <w:rsid w:val="692E4839"/>
    <w:rsid w:val="69326946"/>
    <w:rsid w:val="69332FBA"/>
    <w:rsid w:val="69333314"/>
    <w:rsid w:val="69360573"/>
    <w:rsid w:val="693B2EF1"/>
    <w:rsid w:val="693E2E77"/>
    <w:rsid w:val="69466954"/>
    <w:rsid w:val="694A72E6"/>
    <w:rsid w:val="694C5522"/>
    <w:rsid w:val="694E01C5"/>
    <w:rsid w:val="6953638A"/>
    <w:rsid w:val="69562977"/>
    <w:rsid w:val="69577A9D"/>
    <w:rsid w:val="695C0BAF"/>
    <w:rsid w:val="695C7174"/>
    <w:rsid w:val="695E4A40"/>
    <w:rsid w:val="69645A45"/>
    <w:rsid w:val="69650B29"/>
    <w:rsid w:val="69653028"/>
    <w:rsid w:val="696668DF"/>
    <w:rsid w:val="696770A2"/>
    <w:rsid w:val="69677DB8"/>
    <w:rsid w:val="6970701B"/>
    <w:rsid w:val="69730468"/>
    <w:rsid w:val="69746F06"/>
    <w:rsid w:val="69750E90"/>
    <w:rsid w:val="697846AF"/>
    <w:rsid w:val="69785446"/>
    <w:rsid w:val="69816311"/>
    <w:rsid w:val="69850697"/>
    <w:rsid w:val="69870AC8"/>
    <w:rsid w:val="698710E7"/>
    <w:rsid w:val="69875921"/>
    <w:rsid w:val="698A4DD3"/>
    <w:rsid w:val="698E1222"/>
    <w:rsid w:val="69910372"/>
    <w:rsid w:val="699146CB"/>
    <w:rsid w:val="69917A71"/>
    <w:rsid w:val="69935B58"/>
    <w:rsid w:val="6994592B"/>
    <w:rsid w:val="6998386E"/>
    <w:rsid w:val="69987C0E"/>
    <w:rsid w:val="69994408"/>
    <w:rsid w:val="699A424E"/>
    <w:rsid w:val="699A4C27"/>
    <w:rsid w:val="699D6289"/>
    <w:rsid w:val="699E220B"/>
    <w:rsid w:val="699F0496"/>
    <w:rsid w:val="69A322AF"/>
    <w:rsid w:val="69A550F3"/>
    <w:rsid w:val="69AA19FE"/>
    <w:rsid w:val="69AC3FF7"/>
    <w:rsid w:val="69B5022D"/>
    <w:rsid w:val="69B63E95"/>
    <w:rsid w:val="69B82E8C"/>
    <w:rsid w:val="69BD3FC2"/>
    <w:rsid w:val="69C26621"/>
    <w:rsid w:val="69C33E14"/>
    <w:rsid w:val="69C403D5"/>
    <w:rsid w:val="69C4170E"/>
    <w:rsid w:val="69C61CDE"/>
    <w:rsid w:val="69C93557"/>
    <w:rsid w:val="69D4437C"/>
    <w:rsid w:val="69D45EB2"/>
    <w:rsid w:val="69D91D82"/>
    <w:rsid w:val="69DD6CC2"/>
    <w:rsid w:val="69DF23AC"/>
    <w:rsid w:val="69DF7E0A"/>
    <w:rsid w:val="69E33F10"/>
    <w:rsid w:val="69E640D5"/>
    <w:rsid w:val="69E72B69"/>
    <w:rsid w:val="69EB79E9"/>
    <w:rsid w:val="69F45E12"/>
    <w:rsid w:val="69F55E45"/>
    <w:rsid w:val="69FB4583"/>
    <w:rsid w:val="69FF72B0"/>
    <w:rsid w:val="6A0008EE"/>
    <w:rsid w:val="6A021EAA"/>
    <w:rsid w:val="6A031B20"/>
    <w:rsid w:val="6A045911"/>
    <w:rsid w:val="6A061799"/>
    <w:rsid w:val="6A0870A3"/>
    <w:rsid w:val="6A0926FA"/>
    <w:rsid w:val="6A0B3D98"/>
    <w:rsid w:val="6A1026BB"/>
    <w:rsid w:val="6A131072"/>
    <w:rsid w:val="6A141809"/>
    <w:rsid w:val="6A144101"/>
    <w:rsid w:val="6A145CC6"/>
    <w:rsid w:val="6A1523D0"/>
    <w:rsid w:val="6A1A012E"/>
    <w:rsid w:val="6A1B5603"/>
    <w:rsid w:val="6A1D7504"/>
    <w:rsid w:val="6A2612EE"/>
    <w:rsid w:val="6A267831"/>
    <w:rsid w:val="6A294A31"/>
    <w:rsid w:val="6A327276"/>
    <w:rsid w:val="6A3B2A6C"/>
    <w:rsid w:val="6A3C6E1E"/>
    <w:rsid w:val="6A401E3D"/>
    <w:rsid w:val="6A407E94"/>
    <w:rsid w:val="6A4535FE"/>
    <w:rsid w:val="6A4A2194"/>
    <w:rsid w:val="6A4E79DA"/>
    <w:rsid w:val="6A4F63BE"/>
    <w:rsid w:val="6A5431F2"/>
    <w:rsid w:val="6A54324B"/>
    <w:rsid w:val="6A55295E"/>
    <w:rsid w:val="6A5D04E5"/>
    <w:rsid w:val="6A5D740E"/>
    <w:rsid w:val="6A5E3833"/>
    <w:rsid w:val="6A621A3C"/>
    <w:rsid w:val="6A682506"/>
    <w:rsid w:val="6A686003"/>
    <w:rsid w:val="6A6E2F50"/>
    <w:rsid w:val="6A6F14D4"/>
    <w:rsid w:val="6A754051"/>
    <w:rsid w:val="6A7B1586"/>
    <w:rsid w:val="6A7D5EC5"/>
    <w:rsid w:val="6A867F66"/>
    <w:rsid w:val="6A8A0BEB"/>
    <w:rsid w:val="6A8A4DEF"/>
    <w:rsid w:val="6A8B325A"/>
    <w:rsid w:val="6A8B5EEC"/>
    <w:rsid w:val="6A9142D9"/>
    <w:rsid w:val="6A936E2D"/>
    <w:rsid w:val="6A954A4D"/>
    <w:rsid w:val="6A9D3D5B"/>
    <w:rsid w:val="6AA1529B"/>
    <w:rsid w:val="6AA62974"/>
    <w:rsid w:val="6AA8712B"/>
    <w:rsid w:val="6AAB748D"/>
    <w:rsid w:val="6AAD0467"/>
    <w:rsid w:val="6AB640B0"/>
    <w:rsid w:val="6AB72628"/>
    <w:rsid w:val="6AB80D06"/>
    <w:rsid w:val="6AB91B93"/>
    <w:rsid w:val="6ABE62DF"/>
    <w:rsid w:val="6AC04CFA"/>
    <w:rsid w:val="6AC07046"/>
    <w:rsid w:val="6AC12E39"/>
    <w:rsid w:val="6AC3646D"/>
    <w:rsid w:val="6AC975CE"/>
    <w:rsid w:val="6ACD2618"/>
    <w:rsid w:val="6ACE2ACF"/>
    <w:rsid w:val="6AD05454"/>
    <w:rsid w:val="6AD10533"/>
    <w:rsid w:val="6AD440DB"/>
    <w:rsid w:val="6ADE0409"/>
    <w:rsid w:val="6ADE64A2"/>
    <w:rsid w:val="6ADF23D6"/>
    <w:rsid w:val="6AE46FA9"/>
    <w:rsid w:val="6AE56B39"/>
    <w:rsid w:val="6AE64A0B"/>
    <w:rsid w:val="6AE71054"/>
    <w:rsid w:val="6AEF7F14"/>
    <w:rsid w:val="6AF230F3"/>
    <w:rsid w:val="6AF271E2"/>
    <w:rsid w:val="6AF30DAD"/>
    <w:rsid w:val="6AF51D84"/>
    <w:rsid w:val="6AF6211B"/>
    <w:rsid w:val="6AFC7E01"/>
    <w:rsid w:val="6B0B34D7"/>
    <w:rsid w:val="6B0E0E8E"/>
    <w:rsid w:val="6B0E19B1"/>
    <w:rsid w:val="6B122D0B"/>
    <w:rsid w:val="6B140136"/>
    <w:rsid w:val="6B1A2C98"/>
    <w:rsid w:val="6B1B7F53"/>
    <w:rsid w:val="6B1F4F11"/>
    <w:rsid w:val="6B23055D"/>
    <w:rsid w:val="6B233A4F"/>
    <w:rsid w:val="6B262CB3"/>
    <w:rsid w:val="6B30133C"/>
    <w:rsid w:val="6B321F89"/>
    <w:rsid w:val="6B365812"/>
    <w:rsid w:val="6B386DC6"/>
    <w:rsid w:val="6B3A44DE"/>
    <w:rsid w:val="6B3A4DA0"/>
    <w:rsid w:val="6B3B1258"/>
    <w:rsid w:val="6B3B5A1A"/>
    <w:rsid w:val="6B3C469E"/>
    <w:rsid w:val="6B3E65AE"/>
    <w:rsid w:val="6B3E7068"/>
    <w:rsid w:val="6B3F280A"/>
    <w:rsid w:val="6B3F7011"/>
    <w:rsid w:val="6B423B37"/>
    <w:rsid w:val="6B4414E7"/>
    <w:rsid w:val="6B4430CA"/>
    <w:rsid w:val="6B471936"/>
    <w:rsid w:val="6B4B0F3E"/>
    <w:rsid w:val="6B4D3503"/>
    <w:rsid w:val="6B4E7D57"/>
    <w:rsid w:val="6B4F3F97"/>
    <w:rsid w:val="6B526A06"/>
    <w:rsid w:val="6B5A3F41"/>
    <w:rsid w:val="6B5D4678"/>
    <w:rsid w:val="6B6223D2"/>
    <w:rsid w:val="6B653EA9"/>
    <w:rsid w:val="6B6602F9"/>
    <w:rsid w:val="6B67762F"/>
    <w:rsid w:val="6B6C29BE"/>
    <w:rsid w:val="6B6D2D64"/>
    <w:rsid w:val="6B6E2F57"/>
    <w:rsid w:val="6B707553"/>
    <w:rsid w:val="6B7D330D"/>
    <w:rsid w:val="6B7E1576"/>
    <w:rsid w:val="6B810839"/>
    <w:rsid w:val="6B8178FA"/>
    <w:rsid w:val="6B8557CD"/>
    <w:rsid w:val="6B862BAC"/>
    <w:rsid w:val="6B9360EE"/>
    <w:rsid w:val="6B951906"/>
    <w:rsid w:val="6B9842DD"/>
    <w:rsid w:val="6B9B0197"/>
    <w:rsid w:val="6B9B3710"/>
    <w:rsid w:val="6B9D1963"/>
    <w:rsid w:val="6B9D2603"/>
    <w:rsid w:val="6B9D71C5"/>
    <w:rsid w:val="6B9E0426"/>
    <w:rsid w:val="6BA05FFA"/>
    <w:rsid w:val="6BA10593"/>
    <w:rsid w:val="6BA339D5"/>
    <w:rsid w:val="6BA34FE9"/>
    <w:rsid w:val="6BAB5E92"/>
    <w:rsid w:val="6BAE154E"/>
    <w:rsid w:val="6BB47943"/>
    <w:rsid w:val="6BB541A2"/>
    <w:rsid w:val="6BB86B5B"/>
    <w:rsid w:val="6BBA281A"/>
    <w:rsid w:val="6BBE3FDF"/>
    <w:rsid w:val="6BBF247A"/>
    <w:rsid w:val="6BBF3AD0"/>
    <w:rsid w:val="6BBF5980"/>
    <w:rsid w:val="6BC10214"/>
    <w:rsid w:val="6BC30143"/>
    <w:rsid w:val="6BC80D59"/>
    <w:rsid w:val="6BC95F80"/>
    <w:rsid w:val="6BCA4FAC"/>
    <w:rsid w:val="6BCA7B50"/>
    <w:rsid w:val="6BCF4D2B"/>
    <w:rsid w:val="6BD30C1A"/>
    <w:rsid w:val="6BD446EF"/>
    <w:rsid w:val="6BD75F28"/>
    <w:rsid w:val="6BD77555"/>
    <w:rsid w:val="6BE912EA"/>
    <w:rsid w:val="6BED566E"/>
    <w:rsid w:val="6BF05F9A"/>
    <w:rsid w:val="6BF61BE7"/>
    <w:rsid w:val="6BFE25E0"/>
    <w:rsid w:val="6C00024D"/>
    <w:rsid w:val="6C0146FE"/>
    <w:rsid w:val="6C016522"/>
    <w:rsid w:val="6C0760FE"/>
    <w:rsid w:val="6C076275"/>
    <w:rsid w:val="6C0A7153"/>
    <w:rsid w:val="6C0B303D"/>
    <w:rsid w:val="6C1047C8"/>
    <w:rsid w:val="6C116A49"/>
    <w:rsid w:val="6C121915"/>
    <w:rsid w:val="6C1461A1"/>
    <w:rsid w:val="6C19452E"/>
    <w:rsid w:val="6C1D4C5E"/>
    <w:rsid w:val="6C2508AB"/>
    <w:rsid w:val="6C275C06"/>
    <w:rsid w:val="6C2F2410"/>
    <w:rsid w:val="6C2F55F3"/>
    <w:rsid w:val="6C3121E1"/>
    <w:rsid w:val="6C39611F"/>
    <w:rsid w:val="6C3D0951"/>
    <w:rsid w:val="6C434751"/>
    <w:rsid w:val="6C4A32DD"/>
    <w:rsid w:val="6C4D2F3D"/>
    <w:rsid w:val="6C560D58"/>
    <w:rsid w:val="6C5A3F0E"/>
    <w:rsid w:val="6C5D4232"/>
    <w:rsid w:val="6C622381"/>
    <w:rsid w:val="6C637F8B"/>
    <w:rsid w:val="6C672CF0"/>
    <w:rsid w:val="6C6A6AD3"/>
    <w:rsid w:val="6C755093"/>
    <w:rsid w:val="6C7701ED"/>
    <w:rsid w:val="6C7F664B"/>
    <w:rsid w:val="6C823DD9"/>
    <w:rsid w:val="6C826645"/>
    <w:rsid w:val="6C831D22"/>
    <w:rsid w:val="6C882CF9"/>
    <w:rsid w:val="6C8A1E86"/>
    <w:rsid w:val="6C8A617C"/>
    <w:rsid w:val="6C8B1FE9"/>
    <w:rsid w:val="6C8E0F24"/>
    <w:rsid w:val="6C921C83"/>
    <w:rsid w:val="6C930A99"/>
    <w:rsid w:val="6C993173"/>
    <w:rsid w:val="6C9C51B0"/>
    <w:rsid w:val="6CA4505D"/>
    <w:rsid w:val="6CA72623"/>
    <w:rsid w:val="6CA86BC2"/>
    <w:rsid w:val="6CAD46EC"/>
    <w:rsid w:val="6CAE6E3C"/>
    <w:rsid w:val="6CB07825"/>
    <w:rsid w:val="6CB7473F"/>
    <w:rsid w:val="6CBE3CE8"/>
    <w:rsid w:val="6CBF3A3E"/>
    <w:rsid w:val="6CBF4BD6"/>
    <w:rsid w:val="6CC339E5"/>
    <w:rsid w:val="6CC348E2"/>
    <w:rsid w:val="6CC35464"/>
    <w:rsid w:val="6CC36DB2"/>
    <w:rsid w:val="6CC6449F"/>
    <w:rsid w:val="6CCE569F"/>
    <w:rsid w:val="6CCE6A93"/>
    <w:rsid w:val="6CD33001"/>
    <w:rsid w:val="6CD57374"/>
    <w:rsid w:val="6CD74787"/>
    <w:rsid w:val="6CD86AB8"/>
    <w:rsid w:val="6CDC5886"/>
    <w:rsid w:val="6CDE1621"/>
    <w:rsid w:val="6CE73993"/>
    <w:rsid w:val="6CE906F2"/>
    <w:rsid w:val="6CF12C41"/>
    <w:rsid w:val="6CF45B05"/>
    <w:rsid w:val="6CF603B5"/>
    <w:rsid w:val="6CFC1B22"/>
    <w:rsid w:val="6CFF56C7"/>
    <w:rsid w:val="6D020871"/>
    <w:rsid w:val="6D070AE7"/>
    <w:rsid w:val="6D08090B"/>
    <w:rsid w:val="6D0B2ED9"/>
    <w:rsid w:val="6D0F2FE4"/>
    <w:rsid w:val="6D102915"/>
    <w:rsid w:val="6D14002B"/>
    <w:rsid w:val="6D181318"/>
    <w:rsid w:val="6D1B08F8"/>
    <w:rsid w:val="6D21401B"/>
    <w:rsid w:val="6D221A9A"/>
    <w:rsid w:val="6D2929CA"/>
    <w:rsid w:val="6D297D56"/>
    <w:rsid w:val="6D2C3829"/>
    <w:rsid w:val="6D374515"/>
    <w:rsid w:val="6D3846E9"/>
    <w:rsid w:val="6D3968EE"/>
    <w:rsid w:val="6D3A7006"/>
    <w:rsid w:val="6D3C3C2D"/>
    <w:rsid w:val="6D3C6A83"/>
    <w:rsid w:val="6D3D5886"/>
    <w:rsid w:val="6D3E3FD5"/>
    <w:rsid w:val="6D3F2E6B"/>
    <w:rsid w:val="6D407733"/>
    <w:rsid w:val="6D444D1B"/>
    <w:rsid w:val="6D4554FB"/>
    <w:rsid w:val="6D4B72A8"/>
    <w:rsid w:val="6D4C3473"/>
    <w:rsid w:val="6D4D49D6"/>
    <w:rsid w:val="6D55533E"/>
    <w:rsid w:val="6D565FC5"/>
    <w:rsid w:val="6D573BFE"/>
    <w:rsid w:val="6D5F4E52"/>
    <w:rsid w:val="6D6113A9"/>
    <w:rsid w:val="6D620E08"/>
    <w:rsid w:val="6D642653"/>
    <w:rsid w:val="6D6812BA"/>
    <w:rsid w:val="6D687C80"/>
    <w:rsid w:val="6D750343"/>
    <w:rsid w:val="6D786706"/>
    <w:rsid w:val="6D7B69FB"/>
    <w:rsid w:val="6D800023"/>
    <w:rsid w:val="6D827812"/>
    <w:rsid w:val="6D833F34"/>
    <w:rsid w:val="6D8B548E"/>
    <w:rsid w:val="6D9045FA"/>
    <w:rsid w:val="6D92035E"/>
    <w:rsid w:val="6D954B8D"/>
    <w:rsid w:val="6D9C21DE"/>
    <w:rsid w:val="6D9C6F4F"/>
    <w:rsid w:val="6DA123F8"/>
    <w:rsid w:val="6DA37CA7"/>
    <w:rsid w:val="6DA432C5"/>
    <w:rsid w:val="6DA46850"/>
    <w:rsid w:val="6DA62183"/>
    <w:rsid w:val="6DA732C2"/>
    <w:rsid w:val="6DA817BD"/>
    <w:rsid w:val="6DAC706D"/>
    <w:rsid w:val="6DAD12E4"/>
    <w:rsid w:val="6DAE6FE6"/>
    <w:rsid w:val="6DAF3235"/>
    <w:rsid w:val="6DAF460F"/>
    <w:rsid w:val="6DB27D0B"/>
    <w:rsid w:val="6DB37CB2"/>
    <w:rsid w:val="6DB617DE"/>
    <w:rsid w:val="6DBC71FC"/>
    <w:rsid w:val="6DBF3DDD"/>
    <w:rsid w:val="6DBF54FF"/>
    <w:rsid w:val="6DC04E50"/>
    <w:rsid w:val="6DC21277"/>
    <w:rsid w:val="6DC97A58"/>
    <w:rsid w:val="6DCB44D3"/>
    <w:rsid w:val="6DCC30FA"/>
    <w:rsid w:val="6DCF5696"/>
    <w:rsid w:val="6DD05B2B"/>
    <w:rsid w:val="6DD11257"/>
    <w:rsid w:val="6DD66171"/>
    <w:rsid w:val="6DD9205C"/>
    <w:rsid w:val="6DDA18E6"/>
    <w:rsid w:val="6DDA3027"/>
    <w:rsid w:val="6DDD5B62"/>
    <w:rsid w:val="6DE37A1D"/>
    <w:rsid w:val="6DE523FE"/>
    <w:rsid w:val="6DE64C48"/>
    <w:rsid w:val="6DE763F5"/>
    <w:rsid w:val="6DE77D08"/>
    <w:rsid w:val="6DE80918"/>
    <w:rsid w:val="6DE8266B"/>
    <w:rsid w:val="6DEB5A79"/>
    <w:rsid w:val="6DEC60F2"/>
    <w:rsid w:val="6DEE13BE"/>
    <w:rsid w:val="6DF21125"/>
    <w:rsid w:val="6DF552A4"/>
    <w:rsid w:val="6DF729E9"/>
    <w:rsid w:val="6DF969F3"/>
    <w:rsid w:val="6DFC0532"/>
    <w:rsid w:val="6E00502F"/>
    <w:rsid w:val="6E0506AE"/>
    <w:rsid w:val="6E053CF1"/>
    <w:rsid w:val="6E0C524E"/>
    <w:rsid w:val="6E0F3C7D"/>
    <w:rsid w:val="6E10098D"/>
    <w:rsid w:val="6E127EFC"/>
    <w:rsid w:val="6E132D9D"/>
    <w:rsid w:val="6E135C68"/>
    <w:rsid w:val="6E144591"/>
    <w:rsid w:val="6E1B081A"/>
    <w:rsid w:val="6E1D01BF"/>
    <w:rsid w:val="6E1E6606"/>
    <w:rsid w:val="6E1F44E7"/>
    <w:rsid w:val="6E2437BD"/>
    <w:rsid w:val="6E285AA5"/>
    <w:rsid w:val="6E2A15B0"/>
    <w:rsid w:val="6E2B19A7"/>
    <w:rsid w:val="6E2C18C4"/>
    <w:rsid w:val="6E2E1D9F"/>
    <w:rsid w:val="6E2F7298"/>
    <w:rsid w:val="6E301B3A"/>
    <w:rsid w:val="6E332919"/>
    <w:rsid w:val="6E391BD6"/>
    <w:rsid w:val="6E3E4169"/>
    <w:rsid w:val="6E3E4552"/>
    <w:rsid w:val="6E3F3438"/>
    <w:rsid w:val="6E415F96"/>
    <w:rsid w:val="6E445E64"/>
    <w:rsid w:val="6E5548DB"/>
    <w:rsid w:val="6E6103EB"/>
    <w:rsid w:val="6E6244FA"/>
    <w:rsid w:val="6E634240"/>
    <w:rsid w:val="6E650637"/>
    <w:rsid w:val="6E6D1677"/>
    <w:rsid w:val="6E6E1AFB"/>
    <w:rsid w:val="6E70046B"/>
    <w:rsid w:val="6E7B7B9A"/>
    <w:rsid w:val="6E7C3DC5"/>
    <w:rsid w:val="6E7D6608"/>
    <w:rsid w:val="6E7E380F"/>
    <w:rsid w:val="6E840E96"/>
    <w:rsid w:val="6E86071C"/>
    <w:rsid w:val="6E912DB8"/>
    <w:rsid w:val="6E914938"/>
    <w:rsid w:val="6E9678C9"/>
    <w:rsid w:val="6E975F50"/>
    <w:rsid w:val="6E99121A"/>
    <w:rsid w:val="6E9D2030"/>
    <w:rsid w:val="6E9E6C63"/>
    <w:rsid w:val="6EA84A68"/>
    <w:rsid w:val="6EAC7E14"/>
    <w:rsid w:val="6EAD0E12"/>
    <w:rsid w:val="6EB041AD"/>
    <w:rsid w:val="6EB11C43"/>
    <w:rsid w:val="6EB25CF3"/>
    <w:rsid w:val="6EB3654E"/>
    <w:rsid w:val="6EB41E8A"/>
    <w:rsid w:val="6EB83B6F"/>
    <w:rsid w:val="6EBB56A5"/>
    <w:rsid w:val="6EBB6870"/>
    <w:rsid w:val="6EC6163E"/>
    <w:rsid w:val="6ED13204"/>
    <w:rsid w:val="6ED26B51"/>
    <w:rsid w:val="6EE71599"/>
    <w:rsid w:val="6EE721A3"/>
    <w:rsid w:val="6EE84B26"/>
    <w:rsid w:val="6EF056D2"/>
    <w:rsid w:val="6EF073E7"/>
    <w:rsid w:val="6EF30106"/>
    <w:rsid w:val="6EF42437"/>
    <w:rsid w:val="6EFC45CA"/>
    <w:rsid w:val="6EFC593D"/>
    <w:rsid w:val="6EFC5E22"/>
    <w:rsid w:val="6EFD223A"/>
    <w:rsid w:val="6F002224"/>
    <w:rsid w:val="6F057008"/>
    <w:rsid w:val="6F0B712C"/>
    <w:rsid w:val="6F12509A"/>
    <w:rsid w:val="6F181C24"/>
    <w:rsid w:val="6F191280"/>
    <w:rsid w:val="6F1C5D95"/>
    <w:rsid w:val="6F1D3F3F"/>
    <w:rsid w:val="6F257D3C"/>
    <w:rsid w:val="6F2611D1"/>
    <w:rsid w:val="6F2B135C"/>
    <w:rsid w:val="6F397262"/>
    <w:rsid w:val="6F3C2E12"/>
    <w:rsid w:val="6F3E382B"/>
    <w:rsid w:val="6F404FB8"/>
    <w:rsid w:val="6F48529F"/>
    <w:rsid w:val="6F496EDD"/>
    <w:rsid w:val="6F4A345A"/>
    <w:rsid w:val="6F4B3F64"/>
    <w:rsid w:val="6F4F500A"/>
    <w:rsid w:val="6F50539A"/>
    <w:rsid w:val="6F505531"/>
    <w:rsid w:val="6F507649"/>
    <w:rsid w:val="6F533C00"/>
    <w:rsid w:val="6F57094B"/>
    <w:rsid w:val="6F596499"/>
    <w:rsid w:val="6F597F33"/>
    <w:rsid w:val="6F5D7D5C"/>
    <w:rsid w:val="6F600996"/>
    <w:rsid w:val="6F650D3C"/>
    <w:rsid w:val="6F6A6C34"/>
    <w:rsid w:val="6F6C42E5"/>
    <w:rsid w:val="6F7D1BB5"/>
    <w:rsid w:val="6F842701"/>
    <w:rsid w:val="6F8A3171"/>
    <w:rsid w:val="6F952549"/>
    <w:rsid w:val="6F964FBF"/>
    <w:rsid w:val="6F9707AF"/>
    <w:rsid w:val="6F972496"/>
    <w:rsid w:val="6F98334B"/>
    <w:rsid w:val="6F986AC9"/>
    <w:rsid w:val="6F9B2014"/>
    <w:rsid w:val="6F9F01AD"/>
    <w:rsid w:val="6FA33945"/>
    <w:rsid w:val="6FA8682A"/>
    <w:rsid w:val="6FAC7792"/>
    <w:rsid w:val="6FAE6409"/>
    <w:rsid w:val="6FAF4B13"/>
    <w:rsid w:val="6FB266A6"/>
    <w:rsid w:val="6FB339DF"/>
    <w:rsid w:val="6FB503BE"/>
    <w:rsid w:val="6FB533F1"/>
    <w:rsid w:val="6FBC3C99"/>
    <w:rsid w:val="6FBF6DFE"/>
    <w:rsid w:val="6FC45531"/>
    <w:rsid w:val="6FC54713"/>
    <w:rsid w:val="6FCC7300"/>
    <w:rsid w:val="6FD10008"/>
    <w:rsid w:val="6FD535E4"/>
    <w:rsid w:val="6FD76F95"/>
    <w:rsid w:val="6FDC502B"/>
    <w:rsid w:val="6FDF5E27"/>
    <w:rsid w:val="6FE168DF"/>
    <w:rsid w:val="6FE462B2"/>
    <w:rsid w:val="6FE73D4C"/>
    <w:rsid w:val="6FEC3532"/>
    <w:rsid w:val="6FEC6C23"/>
    <w:rsid w:val="6FF7277A"/>
    <w:rsid w:val="6FF83AD2"/>
    <w:rsid w:val="6FFD1AD0"/>
    <w:rsid w:val="6FFD7453"/>
    <w:rsid w:val="70034DF2"/>
    <w:rsid w:val="70070629"/>
    <w:rsid w:val="700774B0"/>
    <w:rsid w:val="700944FD"/>
    <w:rsid w:val="700B13D0"/>
    <w:rsid w:val="700D791A"/>
    <w:rsid w:val="7013504E"/>
    <w:rsid w:val="701577B3"/>
    <w:rsid w:val="70251EB4"/>
    <w:rsid w:val="702532EE"/>
    <w:rsid w:val="70286C95"/>
    <w:rsid w:val="702A6865"/>
    <w:rsid w:val="702E42DF"/>
    <w:rsid w:val="70315E0D"/>
    <w:rsid w:val="703264BC"/>
    <w:rsid w:val="70351130"/>
    <w:rsid w:val="70355468"/>
    <w:rsid w:val="703719C3"/>
    <w:rsid w:val="70381509"/>
    <w:rsid w:val="703834B9"/>
    <w:rsid w:val="703C7792"/>
    <w:rsid w:val="703D1E8C"/>
    <w:rsid w:val="704000A9"/>
    <w:rsid w:val="7042563D"/>
    <w:rsid w:val="70447C18"/>
    <w:rsid w:val="704574E3"/>
    <w:rsid w:val="704C5AA2"/>
    <w:rsid w:val="704F6088"/>
    <w:rsid w:val="70506737"/>
    <w:rsid w:val="7050714B"/>
    <w:rsid w:val="7052677A"/>
    <w:rsid w:val="70533DCD"/>
    <w:rsid w:val="705A4C2A"/>
    <w:rsid w:val="705C58C3"/>
    <w:rsid w:val="705D689F"/>
    <w:rsid w:val="70625350"/>
    <w:rsid w:val="70627CF6"/>
    <w:rsid w:val="70632F38"/>
    <w:rsid w:val="70664AAA"/>
    <w:rsid w:val="70695868"/>
    <w:rsid w:val="706B1469"/>
    <w:rsid w:val="706D55DB"/>
    <w:rsid w:val="706F787C"/>
    <w:rsid w:val="70744D2A"/>
    <w:rsid w:val="707529F0"/>
    <w:rsid w:val="70793309"/>
    <w:rsid w:val="707A3F01"/>
    <w:rsid w:val="707A4C28"/>
    <w:rsid w:val="707A50D2"/>
    <w:rsid w:val="707B6CC6"/>
    <w:rsid w:val="707E7D84"/>
    <w:rsid w:val="708711C7"/>
    <w:rsid w:val="708A4A3A"/>
    <w:rsid w:val="708D3BBF"/>
    <w:rsid w:val="709074F0"/>
    <w:rsid w:val="70945E2D"/>
    <w:rsid w:val="70967701"/>
    <w:rsid w:val="7099037A"/>
    <w:rsid w:val="709C5626"/>
    <w:rsid w:val="709E0791"/>
    <w:rsid w:val="709E6DE0"/>
    <w:rsid w:val="70A43FE6"/>
    <w:rsid w:val="70A4694A"/>
    <w:rsid w:val="70A74661"/>
    <w:rsid w:val="70AA2886"/>
    <w:rsid w:val="70AB155B"/>
    <w:rsid w:val="70AB71DD"/>
    <w:rsid w:val="70AD797E"/>
    <w:rsid w:val="70B073DE"/>
    <w:rsid w:val="70B60580"/>
    <w:rsid w:val="70B73D9E"/>
    <w:rsid w:val="70BB2364"/>
    <w:rsid w:val="70BB68B4"/>
    <w:rsid w:val="70BE40C6"/>
    <w:rsid w:val="70C06373"/>
    <w:rsid w:val="70C37EEB"/>
    <w:rsid w:val="70C77D5D"/>
    <w:rsid w:val="70CA3733"/>
    <w:rsid w:val="70CE4028"/>
    <w:rsid w:val="70CE47BA"/>
    <w:rsid w:val="70CF71D7"/>
    <w:rsid w:val="70D62D92"/>
    <w:rsid w:val="70DC4950"/>
    <w:rsid w:val="70E276E6"/>
    <w:rsid w:val="70E56BBC"/>
    <w:rsid w:val="70EA4DFB"/>
    <w:rsid w:val="70EA6A6C"/>
    <w:rsid w:val="70ED4A8B"/>
    <w:rsid w:val="70F04862"/>
    <w:rsid w:val="70F50989"/>
    <w:rsid w:val="70F60FBB"/>
    <w:rsid w:val="70F64F59"/>
    <w:rsid w:val="70F96475"/>
    <w:rsid w:val="70FC148B"/>
    <w:rsid w:val="71081D71"/>
    <w:rsid w:val="71097927"/>
    <w:rsid w:val="710D7B87"/>
    <w:rsid w:val="710F363B"/>
    <w:rsid w:val="710F44F9"/>
    <w:rsid w:val="71104908"/>
    <w:rsid w:val="711206DC"/>
    <w:rsid w:val="7119524A"/>
    <w:rsid w:val="71247027"/>
    <w:rsid w:val="71247E8D"/>
    <w:rsid w:val="71255EC4"/>
    <w:rsid w:val="71263A21"/>
    <w:rsid w:val="71270E47"/>
    <w:rsid w:val="712D0941"/>
    <w:rsid w:val="712D1A74"/>
    <w:rsid w:val="71326B6F"/>
    <w:rsid w:val="71414D57"/>
    <w:rsid w:val="71436911"/>
    <w:rsid w:val="7146138F"/>
    <w:rsid w:val="714631BC"/>
    <w:rsid w:val="714D69EC"/>
    <w:rsid w:val="71565F78"/>
    <w:rsid w:val="71575CF1"/>
    <w:rsid w:val="715A00AA"/>
    <w:rsid w:val="715D4F1A"/>
    <w:rsid w:val="715F200C"/>
    <w:rsid w:val="71625635"/>
    <w:rsid w:val="7166344B"/>
    <w:rsid w:val="716D2BED"/>
    <w:rsid w:val="7171542B"/>
    <w:rsid w:val="717546E2"/>
    <w:rsid w:val="71775A9E"/>
    <w:rsid w:val="71781A2A"/>
    <w:rsid w:val="71781B81"/>
    <w:rsid w:val="717E425E"/>
    <w:rsid w:val="71801A9F"/>
    <w:rsid w:val="71803C53"/>
    <w:rsid w:val="71824204"/>
    <w:rsid w:val="71824A92"/>
    <w:rsid w:val="718677F6"/>
    <w:rsid w:val="71881603"/>
    <w:rsid w:val="718A655C"/>
    <w:rsid w:val="719021B1"/>
    <w:rsid w:val="71912C15"/>
    <w:rsid w:val="71931653"/>
    <w:rsid w:val="7194676B"/>
    <w:rsid w:val="71980565"/>
    <w:rsid w:val="71AB2139"/>
    <w:rsid w:val="71AE6211"/>
    <w:rsid w:val="71B611F8"/>
    <w:rsid w:val="71B620F3"/>
    <w:rsid w:val="71B95136"/>
    <w:rsid w:val="71BA437B"/>
    <w:rsid w:val="71BB4DB6"/>
    <w:rsid w:val="71BE2F9A"/>
    <w:rsid w:val="71BE778D"/>
    <w:rsid w:val="71C11A5C"/>
    <w:rsid w:val="71C13FD7"/>
    <w:rsid w:val="71C145C9"/>
    <w:rsid w:val="71C4310A"/>
    <w:rsid w:val="71CB1A8C"/>
    <w:rsid w:val="71CB1AC0"/>
    <w:rsid w:val="71D03D6B"/>
    <w:rsid w:val="71D06C9A"/>
    <w:rsid w:val="71D87629"/>
    <w:rsid w:val="71DB6BDA"/>
    <w:rsid w:val="71DF7CE9"/>
    <w:rsid w:val="71E1741D"/>
    <w:rsid w:val="71E36839"/>
    <w:rsid w:val="71E40C3F"/>
    <w:rsid w:val="71E42425"/>
    <w:rsid w:val="71E6180A"/>
    <w:rsid w:val="71E67F77"/>
    <w:rsid w:val="71ED73F9"/>
    <w:rsid w:val="71F4206E"/>
    <w:rsid w:val="71F4468B"/>
    <w:rsid w:val="71F72860"/>
    <w:rsid w:val="71F77332"/>
    <w:rsid w:val="71FA11B6"/>
    <w:rsid w:val="71FB1AD2"/>
    <w:rsid w:val="71FD0147"/>
    <w:rsid w:val="720839DB"/>
    <w:rsid w:val="720979FE"/>
    <w:rsid w:val="720A3321"/>
    <w:rsid w:val="720F2481"/>
    <w:rsid w:val="720F4058"/>
    <w:rsid w:val="72104FB2"/>
    <w:rsid w:val="72156C8A"/>
    <w:rsid w:val="72160DED"/>
    <w:rsid w:val="72175C1C"/>
    <w:rsid w:val="7218311C"/>
    <w:rsid w:val="721B5984"/>
    <w:rsid w:val="7220665D"/>
    <w:rsid w:val="722130E5"/>
    <w:rsid w:val="722147BB"/>
    <w:rsid w:val="72294C9F"/>
    <w:rsid w:val="72296FAB"/>
    <w:rsid w:val="722977EC"/>
    <w:rsid w:val="722A22BB"/>
    <w:rsid w:val="722C0DDB"/>
    <w:rsid w:val="722C1255"/>
    <w:rsid w:val="722E512C"/>
    <w:rsid w:val="7231358F"/>
    <w:rsid w:val="723223FD"/>
    <w:rsid w:val="723518D2"/>
    <w:rsid w:val="723569FF"/>
    <w:rsid w:val="72361626"/>
    <w:rsid w:val="723966B6"/>
    <w:rsid w:val="723C0D07"/>
    <w:rsid w:val="723D0190"/>
    <w:rsid w:val="723F6FC6"/>
    <w:rsid w:val="72403379"/>
    <w:rsid w:val="724120DC"/>
    <w:rsid w:val="72486550"/>
    <w:rsid w:val="724C0828"/>
    <w:rsid w:val="724C3EC5"/>
    <w:rsid w:val="724E3A1A"/>
    <w:rsid w:val="725856D4"/>
    <w:rsid w:val="725D565A"/>
    <w:rsid w:val="725E011E"/>
    <w:rsid w:val="726400F1"/>
    <w:rsid w:val="7265268A"/>
    <w:rsid w:val="72662381"/>
    <w:rsid w:val="72680772"/>
    <w:rsid w:val="726C6493"/>
    <w:rsid w:val="726D6E33"/>
    <w:rsid w:val="72714670"/>
    <w:rsid w:val="727874AF"/>
    <w:rsid w:val="727932ED"/>
    <w:rsid w:val="72794943"/>
    <w:rsid w:val="727A5312"/>
    <w:rsid w:val="727B1C3D"/>
    <w:rsid w:val="727F4E5D"/>
    <w:rsid w:val="72800413"/>
    <w:rsid w:val="728065F0"/>
    <w:rsid w:val="728C071A"/>
    <w:rsid w:val="728F0CD6"/>
    <w:rsid w:val="72902957"/>
    <w:rsid w:val="7298723F"/>
    <w:rsid w:val="729A4267"/>
    <w:rsid w:val="729A6CB3"/>
    <w:rsid w:val="729D67BD"/>
    <w:rsid w:val="729E7902"/>
    <w:rsid w:val="72A06E16"/>
    <w:rsid w:val="72A42AE2"/>
    <w:rsid w:val="72A9443E"/>
    <w:rsid w:val="72A953EA"/>
    <w:rsid w:val="72AA27DF"/>
    <w:rsid w:val="72AD1891"/>
    <w:rsid w:val="72AF3908"/>
    <w:rsid w:val="72B44BBA"/>
    <w:rsid w:val="72B964A2"/>
    <w:rsid w:val="72BA1355"/>
    <w:rsid w:val="72C20EF5"/>
    <w:rsid w:val="72CD72BF"/>
    <w:rsid w:val="72D00A8A"/>
    <w:rsid w:val="72D35A37"/>
    <w:rsid w:val="72D41CCB"/>
    <w:rsid w:val="72D53F4E"/>
    <w:rsid w:val="72D85693"/>
    <w:rsid w:val="72E934EA"/>
    <w:rsid w:val="72E9643E"/>
    <w:rsid w:val="72EB02C6"/>
    <w:rsid w:val="72EC1921"/>
    <w:rsid w:val="72F02040"/>
    <w:rsid w:val="72F4211C"/>
    <w:rsid w:val="72FA5B7A"/>
    <w:rsid w:val="72FA68B2"/>
    <w:rsid w:val="72FD0373"/>
    <w:rsid w:val="72FD09CF"/>
    <w:rsid w:val="72FE2C2A"/>
    <w:rsid w:val="730058CB"/>
    <w:rsid w:val="7303452F"/>
    <w:rsid w:val="730554C5"/>
    <w:rsid w:val="730B10FD"/>
    <w:rsid w:val="730D0395"/>
    <w:rsid w:val="73174975"/>
    <w:rsid w:val="73195BDF"/>
    <w:rsid w:val="73197C14"/>
    <w:rsid w:val="731B61B9"/>
    <w:rsid w:val="731C1E9D"/>
    <w:rsid w:val="73232DCA"/>
    <w:rsid w:val="732434C3"/>
    <w:rsid w:val="7325519F"/>
    <w:rsid w:val="7325572C"/>
    <w:rsid w:val="73263BFA"/>
    <w:rsid w:val="73284AC4"/>
    <w:rsid w:val="732C282A"/>
    <w:rsid w:val="732D717B"/>
    <w:rsid w:val="73382239"/>
    <w:rsid w:val="73382D36"/>
    <w:rsid w:val="733A739A"/>
    <w:rsid w:val="733F7B22"/>
    <w:rsid w:val="7340497E"/>
    <w:rsid w:val="73410721"/>
    <w:rsid w:val="73453B3C"/>
    <w:rsid w:val="73494A75"/>
    <w:rsid w:val="73497D6F"/>
    <w:rsid w:val="734A5296"/>
    <w:rsid w:val="734C11EE"/>
    <w:rsid w:val="735119F7"/>
    <w:rsid w:val="73514E4B"/>
    <w:rsid w:val="73564847"/>
    <w:rsid w:val="73570E41"/>
    <w:rsid w:val="7357342B"/>
    <w:rsid w:val="735B7AB3"/>
    <w:rsid w:val="735D633C"/>
    <w:rsid w:val="736038D6"/>
    <w:rsid w:val="73607F7B"/>
    <w:rsid w:val="73644896"/>
    <w:rsid w:val="73664246"/>
    <w:rsid w:val="736772AA"/>
    <w:rsid w:val="736C7E1F"/>
    <w:rsid w:val="736F710E"/>
    <w:rsid w:val="737235F2"/>
    <w:rsid w:val="73726FCA"/>
    <w:rsid w:val="737A1728"/>
    <w:rsid w:val="737D79DD"/>
    <w:rsid w:val="737F2DBB"/>
    <w:rsid w:val="73834039"/>
    <w:rsid w:val="738402D5"/>
    <w:rsid w:val="73881FF7"/>
    <w:rsid w:val="73894E6E"/>
    <w:rsid w:val="738A2B5C"/>
    <w:rsid w:val="738E6B79"/>
    <w:rsid w:val="73907F41"/>
    <w:rsid w:val="73912405"/>
    <w:rsid w:val="73941A4D"/>
    <w:rsid w:val="739628A0"/>
    <w:rsid w:val="739A250D"/>
    <w:rsid w:val="739C7EF7"/>
    <w:rsid w:val="73A32454"/>
    <w:rsid w:val="73A6251A"/>
    <w:rsid w:val="73AA293C"/>
    <w:rsid w:val="73B04370"/>
    <w:rsid w:val="73B21DD5"/>
    <w:rsid w:val="73B42ECF"/>
    <w:rsid w:val="73B67697"/>
    <w:rsid w:val="73BB13EE"/>
    <w:rsid w:val="73BC58B8"/>
    <w:rsid w:val="73BC6958"/>
    <w:rsid w:val="73BE68F2"/>
    <w:rsid w:val="73C31AFA"/>
    <w:rsid w:val="73C35B36"/>
    <w:rsid w:val="73C6760A"/>
    <w:rsid w:val="73C84E1C"/>
    <w:rsid w:val="73C9506E"/>
    <w:rsid w:val="73CA2181"/>
    <w:rsid w:val="73CD6B46"/>
    <w:rsid w:val="73CE16C2"/>
    <w:rsid w:val="73D054A0"/>
    <w:rsid w:val="73D33DE8"/>
    <w:rsid w:val="73D51A3E"/>
    <w:rsid w:val="73D82134"/>
    <w:rsid w:val="73DF2B8C"/>
    <w:rsid w:val="73E0097A"/>
    <w:rsid w:val="73EA6EAB"/>
    <w:rsid w:val="73ED32F3"/>
    <w:rsid w:val="73F27CB3"/>
    <w:rsid w:val="73F336F9"/>
    <w:rsid w:val="73F35DE6"/>
    <w:rsid w:val="74011372"/>
    <w:rsid w:val="74031FCD"/>
    <w:rsid w:val="74037374"/>
    <w:rsid w:val="74044964"/>
    <w:rsid w:val="74062BC9"/>
    <w:rsid w:val="74066C8C"/>
    <w:rsid w:val="740E75CB"/>
    <w:rsid w:val="74132950"/>
    <w:rsid w:val="74185F0B"/>
    <w:rsid w:val="741A28BF"/>
    <w:rsid w:val="741C258C"/>
    <w:rsid w:val="741F3231"/>
    <w:rsid w:val="74221D04"/>
    <w:rsid w:val="7425370C"/>
    <w:rsid w:val="74253AE1"/>
    <w:rsid w:val="742662AB"/>
    <w:rsid w:val="742824FD"/>
    <w:rsid w:val="74285942"/>
    <w:rsid w:val="74345FBE"/>
    <w:rsid w:val="74386D1B"/>
    <w:rsid w:val="74395F35"/>
    <w:rsid w:val="74406A77"/>
    <w:rsid w:val="744167D9"/>
    <w:rsid w:val="744927B8"/>
    <w:rsid w:val="744B32E2"/>
    <w:rsid w:val="744C4966"/>
    <w:rsid w:val="744E2795"/>
    <w:rsid w:val="74501062"/>
    <w:rsid w:val="74501F13"/>
    <w:rsid w:val="745250DF"/>
    <w:rsid w:val="745433E4"/>
    <w:rsid w:val="745D4ABC"/>
    <w:rsid w:val="745F107C"/>
    <w:rsid w:val="74621B57"/>
    <w:rsid w:val="74630521"/>
    <w:rsid w:val="74650C06"/>
    <w:rsid w:val="746545A5"/>
    <w:rsid w:val="746873D6"/>
    <w:rsid w:val="74695D1A"/>
    <w:rsid w:val="746B6BA3"/>
    <w:rsid w:val="746E506E"/>
    <w:rsid w:val="746E5813"/>
    <w:rsid w:val="74737E5D"/>
    <w:rsid w:val="747562F6"/>
    <w:rsid w:val="7478781C"/>
    <w:rsid w:val="747A16CA"/>
    <w:rsid w:val="747A3B8F"/>
    <w:rsid w:val="747A6C8C"/>
    <w:rsid w:val="747E0624"/>
    <w:rsid w:val="74812655"/>
    <w:rsid w:val="74821506"/>
    <w:rsid w:val="74831BC4"/>
    <w:rsid w:val="7483394F"/>
    <w:rsid w:val="74891BBD"/>
    <w:rsid w:val="748B25E8"/>
    <w:rsid w:val="748F5DF9"/>
    <w:rsid w:val="74911E5D"/>
    <w:rsid w:val="7494408C"/>
    <w:rsid w:val="749841A9"/>
    <w:rsid w:val="749F49C3"/>
    <w:rsid w:val="74A00DD2"/>
    <w:rsid w:val="74A202F4"/>
    <w:rsid w:val="74A271DC"/>
    <w:rsid w:val="74A31573"/>
    <w:rsid w:val="74A431C5"/>
    <w:rsid w:val="74A5075A"/>
    <w:rsid w:val="74A65DBF"/>
    <w:rsid w:val="74AC14E0"/>
    <w:rsid w:val="74AC3675"/>
    <w:rsid w:val="74AF0798"/>
    <w:rsid w:val="74AF2FE4"/>
    <w:rsid w:val="74B67821"/>
    <w:rsid w:val="74BA7B25"/>
    <w:rsid w:val="74BC4F54"/>
    <w:rsid w:val="74C22C73"/>
    <w:rsid w:val="74C57926"/>
    <w:rsid w:val="74CD3D7E"/>
    <w:rsid w:val="74D27F4B"/>
    <w:rsid w:val="74D87AFB"/>
    <w:rsid w:val="74D87E5F"/>
    <w:rsid w:val="74D94A56"/>
    <w:rsid w:val="74E25ED5"/>
    <w:rsid w:val="74E4435F"/>
    <w:rsid w:val="74E553C1"/>
    <w:rsid w:val="74E67845"/>
    <w:rsid w:val="74EC554B"/>
    <w:rsid w:val="74F85032"/>
    <w:rsid w:val="74F92FA4"/>
    <w:rsid w:val="74FF0544"/>
    <w:rsid w:val="74FF4A31"/>
    <w:rsid w:val="75027734"/>
    <w:rsid w:val="75070B51"/>
    <w:rsid w:val="75082E3F"/>
    <w:rsid w:val="750A0D32"/>
    <w:rsid w:val="750A32B8"/>
    <w:rsid w:val="750B1342"/>
    <w:rsid w:val="750B5353"/>
    <w:rsid w:val="75106A51"/>
    <w:rsid w:val="75150B94"/>
    <w:rsid w:val="75156C5E"/>
    <w:rsid w:val="75185E20"/>
    <w:rsid w:val="75232A11"/>
    <w:rsid w:val="7523669E"/>
    <w:rsid w:val="75247FDB"/>
    <w:rsid w:val="75253AAC"/>
    <w:rsid w:val="752A1999"/>
    <w:rsid w:val="752B363C"/>
    <w:rsid w:val="752C5188"/>
    <w:rsid w:val="75343EE4"/>
    <w:rsid w:val="7537766F"/>
    <w:rsid w:val="753852BD"/>
    <w:rsid w:val="753A6695"/>
    <w:rsid w:val="753B29E8"/>
    <w:rsid w:val="753C0A53"/>
    <w:rsid w:val="753E175B"/>
    <w:rsid w:val="753E5737"/>
    <w:rsid w:val="7548281A"/>
    <w:rsid w:val="754D2B44"/>
    <w:rsid w:val="754F42D3"/>
    <w:rsid w:val="75540051"/>
    <w:rsid w:val="75562BAE"/>
    <w:rsid w:val="755874BC"/>
    <w:rsid w:val="755A7C47"/>
    <w:rsid w:val="755D3134"/>
    <w:rsid w:val="756239F3"/>
    <w:rsid w:val="75694019"/>
    <w:rsid w:val="756A7649"/>
    <w:rsid w:val="756E498B"/>
    <w:rsid w:val="756F7935"/>
    <w:rsid w:val="757346DD"/>
    <w:rsid w:val="75754BA2"/>
    <w:rsid w:val="757739AA"/>
    <w:rsid w:val="757A08D6"/>
    <w:rsid w:val="757E1746"/>
    <w:rsid w:val="757E5074"/>
    <w:rsid w:val="758D51C4"/>
    <w:rsid w:val="75910643"/>
    <w:rsid w:val="75916624"/>
    <w:rsid w:val="759223AA"/>
    <w:rsid w:val="75993C21"/>
    <w:rsid w:val="759D0193"/>
    <w:rsid w:val="759D2FFB"/>
    <w:rsid w:val="759E337C"/>
    <w:rsid w:val="75A0689F"/>
    <w:rsid w:val="75A32884"/>
    <w:rsid w:val="75A9438C"/>
    <w:rsid w:val="75AD1A11"/>
    <w:rsid w:val="75B0155A"/>
    <w:rsid w:val="75B62EDB"/>
    <w:rsid w:val="75B86520"/>
    <w:rsid w:val="75B86A44"/>
    <w:rsid w:val="75BB73FF"/>
    <w:rsid w:val="75BC6524"/>
    <w:rsid w:val="75C37A18"/>
    <w:rsid w:val="75C445C6"/>
    <w:rsid w:val="75C6617C"/>
    <w:rsid w:val="75C7264B"/>
    <w:rsid w:val="75CF25F9"/>
    <w:rsid w:val="75D115C6"/>
    <w:rsid w:val="75D603D4"/>
    <w:rsid w:val="75D95ECD"/>
    <w:rsid w:val="75E33387"/>
    <w:rsid w:val="75E53061"/>
    <w:rsid w:val="75EA1117"/>
    <w:rsid w:val="75FB5204"/>
    <w:rsid w:val="75FE28CB"/>
    <w:rsid w:val="75FE69E7"/>
    <w:rsid w:val="76025181"/>
    <w:rsid w:val="76085F18"/>
    <w:rsid w:val="760E65BE"/>
    <w:rsid w:val="76125D52"/>
    <w:rsid w:val="76162550"/>
    <w:rsid w:val="7617382A"/>
    <w:rsid w:val="76187805"/>
    <w:rsid w:val="761B3EAE"/>
    <w:rsid w:val="761C3F73"/>
    <w:rsid w:val="761F59BC"/>
    <w:rsid w:val="76212A19"/>
    <w:rsid w:val="76241AD8"/>
    <w:rsid w:val="76272525"/>
    <w:rsid w:val="76276954"/>
    <w:rsid w:val="76284E8C"/>
    <w:rsid w:val="7629438B"/>
    <w:rsid w:val="762F7CF9"/>
    <w:rsid w:val="7630047A"/>
    <w:rsid w:val="76312503"/>
    <w:rsid w:val="76315783"/>
    <w:rsid w:val="76325904"/>
    <w:rsid w:val="76347578"/>
    <w:rsid w:val="76387E96"/>
    <w:rsid w:val="763D7464"/>
    <w:rsid w:val="763E3F0A"/>
    <w:rsid w:val="7644573E"/>
    <w:rsid w:val="764672BD"/>
    <w:rsid w:val="76471DEC"/>
    <w:rsid w:val="764F43ED"/>
    <w:rsid w:val="7658627B"/>
    <w:rsid w:val="765E58DA"/>
    <w:rsid w:val="766A105E"/>
    <w:rsid w:val="766B1131"/>
    <w:rsid w:val="766C374B"/>
    <w:rsid w:val="766D2FFF"/>
    <w:rsid w:val="766D7F74"/>
    <w:rsid w:val="766E2E63"/>
    <w:rsid w:val="766E3133"/>
    <w:rsid w:val="766F57D1"/>
    <w:rsid w:val="76747CFF"/>
    <w:rsid w:val="767535D8"/>
    <w:rsid w:val="76793BAF"/>
    <w:rsid w:val="767953E6"/>
    <w:rsid w:val="767E5C12"/>
    <w:rsid w:val="768257B7"/>
    <w:rsid w:val="76835D82"/>
    <w:rsid w:val="76852EF7"/>
    <w:rsid w:val="7687015D"/>
    <w:rsid w:val="768A11A0"/>
    <w:rsid w:val="768E0623"/>
    <w:rsid w:val="76900B16"/>
    <w:rsid w:val="76976D96"/>
    <w:rsid w:val="76992337"/>
    <w:rsid w:val="769952A5"/>
    <w:rsid w:val="769C64D7"/>
    <w:rsid w:val="76A02983"/>
    <w:rsid w:val="76A37011"/>
    <w:rsid w:val="76A37448"/>
    <w:rsid w:val="76A44782"/>
    <w:rsid w:val="76A51BF5"/>
    <w:rsid w:val="76A70F73"/>
    <w:rsid w:val="76A87342"/>
    <w:rsid w:val="76AD3BD1"/>
    <w:rsid w:val="76AE2B8E"/>
    <w:rsid w:val="76AF62B8"/>
    <w:rsid w:val="76B340C5"/>
    <w:rsid w:val="76BB3931"/>
    <w:rsid w:val="76BD48B9"/>
    <w:rsid w:val="76BE23B5"/>
    <w:rsid w:val="76C9373C"/>
    <w:rsid w:val="76CD14F6"/>
    <w:rsid w:val="76D00D0A"/>
    <w:rsid w:val="76D6407B"/>
    <w:rsid w:val="76DC43F4"/>
    <w:rsid w:val="76DD71DC"/>
    <w:rsid w:val="76E34FC5"/>
    <w:rsid w:val="76E424DC"/>
    <w:rsid w:val="76E76AB9"/>
    <w:rsid w:val="76EA0C0D"/>
    <w:rsid w:val="76ED5291"/>
    <w:rsid w:val="76EE2FE7"/>
    <w:rsid w:val="76EF1570"/>
    <w:rsid w:val="76F4652C"/>
    <w:rsid w:val="76F5786D"/>
    <w:rsid w:val="76F9726C"/>
    <w:rsid w:val="76FB33EC"/>
    <w:rsid w:val="76FE12FD"/>
    <w:rsid w:val="7701435B"/>
    <w:rsid w:val="77025D17"/>
    <w:rsid w:val="770546A1"/>
    <w:rsid w:val="77054F2C"/>
    <w:rsid w:val="77076234"/>
    <w:rsid w:val="77076EDF"/>
    <w:rsid w:val="77097EC4"/>
    <w:rsid w:val="770E2FED"/>
    <w:rsid w:val="77144A44"/>
    <w:rsid w:val="7715600C"/>
    <w:rsid w:val="77175056"/>
    <w:rsid w:val="771B062E"/>
    <w:rsid w:val="771C6752"/>
    <w:rsid w:val="77222729"/>
    <w:rsid w:val="772B5890"/>
    <w:rsid w:val="772B5FD6"/>
    <w:rsid w:val="772C4887"/>
    <w:rsid w:val="772D38E8"/>
    <w:rsid w:val="772D480F"/>
    <w:rsid w:val="77334453"/>
    <w:rsid w:val="77334871"/>
    <w:rsid w:val="77382A4B"/>
    <w:rsid w:val="773B18D4"/>
    <w:rsid w:val="773C4873"/>
    <w:rsid w:val="773D7B55"/>
    <w:rsid w:val="77406DAE"/>
    <w:rsid w:val="77431C06"/>
    <w:rsid w:val="77476571"/>
    <w:rsid w:val="774831F4"/>
    <w:rsid w:val="774B5AFE"/>
    <w:rsid w:val="774B6131"/>
    <w:rsid w:val="77510551"/>
    <w:rsid w:val="775A205F"/>
    <w:rsid w:val="775C0643"/>
    <w:rsid w:val="776014A0"/>
    <w:rsid w:val="77602330"/>
    <w:rsid w:val="77663671"/>
    <w:rsid w:val="776C0E99"/>
    <w:rsid w:val="776C7D04"/>
    <w:rsid w:val="77757D88"/>
    <w:rsid w:val="77760D91"/>
    <w:rsid w:val="77802B20"/>
    <w:rsid w:val="77834E2C"/>
    <w:rsid w:val="77864B88"/>
    <w:rsid w:val="778877F3"/>
    <w:rsid w:val="778B64E7"/>
    <w:rsid w:val="778C2072"/>
    <w:rsid w:val="77923853"/>
    <w:rsid w:val="77935EF5"/>
    <w:rsid w:val="77991DC0"/>
    <w:rsid w:val="779A2CA1"/>
    <w:rsid w:val="77A1643D"/>
    <w:rsid w:val="77A36D76"/>
    <w:rsid w:val="77A93CE5"/>
    <w:rsid w:val="77A9457D"/>
    <w:rsid w:val="77B15AD1"/>
    <w:rsid w:val="77B30E54"/>
    <w:rsid w:val="77B32B50"/>
    <w:rsid w:val="77B94B42"/>
    <w:rsid w:val="77BA69D8"/>
    <w:rsid w:val="77C12650"/>
    <w:rsid w:val="77C14A75"/>
    <w:rsid w:val="77C40F26"/>
    <w:rsid w:val="77C871E1"/>
    <w:rsid w:val="77C955A9"/>
    <w:rsid w:val="77CA5382"/>
    <w:rsid w:val="77CA6350"/>
    <w:rsid w:val="77CB397F"/>
    <w:rsid w:val="77CC5860"/>
    <w:rsid w:val="77CC6622"/>
    <w:rsid w:val="77CD3B5C"/>
    <w:rsid w:val="77CF2502"/>
    <w:rsid w:val="77CF2CC8"/>
    <w:rsid w:val="77D40F5E"/>
    <w:rsid w:val="77D94F44"/>
    <w:rsid w:val="77D95ED2"/>
    <w:rsid w:val="77DD05E1"/>
    <w:rsid w:val="77E131A8"/>
    <w:rsid w:val="77E70636"/>
    <w:rsid w:val="77EA6620"/>
    <w:rsid w:val="77F562DE"/>
    <w:rsid w:val="77F62C0E"/>
    <w:rsid w:val="77FB2025"/>
    <w:rsid w:val="77FD0CA5"/>
    <w:rsid w:val="78032179"/>
    <w:rsid w:val="7805341D"/>
    <w:rsid w:val="78062785"/>
    <w:rsid w:val="78076D27"/>
    <w:rsid w:val="78091BED"/>
    <w:rsid w:val="780A3609"/>
    <w:rsid w:val="780E212A"/>
    <w:rsid w:val="78105E93"/>
    <w:rsid w:val="78150C3A"/>
    <w:rsid w:val="78163A2C"/>
    <w:rsid w:val="7817627E"/>
    <w:rsid w:val="781A3F72"/>
    <w:rsid w:val="781A72A2"/>
    <w:rsid w:val="781A7EB2"/>
    <w:rsid w:val="781D0C56"/>
    <w:rsid w:val="78213157"/>
    <w:rsid w:val="78225435"/>
    <w:rsid w:val="78265BC4"/>
    <w:rsid w:val="7828597F"/>
    <w:rsid w:val="782A049E"/>
    <w:rsid w:val="782C00B1"/>
    <w:rsid w:val="782F1F76"/>
    <w:rsid w:val="783138F7"/>
    <w:rsid w:val="78372E27"/>
    <w:rsid w:val="783817F1"/>
    <w:rsid w:val="78391F5D"/>
    <w:rsid w:val="783B11EE"/>
    <w:rsid w:val="783F1927"/>
    <w:rsid w:val="78410066"/>
    <w:rsid w:val="784218FE"/>
    <w:rsid w:val="78442BD4"/>
    <w:rsid w:val="784545A2"/>
    <w:rsid w:val="784F4767"/>
    <w:rsid w:val="784F7162"/>
    <w:rsid w:val="785C2EE9"/>
    <w:rsid w:val="786128E3"/>
    <w:rsid w:val="78626D13"/>
    <w:rsid w:val="786C25DA"/>
    <w:rsid w:val="786F4B23"/>
    <w:rsid w:val="787A35CD"/>
    <w:rsid w:val="787B6862"/>
    <w:rsid w:val="78800EE1"/>
    <w:rsid w:val="78805592"/>
    <w:rsid w:val="78805AC1"/>
    <w:rsid w:val="788344D8"/>
    <w:rsid w:val="7886651B"/>
    <w:rsid w:val="7887622B"/>
    <w:rsid w:val="788931CF"/>
    <w:rsid w:val="788D310C"/>
    <w:rsid w:val="78985164"/>
    <w:rsid w:val="78A0693D"/>
    <w:rsid w:val="78A24D2C"/>
    <w:rsid w:val="78A527D6"/>
    <w:rsid w:val="78A72ACF"/>
    <w:rsid w:val="78AA530E"/>
    <w:rsid w:val="78AB7439"/>
    <w:rsid w:val="78AD6020"/>
    <w:rsid w:val="78B30BBD"/>
    <w:rsid w:val="78B65C94"/>
    <w:rsid w:val="78B836A2"/>
    <w:rsid w:val="78B8661E"/>
    <w:rsid w:val="78BA428D"/>
    <w:rsid w:val="78BD1F6F"/>
    <w:rsid w:val="78C14663"/>
    <w:rsid w:val="78C20D79"/>
    <w:rsid w:val="78C22279"/>
    <w:rsid w:val="78C35F9F"/>
    <w:rsid w:val="78C50F8C"/>
    <w:rsid w:val="78CA4715"/>
    <w:rsid w:val="78CB2E1B"/>
    <w:rsid w:val="78CB766B"/>
    <w:rsid w:val="78CB7E80"/>
    <w:rsid w:val="78D02FFB"/>
    <w:rsid w:val="78D21C50"/>
    <w:rsid w:val="78D67F99"/>
    <w:rsid w:val="78DE56BC"/>
    <w:rsid w:val="78E13BCC"/>
    <w:rsid w:val="78E15A32"/>
    <w:rsid w:val="78E527DE"/>
    <w:rsid w:val="78E605B5"/>
    <w:rsid w:val="78E7385C"/>
    <w:rsid w:val="78EB0C3D"/>
    <w:rsid w:val="78EB1462"/>
    <w:rsid w:val="78EC38EA"/>
    <w:rsid w:val="78FC5882"/>
    <w:rsid w:val="78FC62B1"/>
    <w:rsid w:val="79034638"/>
    <w:rsid w:val="7910336F"/>
    <w:rsid w:val="79105EB8"/>
    <w:rsid w:val="791300B6"/>
    <w:rsid w:val="79156A99"/>
    <w:rsid w:val="791A6E96"/>
    <w:rsid w:val="791F6D51"/>
    <w:rsid w:val="792274CC"/>
    <w:rsid w:val="79286A16"/>
    <w:rsid w:val="792E7D3B"/>
    <w:rsid w:val="793906F4"/>
    <w:rsid w:val="79395EC7"/>
    <w:rsid w:val="793B2803"/>
    <w:rsid w:val="793F2FFA"/>
    <w:rsid w:val="79467570"/>
    <w:rsid w:val="7950379C"/>
    <w:rsid w:val="79554A03"/>
    <w:rsid w:val="7956024F"/>
    <w:rsid w:val="795769BF"/>
    <w:rsid w:val="7958227D"/>
    <w:rsid w:val="795833C9"/>
    <w:rsid w:val="795B1477"/>
    <w:rsid w:val="795B30BB"/>
    <w:rsid w:val="795C7297"/>
    <w:rsid w:val="795E14B6"/>
    <w:rsid w:val="79607789"/>
    <w:rsid w:val="79663CBD"/>
    <w:rsid w:val="7969058D"/>
    <w:rsid w:val="796E7910"/>
    <w:rsid w:val="7970729E"/>
    <w:rsid w:val="79731FE3"/>
    <w:rsid w:val="797A2C12"/>
    <w:rsid w:val="797B76C6"/>
    <w:rsid w:val="797E7707"/>
    <w:rsid w:val="79807356"/>
    <w:rsid w:val="79833049"/>
    <w:rsid w:val="79866882"/>
    <w:rsid w:val="798A744C"/>
    <w:rsid w:val="798E17D2"/>
    <w:rsid w:val="7991168A"/>
    <w:rsid w:val="7995115E"/>
    <w:rsid w:val="799541AC"/>
    <w:rsid w:val="79956061"/>
    <w:rsid w:val="79976AFB"/>
    <w:rsid w:val="79977A7B"/>
    <w:rsid w:val="799A0C75"/>
    <w:rsid w:val="799A4F83"/>
    <w:rsid w:val="799F0B2F"/>
    <w:rsid w:val="79A13FE5"/>
    <w:rsid w:val="79A2135B"/>
    <w:rsid w:val="79A416DA"/>
    <w:rsid w:val="79A47C6A"/>
    <w:rsid w:val="79A60978"/>
    <w:rsid w:val="79A94126"/>
    <w:rsid w:val="79B27FA2"/>
    <w:rsid w:val="79BD5A42"/>
    <w:rsid w:val="79C15155"/>
    <w:rsid w:val="79C24191"/>
    <w:rsid w:val="79C33312"/>
    <w:rsid w:val="79C35FFA"/>
    <w:rsid w:val="79C44FFC"/>
    <w:rsid w:val="79C57C67"/>
    <w:rsid w:val="79CA366B"/>
    <w:rsid w:val="79CC7F63"/>
    <w:rsid w:val="79D01B50"/>
    <w:rsid w:val="79D23D99"/>
    <w:rsid w:val="79D41559"/>
    <w:rsid w:val="79D57D34"/>
    <w:rsid w:val="79D950A6"/>
    <w:rsid w:val="79DC2FBF"/>
    <w:rsid w:val="79E029F9"/>
    <w:rsid w:val="79E3309D"/>
    <w:rsid w:val="79E34591"/>
    <w:rsid w:val="79EB1217"/>
    <w:rsid w:val="79EE704E"/>
    <w:rsid w:val="79EF5168"/>
    <w:rsid w:val="79F01D1C"/>
    <w:rsid w:val="79F1107D"/>
    <w:rsid w:val="79F25F8E"/>
    <w:rsid w:val="79F76968"/>
    <w:rsid w:val="79F96143"/>
    <w:rsid w:val="79FA1C89"/>
    <w:rsid w:val="7A05168E"/>
    <w:rsid w:val="7A091972"/>
    <w:rsid w:val="7A0A016C"/>
    <w:rsid w:val="7A0C4080"/>
    <w:rsid w:val="7A0D697A"/>
    <w:rsid w:val="7A0F6FB2"/>
    <w:rsid w:val="7A144FBD"/>
    <w:rsid w:val="7A173AE6"/>
    <w:rsid w:val="7A1D190B"/>
    <w:rsid w:val="7A223CB7"/>
    <w:rsid w:val="7A227282"/>
    <w:rsid w:val="7A234711"/>
    <w:rsid w:val="7A2C7700"/>
    <w:rsid w:val="7A3A1A19"/>
    <w:rsid w:val="7A3A391A"/>
    <w:rsid w:val="7A3B6B39"/>
    <w:rsid w:val="7A3D3FE5"/>
    <w:rsid w:val="7A3D5A8C"/>
    <w:rsid w:val="7A3F26BF"/>
    <w:rsid w:val="7A411D5A"/>
    <w:rsid w:val="7A4664F1"/>
    <w:rsid w:val="7A4D1D34"/>
    <w:rsid w:val="7A4E6F24"/>
    <w:rsid w:val="7A5209DC"/>
    <w:rsid w:val="7A5237EC"/>
    <w:rsid w:val="7A543D6E"/>
    <w:rsid w:val="7A5D5AD7"/>
    <w:rsid w:val="7A6029EA"/>
    <w:rsid w:val="7A65547E"/>
    <w:rsid w:val="7A676491"/>
    <w:rsid w:val="7A694FEE"/>
    <w:rsid w:val="7A6A4AF7"/>
    <w:rsid w:val="7A6B12C3"/>
    <w:rsid w:val="7A7206CA"/>
    <w:rsid w:val="7A722FB9"/>
    <w:rsid w:val="7A7B3018"/>
    <w:rsid w:val="7A7C1307"/>
    <w:rsid w:val="7A7E06C8"/>
    <w:rsid w:val="7A8001CB"/>
    <w:rsid w:val="7A8760DD"/>
    <w:rsid w:val="7A884C75"/>
    <w:rsid w:val="7A8A2F2C"/>
    <w:rsid w:val="7A8C2A7C"/>
    <w:rsid w:val="7A8F2A0F"/>
    <w:rsid w:val="7A921229"/>
    <w:rsid w:val="7A9606A0"/>
    <w:rsid w:val="7A9633EF"/>
    <w:rsid w:val="7A9C2B6A"/>
    <w:rsid w:val="7A9F10DF"/>
    <w:rsid w:val="7AA007DA"/>
    <w:rsid w:val="7AA21704"/>
    <w:rsid w:val="7AA233FD"/>
    <w:rsid w:val="7AA44E55"/>
    <w:rsid w:val="7AA5226C"/>
    <w:rsid w:val="7AA61DBD"/>
    <w:rsid w:val="7AA91573"/>
    <w:rsid w:val="7AAB28C7"/>
    <w:rsid w:val="7AAB3E72"/>
    <w:rsid w:val="7AAB63D4"/>
    <w:rsid w:val="7AAE1990"/>
    <w:rsid w:val="7AAF7B42"/>
    <w:rsid w:val="7AB60563"/>
    <w:rsid w:val="7AB7258C"/>
    <w:rsid w:val="7AB775F4"/>
    <w:rsid w:val="7AB96558"/>
    <w:rsid w:val="7ABA1EE6"/>
    <w:rsid w:val="7ABA6AE8"/>
    <w:rsid w:val="7AC2106A"/>
    <w:rsid w:val="7AC373C5"/>
    <w:rsid w:val="7ACB41D2"/>
    <w:rsid w:val="7ACC7977"/>
    <w:rsid w:val="7ACD01AB"/>
    <w:rsid w:val="7AD07588"/>
    <w:rsid w:val="7AD34689"/>
    <w:rsid w:val="7AD67A42"/>
    <w:rsid w:val="7AD94E60"/>
    <w:rsid w:val="7AD94EF5"/>
    <w:rsid w:val="7ADA01E5"/>
    <w:rsid w:val="7AE43FF2"/>
    <w:rsid w:val="7AE94C7F"/>
    <w:rsid w:val="7AEC6724"/>
    <w:rsid w:val="7AF1262C"/>
    <w:rsid w:val="7AF20E7F"/>
    <w:rsid w:val="7AF62889"/>
    <w:rsid w:val="7AF90695"/>
    <w:rsid w:val="7AFA20B6"/>
    <w:rsid w:val="7AFE2158"/>
    <w:rsid w:val="7AFE5807"/>
    <w:rsid w:val="7AFF110D"/>
    <w:rsid w:val="7AFF6A6D"/>
    <w:rsid w:val="7B006818"/>
    <w:rsid w:val="7B037DB5"/>
    <w:rsid w:val="7B047D9A"/>
    <w:rsid w:val="7B0954DC"/>
    <w:rsid w:val="7B0A186C"/>
    <w:rsid w:val="7B0A7FE9"/>
    <w:rsid w:val="7B0D15F7"/>
    <w:rsid w:val="7B15052C"/>
    <w:rsid w:val="7B193C11"/>
    <w:rsid w:val="7B282816"/>
    <w:rsid w:val="7B2A4665"/>
    <w:rsid w:val="7B332BF8"/>
    <w:rsid w:val="7B39245E"/>
    <w:rsid w:val="7B3A3F59"/>
    <w:rsid w:val="7B4337AA"/>
    <w:rsid w:val="7B44136C"/>
    <w:rsid w:val="7B44197A"/>
    <w:rsid w:val="7B4759D3"/>
    <w:rsid w:val="7B4B1508"/>
    <w:rsid w:val="7B4D789F"/>
    <w:rsid w:val="7B515263"/>
    <w:rsid w:val="7B5175A2"/>
    <w:rsid w:val="7B541956"/>
    <w:rsid w:val="7B5424AC"/>
    <w:rsid w:val="7B570D55"/>
    <w:rsid w:val="7B581565"/>
    <w:rsid w:val="7B584272"/>
    <w:rsid w:val="7B627BB3"/>
    <w:rsid w:val="7B643542"/>
    <w:rsid w:val="7B681852"/>
    <w:rsid w:val="7B6C4E58"/>
    <w:rsid w:val="7B6D790D"/>
    <w:rsid w:val="7B7168AF"/>
    <w:rsid w:val="7B7424D9"/>
    <w:rsid w:val="7B74728E"/>
    <w:rsid w:val="7B7573A8"/>
    <w:rsid w:val="7B7730F9"/>
    <w:rsid w:val="7B7934A2"/>
    <w:rsid w:val="7B7A3920"/>
    <w:rsid w:val="7B7A765C"/>
    <w:rsid w:val="7B7C6872"/>
    <w:rsid w:val="7B8034A6"/>
    <w:rsid w:val="7B82208B"/>
    <w:rsid w:val="7B825D6E"/>
    <w:rsid w:val="7B864D52"/>
    <w:rsid w:val="7B9957BC"/>
    <w:rsid w:val="7B995D71"/>
    <w:rsid w:val="7B9A0948"/>
    <w:rsid w:val="7B9A3969"/>
    <w:rsid w:val="7B9E2F73"/>
    <w:rsid w:val="7BA033B9"/>
    <w:rsid w:val="7BA14948"/>
    <w:rsid w:val="7BA818F2"/>
    <w:rsid w:val="7BAA65BC"/>
    <w:rsid w:val="7BAD5702"/>
    <w:rsid w:val="7BAF4386"/>
    <w:rsid w:val="7BB35EE6"/>
    <w:rsid w:val="7BB449BB"/>
    <w:rsid w:val="7BB475CD"/>
    <w:rsid w:val="7BC112E0"/>
    <w:rsid w:val="7BC32FF6"/>
    <w:rsid w:val="7BC50E19"/>
    <w:rsid w:val="7BC555B0"/>
    <w:rsid w:val="7BC90652"/>
    <w:rsid w:val="7BCD699C"/>
    <w:rsid w:val="7BCE5E51"/>
    <w:rsid w:val="7BD14986"/>
    <w:rsid w:val="7BD71A95"/>
    <w:rsid w:val="7BD76B64"/>
    <w:rsid w:val="7BDB56BA"/>
    <w:rsid w:val="7BDE1665"/>
    <w:rsid w:val="7BE821AA"/>
    <w:rsid w:val="7BEA63CB"/>
    <w:rsid w:val="7BEB005D"/>
    <w:rsid w:val="7BF82B41"/>
    <w:rsid w:val="7BF86E42"/>
    <w:rsid w:val="7BFB0606"/>
    <w:rsid w:val="7BFB6C6C"/>
    <w:rsid w:val="7BFC2CF9"/>
    <w:rsid w:val="7BFF553B"/>
    <w:rsid w:val="7C005A24"/>
    <w:rsid w:val="7C120E07"/>
    <w:rsid w:val="7C123D87"/>
    <w:rsid w:val="7C153714"/>
    <w:rsid w:val="7C194943"/>
    <w:rsid w:val="7C1C2831"/>
    <w:rsid w:val="7C1D1AA6"/>
    <w:rsid w:val="7C204A77"/>
    <w:rsid w:val="7C204BF5"/>
    <w:rsid w:val="7C2056B6"/>
    <w:rsid w:val="7C231629"/>
    <w:rsid w:val="7C2451AB"/>
    <w:rsid w:val="7C2823AE"/>
    <w:rsid w:val="7C286025"/>
    <w:rsid w:val="7C295D61"/>
    <w:rsid w:val="7C2A3C4E"/>
    <w:rsid w:val="7C2A6BA8"/>
    <w:rsid w:val="7C2F4CD2"/>
    <w:rsid w:val="7C3149DC"/>
    <w:rsid w:val="7C320A9A"/>
    <w:rsid w:val="7C3D3B14"/>
    <w:rsid w:val="7C3F6120"/>
    <w:rsid w:val="7C3F71B6"/>
    <w:rsid w:val="7C40031D"/>
    <w:rsid w:val="7C415B4C"/>
    <w:rsid w:val="7C421F15"/>
    <w:rsid w:val="7C4A1D15"/>
    <w:rsid w:val="7C4C15D0"/>
    <w:rsid w:val="7C5314C6"/>
    <w:rsid w:val="7C5C0931"/>
    <w:rsid w:val="7C6678C0"/>
    <w:rsid w:val="7C684D89"/>
    <w:rsid w:val="7C6D3D58"/>
    <w:rsid w:val="7C6D6531"/>
    <w:rsid w:val="7C724864"/>
    <w:rsid w:val="7C7343E8"/>
    <w:rsid w:val="7C744E80"/>
    <w:rsid w:val="7C773B7C"/>
    <w:rsid w:val="7C775B7C"/>
    <w:rsid w:val="7C7845DE"/>
    <w:rsid w:val="7C795F56"/>
    <w:rsid w:val="7C7A500A"/>
    <w:rsid w:val="7C7E629C"/>
    <w:rsid w:val="7C895D0C"/>
    <w:rsid w:val="7C8C171D"/>
    <w:rsid w:val="7C966F68"/>
    <w:rsid w:val="7C9D494A"/>
    <w:rsid w:val="7CA760DD"/>
    <w:rsid w:val="7CAC62C9"/>
    <w:rsid w:val="7CB0285D"/>
    <w:rsid w:val="7CB20078"/>
    <w:rsid w:val="7CC65773"/>
    <w:rsid w:val="7CC85018"/>
    <w:rsid w:val="7CC97E80"/>
    <w:rsid w:val="7CD11251"/>
    <w:rsid w:val="7CD31F52"/>
    <w:rsid w:val="7CD41193"/>
    <w:rsid w:val="7CD95F0B"/>
    <w:rsid w:val="7CDC15AB"/>
    <w:rsid w:val="7CE04966"/>
    <w:rsid w:val="7CE5487D"/>
    <w:rsid w:val="7CE9755E"/>
    <w:rsid w:val="7CEA452E"/>
    <w:rsid w:val="7CEB4F3C"/>
    <w:rsid w:val="7CF63B6A"/>
    <w:rsid w:val="7CFE7D89"/>
    <w:rsid w:val="7D0024A2"/>
    <w:rsid w:val="7D0310BA"/>
    <w:rsid w:val="7D092A8C"/>
    <w:rsid w:val="7D0B598B"/>
    <w:rsid w:val="7D0B6729"/>
    <w:rsid w:val="7D13116B"/>
    <w:rsid w:val="7D13256F"/>
    <w:rsid w:val="7D155478"/>
    <w:rsid w:val="7D187D9F"/>
    <w:rsid w:val="7D192FEA"/>
    <w:rsid w:val="7D1E5EEF"/>
    <w:rsid w:val="7D2051E2"/>
    <w:rsid w:val="7D2068A9"/>
    <w:rsid w:val="7D2133B7"/>
    <w:rsid w:val="7D213B55"/>
    <w:rsid w:val="7D23713D"/>
    <w:rsid w:val="7D264119"/>
    <w:rsid w:val="7D28657C"/>
    <w:rsid w:val="7D2A5EFA"/>
    <w:rsid w:val="7D2C1C43"/>
    <w:rsid w:val="7D305E86"/>
    <w:rsid w:val="7D323EBE"/>
    <w:rsid w:val="7D3265D8"/>
    <w:rsid w:val="7D3C0111"/>
    <w:rsid w:val="7D3C0455"/>
    <w:rsid w:val="7D3F2367"/>
    <w:rsid w:val="7D410C04"/>
    <w:rsid w:val="7D4440BB"/>
    <w:rsid w:val="7D475434"/>
    <w:rsid w:val="7D4D5848"/>
    <w:rsid w:val="7D56350C"/>
    <w:rsid w:val="7D580129"/>
    <w:rsid w:val="7D580ADD"/>
    <w:rsid w:val="7D5C0F23"/>
    <w:rsid w:val="7D5E35AB"/>
    <w:rsid w:val="7D5F5F85"/>
    <w:rsid w:val="7D6230CE"/>
    <w:rsid w:val="7D6517E3"/>
    <w:rsid w:val="7D682EC5"/>
    <w:rsid w:val="7D6D6C6A"/>
    <w:rsid w:val="7D722A78"/>
    <w:rsid w:val="7D72710F"/>
    <w:rsid w:val="7D7D0DAB"/>
    <w:rsid w:val="7D804430"/>
    <w:rsid w:val="7D82064E"/>
    <w:rsid w:val="7D82456D"/>
    <w:rsid w:val="7D82644B"/>
    <w:rsid w:val="7D865D7F"/>
    <w:rsid w:val="7D886B4D"/>
    <w:rsid w:val="7D933278"/>
    <w:rsid w:val="7D943CDE"/>
    <w:rsid w:val="7D95150F"/>
    <w:rsid w:val="7D954DCA"/>
    <w:rsid w:val="7D954F19"/>
    <w:rsid w:val="7D974750"/>
    <w:rsid w:val="7D9825A3"/>
    <w:rsid w:val="7D9854E6"/>
    <w:rsid w:val="7D9A455D"/>
    <w:rsid w:val="7D9F7E7F"/>
    <w:rsid w:val="7DA20330"/>
    <w:rsid w:val="7DA572DA"/>
    <w:rsid w:val="7DAF0510"/>
    <w:rsid w:val="7DB44EA9"/>
    <w:rsid w:val="7DB76B66"/>
    <w:rsid w:val="7DBA60E1"/>
    <w:rsid w:val="7DBE1562"/>
    <w:rsid w:val="7DC5191B"/>
    <w:rsid w:val="7DC733C9"/>
    <w:rsid w:val="7DC911F5"/>
    <w:rsid w:val="7DCA6AD7"/>
    <w:rsid w:val="7DCC7D3F"/>
    <w:rsid w:val="7DCE2CAA"/>
    <w:rsid w:val="7DD54D14"/>
    <w:rsid w:val="7DD612D4"/>
    <w:rsid w:val="7DDC68D9"/>
    <w:rsid w:val="7DE27029"/>
    <w:rsid w:val="7DE71650"/>
    <w:rsid w:val="7DED25F8"/>
    <w:rsid w:val="7DF04A5D"/>
    <w:rsid w:val="7DF22759"/>
    <w:rsid w:val="7DF4732D"/>
    <w:rsid w:val="7DF71517"/>
    <w:rsid w:val="7DF7474D"/>
    <w:rsid w:val="7DF775C3"/>
    <w:rsid w:val="7DF861E4"/>
    <w:rsid w:val="7DFC58BD"/>
    <w:rsid w:val="7DFE5BF7"/>
    <w:rsid w:val="7DFE5ED8"/>
    <w:rsid w:val="7E0108E2"/>
    <w:rsid w:val="7E0235B3"/>
    <w:rsid w:val="7E05493F"/>
    <w:rsid w:val="7E06106D"/>
    <w:rsid w:val="7E093122"/>
    <w:rsid w:val="7E0C349B"/>
    <w:rsid w:val="7E0D2DD0"/>
    <w:rsid w:val="7E0E187A"/>
    <w:rsid w:val="7E0E2306"/>
    <w:rsid w:val="7E126639"/>
    <w:rsid w:val="7E147933"/>
    <w:rsid w:val="7E1745DF"/>
    <w:rsid w:val="7E191890"/>
    <w:rsid w:val="7E1A603B"/>
    <w:rsid w:val="7E1E039C"/>
    <w:rsid w:val="7E1F16E0"/>
    <w:rsid w:val="7E1F476D"/>
    <w:rsid w:val="7E2079AF"/>
    <w:rsid w:val="7E207E2C"/>
    <w:rsid w:val="7E213141"/>
    <w:rsid w:val="7E246048"/>
    <w:rsid w:val="7E2A4D0C"/>
    <w:rsid w:val="7E2C29C7"/>
    <w:rsid w:val="7E306FF2"/>
    <w:rsid w:val="7E317609"/>
    <w:rsid w:val="7E343553"/>
    <w:rsid w:val="7E3570C7"/>
    <w:rsid w:val="7E39728E"/>
    <w:rsid w:val="7E3E3445"/>
    <w:rsid w:val="7E3F1087"/>
    <w:rsid w:val="7E467076"/>
    <w:rsid w:val="7E47796A"/>
    <w:rsid w:val="7E48355D"/>
    <w:rsid w:val="7E4A462E"/>
    <w:rsid w:val="7E4B62C8"/>
    <w:rsid w:val="7E4D67A4"/>
    <w:rsid w:val="7E4F2DB9"/>
    <w:rsid w:val="7E4F5F38"/>
    <w:rsid w:val="7E4F690D"/>
    <w:rsid w:val="7E5E64F9"/>
    <w:rsid w:val="7E5F5051"/>
    <w:rsid w:val="7E5F52C4"/>
    <w:rsid w:val="7E6048A4"/>
    <w:rsid w:val="7E625D03"/>
    <w:rsid w:val="7E656B75"/>
    <w:rsid w:val="7E682F6B"/>
    <w:rsid w:val="7E6D5F58"/>
    <w:rsid w:val="7E6E076D"/>
    <w:rsid w:val="7E712B1E"/>
    <w:rsid w:val="7E763E4F"/>
    <w:rsid w:val="7E7C10AD"/>
    <w:rsid w:val="7E7C11B5"/>
    <w:rsid w:val="7E8576B9"/>
    <w:rsid w:val="7E8C04D7"/>
    <w:rsid w:val="7E912310"/>
    <w:rsid w:val="7E920AD1"/>
    <w:rsid w:val="7E9C7C74"/>
    <w:rsid w:val="7E9F4603"/>
    <w:rsid w:val="7EA870F8"/>
    <w:rsid w:val="7EAB58E4"/>
    <w:rsid w:val="7EAC439D"/>
    <w:rsid w:val="7EAD091D"/>
    <w:rsid w:val="7EAD5567"/>
    <w:rsid w:val="7EB07590"/>
    <w:rsid w:val="7EB217A2"/>
    <w:rsid w:val="7EB27CCD"/>
    <w:rsid w:val="7EB324A1"/>
    <w:rsid w:val="7EB9281F"/>
    <w:rsid w:val="7EBA335F"/>
    <w:rsid w:val="7EC11BDD"/>
    <w:rsid w:val="7EC72909"/>
    <w:rsid w:val="7EC7635E"/>
    <w:rsid w:val="7ED13577"/>
    <w:rsid w:val="7EDB2C02"/>
    <w:rsid w:val="7EDC20A1"/>
    <w:rsid w:val="7EE07F7E"/>
    <w:rsid w:val="7EE13562"/>
    <w:rsid w:val="7EE25119"/>
    <w:rsid w:val="7EE520DA"/>
    <w:rsid w:val="7EE8621D"/>
    <w:rsid w:val="7EE94B6F"/>
    <w:rsid w:val="7EEB3707"/>
    <w:rsid w:val="7EEF1CC0"/>
    <w:rsid w:val="7F023B53"/>
    <w:rsid w:val="7F043BB1"/>
    <w:rsid w:val="7F051F2C"/>
    <w:rsid w:val="7F087063"/>
    <w:rsid w:val="7F0D0A5E"/>
    <w:rsid w:val="7F0D639E"/>
    <w:rsid w:val="7F133460"/>
    <w:rsid w:val="7F180D00"/>
    <w:rsid w:val="7F192EE4"/>
    <w:rsid w:val="7F1A1DAE"/>
    <w:rsid w:val="7F1A7A3D"/>
    <w:rsid w:val="7F20003D"/>
    <w:rsid w:val="7F205B40"/>
    <w:rsid w:val="7F240CF9"/>
    <w:rsid w:val="7F2E0377"/>
    <w:rsid w:val="7F354BD5"/>
    <w:rsid w:val="7F380B28"/>
    <w:rsid w:val="7F406BB4"/>
    <w:rsid w:val="7F415BE0"/>
    <w:rsid w:val="7F4312A0"/>
    <w:rsid w:val="7F4402E0"/>
    <w:rsid w:val="7F4B7AFE"/>
    <w:rsid w:val="7F4D02B4"/>
    <w:rsid w:val="7F55622B"/>
    <w:rsid w:val="7F5C52B0"/>
    <w:rsid w:val="7F5E7207"/>
    <w:rsid w:val="7F6102AD"/>
    <w:rsid w:val="7F634D52"/>
    <w:rsid w:val="7F6C0D2A"/>
    <w:rsid w:val="7F743772"/>
    <w:rsid w:val="7F7721B3"/>
    <w:rsid w:val="7F7C42D7"/>
    <w:rsid w:val="7F8912FA"/>
    <w:rsid w:val="7F924278"/>
    <w:rsid w:val="7F944906"/>
    <w:rsid w:val="7F9B7585"/>
    <w:rsid w:val="7FA0629E"/>
    <w:rsid w:val="7FA433D8"/>
    <w:rsid w:val="7FA74357"/>
    <w:rsid w:val="7FB723C1"/>
    <w:rsid w:val="7FB753BB"/>
    <w:rsid w:val="7FB8156A"/>
    <w:rsid w:val="7FBB0876"/>
    <w:rsid w:val="7FBC4C0E"/>
    <w:rsid w:val="7FBE0F64"/>
    <w:rsid w:val="7FC54B48"/>
    <w:rsid w:val="7FC748FC"/>
    <w:rsid w:val="7FC7766C"/>
    <w:rsid w:val="7FC82D16"/>
    <w:rsid w:val="7FCA0288"/>
    <w:rsid w:val="7FCB2C64"/>
    <w:rsid w:val="7FD7051A"/>
    <w:rsid w:val="7FD8087C"/>
    <w:rsid w:val="7FD932D7"/>
    <w:rsid w:val="7FD93455"/>
    <w:rsid w:val="7FDE554A"/>
    <w:rsid w:val="7FDE6D61"/>
    <w:rsid w:val="7FE325EF"/>
    <w:rsid w:val="7FE433F0"/>
    <w:rsid w:val="7FEA2D9B"/>
    <w:rsid w:val="7FED03E9"/>
    <w:rsid w:val="7FF62AE7"/>
    <w:rsid w:val="7FF827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qFormat="1" w:unhideWhenUsed="0" w:uiPriority="0" w:semiHidden="0" w:name="Table Simple 2"/>
    <w:lsdException w:unhideWhenUsed="0" w:uiPriority="0" w:semiHidden="0" w:name="Table Simple 3"/>
    <w:lsdException w:qFormat="1"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60" w:lineRule="auto"/>
      <w:ind w:firstLine="562" w:firstLineChars="200"/>
      <w:jc w:val="both"/>
    </w:pPr>
    <w:rPr>
      <w:rFonts w:ascii="Times New Roman" w:hAnsi="Times New Roman" w:eastAsia="宋体" w:cs="Times New Roman"/>
      <w:snapToGrid w:val="0"/>
      <w:sz w:val="24"/>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5"/>
    <w:next w:val="1"/>
    <w:qFormat/>
    <w:uiPriority w:val="0"/>
    <w:pPr>
      <w:pageBreakBefore/>
      <w:tabs>
        <w:tab w:val="right" w:leader="dot" w:pos="8165"/>
      </w:tabs>
      <w:spacing w:line="240" w:lineRule="auto"/>
      <w:ind w:left="0"/>
      <w:jc w:val="left"/>
      <w:outlineLvl w:val="1"/>
    </w:pPr>
    <w:rPr>
      <w:rFonts w:hint="eastAsia" w:ascii="黑体" w:hAnsi="黑体" w:eastAsia="黑体" w:cs="Arial Unicode MS"/>
      <w:szCs w:val="20"/>
    </w:rPr>
  </w:style>
  <w:style w:type="paragraph" w:styleId="6">
    <w:name w:val="heading 3"/>
    <w:basedOn w:val="1"/>
    <w:next w:val="1"/>
    <w:link w:val="53"/>
    <w:qFormat/>
    <w:uiPriority w:val="0"/>
    <w:pPr>
      <w:keepNext/>
      <w:keepLines/>
      <w:spacing w:before="260" w:after="260" w:line="416" w:lineRule="atLeast"/>
      <w:outlineLvl w:val="2"/>
    </w:pPr>
    <w:rPr>
      <w:b/>
      <w:bCs/>
      <w:kern w:val="2"/>
      <w:sz w:val="32"/>
      <w:szCs w:val="32"/>
    </w:rPr>
  </w:style>
  <w:style w:type="paragraph" w:styleId="7">
    <w:name w:val="heading 4"/>
    <w:basedOn w:val="1"/>
    <w:next w:val="1"/>
    <w:link w:val="59"/>
    <w:qFormat/>
    <w:uiPriority w:val="0"/>
    <w:pPr>
      <w:keepNext/>
      <w:keepLines/>
      <w:spacing w:before="280" w:after="290" w:line="376" w:lineRule="atLeast"/>
      <w:outlineLvl w:val="3"/>
    </w:pPr>
    <w:rPr>
      <w:rFonts w:ascii="Cambria" w:hAnsi="Cambria"/>
      <w:b/>
      <w:bCs/>
      <w:kern w:val="2"/>
      <w:sz w:val="28"/>
      <w:szCs w:val="28"/>
    </w:rPr>
  </w:style>
  <w:style w:type="paragraph" w:styleId="8">
    <w:name w:val="heading 9"/>
    <w:basedOn w:val="1"/>
    <w:next w:val="1"/>
    <w:link w:val="153"/>
    <w:qFormat/>
    <w:uiPriority w:val="0"/>
    <w:pPr>
      <w:keepNext/>
      <w:keepLines/>
      <w:spacing w:before="240" w:after="64" w:line="320" w:lineRule="auto"/>
      <w:outlineLvl w:val="8"/>
    </w:pPr>
    <w:rPr>
      <w:rFonts w:ascii="Arial" w:hAnsi="Arial" w:eastAsia="黑体"/>
      <w:kern w:val="2"/>
      <w:sz w:val="21"/>
      <w:szCs w:val="21"/>
    </w:rPr>
  </w:style>
  <w:style w:type="character" w:default="1" w:styleId="40">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Arial" w:hAnsi="Arial" w:cs="Arial"/>
    </w:rPr>
  </w:style>
  <w:style w:type="paragraph" w:styleId="5">
    <w:name w:val="toc 2"/>
    <w:basedOn w:val="1"/>
    <w:next w:val="1"/>
    <w:qFormat/>
    <w:uiPriority w:val="39"/>
    <w:pPr>
      <w:ind w:left="420"/>
    </w:pPr>
  </w:style>
  <w:style w:type="paragraph" w:styleId="9">
    <w:name w:val="Normal Indent"/>
    <w:basedOn w:val="1"/>
    <w:link w:val="126"/>
    <w:qFormat/>
    <w:uiPriority w:val="0"/>
    <w:pPr>
      <w:tabs>
        <w:tab w:val="left" w:pos="5530"/>
      </w:tabs>
      <w:spacing w:line="320" w:lineRule="atLeast"/>
      <w:jc w:val="center"/>
    </w:pPr>
    <w:rPr>
      <w:rFonts w:ascii="宋体" w:hAnsi="宋体"/>
      <w:bCs/>
    </w:rPr>
  </w:style>
  <w:style w:type="paragraph" w:styleId="10">
    <w:name w:val="Document Map"/>
    <w:basedOn w:val="1"/>
    <w:qFormat/>
    <w:uiPriority w:val="0"/>
    <w:pPr>
      <w:shd w:val="clear" w:color="auto" w:fill="000080"/>
    </w:pPr>
  </w:style>
  <w:style w:type="paragraph" w:styleId="11">
    <w:name w:val="annotation text"/>
    <w:basedOn w:val="1"/>
    <w:qFormat/>
    <w:uiPriority w:val="0"/>
    <w:pPr>
      <w:jc w:val="left"/>
    </w:pPr>
  </w:style>
  <w:style w:type="paragraph" w:styleId="12">
    <w:name w:val="Body Text 3"/>
    <w:basedOn w:val="1"/>
    <w:qFormat/>
    <w:uiPriority w:val="0"/>
    <w:pPr>
      <w:spacing w:after="120"/>
    </w:pPr>
    <w:rPr>
      <w:sz w:val="16"/>
      <w:szCs w:val="16"/>
    </w:rPr>
  </w:style>
  <w:style w:type="paragraph" w:styleId="13">
    <w:name w:val="Body Text"/>
    <w:basedOn w:val="1"/>
    <w:next w:val="1"/>
    <w:link w:val="56"/>
    <w:qFormat/>
    <w:uiPriority w:val="0"/>
    <w:pPr>
      <w:spacing w:line="240" w:lineRule="atLeast"/>
      <w:ind w:firstLine="0" w:firstLineChars="0"/>
      <w:jc w:val="left"/>
      <w:textAlignment w:val="baseline"/>
    </w:pPr>
    <w:rPr>
      <w:w w:val="95"/>
    </w:rPr>
  </w:style>
  <w:style w:type="paragraph" w:styleId="14">
    <w:name w:val="Body Text Indent"/>
    <w:basedOn w:val="1"/>
    <w:link w:val="119"/>
    <w:qFormat/>
    <w:uiPriority w:val="0"/>
    <w:pPr>
      <w:spacing w:line="300" w:lineRule="auto"/>
      <w:ind w:firstLine="570"/>
    </w:pPr>
    <w:rPr>
      <w:kern w:val="2"/>
      <w:sz w:val="28"/>
    </w:rPr>
  </w:style>
  <w:style w:type="paragraph" w:styleId="15">
    <w:name w:val="List 2"/>
    <w:basedOn w:val="1"/>
    <w:qFormat/>
    <w:uiPriority w:val="0"/>
    <w:pPr>
      <w:ind w:left="100" w:leftChars="200" w:hanging="200" w:hangingChars="200"/>
    </w:pPr>
  </w:style>
  <w:style w:type="paragraph" w:styleId="16">
    <w:name w:val="toc 3"/>
    <w:basedOn w:val="1"/>
    <w:next w:val="1"/>
    <w:unhideWhenUsed/>
    <w:qFormat/>
    <w:uiPriority w:val="39"/>
    <w:pPr>
      <w:widowControl/>
      <w:spacing w:after="100" w:line="276" w:lineRule="auto"/>
      <w:ind w:left="440"/>
      <w:jc w:val="left"/>
    </w:pPr>
    <w:rPr>
      <w:rFonts w:ascii="Calibri" w:hAnsi="Calibri"/>
      <w:sz w:val="22"/>
      <w:szCs w:val="22"/>
    </w:rPr>
  </w:style>
  <w:style w:type="paragraph" w:styleId="17">
    <w:name w:val="Plain Text"/>
    <w:basedOn w:val="1"/>
    <w:next w:val="1"/>
    <w:link w:val="145"/>
    <w:qFormat/>
    <w:uiPriority w:val="0"/>
    <w:rPr>
      <w:rFonts w:ascii="宋体" w:hAnsi="Courier New"/>
      <w:kern w:val="2"/>
      <w:sz w:val="28"/>
      <w:szCs w:val="21"/>
    </w:rPr>
  </w:style>
  <w:style w:type="paragraph" w:styleId="18">
    <w:name w:val="Date"/>
    <w:basedOn w:val="1"/>
    <w:next w:val="1"/>
    <w:qFormat/>
    <w:uiPriority w:val="0"/>
    <w:rPr>
      <w:sz w:val="28"/>
      <w:szCs w:val="20"/>
    </w:rPr>
  </w:style>
  <w:style w:type="paragraph" w:styleId="19">
    <w:name w:val="Body Text Indent 2"/>
    <w:basedOn w:val="1"/>
    <w:qFormat/>
    <w:uiPriority w:val="0"/>
    <w:pPr>
      <w:spacing w:after="120" w:line="480" w:lineRule="auto"/>
      <w:ind w:left="420" w:leftChars="200"/>
    </w:pPr>
  </w:style>
  <w:style w:type="paragraph" w:styleId="20">
    <w:name w:val="Balloon Text"/>
    <w:basedOn w:val="1"/>
    <w:qFormat/>
    <w:uiPriority w:val="0"/>
    <w:rPr>
      <w:sz w:val="18"/>
      <w:szCs w:val="18"/>
    </w:rPr>
  </w:style>
  <w:style w:type="paragraph" w:styleId="21">
    <w:name w:val="footer"/>
    <w:basedOn w:val="1"/>
    <w:link w:val="135"/>
    <w:qFormat/>
    <w:uiPriority w:val="99"/>
    <w:pPr>
      <w:tabs>
        <w:tab w:val="center" w:pos="4153"/>
        <w:tab w:val="right" w:pos="8306"/>
      </w:tabs>
      <w:jc w:val="left"/>
    </w:pPr>
    <w:rPr>
      <w:kern w:val="2"/>
      <w:sz w:val="18"/>
      <w:szCs w:val="18"/>
    </w:rPr>
  </w:style>
  <w:style w:type="paragraph" w:styleId="22">
    <w:name w:val="header"/>
    <w:basedOn w:val="1"/>
    <w:next w:val="23"/>
    <w:link w:val="58"/>
    <w:qFormat/>
    <w:uiPriority w:val="0"/>
    <w:pPr>
      <w:pBdr>
        <w:bottom w:val="single" w:color="auto" w:sz="6" w:space="1"/>
      </w:pBdr>
      <w:tabs>
        <w:tab w:val="center" w:pos="4153"/>
        <w:tab w:val="right" w:pos="8306"/>
      </w:tabs>
      <w:jc w:val="center"/>
      <w:textAlignment w:val="baseline"/>
    </w:pPr>
    <w:rPr>
      <w:rFonts w:ascii="宋体"/>
      <w:sz w:val="18"/>
    </w:rPr>
  </w:style>
  <w:style w:type="paragraph" w:styleId="23">
    <w:name w:val="index heading"/>
    <w:basedOn w:val="1"/>
    <w:next w:val="24"/>
    <w:unhideWhenUsed/>
    <w:qFormat/>
    <w:uiPriority w:val="0"/>
    <w:pPr>
      <w:spacing w:line="240" w:lineRule="auto"/>
      <w:ind w:firstLine="0"/>
    </w:pPr>
    <w:rPr>
      <w:rFonts w:ascii="Arial" w:hAnsi="Arial"/>
      <w:b/>
      <w:sz w:val="21"/>
    </w:rPr>
  </w:style>
  <w:style w:type="paragraph" w:styleId="24">
    <w:name w:val="index 1"/>
    <w:basedOn w:val="1"/>
    <w:next w:val="1"/>
    <w:unhideWhenUsed/>
    <w:qFormat/>
    <w:uiPriority w:val="0"/>
    <w:pPr>
      <w:spacing w:line="240" w:lineRule="auto"/>
      <w:ind w:firstLine="0"/>
    </w:pPr>
    <w:rPr>
      <w:kern w:val="28"/>
    </w:rPr>
  </w:style>
  <w:style w:type="paragraph" w:styleId="25">
    <w:name w:val="toc 1"/>
    <w:basedOn w:val="1"/>
    <w:next w:val="1"/>
    <w:qFormat/>
    <w:uiPriority w:val="39"/>
    <w:pPr>
      <w:jc w:val="left"/>
    </w:pPr>
    <w:rPr>
      <w:sz w:val="28"/>
      <w:szCs w:val="28"/>
    </w:rPr>
  </w:style>
  <w:style w:type="paragraph" w:styleId="26">
    <w:name w:val="Subtitle"/>
    <w:basedOn w:val="1"/>
    <w:link w:val="113"/>
    <w:qFormat/>
    <w:uiPriority w:val="0"/>
    <w:pPr>
      <w:spacing w:before="240" w:after="60" w:line="312" w:lineRule="atLeast"/>
      <w:jc w:val="center"/>
      <w:textAlignment w:val="baseline"/>
      <w:outlineLvl w:val="1"/>
    </w:pPr>
    <w:rPr>
      <w:rFonts w:ascii="Arial" w:hAnsi="Arial"/>
      <w:b/>
      <w:bCs/>
      <w:kern w:val="28"/>
      <w:sz w:val="32"/>
      <w:szCs w:val="32"/>
    </w:rPr>
  </w:style>
  <w:style w:type="paragraph" w:styleId="27">
    <w:name w:val="List"/>
    <w:basedOn w:val="1"/>
    <w:qFormat/>
    <w:uiPriority w:val="0"/>
    <w:pPr>
      <w:ind w:left="200" w:hanging="200" w:hangingChars="200"/>
    </w:pPr>
  </w:style>
  <w:style w:type="paragraph" w:styleId="28">
    <w:name w:val="Body Text Indent 3"/>
    <w:basedOn w:val="1"/>
    <w:qFormat/>
    <w:uiPriority w:val="0"/>
    <w:pPr>
      <w:spacing w:after="120" w:line="480" w:lineRule="atLeast"/>
      <w:ind w:left="420" w:leftChars="200"/>
      <w:jc w:val="left"/>
      <w:textAlignment w:val="baseline"/>
    </w:pPr>
    <w:rPr>
      <w:rFonts w:ascii="宋体"/>
      <w:sz w:val="16"/>
      <w:szCs w:val="16"/>
    </w:rPr>
  </w:style>
  <w:style w:type="paragraph" w:styleId="29">
    <w:name w:val="Body Text 2"/>
    <w:basedOn w:val="1"/>
    <w:qFormat/>
    <w:uiPriority w:val="0"/>
    <w:pPr>
      <w:spacing w:after="120" w:line="480" w:lineRule="auto"/>
    </w:pPr>
  </w:style>
  <w:style w:type="paragraph" w:styleId="3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w:hAnsi="Arial" w:cs="Arial"/>
    </w:rPr>
  </w:style>
  <w:style w:type="paragraph" w:styleId="31">
    <w:name w:val="Normal (Web)"/>
    <w:basedOn w:val="1"/>
    <w:link w:val="152"/>
    <w:qFormat/>
    <w:uiPriority w:val="0"/>
    <w:pPr>
      <w:widowControl/>
      <w:spacing w:before="100" w:beforeAutospacing="1" w:after="100" w:afterAutospacing="1" w:line="240" w:lineRule="auto"/>
      <w:jc w:val="left"/>
    </w:pPr>
    <w:rPr>
      <w:rFonts w:ascii="宋体" w:hAnsi="宋体"/>
      <w:color w:val="000000"/>
    </w:rPr>
  </w:style>
  <w:style w:type="paragraph" w:styleId="32">
    <w:name w:val="Title"/>
    <w:basedOn w:val="1"/>
    <w:next w:val="1"/>
    <w:link w:val="52"/>
    <w:qFormat/>
    <w:uiPriority w:val="0"/>
    <w:pPr>
      <w:spacing w:line="480" w:lineRule="atLeast"/>
      <w:jc w:val="left"/>
      <w:textAlignment w:val="baseline"/>
    </w:pPr>
    <w:rPr>
      <w:rFonts w:ascii="宋体" w:hAnsi="Arial"/>
      <w:kern w:val="28"/>
    </w:rPr>
  </w:style>
  <w:style w:type="paragraph" w:styleId="33">
    <w:name w:val="annotation subject"/>
    <w:basedOn w:val="11"/>
    <w:next w:val="11"/>
    <w:qFormat/>
    <w:uiPriority w:val="0"/>
    <w:rPr>
      <w:b/>
      <w:bCs/>
    </w:rPr>
  </w:style>
  <w:style w:type="paragraph" w:styleId="34">
    <w:name w:val="Body Text First Indent"/>
    <w:basedOn w:val="13"/>
    <w:next w:val="1"/>
    <w:link w:val="140"/>
    <w:qFormat/>
    <w:uiPriority w:val="0"/>
    <w:pPr>
      <w:adjustRightInd/>
      <w:spacing w:after="120"/>
      <w:ind w:firstLine="420" w:firstLineChars="100"/>
    </w:pPr>
    <w:rPr>
      <w:kern w:val="2"/>
      <w:sz w:val="21"/>
    </w:rPr>
  </w:style>
  <w:style w:type="paragraph" w:styleId="35">
    <w:name w:val="Body Text First Indent 2"/>
    <w:basedOn w:val="14"/>
    <w:next w:val="34"/>
    <w:link w:val="149"/>
    <w:qFormat/>
    <w:uiPriority w:val="0"/>
    <w:pPr>
      <w:adjustRightInd/>
      <w:snapToGrid/>
      <w:spacing w:after="120" w:line="240" w:lineRule="atLeast"/>
      <w:ind w:left="420" w:leftChars="200" w:firstLine="420"/>
    </w:pPr>
    <w:rPr>
      <w:sz w:val="21"/>
    </w:rPr>
  </w:style>
  <w:style w:type="table" w:styleId="37">
    <w:name w:val="Table Grid"/>
    <w:basedOn w:val="36"/>
    <w:qFormat/>
    <w:uiPriority w:val="0"/>
    <w:pPr>
      <w:widowControl w:val="0"/>
      <w:spacing w:line="240"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8">
    <w:name w:val="Table Classic 1"/>
    <w:basedOn w:val="36"/>
    <w:qFormat/>
    <w:uiPriority w:val="0"/>
    <w:pPr>
      <w:widowControl w:val="0"/>
      <w:spacing w:line="240" w:lineRule="atLeast"/>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9">
    <w:name w:val="Table Simple 2"/>
    <w:basedOn w:val="36"/>
    <w:qFormat/>
    <w:uiPriority w:val="0"/>
    <w:pPr>
      <w:widowControl w:val="0"/>
      <w:spacing w:line="240" w:lineRule="atLeast"/>
      <w:jc w:val="both"/>
    </w:pPr>
    <w:tblPr>
      <w:tblCellMar>
        <w:top w:w="0" w:type="dxa"/>
        <w:left w:w="108" w:type="dxa"/>
        <w:bottom w:w="0" w:type="dxa"/>
        <w:right w:w="108" w:type="dxa"/>
      </w:tblCellMa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character" w:styleId="41">
    <w:name w:val="Strong"/>
    <w:qFormat/>
    <w:uiPriority w:val="22"/>
    <w:rPr>
      <w:b/>
      <w:bCs/>
    </w:rPr>
  </w:style>
  <w:style w:type="character" w:styleId="42">
    <w:name w:val="page number"/>
    <w:basedOn w:val="40"/>
    <w:qFormat/>
    <w:uiPriority w:val="0"/>
  </w:style>
  <w:style w:type="character" w:styleId="43">
    <w:name w:val="FollowedHyperlink"/>
    <w:qFormat/>
    <w:uiPriority w:val="0"/>
    <w:rPr>
      <w:color w:val="800080"/>
      <w:u w:val="single"/>
    </w:rPr>
  </w:style>
  <w:style w:type="character" w:styleId="44">
    <w:name w:val="Emphasis"/>
    <w:qFormat/>
    <w:uiPriority w:val="20"/>
    <w:rPr>
      <w:color w:val="CC0000"/>
    </w:rPr>
  </w:style>
  <w:style w:type="character" w:styleId="45">
    <w:name w:val="Hyperlink"/>
    <w:basedOn w:val="40"/>
    <w:qFormat/>
    <w:uiPriority w:val="99"/>
    <w:rPr>
      <w:color w:val="0000FF"/>
      <w:u w:val="none"/>
    </w:rPr>
  </w:style>
  <w:style w:type="character" w:styleId="46">
    <w:name w:val="annotation reference"/>
    <w:qFormat/>
    <w:uiPriority w:val="0"/>
    <w:rPr>
      <w:sz w:val="21"/>
      <w:szCs w:val="21"/>
    </w:rPr>
  </w:style>
  <w:style w:type="paragraph" w:customStyle="1" w:styleId="47">
    <w:name w:val="正文首行缩进2"/>
    <w:basedOn w:val="1"/>
    <w:qFormat/>
    <w:uiPriority w:val="99"/>
    <w:pPr>
      <w:spacing w:line="500" w:lineRule="atLeast"/>
      <w:ind w:firstLine="560"/>
    </w:pPr>
  </w:style>
  <w:style w:type="paragraph" w:customStyle="1" w:styleId="48">
    <w:name w:val="表头"/>
    <w:basedOn w:val="49"/>
    <w:next w:val="1"/>
    <w:qFormat/>
    <w:uiPriority w:val="0"/>
    <w:pPr>
      <w:spacing w:line="240" w:lineRule="auto"/>
      <w:jc w:val="center"/>
    </w:pPr>
    <w:rPr>
      <w:rFonts w:eastAsia="宋体"/>
      <w:b/>
      <w:bCs/>
      <w:sz w:val="21"/>
      <w:szCs w:val="21"/>
    </w:rPr>
  </w:style>
  <w:style w:type="paragraph" w:customStyle="1" w:styleId="49">
    <w:name w:val="T正文"/>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sz w:val="28"/>
      <w:lang w:val="en-US" w:eastAsia="zh-CN" w:bidi="ar-SA"/>
    </w:rPr>
  </w:style>
  <w:style w:type="paragraph" w:customStyle="1" w:styleId="50">
    <w:name w:val="表格"/>
    <w:basedOn w:val="9"/>
    <w:next w:val="9"/>
    <w:link w:val="55"/>
    <w:qFormat/>
    <w:uiPriority w:val="0"/>
    <w:pPr>
      <w:spacing w:line="240" w:lineRule="atLeast"/>
      <w:ind w:firstLine="0" w:firstLineChars="0"/>
    </w:pPr>
    <w:rPr>
      <w:rFonts w:ascii="Times New Roman" w:hAnsi="Times New Roman"/>
      <w:bCs w:val="0"/>
      <w:color w:val="000000"/>
      <w:sz w:val="21"/>
      <w:szCs w:val="21"/>
    </w:rPr>
  </w:style>
  <w:style w:type="paragraph" w:customStyle="1" w:styleId="51">
    <w:name w:val="WPSOffice手动目录 1"/>
    <w:qFormat/>
    <w:uiPriority w:val="0"/>
    <w:pPr>
      <w:spacing w:line="360" w:lineRule="auto"/>
    </w:pPr>
    <w:rPr>
      <w:rFonts w:ascii="Times New Roman" w:hAnsi="Times New Roman" w:eastAsia="宋体" w:cstheme="minorBidi"/>
      <w:b/>
      <w:sz w:val="24"/>
      <w:szCs w:val="24"/>
      <w:lang w:val="en-US" w:eastAsia="zh-CN" w:bidi="ar-SA"/>
    </w:rPr>
  </w:style>
  <w:style w:type="character" w:customStyle="1" w:styleId="52">
    <w:name w:val="标题 Char"/>
    <w:link w:val="32"/>
    <w:qFormat/>
    <w:uiPriority w:val="0"/>
    <w:rPr>
      <w:rFonts w:ascii="宋体" w:hAnsi="Arial"/>
      <w:kern w:val="28"/>
      <w:sz w:val="24"/>
    </w:rPr>
  </w:style>
  <w:style w:type="character" w:customStyle="1" w:styleId="53">
    <w:name w:val="标题 3 Char"/>
    <w:link w:val="6"/>
    <w:qFormat/>
    <w:uiPriority w:val="0"/>
    <w:rPr>
      <w:rFonts w:eastAsia="宋体"/>
      <w:b/>
      <w:bCs/>
      <w:kern w:val="2"/>
      <w:sz w:val="32"/>
      <w:szCs w:val="32"/>
      <w:lang w:val="en-US" w:eastAsia="zh-CN" w:bidi="ar-SA"/>
    </w:rPr>
  </w:style>
  <w:style w:type="paragraph" w:customStyle="1" w:styleId="54">
    <w:name w:val="Char"/>
    <w:basedOn w:val="1"/>
    <w:qFormat/>
    <w:uiPriority w:val="0"/>
    <w:pPr>
      <w:spacing w:line="240" w:lineRule="auto"/>
    </w:pPr>
  </w:style>
  <w:style w:type="character" w:customStyle="1" w:styleId="55">
    <w:name w:val="表格 Char Char"/>
    <w:link w:val="50"/>
    <w:qFormat/>
    <w:uiPriority w:val="0"/>
    <w:rPr>
      <w:rFonts w:ascii="Times New Roman" w:hAnsi="Times New Roman" w:eastAsia="宋体"/>
      <w:snapToGrid w:val="0"/>
      <w:color w:val="000000"/>
      <w:spacing w:val="0"/>
      <w:kern w:val="0"/>
      <w:sz w:val="21"/>
      <w:szCs w:val="21"/>
    </w:rPr>
  </w:style>
  <w:style w:type="character" w:customStyle="1" w:styleId="56">
    <w:name w:val="正文文本 Char"/>
    <w:link w:val="13"/>
    <w:qFormat/>
    <w:uiPriority w:val="0"/>
    <w:rPr>
      <w:rFonts w:ascii="Times New Roman" w:hAnsi="Times New Roman" w:eastAsia="宋体"/>
      <w:snapToGrid w:val="0"/>
      <w:w w:val="95"/>
      <w:kern w:val="0"/>
      <w:sz w:val="24"/>
      <w:szCs w:val="24"/>
    </w:rPr>
  </w:style>
  <w:style w:type="paragraph" w:customStyle="1" w:styleId="57">
    <w:name w:val="表格文字"/>
    <w:basedOn w:val="1"/>
    <w:qFormat/>
    <w:uiPriority w:val="0"/>
    <w:pPr>
      <w:autoSpaceDE w:val="0"/>
      <w:autoSpaceDN w:val="0"/>
      <w:spacing w:line="240" w:lineRule="atLeast"/>
      <w:ind w:firstLine="0" w:firstLineChars="0"/>
      <w:jc w:val="center"/>
      <w:textAlignment w:val="bottom"/>
    </w:pPr>
    <w:rPr>
      <w:color w:val="000000"/>
      <w:sz w:val="21"/>
      <w:szCs w:val="21"/>
    </w:rPr>
  </w:style>
  <w:style w:type="character" w:customStyle="1" w:styleId="58">
    <w:name w:val="页眉 Char"/>
    <w:link w:val="22"/>
    <w:qFormat/>
    <w:uiPriority w:val="0"/>
    <w:rPr>
      <w:rFonts w:ascii="宋体"/>
      <w:sz w:val="18"/>
    </w:rPr>
  </w:style>
  <w:style w:type="character" w:customStyle="1" w:styleId="59">
    <w:name w:val="标题 4 Char"/>
    <w:link w:val="7"/>
    <w:semiHidden/>
    <w:qFormat/>
    <w:uiPriority w:val="0"/>
    <w:rPr>
      <w:rFonts w:ascii="Cambria" w:hAnsi="Cambria" w:eastAsia="宋体" w:cs="Times New Roman"/>
      <w:b/>
      <w:bCs/>
      <w:kern w:val="2"/>
      <w:sz w:val="28"/>
      <w:szCs w:val="28"/>
    </w:rPr>
  </w:style>
  <w:style w:type="paragraph" w:customStyle="1" w:styleId="60">
    <w:name w:val="Default"/>
    <w:basedOn w:val="1"/>
    <w:qFormat/>
    <w:uiPriority w:val="0"/>
    <w:pPr>
      <w:autoSpaceDE w:val="0"/>
      <w:autoSpaceDN w:val="0"/>
      <w:spacing w:line="240" w:lineRule="auto"/>
      <w:jc w:val="left"/>
    </w:pPr>
    <w:rPr>
      <w:rFonts w:ascii="宋体" w:hAnsi="宋体" w:cs="宋体"/>
      <w:color w:val="000000"/>
    </w:rPr>
  </w:style>
  <w:style w:type="paragraph" w:customStyle="1" w:styleId="61">
    <w:name w:val="样式 标题 1 + 四号 段前: 0 磅 段后: 0 磅 行距: 1.5 倍行距"/>
    <w:basedOn w:val="3"/>
    <w:next w:val="62"/>
    <w:qFormat/>
    <w:uiPriority w:val="0"/>
    <w:pPr>
      <w:spacing w:line="360" w:lineRule="auto"/>
      <w:jc w:val="center"/>
    </w:pPr>
    <w:rPr>
      <w:b w:val="0"/>
      <w:sz w:val="24"/>
      <w:szCs w:val="24"/>
    </w:rPr>
  </w:style>
  <w:style w:type="paragraph" w:customStyle="1" w:styleId="62">
    <w:name w:val="文本正文"/>
    <w:basedOn w:val="1"/>
    <w:qFormat/>
    <w:uiPriority w:val="0"/>
    <w:pPr>
      <w:ind w:firstLine="510"/>
      <w:jc w:val="left"/>
    </w:pPr>
    <w:rPr>
      <w:spacing w:val="4"/>
      <w:kern w:val="24"/>
      <w:lang w:val="zh-CN"/>
    </w:rPr>
  </w:style>
  <w:style w:type="paragraph" w:customStyle="1" w:styleId="63">
    <w:name w:val="房-报告正文"/>
    <w:basedOn w:val="1"/>
    <w:link w:val="134"/>
    <w:qFormat/>
    <w:uiPriority w:val="0"/>
    <w:pPr>
      <w:spacing w:before="120"/>
      <w:ind w:firstLine="520"/>
    </w:pPr>
    <w:rPr>
      <w:rFonts w:ascii="ˎ̥" w:hAnsi="宋体"/>
      <w:spacing w:val="10"/>
    </w:rPr>
  </w:style>
  <w:style w:type="paragraph" w:customStyle="1" w:styleId="64">
    <w:name w:val="wj样式"/>
    <w:basedOn w:val="1"/>
    <w:next w:val="1"/>
    <w:link w:val="131"/>
    <w:qFormat/>
    <w:uiPriority w:val="0"/>
    <w:pPr>
      <w:ind w:firstLine="200"/>
    </w:pPr>
    <w:rPr>
      <w:spacing w:val="14"/>
      <w:kern w:val="2"/>
    </w:rPr>
  </w:style>
  <w:style w:type="paragraph" w:customStyle="1" w:styleId="65">
    <w:name w:val="昆明中海正文"/>
    <w:basedOn w:val="1"/>
    <w:link w:val="146"/>
    <w:qFormat/>
    <w:uiPriority w:val="0"/>
    <w:pPr>
      <w:ind w:firstLine="567"/>
    </w:pPr>
    <w:rPr>
      <w:rFonts w:ascii="宋体" w:hAnsi="宋体"/>
      <w:bCs/>
      <w:spacing w:val="12"/>
    </w:rPr>
  </w:style>
  <w:style w:type="paragraph" w:customStyle="1" w:styleId="66">
    <w:name w:val="郭-正文"/>
    <w:basedOn w:val="17"/>
    <w:link w:val="150"/>
    <w:qFormat/>
    <w:uiPriority w:val="0"/>
    <w:pPr>
      <w:ind w:firstLine="200"/>
    </w:pPr>
    <w:rPr>
      <w:rFonts w:hAnsi="宋体"/>
      <w:sz w:val="24"/>
      <w:szCs w:val="24"/>
    </w:rPr>
  </w:style>
  <w:style w:type="paragraph" w:customStyle="1" w:styleId="67">
    <w:name w:val="报告正文邹"/>
    <w:basedOn w:val="1"/>
    <w:next w:val="1"/>
    <w:link w:val="116"/>
    <w:qFormat/>
    <w:uiPriority w:val="0"/>
    <w:pPr>
      <w:spacing w:beforeLines="50" w:afterLines="20" w:line="324" w:lineRule="auto"/>
      <w:ind w:firstLine="200"/>
    </w:pPr>
    <w:rPr>
      <w:spacing w:val="10"/>
      <w:kern w:val="2"/>
    </w:rPr>
  </w:style>
  <w:style w:type="paragraph" w:customStyle="1" w:styleId="68">
    <w:name w:val="Char Char Char1 Char"/>
    <w:basedOn w:val="1"/>
    <w:qFormat/>
    <w:uiPriority w:val="0"/>
    <w:pPr>
      <w:spacing w:line="240" w:lineRule="auto"/>
    </w:pPr>
    <w:rPr>
      <w:rFonts w:eastAsia="仿宋_GB2312"/>
      <w:sz w:val="32"/>
      <w:szCs w:val="20"/>
    </w:rPr>
  </w:style>
  <w:style w:type="paragraph" w:customStyle="1" w:styleId="69">
    <w:name w:val="样式 小四 段前: 7.8 磅 段后: 7.8 磅 行距: 1.5 倍行距"/>
    <w:basedOn w:val="1"/>
    <w:qFormat/>
    <w:uiPriority w:val="0"/>
    <w:pPr>
      <w:ind w:firstLine="480"/>
    </w:pPr>
    <w:rPr>
      <w:szCs w:val="21"/>
    </w:rPr>
  </w:style>
  <w:style w:type="paragraph" w:customStyle="1" w:styleId="70">
    <w:name w:val="Char Char Char Char Char Char1 Char"/>
    <w:basedOn w:val="1"/>
    <w:qFormat/>
    <w:uiPriority w:val="0"/>
    <w:pPr>
      <w:ind w:firstLine="200"/>
    </w:pPr>
    <w:rPr>
      <w:rFonts w:ascii="宋体" w:hAnsi="宋体" w:cs="宋体"/>
      <w:szCs w:val="28"/>
    </w:rPr>
  </w:style>
  <w:style w:type="paragraph" w:customStyle="1" w:styleId="71">
    <w:name w:val="p0"/>
    <w:basedOn w:val="1"/>
    <w:qFormat/>
    <w:uiPriority w:val="0"/>
    <w:pPr>
      <w:widowControl/>
    </w:pPr>
    <w:rPr>
      <w:szCs w:val="21"/>
    </w:rPr>
  </w:style>
  <w:style w:type="paragraph" w:customStyle="1" w:styleId="72">
    <w:name w:val="正文文本缩进 22"/>
    <w:basedOn w:val="1"/>
    <w:qFormat/>
    <w:uiPriority w:val="0"/>
    <w:pPr>
      <w:spacing w:line="240" w:lineRule="auto"/>
      <w:ind w:left="718" w:firstLine="720"/>
      <w:textAlignment w:val="baseline"/>
    </w:pPr>
    <w:rPr>
      <w:sz w:val="32"/>
      <w:szCs w:val="20"/>
    </w:rPr>
  </w:style>
  <w:style w:type="paragraph" w:customStyle="1" w:styleId="73">
    <w:name w:val="默认段落字体 Para Char Char Char Char"/>
    <w:basedOn w:val="1"/>
    <w:qFormat/>
    <w:uiPriority w:val="0"/>
    <w:pPr>
      <w:spacing w:line="240" w:lineRule="auto"/>
    </w:pPr>
  </w:style>
  <w:style w:type="paragraph" w:customStyle="1" w:styleId="74">
    <w:name w:val="zhang正文 Char Char"/>
    <w:basedOn w:val="14"/>
    <w:qFormat/>
    <w:uiPriority w:val="0"/>
    <w:pPr>
      <w:autoSpaceDE w:val="0"/>
      <w:autoSpaceDN w:val="0"/>
      <w:spacing w:line="500" w:lineRule="exact"/>
      <w:ind w:firstLine="539"/>
      <w:textAlignment w:val="baseline"/>
    </w:pPr>
    <w:rPr>
      <w:rFonts w:eastAsia="楷体_GB2312"/>
      <w:kern w:val="0"/>
      <w:szCs w:val="20"/>
    </w:rPr>
  </w:style>
  <w:style w:type="paragraph" w:customStyle="1" w:styleId="75">
    <w:name w:val="a"/>
    <w:basedOn w:val="1"/>
    <w:qFormat/>
    <w:uiPriority w:val="0"/>
    <w:pPr>
      <w:widowControl/>
      <w:spacing w:before="100" w:beforeAutospacing="1" w:after="100" w:afterAutospacing="1" w:line="240" w:lineRule="auto"/>
      <w:jc w:val="left"/>
    </w:pPr>
    <w:rPr>
      <w:rFonts w:ascii="宋体" w:hAnsi="宋体" w:cs="宋体"/>
    </w:rPr>
  </w:style>
  <w:style w:type="paragraph" w:customStyle="1" w:styleId="76">
    <w:name w:val="表格2"/>
    <w:basedOn w:val="1"/>
    <w:next w:val="1"/>
    <w:link w:val="124"/>
    <w:qFormat/>
    <w:uiPriority w:val="0"/>
    <w:pPr>
      <w:spacing w:line="360" w:lineRule="exact"/>
      <w:jc w:val="center"/>
    </w:pPr>
    <w:rPr>
      <w:color w:val="000000"/>
      <w:sz w:val="21"/>
      <w:szCs w:val="21"/>
    </w:rPr>
  </w:style>
  <w:style w:type="paragraph" w:customStyle="1" w:styleId="77">
    <w:name w:val="方案正文样式"/>
    <w:basedOn w:val="1"/>
    <w:link w:val="138"/>
    <w:qFormat/>
    <w:uiPriority w:val="0"/>
    <w:pPr>
      <w:ind w:firstLine="454"/>
      <w:textAlignment w:val="baseline"/>
    </w:pPr>
  </w:style>
  <w:style w:type="paragraph" w:customStyle="1" w:styleId="78">
    <w:name w:val="表格文字1"/>
    <w:basedOn w:val="1"/>
    <w:link w:val="122"/>
    <w:qFormat/>
    <w:uiPriority w:val="0"/>
    <w:pPr>
      <w:spacing w:line="300" w:lineRule="atLeast"/>
      <w:jc w:val="center"/>
    </w:pPr>
    <w:rPr>
      <w:kern w:val="2"/>
      <w:sz w:val="21"/>
      <w:szCs w:val="21"/>
    </w:rPr>
  </w:style>
  <w:style w:type="paragraph" w:customStyle="1" w:styleId="79">
    <w:name w:val="Char Char Char"/>
    <w:basedOn w:val="1"/>
    <w:qFormat/>
    <w:uiPriority w:val="0"/>
    <w:pPr>
      <w:spacing w:line="240" w:lineRule="auto"/>
    </w:pPr>
  </w:style>
  <w:style w:type="paragraph" w:customStyle="1" w:styleId="80">
    <w:name w:val="表格小4"/>
    <w:basedOn w:val="1"/>
    <w:qFormat/>
    <w:uiPriority w:val="0"/>
    <w:pPr>
      <w:spacing w:line="240" w:lineRule="auto"/>
    </w:pPr>
    <w:rPr>
      <w:rFonts w:ascii="宋体" w:hAnsi="宋体"/>
      <w:color w:val="000000"/>
      <w:szCs w:val="20"/>
    </w:rPr>
  </w:style>
  <w:style w:type="paragraph" w:customStyle="1" w:styleId="81">
    <w:name w:val="表格内容"/>
    <w:basedOn w:val="1"/>
    <w:qFormat/>
    <w:uiPriority w:val="0"/>
    <w:pPr>
      <w:spacing w:before="100" w:beforeAutospacing="1" w:line="240" w:lineRule="auto"/>
      <w:ind w:hanging="40"/>
      <w:jc w:val="center"/>
    </w:pPr>
    <w:rPr>
      <w:rFonts w:ascii="宋体" w:hAnsi="宋体"/>
      <w:spacing w:val="8"/>
      <w:lang w:val="zh-CN"/>
    </w:rPr>
  </w:style>
  <w:style w:type="paragraph" w:customStyle="1" w:styleId="82">
    <w:name w:val="表格小五"/>
    <w:basedOn w:val="1"/>
    <w:qFormat/>
    <w:uiPriority w:val="0"/>
    <w:pPr>
      <w:spacing w:afterLines="30"/>
      <w:ind w:firstLine="510"/>
      <w:jc w:val="left"/>
    </w:pPr>
    <w:rPr>
      <w:spacing w:val="16"/>
      <w:sz w:val="18"/>
      <w:szCs w:val="20"/>
    </w:rPr>
  </w:style>
  <w:style w:type="paragraph" w:customStyle="1" w:styleId="83">
    <w:name w:val="Char Char Char1 Char Char Char Char"/>
    <w:basedOn w:val="1"/>
    <w:semiHidden/>
    <w:qFormat/>
    <w:uiPriority w:val="0"/>
    <w:pPr>
      <w:spacing w:line="240" w:lineRule="auto"/>
    </w:pPr>
  </w:style>
  <w:style w:type="paragraph" w:customStyle="1" w:styleId="84">
    <w:name w:val="正文修改"/>
    <w:basedOn w:val="1"/>
    <w:qFormat/>
    <w:uiPriority w:val="0"/>
    <w:pPr>
      <w:ind w:firstLine="480"/>
    </w:pPr>
    <w:rPr>
      <w:rFonts w:cs="宋体"/>
      <w:szCs w:val="20"/>
    </w:rPr>
  </w:style>
  <w:style w:type="paragraph" w:customStyle="1" w:styleId="85">
    <w:name w:val="正文 首行缩进:  2 字符"/>
    <w:basedOn w:val="1"/>
    <w:semiHidden/>
    <w:qFormat/>
    <w:uiPriority w:val="0"/>
    <w:pPr>
      <w:ind w:firstLine="480"/>
    </w:pPr>
    <w:rPr>
      <w:rFonts w:cs="宋体"/>
      <w:szCs w:val="20"/>
    </w:rPr>
  </w:style>
  <w:style w:type="paragraph" w:customStyle="1" w:styleId="86">
    <w:name w:val="表格格式"/>
    <w:basedOn w:val="1"/>
    <w:next w:val="1"/>
    <w:qFormat/>
    <w:uiPriority w:val="0"/>
    <w:pPr>
      <w:spacing w:line="240" w:lineRule="auto"/>
      <w:ind w:left="-120" w:leftChars="-50" w:right="-120" w:rightChars="-50"/>
      <w:jc w:val="center"/>
    </w:pPr>
    <w:rPr>
      <w:sz w:val="18"/>
    </w:rPr>
  </w:style>
  <w:style w:type="paragraph" w:customStyle="1" w:styleId="87">
    <w:name w:val="Char Char Char Char Char Char Char Char Char"/>
    <w:basedOn w:val="1"/>
    <w:qFormat/>
    <w:uiPriority w:val="0"/>
    <w:pPr>
      <w:widowControl/>
      <w:spacing w:after="160" w:line="240" w:lineRule="exact"/>
      <w:jc w:val="left"/>
    </w:pPr>
    <w:rPr>
      <w:rFonts w:ascii="Verdana" w:hAnsi="Verdana" w:eastAsia="仿宋_GB2312"/>
      <w:szCs w:val="20"/>
      <w:lang w:eastAsia="en-US"/>
    </w:rPr>
  </w:style>
  <w:style w:type="paragraph" w:customStyle="1" w:styleId="88">
    <w:name w:val="_Style 79"/>
    <w:unhideWhenUsed/>
    <w:qFormat/>
    <w:uiPriority w:val="99"/>
    <w:rPr>
      <w:rFonts w:ascii="Times New Roman" w:hAnsi="Times New Roman" w:eastAsia="宋体" w:cs="Times New Roman"/>
      <w:lang w:val="en-US" w:eastAsia="zh-CN" w:bidi="ar-SA"/>
    </w:rPr>
  </w:style>
  <w:style w:type="paragraph" w:customStyle="1" w:styleId="89">
    <w:name w:val="样式 文本正文 + 首行缩进:  2 字符3"/>
    <w:basedOn w:val="1"/>
    <w:qFormat/>
    <w:uiPriority w:val="0"/>
    <w:pPr>
      <w:autoSpaceDE w:val="0"/>
      <w:autoSpaceDN w:val="0"/>
      <w:ind w:firstLine="496"/>
      <w:textAlignment w:val="baseline"/>
    </w:pPr>
    <w:rPr>
      <w:rFonts w:ascii="宋体" w:hAnsi="宋体" w:cs="宋体"/>
      <w:color w:val="000000"/>
      <w:kern w:val="21"/>
    </w:rPr>
  </w:style>
  <w:style w:type="paragraph" w:customStyle="1" w:styleId="90">
    <w:name w:val="正文1"/>
    <w:qFormat/>
    <w:uiPriority w:val="0"/>
    <w:pPr>
      <w:jc w:val="both"/>
    </w:pPr>
    <w:rPr>
      <w:rFonts w:ascii="Times New Roman" w:hAnsi="Times New Roman" w:eastAsia="宋体" w:cs="Times New Roman"/>
      <w:snapToGrid w:val="0"/>
      <w:sz w:val="24"/>
      <w:szCs w:val="24"/>
      <w:lang w:val="en-US" w:eastAsia="zh-CN" w:bidi="ar-SA"/>
    </w:rPr>
  </w:style>
  <w:style w:type="paragraph" w:customStyle="1" w:styleId="91">
    <w:name w:val="样式 正文首行缩进 2 +"/>
    <w:basedOn w:val="35"/>
    <w:link w:val="133"/>
    <w:qFormat/>
    <w:uiPriority w:val="0"/>
    <w:pPr>
      <w:spacing w:after="0" w:line="360" w:lineRule="auto"/>
      <w:ind w:left="0" w:leftChars="0" w:firstLine="454" w:firstLineChars="0"/>
    </w:pPr>
    <w:rPr>
      <w:sz w:val="28"/>
    </w:rPr>
  </w:style>
  <w:style w:type="paragraph" w:customStyle="1" w:styleId="92">
    <w:name w:val="Char Char Char Char"/>
    <w:basedOn w:val="1"/>
    <w:qFormat/>
    <w:uiPriority w:val="0"/>
    <w:pPr>
      <w:spacing w:line="240" w:lineRule="auto"/>
    </w:pPr>
  </w:style>
  <w:style w:type="paragraph" w:customStyle="1" w:styleId="93">
    <w:name w:val="房-表格内容（五号）"/>
    <w:basedOn w:val="1"/>
    <w:link w:val="114"/>
    <w:qFormat/>
    <w:uiPriority w:val="0"/>
    <w:pPr>
      <w:spacing w:line="240" w:lineRule="auto"/>
      <w:jc w:val="center"/>
    </w:pPr>
    <w:rPr>
      <w:color w:val="000000"/>
      <w:kern w:val="44"/>
      <w:sz w:val="21"/>
      <w:szCs w:val="21"/>
    </w:rPr>
  </w:style>
  <w:style w:type="paragraph" w:customStyle="1" w:styleId="94">
    <w:name w:val="Char Char Char Char Char Char Char Char Char Char Char Char Char Char Char Char Char Char Char"/>
    <w:basedOn w:val="1"/>
    <w:qFormat/>
    <w:uiPriority w:val="0"/>
    <w:pPr>
      <w:spacing w:line="240" w:lineRule="auto"/>
    </w:pPr>
  </w:style>
  <w:style w:type="paragraph" w:customStyle="1" w:styleId="95">
    <w:name w:val="zhang正文"/>
    <w:basedOn w:val="14"/>
    <w:qFormat/>
    <w:uiPriority w:val="0"/>
    <w:pPr>
      <w:autoSpaceDE w:val="0"/>
      <w:autoSpaceDN w:val="0"/>
      <w:spacing w:line="500" w:lineRule="exact"/>
      <w:ind w:firstLine="539"/>
      <w:textAlignment w:val="baseline"/>
    </w:pPr>
    <w:rPr>
      <w:rFonts w:eastAsia="楷体_GB2312"/>
      <w:kern w:val="0"/>
      <w:szCs w:val="20"/>
    </w:rPr>
  </w:style>
  <w:style w:type="paragraph" w:customStyle="1" w:styleId="96">
    <w:name w:val="reader-word-layer"/>
    <w:basedOn w:val="1"/>
    <w:qFormat/>
    <w:uiPriority w:val="0"/>
    <w:pPr>
      <w:widowControl/>
      <w:spacing w:before="100" w:beforeAutospacing="1" w:after="100" w:afterAutospacing="1" w:line="240" w:lineRule="auto"/>
      <w:jc w:val="left"/>
    </w:pPr>
    <w:rPr>
      <w:rFonts w:ascii="宋体" w:hAnsi="宋体" w:cs="宋体"/>
    </w:rPr>
  </w:style>
  <w:style w:type="paragraph" w:customStyle="1" w:styleId="97">
    <w:name w:val="表标题"/>
    <w:basedOn w:val="1"/>
    <w:next w:val="1"/>
    <w:link w:val="127"/>
    <w:qFormat/>
    <w:uiPriority w:val="0"/>
    <w:pPr>
      <w:spacing w:beforeLines="100" w:afterLines="20" w:line="240" w:lineRule="auto"/>
      <w:ind w:left="238" w:right="238"/>
      <w:jc w:val="center"/>
    </w:pPr>
    <w:rPr>
      <w:rFonts w:eastAsia="黑体"/>
      <w:color w:val="000000"/>
    </w:rPr>
  </w:style>
  <w:style w:type="paragraph" w:styleId="98">
    <w:name w:val="List Paragraph"/>
    <w:basedOn w:val="1"/>
    <w:qFormat/>
    <w:uiPriority w:val="34"/>
    <w:pPr>
      <w:ind w:firstLine="420"/>
      <w:outlineLvl w:val="0"/>
    </w:pPr>
    <w:rPr>
      <w:rFonts w:ascii="仿宋_GB2312" w:hAnsi="仿宋" w:eastAsia="仿宋_GB2312" w:cs="宋体"/>
      <w:sz w:val="32"/>
      <w:szCs w:val="32"/>
    </w:rPr>
  </w:style>
  <w:style w:type="paragraph" w:customStyle="1" w:styleId="99">
    <w:name w:val="中文报告书样式"/>
    <w:basedOn w:val="1"/>
    <w:qFormat/>
    <w:uiPriority w:val="0"/>
    <w:pPr>
      <w:spacing w:line="480" w:lineRule="atLeast"/>
      <w:ind w:firstLine="482"/>
      <w:textAlignment w:val="baseline"/>
    </w:pPr>
    <w:rPr>
      <w:kern w:val="24"/>
    </w:rPr>
  </w:style>
  <w:style w:type="paragraph" w:customStyle="1" w:styleId="100">
    <w:name w:val="芮家村"/>
    <w:basedOn w:val="1"/>
    <w:qFormat/>
    <w:uiPriority w:val="0"/>
    <w:pPr>
      <w:ind w:firstLine="200"/>
      <w:jc w:val="left"/>
    </w:pPr>
  </w:style>
  <w:style w:type="paragraph" w:customStyle="1" w:styleId="101">
    <w:name w:val="Char1"/>
    <w:basedOn w:val="1"/>
    <w:qFormat/>
    <w:uiPriority w:val="0"/>
    <w:pPr>
      <w:spacing w:line="240" w:lineRule="auto"/>
    </w:pPr>
  </w:style>
  <w:style w:type="paragraph" w:customStyle="1" w:styleId="102">
    <w:name w:val="表格文字2"/>
    <w:basedOn w:val="1"/>
    <w:qFormat/>
    <w:uiPriority w:val="0"/>
    <w:pPr>
      <w:tabs>
        <w:tab w:val="left" w:pos="277"/>
        <w:tab w:val="left" w:pos="600"/>
        <w:tab w:val="left" w:pos="780"/>
        <w:tab w:val="left" w:pos="2517"/>
      </w:tabs>
      <w:spacing w:line="240" w:lineRule="auto"/>
      <w:jc w:val="center"/>
      <w:textAlignment w:val="baseline"/>
    </w:pPr>
    <w:rPr>
      <w:szCs w:val="21"/>
    </w:rPr>
  </w:style>
  <w:style w:type="paragraph" w:customStyle="1" w:styleId="103">
    <w:name w:val="_Style 96"/>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4">
    <w:name w:val="Table Paragraph"/>
    <w:basedOn w:val="1"/>
    <w:qFormat/>
    <w:uiPriority w:val="1"/>
    <w:pPr>
      <w:spacing w:line="240" w:lineRule="auto"/>
      <w:jc w:val="left"/>
    </w:pPr>
    <w:rPr>
      <w:rFonts w:ascii="Calibri" w:hAnsi="Calibri"/>
      <w:sz w:val="22"/>
      <w:szCs w:val="22"/>
      <w:lang w:eastAsia="en-US"/>
    </w:rPr>
  </w:style>
  <w:style w:type="paragraph" w:customStyle="1" w:styleId="105">
    <w:name w:val="表格标题"/>
    <w:basedOn w:val="1"/>
    <w:qFormat/>
    <w:uiPriority w:val="0"/>
    <w:pPr>
      <w:spacing w:before="40" w:after="40"/>
      <w:ind w:firstLine="624"/>
      <w:jc w:val="center"/>
    </w:pPr>
    <w:rPr>
      <w:rFonts w:eastAsia="黑体"/>
      <w:spacing w:val="14"/>
      <w:sz w:val="28"/>
      <w:szCs w:val="20"/>
    </w:rPr>
  </w:style>
  <w:style w:type="paragraph" w:customStyle="1" w:styleId="106">
    <w:name w:val="表内格式"/>
    <w:basedOn w:val="1"/>
    <w:link w:val="120"/>
    <w:qFormat/>
    <w:uiPriority w:val="0"/>
    <w:pPr>
      <w:spacing w:line="240" w:lineRule="auto"/>
      <w:jc w:val="center"/>
    </w:pPr>
    <w:rPr>
      <w:rFonts w:eastAsia="楷体_GB2312"/>
      <w:kern w:val="2"/>
    </w:rPr>
  </w:style>
  <w:style w:type="paragraph" w:customStyle="1" w:styleId="107">
    <w:name w:val="无悬挂正文5号"/>
    <w:basedOn w:val="1"/>
    <w:qFormat/>
    <w:uiPriority w:val="0"/>
    <w:pPr>
      <w:spacing w:line="240" w:lineRule="auto"/>
      <w:jc w:val="center"/>
    </w:pPr>
  </w:style>
  <w:style w:type="paragraph" w:customStyle="1" w:styleId="108">
    <w:name w:val="4 Char Char Char Char Char Char Char Char Char Char Char Char Char Char Char Char Char Char Char Char Char Char Char Char Char Char Char Char"/>
    <w:basedOn w:val="1"/>
    <w:qFormat/>
    <w:uiPriority w:val="0"/>
    <w:pPr>
      <w:spacing w:line="240" w:lineRule="auto"/>
    </w:pPr>
  </w:style>
  <w:style w:type="paragraph" w:customStyle="1" w:styleId="109">
    <w:name w:val="报告表正文"/>
    <w:basedOn w:val="1"/>
    <w:qFormat/>
    <w:uiPriority w:val="0"/>
    <w:pPr>
      <w:spacing w:line="312" w:lineRule="auto"/>
      <w:ind w:left="113" w:right="113" w:firstLine="482"/>
      <w:jc w:val="left"/>
      <w:textAlignment w:val="baseline"/>
    </w:pPr>
    <w:rPr>
      <w:szCs w:val="20"/>
    </w:rPr>
  </w:style>
  <w:style w:type="paragraph" w:customStyle="1" w:styleId="110">
    <w:name w:val="魏秀珍   正文"/>
    <w:basedOn w:val="9"/>
    <w:link w:val="118"/>
    <w:qFormat/>
    <w:uiPriority w:val="0"/>
    <w:pPr>
      <w:tabs>
        <w:tab w:val="left" w:pos="574"/>
        <w:tab w:val="clear" w:pos="5530"/>
      </w:tabs>
      <w:adjustRightInd/>
      <w:snapToGrid/>
      <w:spacing w:line="360" w:lineRule="auto"/>
      <w:jc w:val="both"/>
    </w:pPr>
    <w:rPr>
      <w:b/>
      <w:bCs w:val="0"/>
      <w:spacing w:val="4"/>
      <w:szCs w:val="28"/>
      <w:lang w:val="en-GB" w:bidi="he-IL"/>
    </w:rPr>
  </w:style>
  <w:style w:type="paragraph" w:customStyle="1" w:styleId="111">
    <w:name w:val="标题四"/>
    <w:basedOn w:val="1"/>
    <w:qFormat/>
    <w:uiPriority w:val="0"/>
    <w:pPr>
      <w:jc w:val="center"/>
    </w:pPr>
    <w:rPr>
      <w:rFonts w:ascii="宋体" w:hAnsi="宋体"/>
    </w:rPr>
  </w:style>
  <w:style w:type="paragraph" w:customStyle="1" w:styleId="112">
    <w:name w:val="表格1"/>
    <w:basedOn w:val="1"/>
    <w:qFormat/>
    <w:uiPriority w:val="0"/>
    <w:pPr>
      <w:tabs>
        <w:tab w:val="left" w:pos="1440"/>
        <w:tab w:val="left" w:pos="1680"/>
      </w:tabs>
      <w:jc w:val="center"/>
    </w:pPr>
    <w:rPr>
      <w:rFonts w:ascii="宋体"/>
      <w:spacing w:val="20"/>
      <w:w w:val="95"/>
      <w:szCs w:val="20"/>
    </w:rPr>
  </w:style>
  <w:style w:type="character" w:customStyle="1" w:styleId="113">
    <w:name w:val="副标题 Char"/>
    <w:link w:val="26"/>
    <w:qFormat/>
    <w:uiPriority w:val="0"/>
    <w:rPr>
      <w:rFonts w:ascii="Arial" w:hAnsi="Arial" w:cs="Arial"/>
      <w:b/>
      <w:bCs/>
      <w:kern w:val="28"/>
      <w:sz w:val="32"/>
      <w:szCs w:val="32"/>
    </w:rPr>
  </w:style>
  <w:style w:type="character" w:customStyle="1" w:styleId="114">
    <w:name w:val="房-表格内容（五号） Char"/>
    <w:link w:val="93"/>
    <w:qFormat/>
    <w:uiPriority w:val="0"/>
    <w:rPr>
      <w:color w:val="000000"/>
      <w:kern w:val="44"/>
      <w:sz w:val="21"/>
      <w:szCs w:val="21"/>
    </w:rPr>
  </w:style>
  <w:style w:type="character" w:customStyle="1" w:styleId="115">
    <w:name w:val="apple-converted-space"/>
    <w:qFormat/>
    <w:uiPriority w:val="0"/>
  </w:style>
  <w:style w:type="character" w:customStyle="1" w:styleId="116">
    <w:name w:val="报告正文邹 Char"/>
    <w:link w:val="67"/>
    <w:qFormat/>
    <w:uiPriority w:val="0"/>
    <w:rPr>
      <w:spacing w:val="10"/>
      <w:kern w:val="2"/>
      <w:sz w:val="24"/>
      <w:szCs w:val="24"/>
    </w:rPr>
  </w:style>
  <w:style w:type="character" w:customStyle="1" w:styleId="117">
    <w:name w:val="font11"/>
    <w:qFormat/>
    <w:uiPriority w:val="0"/>
    <w:rPr>
      <w:rFonts w:hint="eastAsia" w:ascii="宋体" w:hAnsi="宋体" w:eastAsia="宋体"/>
      <w:color w:val="000000"/>
      <w:sz w:val="36"/>
      <w:szCs w:val="36"/>
      <w:u w:val="none"/>
    </w:rPr>
  </w:style>
  <w:style w:type="character" w:customStyle="1" w:styleId="118">
    <w:name w:val="魏秀珍   正文 Char"/>
    <w:link w:val="110"/>
    <w:qFormat/>
    <w:uiPriority w:val="0"/>
    <w:rPr>
      <w:rFonts w:ascii="宋体" w:hAnsi="宋体"/>
      <w:b/>
      <w:snapToGrid/>
      <w:spacing w:val="4"/>
      <w:sz w:val="24"/>
      <w:szCs w:val="28"/>
      <w:lang w:val="en-GB" w:bidi="he-IL"/>
    </w:rPr>
  </w:style>
  <w:style w:type="character" w:customStyle="1" w:styleId="119">
    <w:name w:val="正文文本缩进 Char"/>
    <w:link w:val="14"/>
    <w:qFormat/>
    <w:uiPriority w:val="0"/>
    <w:rPr>
      <w:kern w:val="2"/>
      <w:sz w:val="28"/>
      <w:szCs w:val="24"/>
    </w:rPr>
  </w:style>
  <w:style w:type="character" w:customStyle="1" w:styleId="120">
    <w:name w:val="表内格式 Char1"/>
    <w:link w:val="106"/>
    <w:qFormat/>
    <w:uiPriority w:val="0"/>
    <w:rPr>
      <w:rFonts w:eastAsia="楷体_GB2312"/>
      <w:kern w:val="2"/>
      <w:sz w:val="24"/>
    </w:rPr>
  </w:style>
  <w:style w:type="character" w:customStyle="1" w:styleId="121">
    <w:name w:val="spelle"/>
    <w:basedOn w:val="40"/>
    <w:qFormat/>
    <w:uiPriority w:val="0"/>
  </w:style>
  <w:style w:type="character" w:customStyle="1" w:styleId="122">
    <w:name w:val="表格文字1 Char Char"/>
    <w:link w:val="78"/>
    <w:qFormat/>
    <w:uiPriority w:val="0"/>
    <w:rPr>
      <w:kern w:val="2"/>
      <w:sz w:val="21"/>
      <w:szCs w:val="21"/>
    </w:rPr>
  </w:style>
  <w:style w:type="character" w:customStyle="1" w:styleId="123">
    <w:name w:val="font21"/>
    <w:qFormat/>
    <w:uiPriority w:val="0"/>
    <w:rPr>
      <w:rFonts w:hint="eastAsia" w:ascii="宋体" w:hAnsi="宋体" w:eastAsia="宋体"/>
      <w:b/>
      <w:bCs/>
      <w:color w:val="000000"/>
      <w:sz w:val="36"/>
      <w:szCs w:val="36"/>
      <w:u w:val="none"/>
    </w:rPr>
  </w:style>
  <w:style w:type="character" w:customStyle="1" w:styleId="124">
    <w:name w:val="表格2 Char"/>
    <w:link w:val="76"/>
    <w:qFormat/>
    <w:locked/>
    <w:uiPriority w:val="0"/>
    <w:rPr>
      <w:snapToGrid/>
      <w:color w:val="000000"/>
      <w:sz w:val="21"/>
      <w:szCs w:val="21"/>
    </w:rPr>
  </w:style>
  <w:style w:type="character" w:customStyle="1" w:styleId="125">
    <w:name w:val="房-报告正文 Char"/>
    <w:qFormat/>
    <w:uiPriority w:val="0"/>
    <w:rPr>
      <w:rFonts w:hAnsi="宋体"/>
      <w:snapToGrid/>
      <w:spacing w:val="10"/>
      <w:sz w:val="28"/>
      <w:szCs w:val="28"/>
    </w:rPr>
  </w:style>
  <w:style w:type="character" w:customStyle="1" w:styleId="126">
    <w:name w:val="正文缩进 Char"/>
    <w:link w:val="9"/>
    <w:qFormat/>
    <w:uiPriority w:val="0"/>
    <w:rPr>
      <w:rFonts w:ascii="宋体" w:hAnsi="宋体" w:cs="TimesNewRomanPSMT"/>
      <w:bCs/>
      <w:sz w:val="24"/>
      <w:szCs w:val="24"/>
    </w:rPr>
  </w:style>
  <w:style w:type="character" w:customStyle="1" w:styleId="127">
    <w:name w:val="表标题 Char"/>
    <w:link w:val="97"/>
    <w:qFormat/>
    <w:uiPriority w:val="0"/>
    <w:rPr>
      <w:rFonts w:eastAsia="黑体"/>
      <w:snapToGrid/>
      <w:color w:val="000000"/>
      <w:sz w:val="24"/>
      <w:szCs w:val="24"/>
    </w:rPr>
  </w:style>
  <w:style w:type="character" w:customStyle="1" w:styleId="128">
    <w:name w:val="puntext"/>
    <w:basedOn w:val="40"/>
    <w:qFormat/>
    <w:uiPriority w:val="0"/>
  </w:style>
  <w:style w:type="character" w:customStyle="1" w:styleId="129">
    <w:name w:val="网格型 Char"/>
    <w:qFormat/>
    <w:locked/>
    <w:uiPriority w:val="0"/>
    <w:rPr>
      <w:rFonts w:hint="eastAsia" w:ascii="宋体" w:hAnsi="宋体" w:eastAsia="宋体"/>
      <w:spacing w:val="10"/>
      <w:kern w:val="2"/>
      <w:sz w:val="21"/>
      <w:szCs w:val="21"/>
      <w:lang w:val="en-US" w:eastAsia="zh-CN" w:bidi="ar-SA"/>
    </w:rPr>
  </w:style>
  <w:style w:type="character" w:customStyle="1" w:styleId="130">
    <w:name w:val="样式"/>
    <w:qFormat/>
    <w:uiPriority w:val="0"/>
    <w:rPr>
      <w:color w:val="auto"/>
      <w:spacing w:val="8"/>
      <w:w w:val="100"/>
      <w:position w:val="0"/>
    </w:rPr>
  </w:style>
  <w:style w:type="character" w:customStyle="1" w:styleId="131">
    <w:name w:val="wj样式 Char Char"/>
    <w:link w:val="64"/>
    <w:qFormat/>
    <w:uiPriority w:val="0"/>
    <w:rPr>
      <w:spacing w:val="14"/>
      <w:kern w:val="2"/>
      <w:sz w:val="24"/>
      <w:szCs w:val="24"/>
    </w:rPr>
  </w:style>
  <w:style w:type="character" w:customStyle="1" w:styleId="132">
    <w:name w:val="grame"/>
    <w:basedOn w:val="40"/>
    <w:qFormat/>
    <w:uiPriority w:val="0"/>
  </w:style>
  <w:style w:type="character" w:customStyle="1" w:styleId="133">
    <w:name w:val="样式 正文首行缩进 2 + Char"/>
    <w:link w:val="91"/>
    <w:qFormat/>
    <w:uiPriority w:val="0"/>
    <w:rPr>
      <w:kern w:val="2"/>
      <w:sz w:val="28"/>
      <w:szCs w:val="24"/>
    </w:rPr>
  </w:style>
  <w:style w:type="character" w:customStyle="1" w:styleId="134">
    <w:name w:val="房-报告正文 Char Char"/>
    <w:link w:val="63"/>
    <w:qFormat/>
    <w:uiPriority w:val="0"/>
    <w:rPr>
      <w:rFonts w:ascii="ˎ̥" w:hAnsi="宋体" w:eastAsia="宋体"/>
      <w:snapToGrid w:val="0"/>
      <w:spacing w:val="10"/>
      <w:sz w:val="24"/>
      <w:szCs w:val="24"/>
      <w:lang w:val="en-US" w:eastAsia="zh-CN" w:bidi="ar-SA"/>
    </w:rPr>
  </w:style>
  <w:style w:type="character" w:customStyle="1" w:styleId="135">
    <w:name w:val="页脚 Char"/>
    <w:link w:val="21"/>
    <w:qFormat/>
    <w:uiPriority w:val="99"/>
    <w:rPr>
      <w:kern w:val="2"/>
      <w:sz w:val="18"/>
      <w:szCs w:val="18"/>
    </w:rPr>
  </w:style>
  <w:style w:type="character" w:customStyle="1" w:styleId="136">
    <w:name w:val="公文标题"/>
    <w:qFormat/>
    <w:uiPriority w:val="0"/>
    <w:rPr>
      <w:rFonts w:hint="eastAsia" w:ascii="金山简标宋" w:eastAsia="金山简标宋"/>
      <w:sz w:val="44"/>
    </w:rPr>
  </w:style>
  <w:style w:type="character" w:customStyle="1" w:styleId="137">
    <w:name w:val="tx131"/>
    <w:qFormat/>
    <w:uiPriority w:val="0"/>
    <w:rPr>
      <w:rFonts w:hint="eastAsia" w:ascii="宋体" w:hAnsi="宋体" w:eastAsia="宋体"/>
      <w:sz w:val="20"/>
      <w:szCs w:val="20"/>
    </w:rPr>
  </w:style>
  <w:style w:type="character" w:customStyle="1" w:styleId="138">
    <w:name w:val="方案正文样式 Char"/>
    <w:link w:val="77"/>
    <w:qFormat/>
    <w:uiPriority w:val="0"/>
    <w:rPr>
      <w:snapToGrid/>
      <w:sz w:val="24"/>
      <w:szCs w:val="24"/>
    </w:rPr>
  </w:style>
  <w:style w:type="character" w:customStyle="1" w:styleId="139">
    <w:name w:val="postbody1"/>
    <w:qFormat/>
    <w:uiPriority w:val="0"/>
    <w:rPr>
      <w:spacing w:val="270"/>
      <w:sz w:val="21"/>
      <w:szCs w:val="21"/>
    </w:rPr>
  </w:style>
  <w:style w:type="character" w:customStyle="1" w:styleId="140">
    <w:name w:val="正文首行缩进 Char"/>
    <w:link w:val="34"/>
    <w:qFormat/>
    <w:uiPriority w:val="0"/>
    <w:rPr>
      <w:rFonts w:ascii="宋体"/>
      <w:w w:val="95"/>
      <w:kern w:val="2"/>
      <w:sz w:val="21"/>
    </w:rPr>
  </w:style>
  <w:style w:type="character" w:customStyle="1" w:styleId="141">
    <w:name w:val="表格文字1 Char"/>
    <w:qFormat/>
    <w:uiPriority w:val="0"/>
    <w:rPr>
      <w:rFonts w:eastAsia="宋体"/>
      <w:spacing w:val="10"/>
      <w:kern w:val="2"/>
      <w:sz w:val="24"/>
      <w:szCs w:val="24"/>
      <w:lang w:val="en-US" w:eastAsia="zh-CN" w:bidi="ar-SA"/>
    </w:rPr>
  </w:style>
  <w:style w:type="character" w:customStyle="1" w:styleId="142">
    <w:name w:val="纯文本 Char2"/>
    <w:qFormat/>
    <w:uiPriority w:val="0"/>
    <w:rPr>
      <w:rFonts w:ascii="宋体" w:hAnsi="Courier New" w:eastAsia="宋体" w:cs="仿宋_GB2312"/>
      <w:kern w:val="2"/>
      <w:sz w:val="21"/>
      <w:szCs w:val="21"/>
      <w:lang w:val="en-US" w:eastAsia="zh-CN" w:bidi="ar-SA"/>
    </w:rPr>
  </w:style>
  <w:style w:type="character" w:customStyle="1" w:styleId="143">
    <w:name w:val="无间隔 Char"/>
    <w:qFormat/>
    <w:uiPriority w:val="0"/>
    <w:rPr>
      <w:rFonts w:ascii="Times New Roman" w:hAnsi="Times New Roman" w:cs="Times New Roman"/>
      <w:sz w:val="18"/>
      <w:szCs w:val="18"/>
    </w:rPr>
  </w:style>
  <w:style w:type="character" w:customStyle="1" w:styleId="144">
    <w:name w:val="apple-style-span"/>
    <w:basedOn w:val="40"/>
    <w:qFormat/>
    <w:uiPriority w:val="0"/>
  </w:style>
  <w:style w:type="character" w:customStyle="1" w:styleId="145">
    <w:name w:val="纯文本 Char"/>
    <w:link w:val="17"/>
    <w:qFormat/>
    <w:uiPriority w:val="0"/>
    <w:rPr>
      <w:rFonts w:ascii="宋体" w:hAnsi="Courier New"/>
      <w:kern w:val="2"/>
      <w:sz w:val="28"/>
      <w:szCs w:val="21"/>
    </w:rPr>
  </w:style>
  <w:style w:type="character" w:customStyle="1" w:styleId="146">
    <w:name w:val="昆明中海正文 Char Char"/>
    <w:link w:val="65"/>
    <w:qFormat/>
    <w:uiPriority w:val="0"/>
    <w:rPr>
      <w:rFonts w:ascii="宋体" w:hAnsi="宋体" w:cs="宋体"/>
      <w:bCs/>
      <w:snapToGrid/>
      <w:spacing w:val="12"/>
      <w:sz w:val="24"/>
      <w:szCs w:val="24"/>
    </w:rPr>
  </w:style>
  <w:style w:type="character" w:customStyle="1" w:styleId="147">
    <w:name w:val="unnamed41"/>
    <w:qFormat/>
    <w:uiPriority w:val="0"/>
    <w:rPr>
      <w:color w:val="333333"/>
      <w:sz w:val="21"/>
      <w:szCs w:val="21"/>
    </w:rPr>
  </w:style>
  <w:style w:type="character" w:customStyle="1" w:styleId="148">
    <w:name w:val="contents1"/>
    <w:qFormat/>
    <w:uiPriority w:val="0"/>
    <w:rPr>
      <w:color w:val="000000"/>
      <w:sz w:val="21"/>
      <w:szCs w:val="21"/>
      <w:u w:val="none"/>
    </w:rPr>
  </w:style>
  <w:style w:type="character" w:customStyle="1" w:styleId="149">
    <w:name w:val="正文首行缩进 2 Char"/>
    <w:link w:val="35"/>
    <w:qFormat/>
    <w:uiPriority w:val="0"/>
    <w:rPr>
      <w:kern w:val="2"/>
      <w:sz w:val="21"/>
      <w:szCs w:val="24"/>
    </w:rPr>
  </w:style>
  <w:style w:type="character" w:customStyle="1" w:styleId="150">
    <w:name w:val="郭-正文 Char"/>
    <w:link w:val="66"/>
    <w:qFormat/>
    <w:uiPriority w:val="0"/>
    <w:rPr>
      <w:rFonts w:ascii="宋体" w:hAnsi="宋体" w:cs="仿宋_GB2312"/>
      <w:kern w:val="2"/>
      <w:sz w:val="24"/>
      <w:szCs w:val="24"/>
    </w:rPr>
  </w:style>
  <w:style w:type="character" w:customStyle="1" w:styleId="151">
    <w:name w:val="房-表格内容（五号） Char Char"/>
    <w:qFormat/>
    <w:uiPriority w:val="0"/>
    <w:rPr>
      <w:rFonts w:eastAsia="宋体" w:cs="TimesNewRomanPSMT"/>
      <w:bCs/>
      <w:color w:val="000000"/>
      <w:kern w:val="44"/>
      <w:sz w:val="21"/>
      <w:szCs w:val="21"/>
      <w:lang w:val="en-US" w:eastAsia="zh-CN" w:bidi="ar-SA"/>
    </w:rPr>
  </w:style>
  <w:style w:type="character" w:customStyle="1" w:styleId="152">
    <w:name w:val="普通(网站) Char"/>
    <w:link w:val="31"/>
    <w:qFormat/>
    <w:uiPriority w:val="0"/>
    <w:rPr>
      <w:rFonts w:ascii="宋体" w:hAnsi="宋体" w:cs="宋体"/>
      <w:color w:val="000000"/>
      <w:sz w:val="24"/>
      <w:szCs w:val="24"/>
    </w:rPr>
  </w:style>
  <w:style w:type="character" w:customStyle="1" w:styleId="153">
    <w:name w:val="标题 9 Char"/>
    <w:link w:val="8"/>
    <w:qFormat/>
    <w:uiPriority w:val="0"/>
    <w:rPr>
      <w:rFonts w:ascii="Arial" w:hAnsi="Arial" w:eastAsia="黑体"/>
      <w:kern w:val="2"/>
      <w:sz w:val="21"/>
      <w:szCs w:val="21"/>
    </w:rPr>
  </w:style>
  <w:style w:type="table" w:customStyle="1" w:styleId="154">
    <w:name w:val="Grid Table 6 Colorful"/>
    <w:basedOn w:val="36"/>
    <w:qFormat/>
    <w:uiPriority w:val="79"/>
    <w:rPr>
      <w:color w:val="000000"/>
    </w:rPr>
    <w:tblPr>
      <w:tblBorders>
        <w:top w:val="single" w:color="666666" w:sz="4" w:space="0"/>
        <w:left w:val="single" w:color="666666" w:sz="4" w:space="0"/>
        <w:bottom w:val="single" w:color="666666" w:sz="4" w:space="0"/>
        <w:right w:val="single" w:color="666666" w:sz="4" w:space="0"/>
        <w:insideH w:val="single" w:color="666666" w:sz="4" w:space="0"/>
        <w:insideV w:val="single" w:color="666666" w:sz="4" w:space="0"/>
      </w:tblBorders>
      <w:tblCellMar>
        <w:top w:w="0" w:type="dxa"/>
        <w:left w:w="108" w:type="dxa"/>
        <w:bottom w:w="0" w:type="dxa"/>
        <w:right w:w="108" w:type="dxa"/>
      </w:tblCellMar>
    </w:tblPr>
    <w:tblStylePr w:type="firstRow">
      <w:rPr>
        <w:b/>
        <w:w w:val="100"/>
        <w:sz w:val="20"/>
        <w:szCs w:val="20"/>
        <w:shd w:val="clear" w:color="auto" w:fill="auto"/>
      </w:rPr>
      <w:tcPr>
        <w:tcBorders>
          <w:top w:val="nil"/>
          <w:left w:val="single" w:color="666666" w:sz="4" w:space="0"/>
          <w:bottom w:val="nil"/>
          <w:right w:val="nil"/>
          <w:insideH w:val="nil"/>
          <w:insideV w:val="nil"/>
          <w:tl2br w:val="nil"/>
          <w:tr2bl w:val="nil"/>
        </w:tcBorders>
      </w:tcPr>
    </w:tblStylePr>
    <w:tblStylePr w:type="lastRow">
      <w:rPr>
        <w:b/>
        <w:w w:val="100"/>
        <w:sz w:val="20"/>
        <w:szCs w:val="20"/>
        <w:shd w:val="clear" w:color="auto" w:fill="auto"/>
      </w:rPr>
      <w:tcPr>
        <w:tcBorders>
          <w:top w:val="single" w:color="666666" w:sz="4" w:space="0"/>
          <w:left w:val="nil"/>
          <w:bottom w:val="nil"/>
          <w:right w:val="nil"/>
          <w:insideH w:val="nil"/>
          <w:insideV w:val="nil"/>
          <w:tl2br w:val="nil"/>
          <w:tr2bl w:val="nil"/>
        </w:tcBorders>
      </w:tcPr>
    </w:tblStylePr>
    <w:tblStylePr w:type="firstCol">
      <w:rPr>
        <w:b/>
        <w:w w:val="100"/>
        <w:sz w:val="20"/>
        <w:szCs w:val="20"/>
        <w:shd w:val="clear" w:color="auto" w:fill="auto"/>
      </w:rPr>
    </w:tblStylePr>
    <w:tblStylePr w:type="lastCol">
      <w:rPr>
        <w:b/>
        <w:w w:val="100"/>
        <w:sz w:val="20"/>
        <w:szCs w:val="20"/>
        <w:shd w:val="clear" w:color="auto" w:fill="auto"/>
      </w:rPr>
    </w:tblStylePr>
    <w:tblStylePr w:type="band1Vert">
      <w:tcPr>
        <w:shd w:val="clear" w:color="000000" w:fill="CCCCCC"/>
      </w:tcPr>
    </w:tblStylePr>
    <w:tblStylePr w:type="band1Horz">
      <w:tcPr>
        <w:shd w:val="clear" w:color="000000" w:fill="CCCCCC"/>
      </w:tcPr>
    </w:tblStylePr>
  </w:style>
  <w:style w:type="table" w:customStyle="1" w:styleId="155">
    <w:name w:val="Table Normal"/>
    <w:unhideWhenUsed/>
    <w:qFormat/>
    <w:uiPriority w:val="2"/>
    <w:pPr>
      <w:widowControl w:val="0"/>
    </w:pPr>
    <w:rPr>
      <w:sz w:val="22"/>
      <w:szCs w:val="22"/>
      <w:lang w:eastAsia="en-US"/>
    </w:rPr>
    <w:tblPr>
      <w:tblCellMar>
        <w:top w:w="0" w:type="dxa"/>
        <w:left w:w="0" w:type="dxa"/>
        <w:bottom w:w="0" w:type="dxa"/>
        <w:right w:w="0" w:type="dxa"/>
      </w:tblCellMar>
    </w:tblPr>
  </w:style>
  <w:style w:type="character" w:customStyle="1" w:styleId="156">
    <w:name w:val="10"/>
    <w:basedOn w:val="40"/>
    <w:qFormat/>
    <w:uiPriority w:val="0"/>
    <w:rPr>
      <w:rFonts w:hint="default" w:ascii="Times New Roman" w:hAnsi="Times New Roman" w:cs="Times New Roman"/>
    </w:rPr>
  </w:style>
  <w:style w:type="character" w:customStyle="1" w:styleId="157">
    <w:name w:val="15"/>
    <w:basedOn w:val="40"/>
    <w:qFormat/>
    <w:uiPriority w:val="0"/>
    <w:rPr>
      <w:rFonts w:hint="default" w:ascii="Times New Roman" w:hAnsi="Times New Roman" w:cs="Times New Roman"/>
    </w:rPr>
  </w:style>
  <w:style w:type="paragraph" w:customStyle="1" w:styleId="158">
    <w:name w:val="正"/>
    <w:basedOn w:val="1"/>
    <w:qFormat/>
    <w:uiPriority w:val="0"/>
    <w:pPr>
      <w:ind w:firstLine="200"/>
    </w:pPr>
  </w:style>
  <w:style w:type="paragraph" w:customStyle="1" w:styleId="159">
    <w:name w:val="样式 小四 首行缩进:  0.85 厘米"/>
    <w:basedOn w:val="1"/>
    <w:qFormat/>
    <w:uiPriority w:val="0"/>
    <w:pPr>
      <w:ind w:firstLine="482"/>
    </w:pPr>
    <w:rPr>
      <w:kern w:val="1"/>
    </w:rPr>
  </w:style>
  <w:style w:type="paragraph" w:customStyle="1" w:styleId="160">
    <w:name w:val="【正文】"/>
    <w:basedOn w:val="1"/>
    <w:qFormat/>
    <w:uiPriority w:val="0"/>
    <w:pPr>
      <w:ind w:firstLine="200"/>
    </w:pPr>
    <w:rPr>
      <w:kern w:val="2"/>
    </w:rPr>
  </w:style>
  <w:style w:type="paragraph" w:customStyle="1" w:styleId="161">
    <w:name w:val="1、正文文本"/>
    <w:next w:val="1"/>
    <w:qFormat/>
    <w:uiPriority w:val="0"/>
    <w:pPr>
      <w:adjustRightInd w:val="0"/>
      <w:snapToGrid w:val="0"/>
      <w:spacing w:line="360" w:lineRule="auto"/>
      <w:ind w:firstLine="200" w:firstLineChars="200"/>
      <w:jc w:val="both"/>
    </w:pPr>
    <w:rPr>
      <w:rFonts w:ascii="Calibri" w:hAnsi="Calibri" w:eastAsia="宋体" w:cs="宋体"/>
      <w:kern w:val="2"/>
      <w:sz w:val="24"/>
      <w:lang w:val="en-US" w:eastAsia="zh-CN" w:bidi="ar-SA"/>
    </w:rPr>
  </w:style>
  <w:style w:type="paragraph" w:customStyle="1" w:styleId="162">
    <w:name w:val="图表标题"/>
    <w:basedOn w:val="1"/>
    <w:qFormat/>
    <w:uiPriority w:val="0"/>
    <w:pPr>
      <w:spacing w:line="336" w:lineRule="auto"/>
      <w:ind w:firstLine="0"/>
      <w:jc w:val="center"/>
    </w:pPr>
    <w:rPr>
      <w:rFonts w:ascii="Calibri" w:hAnsi="Calibri"/>
      <w:b/>
      <w:sz w:val="21"/>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microsoft.com/office/2006/relationships/keyMapCustomizations" Target="customizations.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1.wmf"/><Relationship Id="rId28" Type="http://schemas.openxmlformats.org/officeDocument/2006/relationships/oleObject" Target="embeddings/oleObject6.bin"/><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png"/><Relationship Id="rId23" Type="http://schemas.openxmlformats.org/officeDocument/2006/relationships/image" Target="media/image6.png"/><Relationship Id="rId22" Type="http://schemas.openxmlformats.org/officeDocument/2006/relationships/image" Target="media/image5.wmf"/><Relationship Id="rId21" Type="http://schemas.openxmlformats.org/officeDocument/2006/relationships/oleObject" Target="embeddings/oleObject5.bin"/><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3.emf"/><Relationship Id="rId17" Type="http://schemas.openxmlformats.org/officeDocument/2006/relationships/oleObject" Target="embeddings/oleObject3.bin"/><Relationship Id="rId16" Type="http://schemas.openxmlformats.org/officeDocument/2006/relationships/image" Target="media/image2.e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Info spid="_x0000_s1026"/>
    <customShpInfo spid="_x0000_s1033"/>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88</Pages>
  <Words>11670</Words>
  <Characters>66519</Characters>
  <Lines>554</Lines>
  <Paragraphs>156</Paragraphs>
  <TotalTime>24</TotalTime>
  <ScaleCrop>false</ScaleCrop>
  <LinksUpToDate>false</LinksUpToDate>
  <CharactersWithSpaces>78033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2017-10-26T09:58:00Z</dcterms:created>
  <dc:creator>Administrator</dc:creator>
  <cp:lastModifiedBy>绿环环保</cp:lastModifiedBy>
  <cp:lastPrinted>2020-05-26T06:53:00Z</cp:lastPrinted>
  <dcterms:modified xsi:type="dcterms:W3CDTF">2021-04-21T08:03:16Z</dcterms:modified>
  <dc:title>建设项目环境影响报告表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2551496665364224A86119E7307AF329</vt:lpwstr>
  </property>
</Properties>
</file>