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bookmarkStart w:id="0" w:name="_GoBack"/>
      <w:bookmarkEnd w:id="0"/>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富生环联合不予罚〔2021〕13号</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w:t>
      </w:r>
      <w:r>
        <w:rPr>
          <w:rFonts w:hint="eastAsia" w:ascii="仿宋_GB2312" w:eastAsia="仿宋_GB2312"/>
          <w:color w:val="auto"/>
          <w:sz w:val="32"/>
          <w:szCs w:val="32"/>
        </w:rPr>
        <w:t>富民泰峰金属制品有限公司</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统一社会代码：</w:t>
      </w:r>
      <w:r>
        <w:rPr>
          <w:rFonts w:hint="eastAsia" w:ascii="仿宋_GB2312" w:eastAsia="仿宋_GB2312"/>
          <w:color w:val="auto"/>
          <w:sz w:val="32"/>
          <w:szCs w:val="32"/>
        </w:rPr>
        <w:t xml:space="preserve">91530124763882710 </w:t>
      </w:r>
      <w:r>
        <w:rPr>
          <w:rFonts w:hint="eastAsia" w:ascii="仿宋_GB2312" w:hAnsi="仿宋_GB2312" w:eastAsia="仿宋_GB2312" w:cs="仿宋_GB2312"/>
          <w:color w:val="auto"/>
          <w:sz w:val="32"/>
          <w:szCs w:val="32"/>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经营者</w:t>
      </w:r>
      <w:r>
        <w:rPr>
          <w:rFonts w:hint="eastAsia" w:ascii="仿宋_GB2312" w:hAnsi="仿宋_GB2312" w:eastAsia="仿宋_GB2312" w:cs="仿宋_GB2312"/>
          <w:color w:val="auto"/>
          <w:sz w:val="32"/>
          <w:szCs w:val="32"/>
        </w:rPr>
        <w:t>：</w:t>
      </w:r>
      <w:r>
        <w:rPr>
          <w:rFonts w:hint="eastAsia" w:ascii="仿宋_GB2312" w:hAnsi="宋体" w:eastAsia="仿宋_GB2312"/>
          <w:color w:val="auto"/>
          <w:sz w:val="32"/>
          <w:szCs w:val="32"/>
          <w:lang w:eastAsia="zh-CN"/>
        </w:rPr>
        <w:t>施兴武</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仿宋_GB2312" w:hAnsi="仿宋_GB2312" w:eastAsia="仿宋_GB2312" w:cs="仿宋_GB2312"/>
          <w:color w:val="auto"/>
          <w:spacing w:val="-20"/>
          <w:sz w:val="32"/>
          <w:szCs w:val="32"/>
          <w:lang w:eastAsia="zh-CN"/>
        </w:rPr>
      </w:pPr>
      <w:r>
        <w:rPr>
          <w:rFonts w:hint="eastAsia" w:ascii="仿宋_GB2312" w:hAnsi="仿宋_GB2312" w:eastAsia="仿宋_GB2312" w:cs="仿宋_GB2312"/>
          <w:color w:val="auto"/>
          <w:sz w:val="32"/>
          <w:szCs w:val="32"/>
          <w:lang w:eastAsia="zh-CN"/>
        </w:rPr>
        <w:t>经营场所</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lang w:eastAsia="zh-CN"/>
        </w:rPr>
        <w:t>云南省</w:t>
      </w:r>
      <w:r>
        <w:rPr>
          <w:rFonts w:hint="eastAsia" w:ascii="仿宋_GB2312" w:eastAsia="仿宋_GB2312"/>
          <w:color w:val="auto"/>
          <w:sz w:val="32"/>
          <w:szCs w:val="32"/>
        </w:rPr>
        <w:t>昆明市富民县</w:t>
      </w:r>
      <w:r>
        <w:rPr>
          <w:rFonts w:hint="eastAsia" w:ascii="仿宋_GB2312" w:eastAsia="仿宋_GB2312"/>
          <w:color w:val="auto"/>
          <w:sz w:val="32"/>
          <w:szCs w:val="32"/>
          <w:lang w:eastAsia="zh-CN"/>
        </w:rPr>
        <w:t>永定</w:t>
      </w:r>
      <w:r>
        <w:rPr>
          <w:rFonts w:hint="eastAsia" w:ascii="仿宋_GB2312" w:eastAsia="仿宋_GB2312"/>
          <w:color w:val="auto"/>
          <w:sz w:val="32"/>
          <w:szCs w:val="32"/>
        </w:rPr>
        <w:t>街道</w:t>
      </w:r>
      <w:r>
        <w:rPr>
          <w:rFonts w:hint="eastAsia" w:ascii="仿宋_GB2312" w:eastAsia="仿宋_GB2312"/>
          <w:color w:val="auto"/>
          <w:sz w:val="32"/>
          <w:szCs w:val="32"/>
          <w:lang w:eastAsia="zh-CN"/>
        </w:rPr>
        <w:t>办事处</w:t>
      </w:r>
      <w:r>
        <w:rPr>
          <w:rFonts w:hint="eastAsia" w:ascii="仿宋_GB2312" w:eastAsia="仿宋_GB2312"/>
          <w:color w:val="auto"/>
          <w:sz w:val="32"/>
          <w:szCs w:val="32"/>
        </w:rPr>
        <w:t>大麦竜</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富民泰峰金属制品有限公司</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color w:val="auto"/>
          <w:kern w:val="0"/>
          <w:sz w:val="32"/>
          <w:szCs w:val="32"/>
          <w:lang w:eastAsia="zh-CN"/>
        </w:rPr>
        <w:t>固体废物管理制度一案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640" w:firstLineChars="200"/>
        <w:jc w:val="both"/>
        <w:textAlignment w:val="auto"/>
        <w:rPr>
          <w:color w:val="auto"/>
          <w:sz w:val="32"/>
          <w:szCs w:val="32"/>
        </w:rPr>
      </w:pPr>
      <w:r>
        <w:rPr>
          <w:rFonts w:hint="eastAsia" w:ascii="仿宋_GB2312" w:hAnsi="仿宋_GB2312" w:eastAsia="仿宋_GB2312" w:cs="仿宋"/>
          <w:color w:val="auto"/>
          <w:sz w:val="32"/>
          <w:szCs w:val="32"/>
          <w:lang w:eastAsia="zh-CN"/>
        </w:rPr>
        <w:t>云南省生态环境厅组织的大理州联合</w:t>
      </w:r>
      <w:r>
        <w:rPr>
          <w:rFonts w:hint="eastAsia" w:ascii="仿宋_GB2312" w:hAnsi="仿宋_GB2312" w:eastAsia="仿宋_GB2312" w:cs="仿宋"/>
          <w:color w:val="auto"/>
          <w:sz w:val="32"/>
          <w:szCs w:val="32"/>
        </w:rPr>
        <w:t>执法人员于202</w:t>
      </w:r>
      <w:r>
        <w:rPr>
          <w:rFonts w:hint="eastAsia" w:ascii="仿宋_GB2312" w:hAnsi="仿宋_GB2312" w:eastAsia="仿宋_GB2312" w:cs="仿宋"/>
          <w:color w:val="auto"/>
          <w:sz w:val="32"/>
          <w:szCs w:val="32"/>
          <w:lang w:val="en-US" w:eastAsia="zh-CN"/>
        </w:rPr>
        <w:t>1</w:t>
      </w:r>
      <w:r>
        <w:rPr>
          <w:rFonts w:hint="eastAsia" w:ascii="仿宋_GB2312" w:hAnsi="仿宋_GB2312" w:eastAsia="仿宋_GB2312" w:cs="仿宋"/>
          <w:color w:val="auto"/>
          <w:sz w:val="32"/>
          <w:szCs w:val="32"/>
        </w:rPr>
        <w:t>年</w:t>
      </w:r>
      <w:r>
        <w:rPr>
          <w:rFonts w:hint="eastAsia" w:ascii="仿宋_GB2312" w:hAnsi="仿宋_GB2312" w:eastAsia="仿宋_GB2312" w:cs="仿宋"/>
          <w:color w:val="auto"/>
          <w:sz w:val="32"/>
          <w:szCs w:val="32"/>
          <w:lang w:val="en-US" w:eastAsia="zh-CN"/>
        </w:rPr>
        <w:t>7</w:t>
      </w:r>
      <w:r>
        <w:rPr>
          <w:rFonts w:hint="eastAsia" w:ascii="仿宋_GB2312" w:hAnsi="仿宋_GB2312" w:eastAsia="仿宋_GB2312" w:cs="仿宋"/>
          <w:color w:val="auto"/>
          <w:sz w:val="32"/>
          <w:szCs w:val="32"/>
        </w:rPr>
        <w:t>月</w:t>
      </w:r>
      <w:r>
        <w:rPr>
          <w:rFonts w:hint="eastAsia" w:ascii="仿宋_GB2312" w:hAnsi="仿宋_GB2312" w:eastAsia="仿宋_GB2312" w:cs="仿宋"/>
          <w:color w:val="auto"/>
          <w:sz w:val="32"/>
          <w:szCs w:val="32"/>
          <w:lang w:val="en-US" w:eastAsia="zh-CN"/>
        </w:rPr>
        <w:t>4</w:t>
      </w:r>
      <w:r>
        <w:rPr>
          <w:rFonts w:hint="eastAsia" w:ascii="仿宋_GB2312" w:hAnsi="仿宋_GB2312" w:eastAsia="仿宋_GB2312" w:cs="仿宋"/>
          <w:color w:val="auto"/>
          <w:sz w:val="32"/>
          <w:szCs w:val="32"/>
        </w:rPr>
        <w:t>日对你</w:t>
      </w:r>
      <w:r>
        <w:rPr>
          <w:rFonts w:hint="eastAsia" w:ascii="仿宋_GB2312" w:hAnsi="仿宋_GB2312" w:eastAsia="仿宋_GB2312" w:cs="仿宋"/>
          <w:color w:val="auto"/>
          <w:sz w:val="32"/>
          <w:szCs w:val="32"/>
          <w:lang w:eastAsia="zh-CN"/>
        </w:rPr>
        <w:t>公司</w:t>
      </w:r>
      <w:r>
        <w:rPr>
          <w:rFonts w:hint="eastAsia" w:ascii="仿宋_GB2312" w:hAnsi="仿宋_GB2312" w:eastAsia="仿宋_GB2312" w:cs="仿宋"/>
          <w:color w:val="auto"/>
          <w:sz w:val="32"/>
          <w:szCs w:val="32"/>
        </w:rPr>
        <w:t>进行了现场检查，发现</w:t>
      </w:r>
      <w:r>
        <w:rPr>
          <w:rFonts w:hint="eastAsia" w:ascii="仿宋_GB2312" w:hAnsi="仿宋_GB2312" w:eastAsia="仿宋_GB2312" w:cs="仿宋"/>
          <w:color w:val="auto"/>
          <w:sz w:val="32"/>
          <w:szCs w:val="32"/>
          <w:lang w:eastAsia="zh-CN"/>
        </w:rPr>
        <w:t>你公司</w:t>
      </w:r>
      <w:r>
        <w:rPr>
          <w:rFonts w:hint="eastAsia" w:ascii="仿宋_GB2312" w:hAnsi="仿宋_GB2312" w:eastAsia="仿宋_GB2312" w:cs="仿宋"/>
          <w:color w:val="auto"/>
          <w:sz w:val="32"/>
          <w:szCs w:val="32"/>
        </w:rPr>
        <w:t xml:space="preserve">实施了以下环境违法行为： </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危险废物管理混乱，厂内未规范设置危险暂存间、未规范设立识别标志、未按规范建立收储台账。</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以上事实，有</w:t>
      </w:r>
      <w:r>
        <w:rPr>
          <w:rFonts w:hint="eastAsia" w:ascii="仿宋_GB2312" w:eastAsia="仿宋_GB2312"/>
          <w:color w:val="auto"/>
          <w:sz w:val="32"/>
          <w:szCs w:val="32"/>
          <w:lang w:eastAsia="zh-CN"/>
        </w:rPr>
        <w:t>《</w:t>
      </w:r>
      <w:r>
        <w:rPr>
          <w:rFonts w:hint="eastAsia" w:ascii="仿宋_GB2312" w:eastAsia="仿宋_GB2312"/>
          <w:color w:val="auto"/>
          <w:sz w:val="32"/>
          <w:szCs w:val="32"/>
        </w:rPr>
        <w:t>现场检查(勘察)笔录</w:t>
      </w:r>
      <w:r>
        <w:rPr>
          <w:rFonts w:hint="eastAsia" w:ascii="仿宋_GB2312" w:eastAsia="仿宋_GB2312"/>
          <w:color w:val="auto"/>
          <w:sz w:val="32"/>
          <w:szCs w:val="32"/>
          <w:lang w:eastAsia="zh-CN"/>
        </w:rPr>
        <w:t>》</w:t>
      </w:r>
      <w:r>
        <w:rPr>
          <w:rFonts w:hint="eastAsia" w:ascii="仿宋_GB2312" w:eastAsia="仿宋_GB2312"/>
          <w:color w:val="auto"/>
          <w:sz w:val="32"/>
          <w:szCs w:val="32"/>
        </w:rPr>
        <w:t>、《调查询问笔录》、现场检查照片</w:t>
      </w:r>
      <w:r>
        <w:rPr>
          <w:rFonts w:hint="eastAsia" w:ascii="仿宋_GB2312" w:hAnsi="Times New Roman" w:eastAsia="仿宋_GB2312" w:cs="Times New Roman"/>
          <w:color w:val="auto"/>
          <w:sz w:val="32"/>
          <w:szCs w:val="32"/>
        </w:rPr>
        <w:t>等</w:t>
      </w:r>
      <w:r>
        <w:rPr>
          <w:rFonts w:hint="eastAsia" w:ascii="仿宋_GB2312" w:eastAsia="仿宋_GB2312"/>
          <w:color w:val="auto"/>
          <w:sz w:val="32"/>
          <w:szCs w:val="32"/>
        </w:rPr>
        <w:t>证据为凭。</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上述行为已违反了：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39"/>
        <w:jc w:val="both"/>
        <w:textAlignment w:val="auto"/>
        <w:rPr>
          <w:rFonts w:hint="eastAsia" w:ascii="仿宋_GB2312" w:eastAsia="仿宋_GB2312" w:cs="仿宋_GB2312"/>
          <w:color w:val="auto"/>
          <w:sz w:val="32"/>
          <w:szCs w:val="32"/>
        </w:rPr>
      </w:pP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《中华人民共和国固体废物污染环境防治法》第七十</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条</w:t>
      </w:r>
      <w:r>
        <w:rPr>
          <w:rFonts w:hint="eastAsia" w:ascii="仿宋_GB2312" w:hAnsi="Times New Roman" w:eastAsia="仿宋_GB2312" w:cs="Times New Roman"/>
          <w:color w:val="auto"/>
          <w:sz w:val="32"/>
          <w:szCs w:val="32"/>
          <w:lang w:eastAsia="zh-CN"/>
        </w:rPr>
        <w:t>：</w:t>
      </w:r>
      <w:r>
        <w:rPr>
          <w:rFonts w:hint="eastAsia" w:ascii="仿宋_GB2312" w:eastAsia="仿宋_GB2312" w:cs="仿宋_GB2312"/>
          <w:color w:val="auto"/>
          <w:sz w:val="32"/>
          <w:szCs w:val="32"/>
        </w:rPr>
        <w:t>对危险废物的容器和包装物以及收集、贮存、运输、利用、处置危险废物的设施、场所，应当按照规定设置危险废物识别标志。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39"/>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《中华人民共和国固体废物污染环境防治法》第七十</w:t>
      </w:r>
      <w:r>
        <w:rPr>
          <w:rFonts w:hint="eastAsia" w:ascii="仿宋_GB2312" w:hAnsi="Times New Roman" w:eastAsia="仿宋_GB2312" w:cs="Times New Roman"/>
          <w:color w:val="auto"/>
          <w:sz w:val="32"/>
          <w:szCs w:val="32"/>
          <w:lang w:eastAsia="zh-CN"/>
        </w:rPr>
        <w:t>八</w:t>
      </w:r>
      <w:r>
        <w:rPr>
          <w:rFonts w:hint="eastAsia" w:ascii="仿宋_GB2312" w:hAnsi="Times New Roman" w:eastAsia="仿宋_GB2312" w:cs="Times New Roman"/>
          <w:color w:val="auto"/>
          <w:sz w:val="32"/>
          <w:szCs w:val="32"/>
        </w:rPr>
        <w:t>条</w:t>
      </w:r>
      <w:r>
        <w:rPr>
          <w:rFonts w:hint="eastAsia" w:ascii="仿宋_GB2312" w:hAnsi="Times New Roman" w:eastAsia="仿宋_GB2312" w:cs="Times New Roman"/>
          <w:color w:val="auto"/>
          <w:sz w:val="32"/>
          <w:szCs w:val="32"/>
          <w:lang w:eastAsia="zh-CN"/>
        </w:rPr>
        <w:t>第一款</w:t>
      </w:r>
      <w:r>
        <w:rPr>
          <w:rFonts w:hint="eastAsia" w:ascii="仿宋_GB2312" w:eastAsia="仿宋_GB2312" w:cs="仿宋_GB2312"/>
          <w:i w:val="0"/>
          <w:iCs w:val="0"/>
          <w:caps w:val="0"/>
          <w:color w:val="auto"/>
          <w:spacing w:val="0"/>
          <w:sz w:val="32"/>
          <w:szCs w:val="32"/>
        </w:rPr>
        <w:t> </w:t>
      </w:r>
      <w:r>
        <w:rPr>
          <w:rFonts w:hint="eastAsia" w:ascii="仿宋_GB2312" w:eastAsia="仿宋_GB2312" w:cs="仿宋_GB2312"/>
          <w:i w:val="0"/>
          <w:iCs w:val="0"/>
          <w:caps w:val="0"/>
          <w:color w:val="auto"/>
          <w:spacing w:val="0"/>
          <w:sz w:val="32"/>
          <w:szCs w:val="32"/>
          <w:lang w:eastAsia="zh-CN"/>
        </w:rPr>
        <w:t>：</w:t>
      </w:r>
      <w:r>
        <w:rPr>
          <w:rFonts w:hint="eastAsia" w:ascii="仿宋_GB2312" w:eastAsia="仿宋_GB2312" w:cs="仿宋_GB2312"/>
          <w:color w:val="auto"/>
          <w:sz w:val="32"/>
          <w:szCs w:val="32"/>
        </w:rPr>
        <w:t>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r>
        <w:rPr>
          <w:rFonts w:hint="eastAsia" w:ascii="仿宋_GB2312" w:hAnsi="Times New Roman" w:eastAsia="仿宋_GB2312" w:cs="Times New Roman"/>
          <w:color w:val="auto"/>
          <w:sz w:val="32"/>
          <w:szCs w:val="32"/>
          <w:lang w:eastAsia="zh-CN"/>
        </w:rPr>
        <w:t>”之规定。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39"/>
        <w:jc w:val="both"/>
        <w:textAlignment w:val="auto"/>
        <w:rPr>
          <w:rFonts w:hint="eastAsia" w:asci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应当按照</w:t>
      </w:r>
      <w:r>
        <w:rPr>
          <w:rFonts w:hint="eastAsia" w:ascii="仿宋_GB2312" w:hAnsi="仿宋_GB2312" w:eastAsia="仿宋_GB2312" w:cs="仿宋_GB2312"/>
          <w:color w:val="auto"/>
          <w:sz w:val="32"/>
          <w:szCs w:val="32"/>
          <w:lang w:eastAsia="zh-CN"/>
        </w:rPr>
        <w:t>“</w:t>
      </w:r>
      <w:r>
        <w:rPr>
          <w:rFonts w:hint="eastAsia" w:ascii="仿宋_GB2312" w:hAnsi="Times New Roman" w:eastAsia="仿宋_GB2312" w:cs="Times New Roman"/>
          <w:color w:val="auto"/>
          <w:sz w:val="32"/>
          <w:szCs w:val="32"/>
        </w:rPr>
        <w:t>《中华人民共和国固体废物污染环境防治法》第一百一十二条第一、十三项</w:t>
      </w:r>
      <w:r>
        <w:rPr>
          <w:rFonts w:hint="eastAsia" w:ascii="仿宋_GB2312" w:hAnsi="Times New Roman" w:eastAsia="仿宋_GB2312" w:cs="Times New Roman"/>
          <w:color w:val="auto"/>
          <w:sz w:val="32"/>
          <w:szCs w:val="32"/>
          <w:lang w:eastAsia="zh-CN"/>
        </w:rPr>
        <w:t>：</w:t>
      </w:r>
      <w:r>
        <w:rPr>
          <w:rFonts w:hint="eastAsia" w:ascii="仿宋_GB2312" w:eastAsia="仿宋_GB2312" w:cs="仿宋_GB2312"/>
          <w:color w:val="auto"/>
          <w:sz w:val="32"/>
          <w:szCs w:val="32"/>
        </w:rPr>
        <w:t>违反本法规定，有下列行为之一，由生态环境主管部门责令改正，处以罚款，没收违法所得；情节严重的，报经有批准权的人民政府批准，可以责令停业或者关闭：</w:t>
      </w:r>
      <w:r>
        <w:rPr>
          <w:rFonts w:hint="eastAsia" w:ascii="仿宋_GB2312" w:eastAsia="仿宋_GB2312" w:cs="仿宋_GB2312"/>
          <w:i w:val="0"/>
          <w:iCs w:val="0"/>
          <w:caps w:val="0"/>
          <w:color w:val="auto"/>
          <w:spacing w:val="0"/>
          <w:sz w:val="32"/>
          <w:szCs w:val="32"/>
        </w:rPr>
        <w:t>（一）未按照规定设置危险废物识别标志的；</w:t>
      </w:r>
      <w:r>
        <w:rPr>
          <w:rFonts w:hint="eastAsia" w:ascii="仿宋_GB2312" w:eastAsia="仿宋_GB2312" w:cs="仿宋_GB2312"/>
          <w:color w:val="auto"/>
          <w:sz w:val="32"/>
          <w:szCs w:val="32"/>
        </w:rPr>
        <w:t>（十三）未按照国家有关规定建立危险废物管理台账并如实记录的。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39"/>
        <w:jc w:val="both"/>
        <w:textAlignment w:val="auto"/>
        <w:rPr>
          <w:rFonts w:hint="eastAsia" w:ascii="仿宋_GB2312" w:hAnsi="仿宋_GB2312" w:eastAsia="仿宋_GB2312" w:cs="仿宋_GB2312"/>
          <w:color w:val="auto"/>
          <w:sz w:val="32"/>
          <w:szCs w:val="32"/>
          <w:lang w:eastAsia="zh-CN"/>
        </w:rPr>
      </w:pPr>
      <w:r>
        <w:rPr>
          <w:rFonts w:hint="eastAsia" w:ascii="仿宋_GB2312" w:eastAsia="仿宋_GB2312" w:cs="仿宋_GB2312"/>
          <w:color w:val="auto"/>
          <w:sz w:val="32"/>
          <w:szCs w:val="32"/>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r>
        <w:rPr>
          <w:rFonts w:hint="eastAsia" w:ascii="仿宋_GB2312" w:hAnsi="仿宋_GB2312" w:eastAsia="仿宋_GB2312" w:cs="仿宋_GB2312"/>
          <w:b w:val="0"/>
          <w:bCs w:val="0"/>
          <w:i w:val="0"/>
          <w:iCs w:val="0"/>
          <w:caps w:val="0"/>
          <w:color w:val="auto"/>
          <w:spacing w:val="0"/>
          <w:sz w:val="32"/>
          <w:szCs w:val="32"/>
          <w:shd w:val="clear" w:fill="FFFFFF"/>
          <w:lang w:eastAsia="zh-CN"/>
        </w:rPr>
        <w:t>”之</w:t>
      </w:r>
      <w:r>
        <w:rPr>
          <w:rFonts w:hint="eastAsia" w:ascii="仿宋_GB2312" w:hAnsi="仿宋_GB2312" w:eastAsia="仿宋_GB2312" w:cs="仿宋_GB2312"/>
          <w:b w:val="0"/>
          <w:bCs w:val="0"/>
          <w:color w:val="auto"/>
          <w:sz w:val="32"/>
          <w:szCs w:val="32"/>
        </w:rPr>
        <w:t>规定</w:t>
      </w:r>
      <w:r>
        <w:rPr>
          <w:rFonts w:hint="eastAsia" w:ascii="仿宋_GB2312" w:hAnsi="仿宋_GB2312" w:eastAsia="仿宋_GB2312" w:cs="仿宋_GB2312"/>
          <w:b w:val="0"/>
          <w:bCs w:val="0"/>
          <w:color w:val="auto"/>
          <w:sz w:val="32"/>
          <w:szCs w:val="32"/>
          <w:lang w:eastAsia="zh-CN"/>
        </w:rPr>
        <w:t>予以处罚。</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不予处罚的依据</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黑体" w:hAnsi="Calibri" w:eastAsia="黑体" w:cs="Times New Roman"/>
          <w:color w:val="auto"/>
          <w:sz w:val="32"/>
          <w:szCs w:val="32"/>
        </w:rPr>
      </w:pPr>
      <w:r>
        <w:rPr>
          <w:rFonts w:hint="eastAsia" w:ascii="仿宋_GB2312" w:hAnsi="Times New Roman" w:eastAsia="仿宋_GB2312" w:cs="Times New Roman"/>
          <w:color w:val="auto"/>
          <w:sz w:val="32"/>
          <w:szCs w:val="32"/>
          <w:lang w:val="en-US" w:eastAsia="zh-CN"/>
        </w:rPr>
        <w:t>2021年10月12日</w:t>
      </w:r>
      <w:r>
        <w:rPr>
          <w:rFonts w:hint="eastAsia" w:ascii="仿宋_GB2312" w:hAnsi="Times New Roman" w:eastAsia="仿宋_GB2312" w:cs="Times New Roman"/>
          <w:color w:val="auto"/>
          <w:sz w:val="32"/>
          <w:szCs w:val="32"/>
          <w:lang w:eastAsia="zh-CN"/>
        </w:rPr>
        <w:t xml:space="preserve">富民县生态环境保护综合执法大队执法人员对该公司整改情况进行检查，该公司已清理了堆放于危险废物暂存间门口的镀锌液，已运至安宁钢力金属制品有限公司使用。现场检查时，危险废物暂存间设置了危险废物标识牌，暂存间内存放8桶废盐酸液。废盐酸液、电镀槽废渣已委托云南大地丰源环保有限公司处理，目前已在危险废物转移平台申报转移，已进行审批，待COP15结束后转移。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pacing w:val="8"/>
          <w:kern w:val="0"/>
          <w:sz w:val="32"/>
          <w:szCs w:val="32"/>
          <w:lang w:val="en-US" w:eastAsia="zh-CN"/>
        </w:rPr>
        <w:t>根据</w:t>
      </w:r>
      <w:r>
        <w:rPr>
          <w:rFonts w:hint="eastAsia" w:ascii="仿宋_GB2312" w:hAnsi="仿宋_GB2312" w:eastAsia="仿宋_GB2312" w:cs="仿宋_GB2312"/>
          <w:b w:val="0"/>
          <w:bCs w:val="0"/>
          <w:color w:val="auto"/>
          <w:sz w:val="32"/>
          <w:szCs w:val="32"/>
        </w:rPr>
        <w:t>《中华人民共和国行政处罚法》第</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条</w:t>
      </w:r>
      <w:r>
        <w:rPr>
          <w:rFonts w:hint="eastAsia" w:ascii="仿宋_GB2312" w:hAnsi="仿宋_GB2312" w:eastAsia="仿宋_GB2312" w:cs="仿宋_GB2312"/>
          <w:b w:val="0"/>
          <w:bCs w:val="0"/>
          <w:color w:val="auto"/>
          <w:sz w:val="32"/>
          <w:szCs w:val="32"/>
          <w:lang w:eastAsia="zh-CN"/>
        </w:rPr>
        <w:t>第一款：“</w:t>
      </w:r>
      <w:r>
        <w:rPr>
          <w:rFonts w:hint="eastAsia" w:ascii="仿宋_GB2312" w:hAnsi="仿宋_GB2312" w:eastAsia="仿宋_GB2312" w:cs="仿宋_GB2312"/>
          <w:i w:val="0"/>
          <w:iCs w:val="0"/>
          <w:caps w:val="0"/>
          <w:color w:val="auto"/>
          <w:spacing w:val="0"/>
          <w:sz w:val="32"/>
          <w:szCs w:val="32"/>
          <w:shd w:val="clear" w:fill="FFFFFF"/>
        </w:rPr>
        <w:t>违法行为轻微并及时改正，没有造成危害后果的，不予行政处罚。初次违法且危害后果轻微并及时改正的，可以不予行政处罚。</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之规定，参照“《昆明市生态环境局关于减轻和免除行政处罚的实施意见（试行）》第四条第</w:t>
      </w:r>
      <w:r>
        <w:rPr>
          <w:rFonts w:hint="eastAsia" w:ascii="仿宋_GB2312" w:hAnsi="仿宋_GB2312" w:eastAsia="仿宋_GB2312" w:cs="仿宋_GB2312"/>
          <w:color w:val="auto"/>
          <w:kern w:val="0"/>
          <w:sz w:val="32"/>
          <w:szCs w:val="32"/>
        </w:rPr>
        <w:t>（七）</w:t>
      </w:r>
      <w:r>
        <w:rPr>
          <w:rFonts w:hint="eastAsia" w:ascii="仿宋_GB2312" w:hAnsi="仿宋_GB2312" w:eastAsia="仿宋_GB2312" w:cs="仿宋_GB2312"/>
          <w:color w:val="auto"/>
          <w:kern w:val="0"/>
          <w:sz w:val="32"/>
          <w:szCs w:val="32"/>
          <w:lang w:eastAsia="zh-CN"/>
        </w:rPr>
        <w:t>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七）未设置或者未规范设置危险废物识别标志、未按照国家有关规定制定危险废物管理计划、申报危险废物有关资料、填写、运行危险废物转移联单、制定危险废物意外事故防范措施和应急预案（且3年内未发生环境事件的）、建立危险废物管理台账并如实记录等危险废物管理不规范行为，首次发现，经责令改正，按照时限及规定完成整改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b w:val="0"/>
          <w:bCs w:val="0"/>
          <w:color w:val="auto"/>
          <w:sz w:val="32"/>
          <w:szCs w:val="32"/>
          <w:lang w:eastAsia="zh-CN"/>
        </w:rPr>
        <w:t>之规定，经我局会议讨论研究，决定对你公司</w:t>
      </w:r>
      <w:r>
        <w:rPr>
          <w:rFonts w:hint="eastAsia" w:ascii="仿宋_GB2312" w:hAnsi="仿宋_GB2312" w:eastAsia="仿宋_GB2312" w:cs="仿宋_GB2312"/>
          <w:b w:val="0"/>
          <w:bCs w:val="0"/>
          <w:color w:val="auto"/>
          <w:kern w:val="0"/>
          <w:sz w:val="32"/>
          <w:szCs w:val="32"/>
        </w:rPr>
        <w:t>违反</w:t>
      </w:r>
      <w:r>
        <w:rPr>
          <w:rFonts w:hint="eastAsia" w:ascii="仿宋_GB2312" w:hAnsi="仿宋_GB2312" w:eastAsia="仿宋_GB2312" w:cs="仿宋_GB2312"/>
          <w:b w:val="0"/>
          <w:bCs w:val="0"/>
          <w:color w:val="auto"/>
          <w:kern w:val="0"/>
          <w:sz w:val="32"/>
          <w:szCs w:val="32"/>
          <w:lang w:eastAsia="zh-CN"/>
        </w:rPr>
        <w:t>固体废物管理制度的环境违法行为免除行政处罚。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4160" w:firstLineChars="13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firstLine="5040" w:firstLineChars="15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2021年11月8日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10E9"/>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585C2D"/>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1174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8F006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2709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97C21"/>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6490D"/>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E6826"/>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20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2021-11-08T03:05:00Z</cp:lastPrinted>
  <dcterms:modified xsi:type="dcterms:W3CDTF">2021-11-09T01:53:24Z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3EA797A1781F438BA2C52D97ED5394CC</vt:lpwstr>
  </property>
</Properties>
</file>