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15" w:firstLineChars="200"/>
        <w:jc w:val="both"/>
        <w:rPr>
          <w:rFonts w:ascii="宋体" w:cs="Times New Roman"/>
          <w:b/>
          <w:bCs/>
          <w:color w:val="000000"/>
          <w:spacing w:val="8"/>
          <w:kern w:val="0"/>
          <w:sz w:val="44"/>
          <w:szCs w:val="44"/>
        </w:rPr>
      </w:pPr>
      <w:bookmarkStart w:id="0" w:name="_GoBack"/>
      <w:bookmarkEnd w:id="0"/>
      <w:r>
        <w:rPr>
          <w:rFonts w:hint="eastAsia" w:ascii="宋体" w:hAnsi="宋体" w:cs="宋体"/>
          <w:b/>
          <w:bCs/>
          <w:color w:val="000000"/>
          <w:spacing w:val="8"/>
          <w:kern w:val="0"/>
          <w:sz w:val="44"/>
          <w:szCs w:val="44"/>
        </w:rPr>
        <w:t>昆明市生态环境局富民分局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rPr>
      </w:pPr>
      <w:r>
        <w:rPr>
          <w:rFonts w:hint="eastAsia" w:ascii="宋体" w:hAnsi="宋体" w:cs="宋体"/>
          <w:b/>
          <w:bCs/>
          <w:spacing w:val="8"/>
          <w:kern w:val="0"/>
          <w:sz w:val="24"/>
          <w:szCs w:val="24"/>
        </w:rPr>
        <w:t>富生环不予罚〔</w:t>
      </w:r>
      <w:r>
        <w:rPr>
          <w:rFonts w:ascii="宋体" w:hAnsi="宋体" w:cs="宋体"/>
          <w:b/>
          <w:bCs/>
          <w:spacing w:val="8"/>
          <w:kern w:val="0"/>
          <w:sz w:val="24"/>
          <w:szCs w:val="24"/>
        </w:rPr>
        <w:t>2022</w:t>
      </w:r>
      <w:r>
        <w:rPr>
          <w:rFonts w:hint="eastAsia" w:ascii="宋体" w:hAnsi="宋体" w:cs="宋体"/>
          <w:b/>
          <w:bCs/>
          <w:spacing w:val="8"/>
          <w:kern w:val="0"/>
          <w:sz w:val="24"/>
          <w:szCs w:val="24"/>
        </w:rPr>
        <w:t>〕</w:t>
      </w:r>
      <w:r>
        <w:rPr>
          <w:rFonts w:ascii="宋体" w:hAnsi="宋体" w:cs="宋体"/>
          <w:b/>
          <w:bCs/>
          <w:spacing w:val="8"/>
          <w:kern w:val="0"/>
          <w:sz w:val="24"/>
          <w:szCs w:val="24"/>
        </w:rPr>
        <w:t>10</w:t>
      </w:r>
      <w:r>
        <w:rPr>
          <w:rFonts w:hint="eastAsia" w:ascii="宋体" w:hAnsi="宋体" w:cs="宋体"/>
          <w:b/>
          <w:bCs/>
          <w:spacing w:val="8"/>
          <w:kern w:val="0"/>
          <w:sz w:val="24"/>
          <w:szCs w:val="24"/>
        </w:rPr>
        <w:t>号</w:t>
      </w:r>
    </w:p>
    <w:p>
      <w:pPr>
        <w:widowControl/>
        <w:spacing w:line="360" w:lineRule="auto"/>
        <w:rPr>
          <w:rFonts w:ascii="仿宋_GB2312" w:hAnsi="仿宋_GB2312" w:eastAsia="仿宋_GB2312" w:cs="Times New Roman"/>
          <w:sz w:val="32"/>
          <w:szCs w:val="32"/>
        </w:rPr>
      </w:pPr>
    </w:p>
    <w:p>
      <w:pPr>
        <w:widowControl/>
        <w:spacing w:line="360" w:lineRule="auto"/>
        <w:rPr>
          <w:rFonts w:ascii="仿宋_GB2312" w:hAnsi="宋体" w:eastAsia="仿宋_GB2312" w:cs="Times New Roman"/>
          <w:sz w:val="32"/>
          <w:szCs w:val="32"/>
        </w:rPr>
      </w:pPr>
      <w:r>
        <w:rPr>
          <w:rFonts w:hint="eastAsia" w:ascii="仿宋_GB2312" w:hAnsi="仿宋_GB2312" w:eastAsia="仿宋_GB2312" w:cs="仿宋_GB2312"/>
          <w:sz w:val="32"/>
          <w:szCs w:val="32"/>
        </w:rPr>
        <w:t>名称：</w:t>
      </w:r>
      <w:r>
        <w:rPr>
          <w:rFonts w:hint="eastAsia" w:ascii="仿宋_GB2312" w:hAnsi="宋体" w:eastAsia="仿宋_GB2312" w:cs="仿宋_GB2312"/>
          <w:sz w:val="32"/>
          <w:szCs w:val="32"/>
        </w:rPr>
        <w:t>昆明容润塑料有限公司</w:t>
      </w:r>
    </w:p>
    <w:p>
      <w:pPr>
        <w:widowControl/>
        <w:wordWrap w:val="0"/>
        <w:spacing w:line="360" w:lineRule="auto"/>
        <w:rPr>
          <w:rFonts w:ascii="仿宋_GB2312" w:hAnsi="宋体" w:eastAsia="仿宋_GB2312" w:cs="Times New Roman"/>
          <w:sz w:val="32"/>
          <w:szCs w:val="32"/>
        </w:rPr>
      </w:pP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w:t>
      </w:r>
      <w:r>
        <w:rPr>
          <w:rFonts w:ascii="仿宋_GB2312" w:eastAsia="仿宋_GB2312" w:cs="仿宋_GB2312"/>
          <w:sz w:val="32"/>
          <w:szCs w:val="32"/>
        </w:rPr>
        <w:t xml:space="preserve"> 91530100MA6PN00X65</w:t>
      </w:r>
    </w:p>
    <w:p>
      <w:pPr>
        <w:widowControl/>
        <w:tabs>
          <w:tab w:val="left" w:pos="0"/>
        </w:tabs>
        <w:snapToGrid w:val="0"/>
        <w:spacing w:line="560" w:lineRule="exact"/>
        <w:jc w:val="left"/>
        <w:rPr>
          <w:rFonts w:ascii="仿宋_GB2312" w:hAnsi="仿宋" w:eastAsia="仿宋_GB2312" w:cs="Times New Roman"/>
          <w:sz w:val="32"/>
          <w:szCs w:val="32"/>
        </w:rPr>
      </w:pPr>
      <w:r>
        <w:rPr>
          <w:rFonts w:hint="eastAsia" w:ascii="仿宋_GB2312" w:eastAsia="仿宋_GB2312" w:cs="仿宋_GB2312"/>
          <w:sz w:val="32"/>
          <w:szCs w:val="32"/>
        </w:rPr>
        <w:t>法定代表人</w:t>
      </w:r>
      <w:r>
        <w:rPr>
          <w:rFonts w:ascii="仿宋_GB2312"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李春芹</w:t>
      </w:r>
    </w:p>
    <w:p>
      <w:pPr>
        <w:spacing w:line="560" w:lineRule="exact"/>
        <w:jc w:val="left"/>
        <w:rPr>
          <w:rFonts w:ascii="仿宋_GB2312" w:hAnsi="仿宋_GB2312" w:eastAsia="仿宋_GB2312" w:cs="仿宋_GB2312"/>
          <w:sz w:val="32"/>
          <w:szCs w:val="32"/>
        </w:rPr>
      </w:pPr>
      <w:r>
        <w:rPr>
          <w:rFonts w:hint="eastAsia" w:ascii="仿宋_GB2312" w:eastAsia="仿宋_GB2312" w:cs="仿宋_GB2312"/>
          <w:sz w:val="32"/>
          <w:szCs w:val="32"/>
        </w:rPr>
        <w:t>地址：</w:t>
      </w:r>
      <w:r>
        <w:rPr>
          <w:rFonts w:hint="eastAsia" w:ascii="仿宋_GB2312" w:hAnsi="仿宋" w:eastAsia="仿宋_GB2312" w:cs="仿宋_GB2312"/>
          <w:sz w:val="32"/>
          <w:szCs w:val="32"/>
        </w:rPr>
        <w:t>富民县大营街道办事处东元村委会砂锅村</w:t>
      </w:r>
      <w:r>
        <w:rPr>
          <w:rFonts w:ascii="仿宋_GB2312" w:hAnsi="仿宋_GB2312" w:eastAsia="仿宋_GB2312" w:cs="仿宋_GB2312"/>
          <w:sz w:val="32"/>
          <w:szCs w:val="32"/>
        </w:rPr>
        <w:t xml:space="preserve">  </w:t>
      </w:r>
    </w:p>
    <w:p>
      <w:pPr>
        <w:widowControl/>
        <w:spacing w:line="360" w:lineRule="auto"/>
        <w:ind w:firstLine="640" w:firstLineChars="200"/>
        <w:rPr>
          <w:rFonts w:hint="eastAsia" w:ascii="仿宋_GB2312" w:hAnsi="宋体" w:eastAsia="仿宋_GB2312" w:cs="仿宋_GB2312"/>
          <w:sz w:val="32"/>
          <w:szCs w:val="32"/>
        </w:rPr>
      </w:pP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昆明容润塑料有限公司</w:t>
      </w:r>
      <w:r>
        <w:rPr>
          <w:rFonts w:hint="eastAsia" w:ascii="仿宋_GB2312" w:hAnsi="仿宋_GB2312" w:eastAsia="仿宋_GB2312" w:cs="仿宋_GB2312"/>
          <w:sz w:val="32"/>
          <w:szCs w:val="32"/>
        </w:rPr>
        <w:t>违反建设项目</w:t>
      </w:r>
      <w:r>
        <w:rPr>
          <w:rFonts w:hint="eastAsia" w:ascii="仿宋_GB2312" w:hAnsi="仿宋_GB2312" w:eastAsia="仿宋_GB2312" w:cs="仿宋_GB2312"/>
          <w:sz w:val="32"/>
          <w:szCs w:val="32"/>
          <w:lang w:eastAsia="zh-CN"/>
        </w:rPr>
        <w:t>环评、</w:t>
      </w:r>
      <w:r>
        <w:rPr>
          <w:rFonts w:hint="eastAsia" w:ascii="仿宋_GB2312" w:hAnsi="仿宋_GB2312" w:eastAsia="仿宋_GB2312" w:cs="仿宋_GB2312"/>
          <w:sz w:val="32"/>
          <w:szCs w:val="32"/>
        </w:rPr>
        <w:t>“三同时”及验收制度</w:t>
      </w:r>
      <w:r>
        <w:rPr>
          <w:rFonts w:hint="eastAsia" w:ascii="仿宋_GB2312" w:hAnsi="仿宋_GB2312" w:eastAsia="仿宋_GB2312" w:cs="仿宋_GB2312"/>
          <w:kern w:val="0"/>
          <w:sz w:val="32"/>
          <w:szCs w:val="32"/>
        </w:rPr>
        <w:t>一案</w:t>
      </w:r>
      <w:r>
        <w:rPr>
          <w:rFonts w:hint="eastAsia" w:ascii="仿宋_GB2312" w:hAnsi="仿宋_GB2312" w:eastAsia="仿宋_GB2312" w:cs="仿宋_GB2312"/>
          <w:sz w:val="32"/>
          <w:szCs w:val="32"/>
        </w:rPr>
        <w:t>，经富民县生态环境保护综合执法大队调查，现已审查终结。</w:t>
      </w:r>
    </w:p>
    <w:p>
      <w:pPr>
        <w:widowControl/>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违法事实和证据</w:t>
      </w:r>
    </w:p>
    <w:p>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11</w:t>
      </w:r>
      <w:r>
        <w:rPr>
          <w:rFonts w:hint="eastAsia" w:ascii="仿宋_GB2312" w:eastAsia="仿宋_GB2312" w:cs="仿宋_GB2312"/>
          <w:sz w:val="32"/>
          <w:szCs w:val="32"/>
        </w:rPr>
        <w:t>日，富民县生态环境保护综合执法大队执法人员现场检查，你公司租用原富民瑞呈饲料添加剂有限公司部分厂房，建设有</w:t>
      </w:r>
      <w:r>
        <w:rPr>
          <w:rFonts w:ascii="仿宋_GB2312" w:eastAsia="仿宋_GB2312" w:cs="仿宋_GB2312"/>
          <w:sz w:val="32"/>
          <w:szCs w:val="32"/>
        </w:rPr>
        <w:t>8</w:t>
      </w:r>
      <w:r>
        <w:rPr>
          <w:rFonts w:hint="eastAsia" w:ascii="仿宋_GB2312" w:eastAsia="仿宋_GB2312" w:cs="仿宋_GB2312"/>
          <w:sz w:val="32"/>
          <w:szCs w:val="32"/>
        </w:rPr>
        <w:t>套塑料制品加工生产线，从事塑料线条的加工生产</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检查中你公司实施了以下环境违法行为：</w:t>
      </w:r>
    </w:p>
    <w:p>
      <w:pPr>
        <w:spacing w:line="560" w:lineRule="exact"/>
        <w:jc w:val="left"/>
        <w:rPr>
          <w:rFonts w:ascii="仿宋_GB2312" w:hAnsi="宋体" w:eastAsia="仿宋_GB2312" w:cs="Times New Roman"/>
          <w:sz w:val="32"/>
          <w:szCs w:val="32"/>
        </w:rPr>
      </w:pPr>
      <w:r>
        <w:rPr>
          <w:rFonts w:ascii="仿宋_GB2312" w:eastAsia="仿宋_GB2312" w:cs="仿宋_GB2312"/>
          <w:sz w:val="32"/>
          <w:szCs w:val="32"/>
        </w:rPr>
        <w:t xml:space="preserve">    </w:t>
      </w:r>
      <w:r>
        <w:rPr>
          <w:rFonts w:hint="eastAsia" w:ascii="仿宋_GB2312" w:hAnsi="仿宋" w:eastAsia="仿宋_GB2312" w:cs="仿宋_GB2312"/>
          <w:sz w:val="32"/>
          <w:szCs w:val="32"/>
        </w:rPr>
        <w:t>搬迁至富民县砂锅村至今，未经生态环境部门审批，擅自建设塑料制品生产线并投入使用。</w:t>
      </w:r>
    </w:p>
    <w:p>
      <w:pPr>
        <w:widowControl/>
        <w:spacing w:line="360" w:lineRule="auto"/>
        <w:ind w:firstLine="640" w:firstLineChars="200"/>
        <w:rPr>
          <w:rFonts w:ascii="仿宋_GB2312" w:hAnsi="仿宋_GB2312"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eastAsia="仿宋_GB2312" w:cs="仿宋_GB2312"/>
          <w:sz w:val="32"/>
          <w:szCs w:val="32"/>
        </w:rPr>
        <w:t>以上事实，有</w:t>
      </w:r>
      <w:r>
        <w:rPr>
          <w:rFonts w:hint="eastAsia" w:ascii="仿宋_GB2312" w:hAnsi="宋体" w:eastAsia="仿宋_GB2312" w:cs="仿宋_GB2312"/>
          <w:spacing w:val="-2"/>
          <w:sz w:val="32"/>
          <w:szCs w:val="32"/>
        </w:rPr>
        <w:t>富民县生态环境保护综合执法大队</w:t>
      </w:r>
      <w:r>
        <w:rPr>
          <w:rFonts w:hint="eastAsia" w:ascii="仿宋_GB2312" w:eastAsia="仿宋_GB2312" w:cs="仿宋_GB2312"/>
          <w:sz w:val="32"/>
          <w:szCs w:val="32"/>
        </w:rPr>
        <w:t>《现场检查（勘察）笔录》、《调查询问笔录》、现场检查照片、视频等证据为凭。</w:t>
      </w:r>
      <w:r>
        <w:rPr>
          <w:rFonts w:hint="eastAsia" w:ascii="仿宋_GB2312" w:hAnsi="宋体" w:eastAsia="仿宋_GB2312" w:cs="仿宋_GB2312"/>
          <w:sz w:val="32"/>
          <w:szCs w:val="32"/>
          <w:lang w:eastAsia="zh-CN"/>
        </w:rPr>
        <w:t>你</w:t>
      </w:r>
      <w:r>
        <w:rPr>
          <w:rFonts w:hint="eastAsia" w:ascii="仿宋_GB2312" w:hAnsi="宋体" w:eastAsia="仿宋_GB2312" w:cs="仿宋_GB2312"/>
          <w:sz w:val="32"/>
          <w:szCs w:val="32"/>
        </w:rPr>
        <w:t>公司</w:t>
      </w:r>
      <w:r>
        <w:rPr>
          <w:rFonts w:hint="eastAsia" w:ascii="仿宋_GB2312" w:hAnsi="仿宋_GB2312" w:eastAsia="仿宋_GB2312" w:cs="仿宋_GB2312"/>
          <w:sz w:val="32"/>
          <w:szCs w:val="32"/>
        </w:rPr>
        <w:t>上述行为已违反了：“《中华人民共和国环境保护法》第十九条：编制有关开发利用规划，建设对环境有影响的项目，应当依法进行环境影响评价。</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未依法进行环境影响评价的开发利用规划，不得组织实施；未依法进行环境影响评价的建设项目，不得开工建设。</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《中华人民共和国环境影响评价法》第二十五条：建设项目的环境影响评价文件未依法经审批部门审查或者审查后未予批准的，建设单位不得开工建设。</w:t>
      </w:r>
    </w:p>
    <w:p>
      <w:pPr>
        <w:widowControl/>
        <w:spacing w:line="360" w:lineRule="auto"/>
        <w:ind w:firstLine="640" w:firstLineChars="200"/>
        <w:rPr>
          <w:rFonts w:ascii="仿宋_GB2312" w:hAnsi="宋体" w:eastAsia="仿宋_GB2312" w:cs="Times New Roman"/>
          <w:kern w:val="0"/>
          <w:sz w:val="32"/>
          <w:szCs w:val="32"/>
        </w:rPr>
      </w:pPr>
      <w:r>
        <w:rPr>
          <w:rFonts w:hint="eastAsia" w:ascii="仿宋_GB2312" w:hAnsi="仿宋_GB2312" w:eastAsia="仿宋_GB2312" w:cs="仿宋_GB2312"/>
          <w:sz w:val="32"/>
          <w:szCs w:val="32"/>
        </w:rPr>
        <w:t>《建设项目环境保护管理条例》第十九条第一款：编制环境影响报告书、环境影响报告表的建设项目，其配套建设的环境保护设施经验收合格，方可投入生产或者使用；未经验收或者验收不合格的，不得投入生产或者使用。”之规定。</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应当按照“《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万元以下的罚款；逾期不改正的，处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万元以下的罚款；对直接负责的主管人员和其他责任人员，处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万元以下的罚款；造成重大环境污染或者生态破坏的，责令停止生产或者使用，或者报经有批准权的人民政府批准，责令关闭。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”之</w:t>
      </w:r>
      <w:r>
        <w:rPr>
          <w:rFonts w:hint="eastAsia" w:ascii="仿宋_GB2312" w:hAnsi="仿宋_GB2312" w:eastAsia="仿宋_GB2312" w:cs="仿宋_GB2312"/>
          <w:sz w:val="32"/>
          <w:szCs w:val="32"/>
        </w:rPr>
        <w:t>规定予以处罚。</w:t>
      </w:r>
    </w:p>
    <w:p>
      <w:pPr>
        <w:widowControl/>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不予处罚的依据</w:t>
      </w:r>
    </w:p>
    <w:p>
      <w:pPr>
        <w:widowControl/>
        <w:spacing w:line="360" w:lineRule="auto"/>
        <w:ind w:firstLine="640" w:firstLineChars="200"/>
        <w:rPr>
          <w:rFonts w:ascii="仿宋_GB2312" w:hAnsi="宋体" w:eastAsia="仿宋_GB2312" w:cs="Times New Roman"/>
          <w:sz w:val="32"/>
          <w:szCs w:val="32"/>
        </w:rPr>
      </w:pPr>
      <w:r>
        <w:rPr>
          <w:rFonts w:hint="eastAsia" w:ascii="仿宋_GB2312" w:hAnsi="仿宋_GB2312" w:eastAsia="仿宋_GB2312" w:cs="仿宋_GB2312"/>
          <w:sz w:val="32"/>
          <w:szCs w:val="32"/>
        </w:rPr>
        <w:t>富民县生态环境保护综合执法大队执法人员</w:t>
      </w: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ascii="仿宋_GB2312" w:hAnsi="仿宋" w:eastAsia="仿宋_GB2312" w:cs="仿宋_GB2312"/>
          <w:sz w:val="32"/>
          <w:szCs w:val="32"/>
        </w:rPr>
        <w:t>8</w:t>
      </w:r>
      <w:r>
        <w:rPr>
          <w:rFonts w:hint="eastAsia" w:ascii="仿宋_GB2312" w:hAnsi="仿宋" w:eastAsia="仿宋_GB2312" w:cs="仿宋_GB2312"/>
          <w:sz w:val="32"/>
          <w:szCs w:val="32"/>
        </w:rPr>
        <w:t>月</w:t>
      </w:r>
      <w:r>
        <w:rPr>
          <w:rFonts w:ascii="仿宋_GB2312" w:hAnsi="仿宋" w:eastAsia="仿宋_GB2312" w:cs="仿宋_GB2312"/>
          <w:sz w:val="32"/>
          <w:szCs w:val="32"/>
        </w:rPr>
        <w:t>5</w:t>
      </w:r>
      <w:r>
        <w:rPr>
          <w:rFonts w:hint="eastAsia" w:ascii="仿宋_GB2312" w:hAnsi="仿宋" w:eastAsia="仿宋_GB2312" w:cs="仿宋_GB2312"/>
          <w:sz w:val="32"/>
          <w:szCs w:val="32"/>
        </w:rPr>
        <w:t>日对你公司整改情况进行现场核查，你公司已拆除生熔塑机、配电柜相关生产设施。</w:t>
      </w:r>
    </w:p>
    <w:p>
      <w:pPr>
        <w:spacing w:line="360" w:lineRule="auto"/>
        <w:ind w:firstLine="672" w:firstLineChars="200"/>
        <w:rPr>
          <w:rFonts w:ascii="仿宋_GB2312" w:hAnsi="仿宋_GB2312" w:eastAsia="仿宋_GB2312" w:cs="Times New Roman"/>
          <w:sz w:val="32"/>
          <w:szCs w:val="32"/>
        </w:rPr>
      </w:pPr>
      <w:r>
        <w:rPr>
          <w:rFonts w:hint="eastAsia" w:ascii="仿宋_GB2312" w:hAnsi="仿宋_GB2312" w:eastAsia="仿宋_GB2312" w:cs="仿宋_GB2312"/>
          <w:spacing w:val="8"/>
          <w:kern w:val="0"/>
          <w:sz w:val="32"/>
          <w:szCs w:val="32"/>
        </w:rPr>
        <w:t>根据</w:t>
      </w:r>
      <w:r>
        <w:rPr>
          <w:rFonts w:hint="eastAsia" w:ascii="仿宋_GB2312" w:hAnsi="仿宋_GB2312" w:eastAsia="仿宋_GB2312" w:cs="仿宋_GB2312"/>
          <w:sz w:val="32"/>
          <w:szCs w:val="32"/>
        </w:rPr>
        <w:t>《中华人民共和国行政处罚法》第三十三条第一款：“</w:t>
      </w:r>
      <w:r>
        <w:rPr>
          <w:rFonts w:hint="eastAsia" w:ascii="仿宋_GB2312" w:hAnsi="仿宋_GB2312" w:eastAsia="仿宋_GB2312" w:cs="仿宋_GB2312"/>
          <w:sz w:val="32"/>
          <w:szCs w:val="32"/>
          <w:shd w:val="clear" w:color="auto" w:fill="FFFFFF"/>
        </w:rPr>
        <w:t>违法行为轻微并及时改正，没有造成危害后果的，不予行政处罚。初次违法且危害后果轻微并及时改正的，可以不予行政处罚</w:t>
      </w:r>
      <w:r>
        <w:rPr>
          <w:rFonts w:hint="eastAsia" w:ascii="仿宋_GB2312" w:hAnsi="仿宋_GB2312" w:eastAsia="仿宋_GB2312" w:cs="仿宋_GB2312"/>
          <w:sz w:val="32"/>
          <w:szCs w:val="32"/>
        </w:rPr>
        <w:t>”之规定，参照“《昆明市生态环境局关于减轻和免除行政处罚的实施意见（试行）》第四条第（十五）项“当事人有下列情形之一，违法行为轻微并及时纠正，没有造成危害后果的，可以不予行政处罚：（十五）其他违法行为轻微并及时纠正，没有造成危害后果的”规定，经我局会议讨论研究，决定对</w:t>
      </w:r>
      <w:r>
        <w:rPr>
          <w:rFonts w:hint="eastAsia" w:ascii="仿宋_GB2312" w:hAnsi="宋体" w:eastAsia="仿宋_GB2312" w:cs="仿宋_GB2312"/>
          <w:sz w:val="32"/>
          <w:szCs w:val="32"/>
        </w:rPr>
        <w:t>昆明容润塑料有限公司</w:t>
      </w:r>
      <w:r>
        <w:rPr>
          <w:rFonts w:hint="eastAsia" w:ascii="仿宋_GB2312" w:hAnsi="仿宋_GB2312" w:eastAsia="仿宋_GB2312" w:cs="仿宋_GB2312"/>
          <w:kern w:val="0"/>
          <w:sz w:val="32"/>
          <w:szCs w:val="32"/>
        </w:rPr>
        <w:t>环境违法行为</w:t>
      </w:r>
      <w:r>
        <w:rPr>
          <w:rFonts w:hint="eastAsia" w:ascii="仿宋_GB2312" w:hAnsi="仿宋_GB2312" w:eastAsia="仿宋_GB2312" w:cs="仿宋_GB2312"/>
          <w:sz w:val="32"/>
          <w:szCs w:val="32"/>
        </w:rPr>
        <w:t>不予</w:t>
      </w:r>
      <w:r>
        <w:rPr>
          <w:rFonts w:hint="eastAsia" w:ascii="仿宋_GB2312" w:hAnsi="仿宋_GB2312" w:eastAsia="仿宋_GB2312" w:cs="仿宋_GB2312"/>
          <w:kern w:val="0"/>
          <w:sz w:val="32"/>
          <w:szCs w:val="32"/>
        </w:rPr>
        <w:t>行政处罚。</w:t>
      </w:r>
    </w:p>
    <w:p>
      <w:pPr>
        <w:spacing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三、申请行政复议或者提起行政诉讼的途径和期限</w:t>
      </w: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如不服本处罚决定，可在接到本决定书之日起六十日内向富民县人民政府申请复议，也可以在六个月内直接向安宁市人民法院提起行政诉讼。</w:t>
      </w:r>
    </w:p>
    <w:p>
      <w:pPr>
        <w:spacing w:line="360" w:lineRule="auto"/>
        <w:ind w:firstLine="672" w:firstLineChars="200"/>
        <w:rPr>
          <w:rFonts w:ascii="仿宋_GB2312" w:hAnsi="仿宋_GB2312" w:eastAsia="仿宋_GB2312" w:cs="Times New Roman"/>
          <w:spacing w:val="8"/>
          <w:kern w:val="0"/>
          <w:sz w:val="32"/>
          <w:szCs w:val="32"/>
        </w:rPr>
      </w:pPr>
      <w:r>
        <w:rPr>
          <w:rFonts w:hint="eastAsia" w:ascii="仿宋_GB2312" w:hAnsi="仿宋_GB2312" w:eastAsia="仿宋_GB2312" w:cs="仿宋_GB2312"/>
          <w:spacing w:val="8"/>
          <w:kern w:val="0"/>
          <w:sz w:val="32"/>
          <w:szCs w:val="32"/>
        </w:rPr>
        <w:t>联系电话：</w:t>
      </w:r>
      <w:r>
        <w:rPr>
          <w:rFonts w:ascii="仿宋_GB2312" w:hAnsi="仿宋_GB2312" w:eastAsia="仿宋_GB2312" w:cs="仿宋_GB2312"/>
          <w:spacing w:val="8"/>
          <w:kern w:val="0"/>
          <w:sz w:val="32"/>
          <w:szCs w:val="32"/>
        </w:rPr>
        <w:t>0871-68810036</w:t>
      </w:r>
    </w:p>
    <w:p>
      <w:pPr>
        <w:spacing w:line="360" w:lineRule="auto"/>
        <w:ind w:firstLine="672" w:firstLineChars="200"/>
        <w:rPr>
          <w:rFonts w:ascii="仿宋_GB2312" w:hAnsi="仿宋_GB2312" w:eastAsia="仿宋_GB2312" w:cs="Times New Roman"/>
          <w:spacing w:val="8"/>
          <w:kern w:val="0"/>
          <w:sz w:val="32"/>
          <w:szCs w:val="32"/>
        </w:rPr>
      </w:pPr>
      <w:r>
        <w:rPr>
          <w:rFonts w:hint="eastAsia" w:ascii="仿宋_GB2312" w:hAnsi="仿宋_GB2312" w:eastAsia="仿宋_GB2312" w:cs="仿宋_GB2312"/>
          <w:spacing w:val="8"/>
          <w:kern w:val="0"/>
          <w:sz w:val="32"/>
          <w:szCs w:val="32"/>
        </w:rPr>
        <w:t>办公地址：富民县环城南路</w:t>
      </w:r>
      <w:r>
        <w:rPr>
          <w:rFonts w:ascii="仿宋_GB2312" w:hAnsi="仿宋_GB2312" w:eastAsia="仿宋_GB2312" w:cs="仿宋_GB2312"/>
          <w:spacing w:val="8"/>
          <w:kern w:val="0"/>
          <w:sz w:val="32"/>
          <w:szCs w:val="32"/>
        </w:rPr>
        <w:t>358</w:t>
      </w:r>
      <w:r>
        <w:rPr>
          <w:rFonts w:hint="eastAsia" w:ascii="仿宋_GB2312" w:hAnsi="仿宋_GB2312" w:eastAsia="仿宋_GB2312" w:cs="仿宋_GB2312"/>
          <w:spacing w:val="8"/>
          <w:kern w:val="0"/>
          <w:sz w:val="32"/>
          <w:szCs w:val="32"/>
        </w:rPr>
        <w:t>号</w:t>
      </w:r>
    </w:p>
    <w:p>
      <w:pPr>
        <w:spacing w:line="360" w:lineRule="auto"/>
        <w:ind w:firstLine="640" w:firstLineChars="200"/>
        <w:rPr>
          <w:rFonts w:ascii="仿宋_GB2312" w:hAnsi="仿宋_GB2312" w:eastAsia="仿宋_GB2312" w:cs="Times New Roman"/>
          <w:kern w:val="21"/>
          <w:sz w:val="32"/>
          <w:szCs w:val="32"/>
        </w:rPr>
      </w:pPr>
    </w:p>
    <w:p>
      <w:pPr>
        <w:spacing w:line="360" w:lineRule="auto"/>
        <w:ind w:firstLine="4160" w:firstLineChars="1300"/>
        <w:rPr>
          <w:rFonts w:ascii="仿宋_GB2312" w:hAnsi="仿宋_GB2312" w:eastAsia="仿宋_GB2312" w:cs="Times New Roman"/>
          <w:spacing w:val="8"/>
          <w:kern w:val="0"/>
          <w:sz w:val="32"/>
          <w:szCs w:val="32"/>
        </w:rPr>
      </w:pPr>
      <w:r>
        <w:rPr>
          <w:rFonts w:hint="eastAsia" w:ascii="仿宋_GB2312" w:hAnsi="仿宋_GB2312" w:eastAsia="仿宋_GB2312" w:cs="仿宋_GB2312"/>
          <w:kern w:val="21"/>
          <w:sz w:val="32"/>
          <w:szCs w:val="32"/>
        </w:rPr>
        <w:t>昆明市生态环境局富民分局</w:t>
      </w:r>
      <w:r>
        <w:rPr>
          <w:rFonts w:ascii="仿宋_GB2312" w:hAnsi="仿宋_GB2312" w:eastAsia="仿宋_GB2312" w:cs="仿宋_GB2312"/>
          <w:spacing w:val="8"/>
          <w:kern w:val="0"/>
          <w:sz w:val="32"/>
          <w:szCs w:val="32"/>
        </w:rPr>
        <w:t xml:space="preserve"> </w:t>
      </w:r>
      <w:r>
        <w:rPr>
          <w:rFonts w:hint="eastAsia" w:ascii="仿宋_GB2312" w:hAnsi="仿宋_GB2312" w:eastAsia="仿宋_GB2312" w:cs="仿宋_GB2312"/>
          <w:spacing w:val="8"/>
          <w:kern w:val="0"/>
          <w:sz w:val="32"/>
          <w:szCs w:val="32"/>
        </w:rPr>
        <w:t>　　　　　　　　　　</w:t>
      </w:r>
    </w:p>
    <w:p>
      <w:pPr>
        <w:spacing w:line="360" w:lineRule="auto"/>
        <w:ind w:firstLine="5040" w:firstLineChars="1500"/>
        <w:rPr>
          <w:rFonts w:ascii="仿宋_GB2312" w:hAnsi="仿宋_GB2312" w:eastAsia="仿宋_GB2312" w:cs="Times New Roman"/>
          <w:color w:val="auto"/>
          <w:sz w:val="32"/>
          <w:szCs w:val="32"/>
        </w:rPr>
      </w:pPr>
      <w:r>
        <w:rPr>
          <w:rFonts w:ascii="仿宋_GB2312" w:hAnsi="仿宋_GB2312" w:eastAsia="仿宋_GB2312" w:cs="仿宋_GB2312"/>
          <w:color w:val="auto"/>
          <w:spacing w:val="8"/>
          <w:kern w:val="0"/>
          <w:sz w:val="32"/>
          <w:szCs w:val="32"/>
        </w:rPr>
        <w:t>2022</w:t>
      </w:r>
      <w:r>
        <w:rPr>
          <w:rFonts w:hint="eastAsia" w:ascii="仿宋_GB2312" w:hAnsi="仿宋_GB2312" w:eastAsia="仿宋_GB2312" w:cs="仿宋_GB2312"/>
          <w:color w:val="auto"/>
          <w:spacing w:val="8"/>
          <w:kern w:val="0"/>
          <w:sz w:val="32"/>
          <w:szCs w:val="32"/>
        </w:rPr>
        <w:t>年</w:t>
      </w:r>
      <w:r>
        <w:rPr>
          <w:rFonts w:ascii="仿宋_GB2312" w:hAnsi="仿宋_GB2312" w:eastAsia="仿宋_GB2312" w:cs="仿宋_GB2312"/>
          <w:color w:val="auto"/>
          <w:spacing w:val="8"/>
          <w:kern w:val="0"/>
          <w:sz w:val="32"/>
          <w:szCs w:val="32"/>
        </w:rPr>
        <w:t>9</w:t>
      </w:r>
      <w:r>
        <w:rPr>
          <w:rFonts w:hint="eastAsia" w:ascii="仿宋_GB2312" w:hAnsi="仿宋_GB2312" w:eastAsia="仿宋_GB2312" w:cs="仿宋_GB2312"/>
          <w:color w:val="auto"/>
          <w:spacing w:val="8"/>
          <w:kern w:val="0"/>
          <w:sz w:val="32"/>
          <w:szCs w:val="32"/>
        </w:rPr>
        <w:t>月</w:t>
      </w:r>
      <w:r>
        <w:rPr>
          <w:rFonts w:ascii="仿宋_GB2312" w:hAnsi="仿宋_GB2312" w:eastAsia="仿宋_GB2312" w:cs="仿宋_GB2312"/>
          <w:color w:val="auto"/>
          <w:spacing w:val="8"/>
          <w:kern w:val="0"/>
          <w:sz w:val="32"/>
          <w:szCs w:val="32"/>
        </w:rPr>
        <w:t>2</w:t>
      </w:r>
      <w:r>
        <w:rPr>
          <w:rFonts w:hint="eastAsia" w:ascii="仿宋_GB2312" w:hAnsi="仿宋_GB2312" w:eastAsia="仿宋_GB2312" w:cs="仿宋_GB2312"/>
          <w:color w:val="auto"/>
          <w:spacing w:val="8"/>
          <w:kern w:val="0"/>
          <w:sz w:val="32"/>
          <w:szCs w:val="32"/>
          <w:lang w:val="en-US" w:eastAsia="zh-CN"/>
        </w:rPr>
        <w:t>3</w:t>
      </w:r>
      <w:r>
        <w:rPr>
          <w:rFonts w:hint="eastAsia" w:ascii="仿宋_GB2312" w:hAnsi="仿宋_GB2312" w:eastAsia="仿宋_GB2312" w:cs="仿宋_GB2312"/>
          <w:color w:val="auto"/>
          <w:spacing w:val="8"/>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D208E"/>
    <w:multiLevelType w:val="singleLevel"/>
    <w:tmpl w:val="824D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DljODA4NTFmZWQ2MjE4NTNmMzg5ZTRjZjNiNTQifQ=="/>
  </w:docVars>
  <w:rsids>
    <w:rsidRoot w:val="69B0175E"/>
    <w:rsid w:val="00012074"/>
    <w:rsid w:val="000E5D3F"/>
    <w:rsid w:val="001A051A"/>
    <w:rsid w:val="001D768A"/>
    <w:rsid w:val="002A050C"/>
    <w:rsid w:val="00304498"/>
    <w:rsid w:val="003055EA"/>
    <w:rsid w:val="00345E68"/>
    <w:rsid w:val="00346146"/>
    <w:rsid w:val="003623A3"/>
    <w:rsid w:val="003914F0"/>
    <w:rsid w:val="004838D9"/>
    <w:rsid w:val="004A08E3"/>
    <w:rsid w:val="00566497"/>
    <w:rsid w:val="005974DC"/>
    <w:rsid w:val="005D60C4"/>
    <w:rsid w:val="00670EE1"/>
    <w:rsid w:val="006C4E8B"/>
    <w:rsid w:val="0071088E"/>
    <w:rsid w:val="007A0982"/>
    <w:rsid w:val="00866A30"/>
    <w:rsid w:val="008F368B"/>
    <w:rsid w:val="009F51D3"/>
    <w:rsid w:val="00A408EE"/>
    <w:rsid w:val="00A65AE9"/>
    <w:rsid w:val="00A83590"/>
    <w:rsid w:val="00AE2126"/>
    <w:rsid w:val="00B60277"/>
    <w:rsid w:val="00C02D6D"/>
    <w:rsid w:val="00C34D82"/>
    <w:rsid w:val="00C63274"/>
    <w:rsid w:val="00C65D50"/>
    <w:rsid w:val="00C837DC"/>
    <w:rsid w:val="00CA1E14"/>
    <w:rsid w:val="00D05B05"/>
    <w:rsid w:val="00DD0B13"/>
    <w:rsid w:val="00E50BD8"/>
    <w:rsid w:val="00E62E34"/>
    <w:rsid w:val="00EB16FD"/>
    <w:rsid w:val="00EC40CD"/>
    <w:rsid w:val="00EE5EA5"/>
    <w:rsid w:val="00F33492"/>
    <w:rsid w:val="00FE5BD4"/>
    <w:rsid w:val="00FF016A"/>
    <w:rsid w:val="00FF6BCC"/>
    <w:rsid w:val="010C2A81"/>
    <w:rsid w:val="01126FA1"/>
    <w:rsid w:val="01194FC4"/>
    <w:rsid w:val="01323C5E"/>
    <w:rsid w:val="013641B1"/>
    <w:rsid w:val="01367A43"/>
    <w:rsid w:val="013909D7"/>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E072D8E"/>
    <w:rsid w:val="0E113916"/>
    <w:rsid w:val="0E186F61"/>
    <w:rsid w:val="0E3B688A"/>
    <w:rsid w:val="0E3D7415"/>
    <w:rsid w:val="0E5E5D95"/>
    <w:rsid w:val="0E78184F"/>
    <w:rsid w:val="0E7E648E"/>
    <w:rsid w:val="0E804020"/>
    <w:rsid w:val="0E9203E2"/>
    <w:rsid w:val="0E9668E5"/>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80D48"/>
    <w:rsid w:val="10B95CE4"/>
    <w:rsid w:val="10C53F26"/>
    <w:rsid w:val="10C60922"/>
    <w:rsid w:val="10E011CE"/>
    <w:rsid w:val="10F30F4F"/>
    <w:rsid w:val="10FC64A2"/>
    <w:rsid w:val="110305DE"/>
    <w:rsid w:val="110B27C1"/>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2A7F13"/>
    <w:rsid w:val="123768C4"/>
    <w:rsid w:val="123C418A"/>
    <w:rsid w:val="12490261"/>
    <w:rsid w:val="124F0FF2"/>
    <w:rsid w:val="124F730D"/>
    <w:rsid w:val="12555527"/>
    <w:rsid w:val="125812A7"/>
    <w:rsid w:val="12706A78"/>
    <w:rsid w:val="12865007"/>
    <w:rsid w:val="128F2F00"/>
    <w:rsid w:val="12950FB8"/>
    <w:rsid w:val="12A24B45"/>
    <w:rsid w:val="12A942D1"/>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7754F"/>
    <w:rsid w:val="182846CE"/>
    <w:rsid w:val="18322B67"/>
    <w:rsid w:val="183324FA"/>
    <w:rsid w:val="18347DEF"/>
    <w:rsid w:val="183937AB"/>
    <w:rsid w:val="18425BEA"/>
    <w:rsid w:val="186203C9"/>
    <w:rsid w:val="186325CB"/>
    <w:rsid w:val="189A34D4"/>
    <w:rsid w:val="18A0717B"/>
    <w:rsid w:val="18E916C8"/>
    <w:rsid w:val="1917056C"/>
    <w:rsid w:val="19181631"/>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66672"/>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C075FDD"/>
    <w:rsid w:val="3C096353"/>
    <w:rsid w:val="3C0A1078"/>
    <w:rsid w:val="3C145D28"/>
    <w:rsid w:val="3C1543B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E82922"/>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66695"/>
    <w:rsid w:val="66172ED1"/>
    <w:rsid w:val="663523E9"/>
    <w:rsid w:val="663B52E8"/>
    <w:rsid w:val="66483CBD"/>
    <w:rsid w:val="6659156E"/>
    <w:rsid w:val="666226CE"/>
    <w:rsid w:val="666547DA"/>
    <w:rsid w:val="66664F00"/>
    <w:rsid w:val="667619FD"/>
    <w:rsid w:val="667C0DF0"/>
    <w:rsid w:val="66836F8E"/>
    <w:rsid w:val="66862509"/>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301561D"/>
    <w:rsid w:val="730C4208"/>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2F16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E53FEA"/>
    <w:rsid w:val="79FA45C8"/>
    <w:rsid w:val="7A004DBF"/>
    <w:rsid w:val="7A035533"/>
    <w:rsid w:val="7A065E11"/>
    <w:rsid w:val="7A164AF0"/>
    <w:rsid w:val="7A1C74B1"/>
    <w:rsid w:val="7A1D191E"/>
    <w:rsid w:val="7A6164F3"/>
    <w:rsid w:val="7A636DC0"/>
    <w:rsid w:val="7A6540C5"/>
    <w:rsid w:val="7A667D13"/>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B61BEF"/>
    <w:rsid w:val="7FBB09D3"/>
    <w:rsid w:val="7FD02E3F"/>
    <w:rsid w:val="7FD443C2"/>
    <w:rsid w:val="7FD85D90"/>
    <w:rsid w:val="7FD92EAF"/>
    <w:rsid w:val="7FE1042B"/>
    <w:rsid w:val="7FF35B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szCs w:val="24"/>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semiHidden/>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昆明市直属党政机关单位</Company>
  <Pages>4</Pages>
  <Words>262</Words>
  <Characters>1497</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2022-09-21T02:30:00Z</dcterms:created>
  <dc:creator>李文举</dc:creator>
  <cp:lastModifiedBy>Administrator</cp:lastModifiedBy>
  <cp:lastPrinted>2022-07-11T08:44:00Z</cp:lastPrinted>
  <dcterms:modified xsi:type="dcterms:W3CDTF">2022-09-23T07:22:02Z</dcterms:modified>
  <dc:title>昆明市生态环境局富民分局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E8139617C6A24F18A1B1DDB747A84EC2</vt:lpwstr>
  </property>
</Properties>
</file>