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富民县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2022年耕地质量长期监测点自动监测区围栏建设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询价采购公告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富民县2021年在市级项目资金支持下，建成耕地质量长期监测点4个，其中市级监测点1个，田间区划由县农业中心指导东村镇农业科完成监测点建设。县级监测点3个，田间区划由农田建设科建设完成。2022年大春全部投入监测。按照监测点建设要求，需对自动监测区安装围栏保护自动监测仪器设备安全。由于市级下达资金不足，经县级协调落实了围栏安装资金，现将4个监测点自动监测区围栏询价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制作安装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事宜公告如下：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富民县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耕地质量监测点建设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项目（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自动监测区围栏安装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预算金额：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3.4万元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采购方式：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4个耕地质量长期监测点自动监测区围栏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统一询价采购，项目不拆分。参与报价建设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需具备对公结算业务资质和相应的建设能力。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采购服务内容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围栏规格：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每个监测点自动监测区4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安装围栏，每个面围栏长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米、高1.7米。1面安装1道进出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门，门高1.7米、宽1米，配门锁件和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锁具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围栏材质：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围栏使用304不锈钢材质建设，不锈钢管宽3厘米以上、厚度1.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厘米以上、壁厚0.2厘米以上。不锈钢管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间排列密度小于12厘米。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需提供材质规格及合格证明。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建设地点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1.大营街道办事处麦场村委会庄房村：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常正先农户县级耕地质量监测点地块。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2.罗免镇麻地村委会大风丫口村：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张正先农户县级耕地质量监测点地块。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3.款庄镇马街村委会大庄村：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许永宝农户县级耕地质量监测点地块。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4.东村镇东村村委会西村：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东村供销社基地市级耕地质量监测点地块。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建设内容：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包括4个监测点自动监测区的围栏制作，运输，现场安装，检查验收，1年质保。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 w:val="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报价承建资质要求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left="0" w:leftChars="0" w:right="0" w:rightChars="0" w:firstLine="420"/>
        <w:jc w:val="left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（一）须在中华人民共和国境内注册的企业法人组织或其他组织；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left="0" w:leftChars="0" w:right="0" w:rightChars="0" w:firstLine="420"/>
        <w:jc w:val="left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（二）须符合《中华人民共和国政府采购法》第二十二条规定的条件：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.具有独立承担民事责任的能力，提供有效的营业执照或事业单位法人证书或其他法定凭证；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.具有履行合同所必需的设备和专业技术能力；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报价要求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统一报价：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材料采购、制作、运输、搬运、安装及检查验收和质量保证等所有费用全部测算后统一报价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left="0" w:leftChars="0" w:right="0" w:rightChars="0"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充分预估，精准测算：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此次采购项目建设地点分散，质量要求高，请充分考虑各种影响报价因素，及各种不确定因素，精确测算，确保建设项目按时按质按量完成。不要盲目压低价格，搞恶性竞争。在取得项目建设资格后拒绝履行合同或拖延工期不进行实质履约，将依照合同追究违约责任，并将其纳入黑名单，禁止其参与富民县农业方面的项目竞标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</w:rPr>
        <w:t>质量要求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材料和建设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按照国家标准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行业标准履行；没有国家标准、行业标准的，按照通常标准或者符合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耕地质量监测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目的的特定标准履行。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left="0" w:leftChars="0" w:right="0" w:rightChars="0"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公示期及报价文件的递交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此公告公示期为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个工作日；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递交报价文件截止时间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：自本公告发布后起至第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工作日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:00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止。邮寄报价文件以快递签收时间为准。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提交资料：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表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营业执照复印件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法人身份证复印件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、对公账户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（盖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章）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/>
        </w:rPr>
        <w:t>建设材料规格说明（或者产品介绍）和合格证，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其他相关资料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报价单位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认为需要提交的其他文件（如企业概况、项目实施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相关措施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等材料）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所有材料均须加盖单位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章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，资料袋密封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加盖单位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章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送达或邮寄至采购方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leftChars="0" w:right="0" w:rightChars="0" w:firstLine="640" w:firstLineChars="200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</w:rPr>
        <w:t>评审原则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本次采取询价方式采购，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采购方组织专家评审组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统一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报价，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提供的资质材料完整性，建设方案可行性，服务承诺保障结合监测需求，综合评价。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材质、建设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质量保证相同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的条件下，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选用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报价低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的，经公示无异议后与采购方签订项目建设合同，及时开展项目建设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如果第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位报价商接到签订合同通知后，不进行合同签订，则由第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位报价商与采购方签订合同，开展建设工作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leftChars="0" w:right="0" w:rightChars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eastAsia="zh-CN"/>
        </w:rPr>
        <w:t>八、采购方</w:t>
      </w: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名 称：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富民县农业技术推广服务中心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地 址：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云南省昆明市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富民县环城西路6号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 xml:space="preserve">    联系人：方浩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联系方式：</w:t>
      </w:r>
      <w:bookmarkStart w:id="0" w:name="_Toc28359086"/>
      <w:bookmarkStart w:id="1" w:name="_Toc28359009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18087353913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  <w:t>附件：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  <w:lang w:eastAsia="zh-CN"/>
        </w:rPr>
        <w:t>富民县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  <w:lang w:eastAsia="zh-CN"/>
        </w:rPr>
        <w:t>耕地质量监测点自动检测区围栏建设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</w:rPr>
        <w:t>采购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  <w:lang w:eastAsia="zh-CN"/>
        </w:rPr>
        <w:t>询价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</w:rPr>
        <w:t>表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3520" w:firstLineChars="110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富民县农业技术推广服务中心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2022年11月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right="0" w:right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bookmarkEnd w:id="0"/>
    <w:bookmarkEnd w:id="1"/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leftChars="0" w:right="0" w:rightChars="0" w:firstLine="640" w:firstLineChars="200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leftChars="0" w:right="0" w:rightChars="0"/>
        <w:jc w:val="center"/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  <w:lang w:eastAsia="zh-CN"/>
        </w:rPr>
        <w:t>富民县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  <w:lang w:eastAsia="zh-CN"/>
        </w:rPr>
        <w:t>耕地质量监测点自动检测区围栏建设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</w:rPr>
        <w:t>采购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  <w:lang w:eastAsia="zh-CN"/>
        </w:rPr>
        <w:t>询价</w:t>
      </w:r>
      <w:r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</w:rPr>
        <w:t>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leftChars="0" w:right="0" w:rightChars="0"/>
        <w:jc w:val="center"/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</w:rPr>
      </w:pPr>
    </w:p>
    <w:tbl>
      <w:tblPr>
        <w:tblStyle w:val="9"/>
        <w:tblW w:w="14047" w:type="dxa"/>
        <w:jc w:val="right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771"/>
        <w:gridCol w:w="2225"/>
        <w:gridCol w:w="2235"/>
        <w:gridCol w:w="2025"/>
        <w:gridCol w:w="18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right"/>
        </w:trPr>
        <w:tc>
          <w:tcPr>
            <w:tcW w:w="24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77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建设材质</w:t>
            </w:r>
          </w:p>
        </w:tc>
        <w:tc>
          <w:tcPr>
            <w:tcW w:w="22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建材规格（厘米）</w:t>
            </w:r>
          </w:p>
        </w:tc>
        <w:tc>
          <w:tcPr>
            <w:tcW w:w="22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建材壁厚（厘米）</w:t>
            </w:r>
          </w:p>
        </w:tc>
        <w:tc>
          <w:tcPr>
            <w:tcW w:w="20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围栏规格（米）</w:t>
            </w:r>
          </w:p>
        </w:tc>
        <w:tc>
          <w:tcPr>
            <w:tcW w:w="18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统一报价</w:t>
            </w:r>
          </w:p>
        </w:tc>
        <w:tc>
          <w:tcPr>
            <w:tcW w:w="15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64" w:hRule="atLeast"/>
          <w:jc w:val="right"/>
        </w:trPr>
        <w:tc>
          <w:tcPr>
            <w:tcW w:w="24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304不锈钢</w:t>
            </w:r>
          </w:p>
        </w:tc>
        <w:tc>
          <w:tcPr>
            <w:tcW w:w="22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eastAsia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3×1.2</w:t>
            </w:r>
          </w:p>
        </w:tc>
        <w:tc>
          <w:tcPr>
            <w:tcW w:w="22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eastAsia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20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eastAsia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1.7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4" w:hRule="atLeast"/>
          <w:jc w:val="right"/>
        </w:trPr>
        <w:tc>
          <w:tcPr>
            <w:tcW w:w="24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304不锈钢</w:t>
            </w:r>
          </w:p>
        </w:tc>
        <w:tc>
          <w:tcPr>
            <w:tcW w:w="22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right"/>
        </w:trPr>
        <w:tc>
          <w:tcPr>
            <w:tcW w:w="24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304不锈钢</w:t>
            </w:r>
          </w:p>
        </w:tc>
        <w:tc>
          <w:tcPr>
            <w:tcW w:w="22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leftChars="0" w:right="0" w:rightChars="0"/>
        <w:jc w:val="center"/>
        <w:rPr>
          <w:rFonts w:hint="default" w:ascii="Times New Roman" w:hAnsi="Times New Roman" w:cs="Times New Roman" w:eastAsiaTheme="majorEastAsia"/>
          <w:i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2B2C"/>
    <w:multiLevelType w:val="singleLevel"/>
    <w:tmpl w:val="60DC2B2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23D3627"/>
    <w:multiLevelType w:val="singleLevel"/>
    <w:tmpl w:val="623D3627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23D6CCE"/>
    <w:multiLevelType w:val="singleLevel"/>
    <w:tmpl w:val="623D6CCE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7500B"/>
    <w:rsid w:val="084D7CF0"/>
    <w:rsid w:val="10A7430D"/>
    <w:rsid w:val="13641752"/>
    <w:rsid w:val="210E7685"/>
    <w:rsid w:val="24352CAD"/>
    <w:rsid w:val="258A2B38"/>
    <w:rsid w:val="258A6733"/>
    <w:rsid w:val="27DB1B7E"/>
    <w:rsid w:val="296E2610"/>
    <w:rsid w:val="298E0F00"/>
    <w:rsid w:val="299B5BF4"/>
    <w:rsid w:val="2D5F220A"/>
    <w:rsid w:val="2E176A38"/>
    <w:rsid w:val="2F342B0F"/>
    <w:rsid w:val="2F604B66"/>
    <w:rsid w:val="2FB8034F"/>
    <w:rsid w:val="37BB66AA"/>
    <w:rsid w:val="38676491"/>
    <w:rsid w:val="38CF421A"/>
    <w:rsid w:val="38E60C2D"/>
    <w:rsid w:val="3E2140D7"/>
    <w:rsid w:val="3E8E6C89"/>
    <w:rsid w:val="3F04187A"/>
    <w:rsid w:val="452B5863"/>
    <w:rsid w:val="4DD27B5F"/>
    <w:rsid w:val="50F62A37"/>
    <w:rsid w:val="5240553C"/>
    <w:rsid w:val="52E47104"/>
    <w:rsid w:val="543E6832"/>
    <w:rsid w:val="55D31427"/>
    <w:rsid w:val="66E639F8"/>
    <w:rsid w:val="66ED7935"/>
    <w:rsid w:val="68EB42B2"/>
    <w:rsid w:val="6A126B29"/>
    <w:rsid w:val="6DCD57CC"/>
    <w:rsid w:val="72CE60EC"/>
    <w:rsid w:val="75F76B42"/>
    <w:rsid w:val="7AF566E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440" w:lineRule="exact"/>
    </w:pPr>
    <w:rPr>
      <w:rFonts w:ascii="宋体" w:hAnsi="宋体"/>
      <w:bCs/>
      <w:color w:val="00000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51"/>
    <w:basedOn w:val="6"/>
    <w:qFormat/>
    <w:uiPriority w:val="0"/>
    <w:rPr>
      <w:rFonts w:hint="default" w:ascii="方正小标宋_GBK" w:hAnsi="方正小标宋_GBK" w:eastAsia="方正小标宋_GBK" w:cs="方正小标宋_GBK"/>
      <w:b/>
      <w:color w:val="000000"/>
      <w:sz w:val="32"/>
      <w:szCs w:val="32"/>
      <w:u w:val="none"/>
    </w:rPr>
  </w:style>
  <w:style w:type="character" w:customStyle="1" w:styleId="11">
    <w:name w:val="font21"/>
    <w:basedOn w:val="6"/>
    <w:qFormat/>
    <w:uiPriority w:val="0"/>
    <w:rPr>
      <w:rFonts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13">
    <w:name w:val="font3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ascii="华文宋体" w:hAnsi="华文宋体" w:eastAsia="华文宋体" w:cs="华文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2021-07-12T02:59:00Z</cp:lastPrinted>
  <dcterms:modified xsi:type="dcterms:W3CDTF">2022-11-25T07:17:02Z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