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20"/>
          <w:sz w:val="44"/>
          <w:szCs w:val="44"/>
          <w:lang w:eastAsia="zh-CN"/>
        </w:rPr>
        <w:t>富民县文化馆</w:t>
      </w:r>
      <w:r>
        <w:rPr>
          <w:rFonts w:hint="default" w:ascii="Times New Roman" w:hAnsi="Times New Roman" w:eastAsia="方正小标宋简体" w:cs="Times New Roman"/>
          <w:sz w:val="44"/>
          <w:szCs w:val="44"/>
        </w:rPr>
        <w:t>2019年度部门整体支出</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绩效评价报告</w:t>
      </w:r>
    </w:p>
    <w:p>
      <w:pPr>
        <w:pStyle w:val="6"/>
        <w:spacing w:line="500" w:lineRule="exact"/>
        <w:ind w:firstLine="640"/>
        <w:jc w:val="left"/>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一、部门概况</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（一）部门机构设置、编制。</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纳入201</w:t>
      </w:r>
      <w:r>
        <w:rPr>
          <w:rFonts w:hint="default" w:ascii="Times New Roman" w:hAnsi="Times New Roman" w:cs="Times New Roman"/>
          <w:sz w:val="32"/>
          <w:szCs w:val="32"/>
          <w:lang w:val="en-US" w:eastAsia="zh-CN"/>
        </w:rPr>
        <w:t>9</w:t>
      </w:r>
      <w:r>
        <w:rPr>
          <w:rFonts w:hint="default" w:ascii="Times New Roman" w:hAnsi="Times New Roman" w:cs="Times New Roman"/>
          <w:sz w:val="32"/>
          <w:szCs w:val="32"/>
        </w:rPr>
        <w:t>年部门决算编报的单位为事业单位1个。部门在职在编实有人数9人，其中：财政全供养9人；在编实有车辆无。退休人员2人，现已纳入社保管理。</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部门职能。</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继承和发扬民族文化遗产，弘扬地方文化，促进全县文化艺术创作、演出及民族民间体育的繁荣和发展；组织开展文化艺术和体育交流活动</w:t>
      </w:r>
      <w:r>
        <w:rPr>
          <w:rFonts w:hint="default" w:ascii="Times New Roman" w:hAnsi="Times New Roman" w:cs="Times New Roman"/>
          <w:sz w:val="32"/>
          <w:szCs w:val="32"/>
          <w:lang w:eastAsia="zh-CN"/>
        </w:rPr>
        <w:t>。</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部门工作完成情况。</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1.</w:t>
      </w:r>
      <w:r>
        <w:rPr>
          <w:rFonts w:hint="default" w:ascii="Times New Roman" w:hAnsi="Times New Roman" w:cs="Times New Roman"/>
          <w:sz w:val="32"/>
          <w:szCs w:val="32"/>
        </w:rPr>
        <w:t>各类大型综合性公益群众文化演出活动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2019年1月21日、22日、23日富民县文化馆组织文艺队伍参加富民县文化三下乡活动，在县电影院门口、东村镇、款庄镇举办3场下乡慰问演出活动；（3场）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2月5日——2月7日（大年初一、初二、初三）富民县文化馆在富民上河图广场举办2019年昆明市春城文化节富民县春节群众文化广场活动，3天的春节群众广场文艺演出活动共有50余支民间业余文艺队，600多人参加演出；（3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2月18日晚，富民县文化馆在富民县上河广场举办“我们的节日·元宵节苗族歌手杨花敏专场音乐会本次活动除杨花敏个人原创歌曲演唱外，还有邀请的助唱歌手及文艺队等18个优秀节目参演，演出节目精彩、内容丰富、形式多样，充分展现了我县苗族民间文化的喜庆与祝福；（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2019年2月19日晚，富民县文体广电旅游局在印象•富民上河图中心广场举办的元宵节文艺演出活动吸引了上千名群众的观看，欢天喜地闹元宵将2019年富民县春节系列文化活动推向新高潮。（1场）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2019年3月6日县文化馆协助县妇联举办庆“三八”文艺演出活动；（1场）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2019年5月16、17日，县教育体育局、富民县文化馆在昆明行知中学报告厅举办“阳光下成长”富民县第三十届学生艺术节 2019“我们的节日 花儿朵朵向太阳”少儿艺术比赛活动；（2场）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5月18日上午10:00，完成2019中国·富民杨梅文化节开幕式文艺演出；18日中午协助晚完成杨梅文化节开园仪式文艺演出；18日晚协助完成杨梅文化节小水井苗族农民合唱团与昆明聂耳交响乐团专场音乐会活动；（3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2019年5月19日晚，富民县文化和旅游局在富民上河院音乐喷泉广场举办2019中国·富民杨梅健康文化节百姓大舞台专场文艺演出活动；（1场）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2019年5月22日晚富民县文化和旅游局协助县妇联举办“巾帼心向党 礼赞新中国”旗袍秀展示活动；（1场）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2019年5月24日晚，富民县文化和旅游局与县教育局举办富民县2019中国·富民杨梅文化节暨暨花儿朵朵向太阳”优秀少儿艺术节目展演活动；（1场） </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2019年6月9日，富民县文化馆在县电影院门口组织开展了以“传承文化根脉 共筑民族未来”富民县2019年“文化遗产日”展演活动；（1场）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7月5日，中共富民县委，富民县人民政府主办、中共富民县委宣传部、富民县文化和旅游局承办的“庆祝中华人民共和国成立70周年群众合唱比赛”在富民云南水利水电职业学院举办，全县广大干部群众在纵情高歌和专注聆听中深受洗礼，通过重温经典歌曲，点燃了大家的爱国主义热情，坚定了干部群众永远跟党走、建功新时代、共筑中国梦的美好心愿。（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2019年9月13日，富民县文化体育广播电视旅游局在富民县滇北驿广场举办富民县2019年舞韵欢悦新时代-暨丰收节舞动富民广场舞比赛。本次活动由来自全县各单位、民间自发组织的26支文艺队参加了比赛。（2场）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2019年9月14日，富民县文化和旅游局在县上河图广场组织开展了传承弘扬中华优秀统文化“我们的节日  庆丰收·迎中秋”专场文艺演出活动。（1场）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9月9日—24日，富民县扫黑办牵头，县委政法委、宣传部、司法局、文化和旅游局等共同组织的扫黑除恶法治宣传文艺巡演活动分别在我县各镇街道、学校、企业举办，共演出12场，掀起扫黑除恶法治进镇（街道）、进社区、进学校宣传高潮。（12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9月9日—24日，富民县文化和旅游局组织的扫黑除恶法治宣传文艺巡演，传统文化（戏曲）进校园活动分别在我县款庄中学、东村小学、富民县永定小学举办，认真做好中华优秀传统文化戏曲进校园宣传工作。（3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 9月23日，富民县文化和旅游局组织富民县首届“丰收节”民俗表演活动。本次活动由来自部分东南亚国家、县级部分乡镇、部分民间自发组织的15支队伍200余人参加，演出活动圆满成功。（1场）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 9月23日下午，富民县隆重举办舞韵欢悦新时代--暨丰收节舞动富民广场舞决赛。本次活动由来自全县各单位、民间自发组织的26支队伍400余人参加初赛，比赛结束后，选拔出15家队伍200余人进入决赛。此次比赛共设一等奖1名、二等奖3名、三等奖5名、优秀奖6名。获得一等奖的队伍将于年底代表富民县参加市级相关比赛活动；（1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 2019年10月1日，富民县文化和旅游局、文化馆配合中共富民县委、县人民政府在县委党校隆重举办富民县庆祝中华人民共和国70周年升旗仪式相关工作；</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2.</w:t>
      </w:r>
      <w:r>
        <w:rPr>
          <w:rFonts w:hint="default" w:ascii="Times New Roman" w:hAnsi="Times New Roman" w:cs="Times New Roman"/>
          <w:sz w:val="32"/>
          <w:szCs w:val="32"/>
        </w:rPr>
        <w:t>组织书画艺术、摄影、非物质文化遗产等公益性大型展览活动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w:t>
      </w:r>
      <w:r>
        <w:rPr>
          <w:rFonts w:hint="default" w:ascii="Times New Roman" w:hAnsi="Times New Roman" w:cs="Times New Roman"/>
          <w:sz w:val="32"/>
          <w:szCs w:val="32"/>
        </w:rPr>
        <w:t>自办展览：</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2019年1月25—2月20日由富民县文体广电旅游局、富民县文学艺术联合会联合举办的“富民县2019年迎新春美术书法摄影作品展”在富民县湿地公园正式开展，展出了200余件美术、书法、摄影作品，为春节再添春意；　　   </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2019年3月30日——4月10日富民县文化馆联合县书法家协会举办富民文昌书院师生书画展览活动；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2019年6月1日——6月14日由富民县文化馆、富民永定小学联合举办“花儿朵朵向太阳”富民县第六届少儿美术作品展览；</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2019年9月12日——9月20日由中共富民县委宣传部、富民县妇联、富民县文体广电旅游局联合举办的“家和万事兴—家教家风主题展”在富民湿地公园展览；</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9月25日—10月13日由中共富民县委宣传部、富民县文化和旅游局主办，富民县文学艺术联合会、富民县文化馆承办的“庆祝新中国成立70周年原创歌曲散文诗歌征集活动及美术书法摄影作品展”在富民县湿地公园正式开展，展出书画摄影作品共216余件；</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w:t>
      </w:r>
      <w:r>
        <w:rPr>
          <w:rFonts w:hint="default" w:ascii="Times New Roman" w:hAnsi="Times New Roman" w:cs="Times New Roman"/>
          <w:sz w:val="32"/>
          <w:szCs w:val="32"/>
        </w:rPr>
        <w:t>组织展览</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2019年1月组织12件美术作品参加“昆明市庆祝改革开放40周年暨迎接2019年元旦美术、书法、摄影优秀作品展”；</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2019年5月组织20件美术作品、1件书法作品参加县纪委选送昆明市纪委书法美术作品展览；</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2019年5月组织5件美术作品、5件书法作品、6件摄影作品参加云南省“建设者之歌·七彩云梦”—建设者书法绘画摄影作品展；</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2019年6月组织少儿美术作品80余件，参加昆明市“花儿朵朵向太阳”少儿美术作品展览活动，该活动于10月在昆明市文化馆开幕；</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2019年6月组织3件美术作品作品参加县政协选送云南省政协</w:t>
      </w:r>
      <w:r>
        <w:rPr>
          <w:rFonts w:hint="eastAsia" w:cs="Times New Roman"/>
          <w:sz w:val="32"/>
          <w:szCs w:val="32"/>
          <w:lang w:val="en-US" w:eastAsia="zh-CN"/>
        </w:rPr>
        <w:t>中华人民共和国成立</w:t>
      </w:r>
      <w:r>
        <w:rPr>
          <w:rFonts w:hint="default" w:ascii="Times New Roman" w:hAnsi="Times New Roman" w:cs="Times New Roman"/>
          <w:sz w:val="32"/>
          <w:szCs w:val="32"/>
        </w:rPr>
        <w:t>70周年美术作品展览；</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2019年8月组织水彩画作品7件参加广西北海市文化馆和昆明市文化馆联合举办的“丝路北海·魅力春城”水彩画展览活动；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2019年8月组织美术作品5件参加云南省“劳动美”云南省职工美术书法摄影作品展览，我县3件美术作品入选；</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3.</w:t>
      </w:r>
      <w:r>
        <w:rPr>
          <w:rFonts w:hint="default" w:ascii="Times New Roman" w:hAnsi="Times New Roman" w:cs="Times New Roman"/>
          <w:sz w:val="32"/>
          <w:szCs w:val="32"/>
        </w:rPr>
        <w:t>面向基层业务人员以及业余文艺骨干举办业务培训普及性文化艺术培训；</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w:t>
      </w:r>
      <w:r>
        <w:rPr>
          <w:rFonts w:hint="default" w:ascii="Times New Roman" w:hAnsi="Times New Roman" w:cs="Times New Roman"/>
          <w:sz w:val="32"/>
          <w:szCs w:val="32"/>
        </w:rPr>
        <w:t>馆办培训</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2019年4月11日举办富民县2019年公共数字文化工作及县级文化馆总分馆制建设工作培训班；</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2019年4月12日举办基层音响技术人员培训班；</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2019年3月25日至29日举办了为期五天的富民县第十六届新农村群众文艺骨干培训班。本次培训班以舞蹈培训为主，各镇（街道）农村文艺骨干共计48人参加了培训，学员们通过认真学习均获得了结业证书；</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2019年4月25日至26日举办了为期2天的富民县“中国梦”广场舞蹈培训班。本次培训班以舞蹈培训为主，并聘请市文化馆舞蹈专干执教。县城周边部分优秀文艺队文艺骨干共计22人参加了培训活动；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2019年5月7日至8日举办了为期2天的富民县“中国梦”广场舞蹈培训班。县城周边部分优秀文艺队文艺骨干及县级部分机关单位人员近200人参加了培训活动；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7月8日——7月26日暑假期间举办少儿书法、美术、素描、葫芦丝、舞蹈培训班。通过分别为期一周的少儿暑期艺术培训活动，对提高儿童艺术自信心，培养儿童的审美情趣和修养，尤其是培养良好的心理素质都有较深远的意义。本次培训共计少儿256人参加（五期）；</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w:t>
      </w:r>
      <w:r>
        <w:rPr>
          <w:rFonts w:hint="default" w:ascii="Times New Roman" w:hAnsi="Times New Roman" w:cs="Times New Roman"/>
          <w:sz w:val="32"/>
          <w:szCs w:val="32"/>
        </w:rPr>
        <w:t>组织培训</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2019年3月组织馆内高春明参加为期一周的云南省公共数字文化工作及县级文化馆总分馆制建设工作培训；</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2019年3月组织馆内刘开智参加为期一周的云南省基层音响技术人员培训班；</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2019年9月组织馆内普千桐参加为期一周的云南省公共数字文化工作工作培训；</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4.</w:t>
      </w:r>
      <w:r>
        <w:rPr>
          <w:rFonts w:hint="default" w:ascii="Times New Roman" w:hAnsi="Times New Roman" w:cs="Times New Roman"/>
          <w:sz w:val="32"/>
          <w:szCs w:val="32"/>
        </w:rPr>
        <w:t>其他工作</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协助完成云南省杂技团到我县文化大篷车下乡演出活动；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完成苗族叙事长诗《红昭和饶觉席那》书籍3次改稿及档案建设工作；</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完成县人大对富民县非物质文化遗产工作调研活动；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完成县政协对我县农村文化活动调研相关工作；</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完善申报市级非遗保护名录相关资料工作；</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完成市、县相关部门临时安排工作；</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（四）部门管理制度。</w:t>
      </w:r>
    </w:p>
    <w:p>
      <w:pPr>
        <w:keepNext w:val="0"/>
        <w:keepLines w:val="0"/>
        <w:pageBreakBefore w:val="0"/>
        <w:widowControl w:val="0"/>
        <w:kinsoku/>
        <w:wordWrap/>
        <w:overflowPunct/>
        <w:topLinePunct/>
        <w:autoSpaceDE/>
        <w:autoSpaceDN/>
        <w:bidi w:val="0"/>
        <w:adjustRightInd/>
        <w:spacing w:line="560" w:lineRule="exact"/>
        <w:ind w:firstLine="643"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b/>
          <w:bCs/>
          <w:sz w:val="32"/>
          <w:szCs w:val="32"/>
          <w:lang w:eastAsia="zh-CN"/>
        </w:rPr>
        <w:t>内控制度：</w:t>
      </w:r>
      <w:r>
        <w:rPr>
          <w:rFonts w:hint="default" w:ascii="Times New Roman" w:hAnsi="Times New Roman" w:cs="Times New Roman"/>
          <w:sz w:val="32"/>
          <w:szCs w:val="32"/>
          <w:lang w:eastAsia="zh-CN"/>
        </w:rPr>
        <w:t>通过开展行政事业单位内部控制基础性评价工作，使内部控制理念深入人心，形成人人注重风险防范、处处强化责任意识的良好氛围；各类经济活动的规章制度及其业务流程得到细致梳理，经济活动的决策、执行、监督实现有效分离，议事决策机制、岗位责任制、内部监督等内控机制更加完善；内部控制牵头科（室）及其工作职责得到进一步明确，各科（室、馆所）在内部控制中的沟通、联动机制更加顺畅、高效，形成管控合力；内部控制关键岗位工作人员的培训、评价、轮岗等机制得到建立健全；账务处理及财务信息编报水平明显提高；内控信息化手段建设取得进步，风险评估和内部控制方法更加科学规范；以预算管理、收支管理、政府采购管理、资产管理、建设项目管理、合同管理等业务层面内部控制制度为主要内容，汇编形成我局内部控制工作手册；单位内部控制规范落实工作进入常态化、规范化轨道，内部控制工作成效不断显现。</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系统设置不相容岗位账户并体现其职权。业务流程内部控制的不相容岗位与职责在系统中分别设立独立的账户名称和密码、明确的操作权限等级。</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对预算进行内部分解并审批下达；计算预算执行差异率；收入实行归口管理和票据控制，做到应收尽收；支出事项实行归口管理和分类控制，明确各类支出业务事项的归口管理部门及职责，不同类别事项实行不同的审批程序和审批权限，明确各类支出业务事项需要提交的外部原始票据要求，明确内部审批表单要求及单据审核重点，通过对各类支出业务事项的分析控制，发现支出异常情况及其原因，并采取有效措施予以解决；举债事项实行集体决策，定期对账。</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3.</w:t>
      </w:r>
      <w:r>
        <w:rPr>
          <w:rFonts w:hint="default" w:ascii="Times New Roman" w:hAnsi="Times New Roman" w:cs="Times New Roman"/>
          <w:sz w:val="32"/>
          <w:szCs w:val="32"/>
          <w:lang w:eastAsia="zh-CN"/>
        </w:rPr>
        <w:t>政府采购业务管理控制。单位采购货物、服务和工程应当严格按照年度政府集中采购目录及标准的规定执行；政府采购货物、服务和工程应当严格落实节能环保。</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4.</w:t>
      </w:r>
      <w:r>
        <w:rPr>
          <w:rFonts w:hint="default" w:ascii="Times New Roman" w:hAnsi="Times New Roman" w:cs="Times New Roman"/>
          <w:sz w:val="32"/>
          <w:szCs w:val="32"/>
          <w:lang w:eastAsia="zh-CN"/>
        </w:rPr>
        <w:t>资产管理控制。定期对本单位的货币资金、存货、固定资产、无形资产、债权和对外投资等资产进行定期核查盘点，做到账实相符，对债权和对外投资项目实行跟踪管理；单位配置、使用和处置国有资产，应严格按照审批权限履行审批程序，未经批准不得自行配置资产、利用资产对外投资、出租出借，也不得自行处置资产。</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5.</w:t>
      </w:r>
      <w:r>
        <w:rPr>
          <w:rFonts w:hint="default" w:ascii="Times New Roman" w:hAnsi="Times New Roman" w:cs="Times New Roman"/>
          <w:sz w:val="32"/>
          <w:szCs w:val="32"/>
          <w:lang w:eastAsia="zh-CN"/>
        </w:rPr>
        <w:t>建设项目管理控制。单位应按照批复的初步设计方案组织实施建设项目，确需进行工程洽商和设计变更的，建设项目归口管理部门、项目监理机构应当进行严格审核，并且按照有关规定及制度要求履行相应的审批程序。单位应在建设项目竣工后及时编制项目竣工财务决算，并在项目竣工验收合格后及时办理资产交付使用手续。</w:t>
      </w:r>
    </w:p>
    <w:p>
      <w:pPr>
        <w:keepNext w:val="0"/>
        <w:keepLines w:val="0"/>
        <w:pageBreakBefore w:val="0"/>
        <w:widowControl w:val="0"/>
        <w:kinsoku/>
        <w:wordWrap/>
        <w:overflowPunct/>
        <w:topLinePunct/>
        <w:autoSpaceDE/>
        <w:autoSpaceDN/>
        <w:bidi w:val="0"/>
        <w:adjustRightInd/>
        <w:spacing w:line="560" w:lineRule="exact"/>
        <w:ind w:firstLine="643"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b/>
          <w:bCs/>
          <w:sz w:val="32"/>
          <w:szCs w:val="32"/>
          <w:lang w:eastAsia="zh-CN"/>
        </w:rPr>
        <w:t>财务管理制度：</w:t>
      </w:r>
      <w:r>
        <w:rPr>
          <w:rFonts w:hint="default" w:ascii="Times New Roman" w:hAnsi="Times New Roman" w:cs="Times New Roman"/>
          <w:sz w:val="32"/>
          <w:szCs w:val="32"/>
          <w:lang w:eastAsia="zh-CN"/>
        </w:rPr>
        <w:t>为加强单位内部财务管理，规范财务审批，严肃财经纪律，厉行勤俭节约，反对铺张浪费，加强党风廉政建设，节约经费开支，防止国有资产流失，提高资金使用效益，确保各项工作正常运转。根据《党政机关历行节约反对浪费条例》、《党政机关国内公务接待管理规定》、《富民县党政机关国内公务接待管理实施细则》、中共富民县委办公室  富民县人民政府办公室关于印发《富民县县级会议费管理办法》和《富民县县级机关差旅费管理办法》的通知（富办通[2014]103号）及有关法律法规，结合本单位具体情况，制定本制度。</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本单位收入应全部纳入财务核算，在各项业务活动中与上级部门、其他单位或个人发生的一切款项，应根据富财通[2014]20号文件，严格按《昆明市行政事业单位资金往来票据使用项目表》中所列通用项目及时开具财务票据、收取款项、登记入账，不得截留、隐瞒、挪用、做支。严格执行“收支两条线管理”。</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各项经费开支由分管副局长审批。所有支出单据应有经办人、证明人、产生费用理由；报经主要领导审核同意后再审批；每月正常缴付的医疗保险费、工伤生育保险、失业保险、养老保险、代发工资及单笔支出500元以下的由分管副局长直接审批；单笔2000元以上的支出应在班子会上通报，严格按富财通[2014]16号文件，对办公费、培训费、公务接待费、公务用车运行维护费等16个项目以银行转账或公务卡方式结算，严格控制以现金方式结算。</w:t>
      </w:r>
    </w:p>
    <w:p>
      <w:pPr>
        <w:keepNext w:val="0"/>
        <w:keepLines w:val="0"/>
        <w:pageBreakBefore w:val="0"/>
        <w:widowControl w:val="0"/>
        <w:kinsoku/>
        <w:wordWrap/>
        <w:overflowPunct/>
        <w:topLinePunct/>
        <w:autoSpaceDE/>
        <w:autoSpaceDN/>
        <w:bidi w:val="0"/>
        <w:adjustRightInd/>
        <w:spacing w:line="560" w:lineRule="exact"/>
        <w:ind w:firstLine="643" w:firstLineChars="200"/>
        <w:textAlignment w:val="auto"/>
        <w:rPr>
          <w:rFonts w:hint="default" w:ascii="Times New Roman" w:hAnsi="Times New Roman" w:cs="Times New Roman"/>
          <w:b/>
          <w:bCs/>
          <w:sz w:val="32"/>
          <w:szCs w:val="32"/>
          <w:lang w:eastAsia="zh-CN"/>
        </w:rPr>
      </w:pPr>
      <w:r>
        <w:rPr>
          <w:rFonts w:hint="default" w:ascii="Times New Roman" w:hAnsi="Times New Roman" w:cs="Times New Roman"/>
          <w:b/>
          <w:bCs/>
          <w:sz w:val="32"/>
          <w:szCs w:val="32"/>
          <w:lang w:eastAsia="zh-CN"/>
        </w:rPr>
        <w:t>资产管理制度：</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建立健全固定资产帐卡，正确及时办理新增、转移、调拨、报废等手续。</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定期检查组织清查盘点，处理盈亏报废。</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3.</w:t>
      </w:r>
      <w:r>
        <w:rPr>
          <w:rFonts w:hint="default" w:ascii="Times New Roman" w:hAnsi="Times New Roman" w:cs="Times New Roman"/>
          <w:sz w:val="32"/>
          <w:szCs w:val="32"/>
          <w:lang w:eastAsia="zh-CN"/>
        </w:rPr>
        <w:t>建立健全固定资产的核算凭证和帐卡，正确填报有关会计报表。</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4.</w:t>
      </w:r>
      <w:r>
        <w:rPr>
          <w:rFonts w:hint="default" w:ascii="Times New Roman" w:hAnsi="Times New Roman" w:cs="Times New Roman"/>
          <w:sz w:val="32"/>
          <w:szCs w:val="32"/>
          <w:lang w:eastAsia="zh-CN"/>
        </w:rPr>
        <w:t>接受财政部门的监督、指导，按照规定报告本单位国有资产管理工作。</w:t>
      </w:r>
    </w:p>
    <w:p>
      <w:pPr>
        <w:keepNext w:val="0"/>
        <w:keepLines w:val="0"/>
        <w:pageBreakBefore w:val="0"/>
        <w:widowControl w:val="0"/>
        <w:kinsoku/>
        <w:wordWrap/>
        <w:overflowPunct/>
        <w:topLinePunct/>
        <w:autoSpaceDE/>
        <w:autoSpaceDN/>
        <w:bidi w:val="0"/>
        <w:adjustRightInd/>
        <w:spacing w:line="560" w:lineRule="exact"/>
        <w:ind w:firstLine="643"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b/>
          <w:bCs/>
          <w:sz w:val="32"/>
          <w:szCs w:val="32"/>
          <w:lang w:eastAsia="zh-CN"/>
        </w:rPr>
        <w:t>合同管理制度：</w:t>
      </w:r>
      <w:r>
        <w:rPr>
          <w:rFonts w:hint="default" w:ascii="Times New Roman" w:hAnsi="Times New Roman" w:cs="Times New Roman"/>
          <w:sz w:val="32"/>
          <w:szCs w:val="32"/>
          <w:lang w:eastAsia="zh-CN"/>
        </w:rPr>
        <w:t>为加强富民县文化体育广播电视旅游局项目合同管理，提高管理水平，确保项目合同各个阶段合法合规，工程质量、工程安全得到有效保障，根据有关规定、结合具体情况，特制定本制度，具体制度如下：</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第一条 为加强合同管理，减少失误，提高经济效益，根据《合同法》及其他有关法规的规定，结合我局的实际情况，制订本制度。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第二条 单位各部门及下属馆所对外签订的各类合同一律适用本制度。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第三条</w:t>
      </w:r>
      <w:r>
        <w:rPr>
          <w:rFonts w:hint="default" w:ascii="Times New Roman" w:hAnsi="Times New Roman" w:cs="Times New Roman"/>
          <w:sz w:val="32"/>
          <w:szCs w:val="32"/>
          <w:lang w:val="en-US" w:eastAsia="zh-CN"/>
        </w:rPr>
        <w:t xml:space="preserve"> </w:t>
      </w:r>
      <w:r>
        <w:rPr>
          <w:rFonts w:hint="default" w:ascii="Times New Roman" w:hAnsi="Times New Roman" w:cs="Times New Roman"/>
          <w:sz w:val="32"/>
          <w:szCs w:val="32"/>
          <w:lang w:eastAsia="zh-CN"/>
        </w:rPr>
        <w:t xml:space="preserve">合同管理是我局管理的一项重要内容，搞好合同管理，对于我局项目开展和项目利益的取得，都有积极的意义。各级领导干部、法人委托人以及其他有关人员，都必须严格遵守、切实执行本制度。各有关部门必须互相配合，共同努力，搞好项目以“重合同、守信誉”为核心的合同管理工作。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第四条 签订合同，必须遵守国家的法律、政策及有关规定。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第五条 对外签订合同，除法定代表人外，必须是持有法人委托书的法人委托人。法人委托人必须对本企业负责，对本职工作负责，在授权范围内行使签约权。超越代理权限和非法委托人均无对外签约，但经总经理特别授权并发给委托证明收的例外。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第六条 签约人在签订合同之前，必须认真了解对方当事人的情况。包括：对方单位是否具有法人资格、有否经营权、有否履约能力及其资信情况，对方签约人是否法定代表人或法人委托人及其代理权限。做到既要考虑本方的经济效益，又要考虑对方的条件和实际能力，防止上当受骗，防止签订无效合同，确保所签合同有效、有利。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第七条 签订合同，必须贯彻“平等互利、协商一致、等价有偿”的原则和“价廉物美、择优签约”的原则。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第八条 签订合同，如涉及公司内部其他单位的，应事先在内部进行协商，统一平衡，然后签约。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第九条</w:t>
      </w:r>
      <w:r>
        <w:rPr>
          <w:rFonts w:hint="default" w:ascii="Times New Roman" w:hAnsi="Times New Roman" w:cs="Times New Roman"/>
          <w:sz w:val="32"/>
          <w:szCs w:val="32"/>
          <w:lang w:val="en-US" w:eastAsia="zh-CN"/>
        </w:rPr>
        <w:t xml:space="preserve"> </w:t>
      </w:r>
      <w:r>
        <w:rPr>
          <w:rFonts w:hint="default" w:ascii="Times New Roman" w:hAnsi="Times New Roman" w:cs="Times New Roman"/>
          <w:sz w:val="32"/>
          <w:szCs w:val="32"/>
          <w:lang w:eastAsia="zh-CN"/>
        </w:rPr>
        <w:t xml:space="preserve">合同除即时清洁者，一律采用书面格式，并必须采用统一的合同文本。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 xml:space="preserve">第十条 合同对方当事人权利、义务的规定必须明确、具体、文字表达要清楚、准确。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（五）部门资金来源及使用情况。</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201</w:t>
      </w:r>
      <w:r>
        <w:rPr>
          <w:rFonts w:hint="default" w:ascii="Times New Roman" w:hAnsi="Times New Roman" w:cs="Times New Roman"/>
          <w:sz w:val="32"/>
          <w:szCs w:val="32"/>
          <w:lang w:val="en-US" w:eastAsia="zh-CN"/>
        </w:rPr>
        <w:t>9</w:t>
      </w:r>
      <w:r>
        <w:rPr>
          <w:rFonts w:hint="default" w:ascii="Times New Roman" w:hAnsi="Times New Roman" w:cs="Times New Roman"/>
          <w:sz w:val="32"/>
          <w:szCs w:val="32"/>
        </w:rPr>
        <w:t>年度富民县</w:t>
      </w:r>
      <w:r>
        <w:rPr>
          <w:rFonts w:hint="default" w:ascii="Times New Roman" w:hAnsi="Times New Roman" w:cs="Times New Roman"/>
          <w:sz w:val="32"/>
          <w:szCs w:val="32"/>
          <w:lang w:eastAsia="zh-CN"/>
        </w:rPr>
        <w:t>文化馆财政拨款总收入</w:t>
      </w:r>
      <w:r>
        <w:rPr>
          <w:rFonts w:hint="default" w:ascii="Times New Roman" w:hAnsi="Times New Roman" w:cs="Times New Roman"/>
          <w:sz w:val="32"/>
          <w:szCs w:val="32"/>
        </w:rPr>
        <w:t>1,537,478.97元</w:t>
      </w:r>
      <w:r>
        <w:rPr>
          <w:rFonts w:hint="default" w:ascii="Times New Roman" w:hAnsi="Times New Roman" w:cs="Times New Roman"/>
          <w:sz w:val="32"/>
          <w:szCs w:val="32"/>
          <w:lang w:eastAsia="zh-CN"/>
        </w:rPr>
        <w:t>，其中</w:t>
      </w:r>
      <w:r>
        <w:rPr>
          <w:rFonts w:hint="default" w:ascii="Times New Roman" w:hAnsi="Times New Roman" w:cs="Times New Roman"/>
          <w:sz w:val="32"/>
          <w:szCs w:val="32"/>
        </w:rPr>
        <w:t>一般公共预算财政拨款收入</w:t>
      </w:r>
      <w:r>
        <w:rPr>
          <w:rFonts w:hint="default" w:ascii="Times New Roman" w:hAnsi="Times New Roman" w:cs="Times New Roman"/>
          <w:sz w:val="32"/>
          <w:szCs w:val="32"/>
          <w:lang w:val="en-US" w:eastAsia="zh-CN"/>
        </w:rPr>
        <w:t>决算数</w:t>
      </w:r>
      <w:r>
        <w:rPr>
          <w:rFonts w:hint="default" w:ascii="Times New Roman" w:hAnsi="Times New Roman" w:cs="Times New Roman"/>
          <w:sz w:val="32"/>
          <w:szCs w:val="32"/>
        </w:rPr>
        <w:t>为1,537,478.97元，</w:t>
      </w:r>
      <w:r>
        <w:rPr>
          <w:rFonts w:hint="default" w:ascii="Times New Roman" w:hAnsi="Times New Roman" w:cs="Times New Roman"/>
          <w:sz w:val="32"/>
          <w:szCs w:val="32"/>
          <w:lang w:eastAsia="zh-CN"/>
        </w:rPr>
        <w:t>占总收入</w:t>
      </w:r>
      <w:r>
        <w:rPr>
          <w:rFonts w:hint="default" w:ascii="Times New Roman" w:hAnsi="Times New Roman" w:cs="Times New Roman"/>
          <w:sz w:val="32"/>
          <w:szCs w:val="32"/>
          <w:lang w:val="en-US" w:eastAsia="zh-CN"/>
        </w:rPr>
        <w:t>100%，</w:t>
      </w:r>
      <w:r>
        <w:rPr>
          <w:rFonts w:hint="default" w:ascii="Times New Roman" w:hAnsi="Times New Roman" w:cs="Times New Roman"/>
          <w:sz w:val="32"/>
          <w:szCs w:val="32"/>
        </w:rPr>
        <w:t>无政府性基金</w:t>
      </w:r>
      <w:r>
        <w:rPr>
          <w:rFonts w:hint="default" w:ascii="Times New Roman" w:hAnsi="Times New Roman" w:cs="Times New Roman"/>
          <w:sz w:val="32"/>
          <w:szCs w:val="32"/>
          <w:lang w:eastAsia="zh-CN"/>
        </w:rPr>
        <w:t>决算</w:t>
      </w:r>
      <w:r>
        <w:rPr>
          <w:rFonts w:hint="default" w:ascii="Times New Roman" w:hAnsi="Times New Roman" w:cs="Times New Roman"/>
          <w:sz w:val="32"/>
          <w:szCs w:val="32"/>
        </w:rPr>
        <w:t>收入</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t>201</w:t>
      </w:r>
      <w:r>
        <w:rPr>
          <w:rFonts w:hint="default" w:ascii="Times New Roman" w:hAnsi="Times New Roman" w:cs="Times New Roman"/>
          <w:sz w:val="32"/>
          <w:szCs w:val="32"/>
          <w:lang w:val="en-US" w:eastAsia="zh-CN"/>
        </w:rPr>
        <w:t>9</w:t>
      </w:r>
      <w:r>
        <w:rPr>
          <w:rFonts w:hint="default" w:ascii="Times New Roman" w:hAnsi="Times New Roman" w:cs="Times New Roman"/>
          <w:sz w:val="32"/>
          <w:szCs w:val="32"/>
        </w:rPr>
        <w:t>年度富民县</w:t>
      </w:r>
      <w:r>
        <w:rPr>
          <w:rFonts w:hint="default" w:ascii="Times New Roman" w:hAnsi="Times New Roman" w:cs="Times New Roman"/>
          <w:sz w:val="32"/>
          <w:szCs w:val="32"/>
          <w:lang w:eastAsia="zh-CN"/>
        </w:rPr>
        <w:t>文化馆财政拨款总支出</w:t>
      </w:r>
      <w:r>
        <w:rPr>
          <w:rFonts w:hint="default" w:ascii="Times New Roman" w:hAnsi="Times New Roman" w:cs="Times New Roman"/>
          <w:sz w:val="32"/>
          <w:szCs w:val="32"/>
        </w:rPr>
        <w:t>1,517,479.97元</w:t>
      </w:r>
      <w:r>
        <w:rPr>
          <w:rFonts w:hint="default" w:ascii="Times New Roman" w:hAnsi="Times New Roman" w:cs="Times New Roman"/>
          <w:sz w:val="32"/>
          <w:szCs w:val="32"/>
          <w:lang w:eastAsia="zh-CN"/>
        </w:rPr>
        <w:t>，其中</w:t>
      </w:r>
      <w:r>
        <w:rPr>
          <w:rFonts w:hint="default" w:ascii="Times New Roman" w:hAnsi="Times New Roman" w:cs="Times New Roman"/>
          <w:sz w:val="32"/>
          <w:szCs w:val="32"/>
        </w:rPr>
        <w:t>一般公共预算财政拨款</w:t>
      </w:r>
      <w:r>
        <w:rPr>
          <w:rFonts w:hint="default" w:ascii="Times New Roman" w:hAnsi="Times New Roman" w:cs="Times New Roman"/>
          <w:sz w:val="32"/>
          <w:szCs w:val="32"/>
          <w:lang w:eastAsia="zh-CN"/>
        </w:rPr>
        <w:t>支出</w:t>
      </w:r>
      <w:r>
        <w:rPr>
          <w:rFonts w:hint="default" w:ascii="Times New Roman" w:hAnsi="Times New Roman" w:cs="Times New Roman"/>
          <w:sz w:val="32"/>
          <w:szCs w:val="32"/>
          <w:lang w:val="en-US" w:eastAsia="zh-CN"/>
        </w:rPr>
        <w:t>决算数</w:t>
      </w:r>
      <w:r>
        <w:rPr>
          <w:rFonts w:hint="default" w:ascii="Times New Roman" w:hAnsi="Times New Roman" w:cs="Times New Roman"/>
          <w:sz w:val="32"/>
          <w:szCs w:val="32"/>
        </w:rPr>
        <w:t>为1,517,479.97元，</w:t>
      </w:r>
      <w:r>
        <w:rPr>
          <w:rFonts w:hint="default" w:ascii="Times New Roman" w:hAnsi="Times New Roman" w:cs="Times New Roman"/>
          <w:sz w:val="32"/>
          <w:szCs w:val="32"/>
          <w:lang w:eastAsia="zh-CN"/>
        </w:rPr>
        <w:t>占总支出</w:t>
      </w:r>
      <w:r>
        <w:rPr>
          <w:rFonts w:hint="default" w:ascii="Times New Roman" w:hAnsi="Times New Roman" w:cs="Times New Roman"/>
          <w:sz w:val="32"/>
          <w:szCs w:val="32"/>
          <w:lang w:val="en-US" w:eastAsia="zh-CN"/>
        </w:rPr>
        <w:t>100%，</w:t>
      </w:r>
      <w:r>
        <w:rPr>
          <w:rFonts w:hint="default" w:ascii="Times New Roman" w:hAnsi="Times New Roman" w:cs="Times New Roman"/>
          <w:sz w:val="32"/>
          <w:szCs w:val="32"/>
        </w:rPr>
        <w:t>无政府性基金</w:t>
      </w:r>
      <w:r>
        <w:rPr>
          <w:rFonts w:hint="default" w:ascii="Times New Roman" w:hAnsi="Times New Roman" w:cs="Times New Roman"/>
          <w:sz w:val="32"/>
          <w:szCs w:val="32"/>
          <w:lang w:eastAsia="zh-CN"/>
        </w:rPr>
        <w:t>决算支出。</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基本支出</w:t>
      </w:r>
      <w:r>
        <w:rPr>
          <w:rFonts w:hint="default" w:ascii="Times New Roman" w:hAnsi="Times New Roman" w:cs="Times New Roman"/>
          <w:sz w:val="32"/>
          <w:szCs w:val="32"/>
        </w:rPr>
        <w:t>1,517,479.97</w:t>
      </w:r>
      <w:r>
        <w:rPr>
          <w:rFonts w:hint="default" w:ascii="Times New Roman" w:hAnsi="Times New Roman" w:cs="Times New Roman"/>
          <w:sz w:val="32"/>
          <w:szCs w:val="32"/>
          <w:lang w:eastAsia="zh-CN"/>
        </w:rPr>
        <w:t>元，占总支出</w:t>
      </w:r>
      <w:r>
        <w:rPr>
          <w:rFonts w:hint="default" w:ascii="Times New Roman" w:hAnsi="Times New Roman" w:cs="Times New Roman"/>
          <w:sz w:val="32"/>
          <w:szCs w:val="32"/>
          <w:lang w:val="en-US" w:eastAsia="zh-CN"/>
        </w:rPr>
        <w:t>100%，</w:t>
      </w:r>
      <w:r>
        <w:rPr>
          <w:rFonts w:hint="default" w:ascii="Times New Roman" w:hAnsi="Times New Roman" w:cs="Times New Roman"/>
          <w:sz w:val="32"/>
          <w:szCs w:val="32"/>
          <w:lang w:eastAsia="zh-CN"/>
        </w:rPr>
        <w:t>项目支出</w:t>
      </w:r>
      <w:r>
        <w:rPr>
          <w:rFonts w:hint="default" w:ascii="Times New Roman" w:hAnsi="Times New Roman" w:cs="Times New Roman"/>
          <w:sz w:val="32"/>
          <w:szCs w:val="32"/>
          <w:lang w:val="en-US" w:eastAsia="zh-CN"/>
        </w:rPr>
        <w:t>0</w:t>
      </w:r>
      <w:r>
        <w:rPr>
          <w:rFonts w:hint="default" w:ascii="Times New Roman" w:hAnsi="Times New Roman" w:cs="Times New Roman"/>
          <w:sz w:val="32"/>
          <w:szCs w:val="32"/>
          <w:lang w:eastAsia="zh-CN"/>
        </w:rPr>
        <w:t>元，占总支出</w:t>
      </w:r>
      <w:r>
        <w:rPr>
          <w:rFonts w:hint="default" w:ascii="Times New Roman" w:hAnsi="Times New Roman" w:cs="Times New Roman"/>
          <w:sz w:val="32"/>
          <w:szCs w:val="32"/>
          <w:lang w:val="en-US" w:eastAsia="zh-CN"/>
        </w:rPr>
        <w:t>0%。</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基本支出中，人员经费支出1,473,023.81元，占基本支出</w:t>
      </w:r>
      <w:r>
        <w:rPr>
          <w:rFonts w:hint="default" w:ascii="Times New Roman" w:hAnsi="Times New Roman" w:cs="Times New Roman"/>
          <w:sz w:val="32"/>
          <w:szCs w:val="32"/>
          <w:lang w:val="en-US" w:eastAsia="zh-CN"/>
        </w:rPr>
        <w:t>97%，日常公用经费支出44,456.16元，占基本支出3%。</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六</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政府采购情况。</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2019年富民县文化馆政府采购支出40,000.00元，主要用于采购货物支出。</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七</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固定资产情况。</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2019年度固定资产账面原值274003元，累计折旧161395.61元，账面净值为112607.39元，处置资产27000 万元。</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土地、房屋及构筑物 0 万元，占固定资产的 0.00 %（其中，房屋 0 元，占固定资产的 0.00 %）；通用设备 47400万元，占 42.09 %（其中，车辆 0 万元，占 0.00 %，单价50万（含）以上（不含车辆）设备 0 万元，占 0.00 %）；专用设备 56100 万元，占 49.85 %（单价100万（含）以上设备 0 万元，占 0.00 %）；文物和陈列品 0 万元，占 0.00 %；图书档案 0 万元，占 0.00 %；家具、用具、装具及动植物 9107.39万元，占 8.06 %。</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二、绩效目标</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（一）部门总目标。</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为贯彻落实党的十九大精神</w:t>
      </w:r>
      <w:bookmarkStart w:id="0" w:name="_GoBack"/>
      <w:bookmarkEnd w:id="0"/>
      <w:r>
        <w:rPr>
          <w:rFonts w:hint="default" w:ascii="Times New Roman" w:hAnsi="Times New Roman" w:eastAsia="仿宋_GB2312" w:cs="Times New Roman"/>
          <w:sz w:val="32"/>
          <w:szCs w:val="32"/>
          <w:lang w:val="en-US" w:eastAsia="zh-CN"/>
        </w:rPr>
        <w:t>，满足人民群众基础文化需求，让广大人民群众得到更为便利、更加良好的公共文化服务，进一步建立健全我县基层公共文化服务体系，逐步实现公共文化服务均等化，认真做好服务工作，努力完成各项工作</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仿宋_GB2312" w:cs="Times New Roman"/>
          <w:sz w:val="32"/>
          <w:szCs w:val="32"/>
          <w:lang w:val="en-US" w:eastAsia="zh-CN"/>
        </w:rPr>
        <w:t>各类大型综合性公益群众文化演出活动</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参加组织2019年富民县文化下乡慰问演出活动；组织富民县2019年春节正月初一至初三群众文化广场演出活动；组织完成富民县2019年元宵节文艺演出活动；组织举办</w:t>
      </w:r>
      <w:r>
        <w:rPr>
          <w:rFonts w:hint="default" w:ascii="Times New Roman" w:hAnsi="Times New Roman" w:eastAsia="仿宋_GB2312" w:cs="Times New Roman"/>
          <w:sz w:val="32"/>
          <w:szCs w:val="32"/>
          <w:lang w:eastAsia="zh-CN"/>
        </w:rPr>
        <w:t>昆明春城文化节富民县夏日童话少儿艺术专场比赛活动；</w:t>
      </w:r>
      <w:r>
        <w:rPr>
          <w:rFonts w:hint="default" w:ascii="Times New Roman" w:hAnsi="Times New Roman" w:eastAsia="仿宋_GB2312" w:cs="Times New Roman"/>
          <w:sz w:val="32"/>
          <w:szCs w:val="32"/>
          <w:lang w:val="en-US" w:eastAsia="zh-CN"/>
        </w:rPr>
        <w:t>组织、举办富民县非物质文化遗产日传承人演出专场活动；组织、举办富民县群众文艺比赛或文艺调研活动；根据县委、县政府及县文化主管部门要求适实组织举办各类文艺演出活动；根据市级部门文件精神，组织优秀节目参加市级各类比赛及文艺展演活动</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lang w:val="en-US" w:eastAsia="zh-CN"/>
        </w:rPr>
        <w:t>组织书画艺术、摄影、非物质文化遗产等公益性大型展览展示活动</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cs="Times New Roman"/>
          <w:sz w:val="32"/>
          <w:szCs w:val="32"/>
          <w:lang w:val="en-US" w:eastAsia="zh-CN"/>
        </w:rPr>
        <w:t>（1）</w:t>
      </w:r>
      <w:r>
        <w:rPr>
          <w:rFonts w:hint="default" w:ascii="Times New Roman" w:hAnsi="Times New Roman" w:eastAsia="仿宋_GB2312" w:cs="Times New Roman"/>
          <w:sz w:val="32"/>
          <w:szCs w:val="32"/>
          <w:lang w:val="en-US" w:eastAsia="zh-CN"/>
        </w:rPr>
        <w:t>自办展览：组织承办的2019年富民县迎新春美术书法摄影展览活动；组织承办2019年春城文化节第四届少儿美术作品展览；根据县委、县政府及县文化主管部门要求适实组织举办各类展览组织活动；</w:t>
      </w:r>
      <w:r>
        <w:rPr>
          <w:rFonts w:hint="default" w:ascii="Times New Roman" w:hAnsi="Times New Roman" w:eastAsia="仿宋_GB2312" w:cs="Times New Roman"/>
          <w:sz w:val="32"/>
          <w:szCs w:val="32"/>
          <w:lang w:eastAsia="zh-CN"/>
        </w:rPr>
        <w:t>根据部分协会作品组织情况，举办协会作品展览活动</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lang w:val="en-US" w:eastAsia="zh-CN"/>
        </w:rPr>
        <w:t>组织展览：根据省、市级部门文件通知，组织各类优秀文艺作品参加省、市级各类展览活动</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3.</w:t>
      </w:r>
      <w:r>
        <w:rPr>
          <w:rFonts w:hint="default" w:ascii="Times New Roman" w:hAnsi="Times New Roman" w:eastAsia="仿宋_GB2312" w:cs="Times New Roman"/>
          <w:sz w:val="32"/>
          <w:szCs w:val="32"/>
          <w:lang w:val="en-US" w:eastAsia="zh-CN"/>
        </w:rPr>
        <w:t>面向基层业务人员以及业余文艺骨干举办业务培训普及性文化艺术培训</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仿宋_GB2312" w:cs="Times New Roman"/>
          <w:sz w:val="32"/>
          <w:szCs w:val="32"/>
          <w:lang w:val="en-US" w:eastAsia="zh-CN"/>
        </w:rPr>
        <w:t>馆办培训</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举办“三区人才”及相关基层培训班；举办富民县第十七届新农村群众文艺骨干培训班；举办暑假少儿书法、器乐、美术、舞蹈培训班（4期）</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继续与富民县老年大学举办富民县老年大学书法班；举办村级文化室从业人员培训班；举办非物质文化传承人培训班</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lang w:val="en-US" w:eastAsia="zh-CN"/>
        </w:rPr>
        <w:t>参加培训</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根据省市文件要求，组织人员参加省市级各类文化培训工作</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4.</w:t>
      </w:r>
      <w:r>
        <w:rPr>
          <w:rFonts w:hint="default" w:ascii="Times New Roman" w:hAnsi="Times New Roman" w:eastAsia="仿宋_GB2312" w:cs="Times New Roman"/>
          <w:sz w:val="32"/>
          <w:szCs w:val="32"/>
          <w:lang w:val="en-US" w:eastAsia="zh-CN"/>
        </w:rPr>
        <w:t>非物质文化遗产工作</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完成全国非物质文化遗产日非遗宣传展示活动；根据省市文件要求申报各级名录及传承人工作</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5.</w:t>
      </w:r>
      <w:r>
        <w:rPr>
          <w:rFonts w:hint="default" w:ascii="Times New Roman" w:hAnsi="Times New Roman" w:eastAsia="仿宋_GB2312" w:cs="Times New Roman"/>
          <w:sz w:val="32"/>
          <w:szCs w:val="32"/>
          <w:lang w:val="en-US" w:eastAsia="zh-CN"/>
        </w:rPr>
        <w:t>其他工作</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争取举办2次文学艺术讲座活动，完成1次美术及其他文艺采风交流活动；继续完善省级非遗名录《红昭和饶觉席那》档案收集整理项目工作</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（二）部门项目具体计划目标。</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部门无项目预算收入。</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（一）主要绩效。</w:t>
      </w:r>
    </w:p>
    <w:p>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eastAsia="仿宋_GB2312" w:cs="Times New Roman"/>
          <w:b w:val="0"/>
          <w:bCs/>
          <w:sz w:val="32"/>
          <w:szCs w:val="32"/>
        </w:rPr>
        <w:t>我单位主要职能是继承和发扬民族文化遗产，弘扬地方文化，促进全县文化艺术创作、演出及民族民间体育的繁荣和发展；组织开展文化艺术交流活动。201</w:t>
      </w:r>
      <w:r>
        <w:rPr>
          <w:rFonts w:hint="default" w:ascii="Times New Roman" w:hAnsi="Times New Roman" w:eastAsia="仿宋_GB2312" w:cs="Times New Roman"/>
          <w:b w:val="0"/>
          <w:bCs/>
          <w:sz w:val="32"/>
          <w:szCs w:val="32"/>
          <w:lang w:val="en-US" w:eastAsia="zh-CN"/>
        </w:rPr>
        <w:t>9</w:t>
      </w:r>
      <w:r>
        <w:rPr>
          <w:rFonts w:hint="default" w:ascii="Times New Roman" w:hAnsi="Times New Roman" w:eastAsia="仿宋_GB2312" w:cs="Times New Roman"/>
          <w:b w:val="0"/>
          <w:bCs/>
          <w:sz w:val="32"/>
          <w:szCs w:val="32"/>
        </w:rPr>
        <w:t>年我单位按时并高质量的完成了年初各项群众文化工作计划，有效的丰富了广大群众的业余文化，明年我单位将继续开展一系列群众文化活动。</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评价结果。</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2019年富民县文化馆整体支出绩效自评分为90，评价等级为优秀。</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1.部门决策</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（1）部门目标设定</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年度工作目标的设定明确、合理，年度工作目标与部门中长期规划目标一致；绩效目标设定合理，符合部门部门制定的中长期实施规划计，符合部门“三定”方案确定的职责，与部门年度工作目标、任务相一致；绩效指标设定明确，将部门整体的绩效目标细化分解为具体的工作任务，通过清晰、可衡量的指标值予以体现，与部门年度的任务数或计划数相对应，与本年度部门预算资金相匹配。</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（2）部门职能</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部门职能明确、设定依据充分，部门年度具体工作与部门职能对应匹配，有职责文件制度规定部门各科室及下属单位具体职责。</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2.部门管理</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（1）预算管理：预算执行率为103%，预算执行完成度高，项目支出预算执行率低，三公经费控制率低，2019年三公经费较2018年有所增加，主要原因是公务接待增加。</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财务管理：财务管理制度健全，有明确的预算资金管理办法、内部财务管理制度、会计核算制度等管理制度，相关管理制度是否合法、合规、完整，并且得到有效执行；资金使用合规合法，符合国家财经法规和财务管理制度规定以及有关专项资金管理办法的规定，资金的拨付有完整的审批程序和手续，符合部门预算批复的用途，不存在截留、挤占、挪用、虚列支出等情况。</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（3）资产管理：为加强资产管理、规范资产，具有固定资产管理办法、资产使用办法等管理制度，管理制度是否合法、合规、完整，并严格按照制度执行；固定资产在用率较高。</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（4）业务管理：为加强业务管理、规范业务执行而制定的管理制度,健全完整,相关管理制度合法、合规、完整;政府采购方式、程序规范。</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3.部门绩效</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（1）部门产出：工作实际完成率高，部门履职工作任务和目标实现良好，完成及时，质量达标，重点工作办结率高，对重点工作落实程度高。</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（2）部门效果：在履职期间，取得较好的经济效益和社会效益，并取得较高的社会公众或服务对象满意度。</w:t>
      </w:r>
    </w:p>
    <w:p>
      <w:pPr>
        <w:keepNext w:val="0"/>
        <w:keepLines w:val="0"/>
        <w:pageBreakBefore w:val="0"/>
        <w:widowControl w:val="0"/>
        <w:numPr>
          <w:ilvl w:val="0"/>
          <w:numId w:val="0"/>
        </w:numPr>
        <w:kinsoku/>
        <w:wordWrap/>
        <w:overflowPunct/>
        <w:topLinePunct/>
        <w:autoSpaceDE/>
        <w:autoSpaceDN/>
        <w:bidi w:val="0"/>
        <w:adjustRightInd/>
        <w:spacing w:line="560" w:lineRule="exact"/>
        <w:ind w:left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主要经验做法</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（一）加强领导，项目绩效显著。</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（二）厉行节约，严控行政成本。  </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（三）细化任务，推进各项改革。   </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（四）开门评议，加强行风建设。</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五、存在的问题</w:t>
      </w:r>
    </w:p>
    <w:p>
      <w:pPr>
        <w:keepNext w:val="0"/>
        <w:keepLines w:val="0"/>
        <w:pageBreakBefore w:val="0"/>
        <w:widowControl w:val="0"/>
        <w:kinsoku/>
        <w:wordWrap/>
        <w:overflowPunct/>
        <w:topLinePunct/>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预算管理制度不能适应预算管理改革实践需要</w:t>
      </w:r>
      <w:r>
        <w:rPr>
          <w:rFonts w:hint="eastAsia" w:ascii="仿宋_GB2312" w:hAnsi="仿宋_GB2312" w:eastAsia="仿宋_GB2312" w:cs="仿宋_GB2312"/>
          <w:color w:val="auto"/>
          <w:sz w:val="32"/>
          <w:szCs w:val="32"/>
          <w:lang w:eastAsia="zh-CN"/>
        </w:rPr>
        <w:t>，文化馆</w:t>
      </w:r>
      <w:r>
        <w:rPr>
          <w:rFonts w:hint="eastAsia" w:ascii="仿宋_GB2312" w:hAnsi="仿宋_GB2312" w:eastAsia="仿宋_GB2312" w:cs="仿宋_GB2312"/>
          <w:color w:val="auto"/>
          <w:sz w:val="32"/>
          <w:szCs w:val="32"/>
        </w:rPr>
        <w:t>严格按照县财政局</w:t>
      </w:r>
      <w:r>
        <w:rPr>
          <w:rFonts w:hint="eastAsia" w:ascii="仿宋_GB2312" w:hAnsi="仿宋_GB2312" w:eastAsia="仿宋_GB2312" w:cs="仿宋_GB2312"/>
          <w:color w:val="auto"/>
          <w:sz w:val="32"/>
          <w:szCs w:val="32"/>
          <w:lang w:eastAsia="zh-CN"/>
        </w:rPr>
        <w:t>和主管级</w:t>
      </w:r>
      <w:r>
        <w:rPr>
          <w:rFonts w:hint="eastAsia" w:ascii="仿宋_GB2312" w:hAnsi="仿宋_GB2312" w:eastAsia="仿宋_GB2312" w:cs="仿宋_GB2312"/>
          <w:color w:val="auto"/>
          <w:sz w:val="32"/>
          <w:szCs w:val="32"/>
        </w:rPr>
        <w:t>要求，大胆创新、勇于探索，开展了预算管理、绩效管理等一系列改革，并取得了显著的实践成果，但制度更新滞后于实践发展，需进一步修改完善，内控管理体系需进一步完善。</w:t>
      </w:r>
    </w:p>
    <w:p>
      <w:pPr>
        <w:keepNext w:val="0"/>
        <w:keepLines w:val="0"/>
        <w:pageBreakBefore w:val="0"/>
        <w:widowControl w:val="0"/>
        <w:numPr>
          <w:ilvl w:val="0"/>
          <w:numId w:val="0"/>
        </w:numPr>
        <w:kinsoku/>
        <w:wordWrap/>
        <w:overflowPunct/>
        <w:topLinePunct/>
        <w:autoSpaceDE/>
        <w:autoSpaceDN/>
        <w:bidi w:val="0"/>
        <w:adjustRightInd/>
        <w:spacing w:line="560" w:lineRule="exact"/>
        <w:ind w:left="800" w:leftChars="200" w:hanging="160" w:hangingChars="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六、</w:t>
      </w:r>
      <w:r>
        <w:rPr>
          <w:rFonts w:hint="default" w:ascii="Times New Roman" w:hAnsi="Times New Roman" w:eastAsia="黑体" w:cs="Times New Roman"/>
          <w:sz w:val="32"/>
          <w:szCs w:val="32"/>
        </w:rPr>
        <w:t>改进措施及建议</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进一步加强预算管理,更加细化项目的实施方案，明确资金使用标准和依据，尽快完善项目资金管理及绩效评价规章制度。同时，进一步健全完善内控管理制度，让理论为实践保驾护航。</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jc w:val="both"/>
        <w:textAlignment w:val="auto"/>
        <w:rPr>
          <w:rFonts w:hint="eastAsia" w:ascii="仿宋_GB2312" w:hAnsi="仿宋_GB2312" w:cs="仿宋_GB2312"/>
          <w:color w:val="auto"/>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pacing w:line="560" w:lineRule="exact"/>
        <w:ind w:firstLine="5120" w:firstLineChars="1600"/>
        <w:jc w:val="both"/>
        <w:textAlignment w:val="auto"/>
        <w:rPr>
          <w:rFonts w:hint="eastAsia" w:ascii="仿宋_GB2312" w:hAnsi="仿宋_GB2312" w:cs="仿宋_GB2312"/>
          <w:color w:val="auto"/>
          <w:sz w:val="32"/>
          <w:szCs w:val="32"/>
          <w:lang w:eastAsia="zh-CN"/>
        </w:rPr>
      </w:pPr>
      <w:r>
        <w:rPr>
          <w:rFonts w:hint="eastAsia" w:ascii="仿宋_GB2312" w:hAnsi="仿宋_GB2312" w:cs="仿宋_GB2312"/>
          <w:color w:val="auto"/>
          <w:sz w:val="32"/>
          <w:szCs w:val="32"/>
          <w:lang w:eastAsia="zh-CN"/>
        </w:rPr>
        <w:t>富民县文化馆</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4800" w:firstLineChars="1500"/>
        <w:jc w:val="both"/>
        <w:textAlignment w:val="auto"/>
        <w:rPr>
          <w:rFonts w:hint="default"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2020年4月28日</w:t>
      </w: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rPr>
      </w:pPr>
    </w:p>
    <w:p>
      <w:pPr>
        <w:keepNext w:val="0"/>
        <w:keepLines w:val="0"/>
        <w:pageBreakBefore w:val="0"/>
        <w:widowControl w:val="0"/>
        <w:numPr>
          <w:ilvl w:val="0"/>
          <w:numId w:val="0"/>
        </w:numPr>
        <w:kinsoku/>
        <w:wordWrap/>
        <w:overflowPunct/>
        <w:topLinePunct/>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rPr>
      </w:pPr>
    </w:p>
    <w:p>
      <w:pPr>
        <w:spacing w:line="600" w:lineRule="exact"/>
        <w:rPr>
          <w:rFonts w:hint="default" w:ascii="Times New Roman" w:hAnsi="Times New Roman" w:cs="Times New Roman"/>
          <w:sz w:val="21"/>
          <w:szCs w:val="21"/>
        </w:rPr>
      </w:pPr>
      <w:r>
        <w:rPr>
          <w:rFonts w:hint="default" w:ascii="Times New Roman" w:hAnsi="Times New Roman" w:cs="Times New Roman"/>
          <w:sz w:val="21"/>
          <w:szCs w:val="21"/>
        </w:rPr>
        <w:t>附表：</w:t>
      </w:r>
    </w:p>
    <w:tbl>
      <w:tblPr>
        <w:tblStyle w:val="4"/>
        <w:tblW w:w="9174" w:type="dxa"/>
        <w:jc w:val="center"/>
        <w:tblLayout w:type="fixed"/>
        <w:tblCellMar>
          <w:top w:w="0" w:type="dxa"/>
          <w:left w:w="28" w:type="dxa"/>
          <w:bottom w:w="0" w:type="dxa"/>
          <w:right w:w="28" w:type="dxa"/>
        </w:tblCellMar>
      </w:tblPr>
      <w:tblGrid>
        <w:gridCol w:w="479"/>
        <w:gridCol w:w="638"/>
        <w:gridCol w:w="1173"/>
        <w:gridCol w:w="569"/>
        <w:gridCol w:w="1842"/>
        <w:gridCol w:w="2977"/>
        <w:gridCol w:w="1496"/>
      </w:tblGrid>
      <w:tr>
        <w:tblPrEx>
          <w:tblCellMar>
            <w:top w:w="0" w:type="dxa"/>
            <w:left w:w="28" w:type="dxa"/>
            <w:bottom w:w="0" w:type="dxa"/>
            <w:right w:w="28" w:type="dxa"/>
          </w:tblCellMar>
        </w:tblPrEx>
        <w:trPr>
          <w:tblHeader/>
          <w:jc w:val="center"/>
        </w:trPr>
        <w:tc>
          <w:tcPr>
            <w:tcW w:w="9174" w:type="dxa"/>
            <w:gridSpan w:val="7"/>
            <w:tcBorders>
              <w:bottom w:val="single" w:color="auto" w:sz="4" w:space="0"/>
            </w:tcBorders>
            <w:tcMar>
              <w:top w:w="10" w:type="dxa"/>
              <w:left w:w="10" w:type="dxa"/>
              <w:bottom w:w="0" w:type="dxa"/>
              <w:right w:w="10" w:type="dxa"/>
            </w:tcMar>
            <w:vAlign w:val="center"/>
          </w:tcPr>
          <w:p>
            <w:pPr>
              <w:spacing w:afterLines="50"/>
              <w:jc w:val="center"/>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2019年部门整体支出绩效自评指标评分表</w:t>
            </w:r>
          </w:p>
          <w:p>
            <w:pPr>
              <w:spacing w:afterLines="50"/>
              <w:jc w:val="center"/>
              <w:rPr>
                <w:rFonts w:hint="default" w:ascii="Times New Roman" w:hAnsi="Times New Roman" w:eastAsia="黑体" w:cs="Times New Roman"/>
                <w:b/>
                <w:bCs/>
                <w:sz w:val="18"/>
                <w:szCs w:val="18"/>
              </w:rPr>
            </w:pPr>
          </w:p>
        </w:tc>
      </w:tr>
      <w:tr>
        <w:tblPrEx>
          <w:tblCellMar>
            <w:top w:w="0" w:type="dxa"/>
            <w:left w:w="28" w:type="dxa"/>
            <w:bottom w:w="0" w:type="dxa"/>
            <w:right w:w="28" w:type="dxa"/>
          </w:tblCellMar>
        </w:tblPrEx>
        <w:trPr>
          <w:trHeight w:val="703" w:hRule="atLeast"/>
          <w:tblHeader/>
          <w:jc w:val="center"/>
        </w:trPr>
        <w:tc>
          <w:tcPr>
            <w:tcW w:w="47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一级</w:t>
            </w:r>
            <w:r>
              <w:rPr>
                <w:rFonts w:hint="default" w:ascii="Times New Roman" w:hAnsi="Times New Roman" w:cs="Times New Roman"/>
                <w:bCs/>
                <w:sz w:val="21"/>
                <w:szCs w:val="21"/>
              </w:rPr>
              <w:br w:type="textWrapping"/>
            </w:r>
            <w:r>
              <w:rPr>
                <w:rFonts w:hint="default" w:ascii="Times New Roman" w:hAnsi="Times New Roman" w:cs="Times New Roman"/>
                <w:bCs/>
                <w:sz w:val="21"/>
                <w:szCs w:val="21"/>
              </w:rPr>
              <w:t>指标</w:t>
            </w:r>
          </w:p>
        </w:tc>
        <w:tc>
          <w:tcPr>
            <w:tcW w:w="63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二级</w:t>
            </w:r>
          </w:p>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三级</w:t>
            </w:r>
          </w:p>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得分</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指标解释</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指标评分细则</w:t>
            </w:r>
          </w:p>
        </w:tc>
        <w:tc>
          <w:tcPr>
            <w:tcW w:w="1496"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数据来源</w:t>
            </w:r>
          </w:p>
        </w:tc>
      </w:tr>
      <w:tr>
        <w:tblPrEx>
          <w:tblCellMar>
            <w:top w:w="0" w:type="dxa"/>
            <w:left w:w="28" w:type="dxa"/>
            <w:bottom w:w="0" w:type="dxa"/>
            <w:right w:w="28" w:type="dxa"/>
          </w:tblCellMar>
        </w:tblPrEx>
        <w:trPr>
          <w:trHeight w:val="557" w:hRule="atLeast"/>
          <w:jc w:val="center"/>
        </w:trPr>
        <w:tc>
          <w:tcPr>
            <w:tcW w:w="479" w:type="dxa"/>
            <w:vMerge w:val="restart"/>
            <w:tcBorders>
              <w:top w:val="nil"/>
              <w:left w:val="single" w:color="auto" w:sz="4" w:space="0"/>
              <w:right w:val="single" w:color="auto" w:sz="4" w:space="0"/>
            </w:tcBorders>
            <w:tcMar>
              <w:top w:w="10" w:type="dxa"/>
              <w:left w:w="10" w:type="dxa"/>
              <w:bottom w:w="0" w:type="dxa"/>
              <w:right w:w="10" w:type="dxa"/>
            </w:tcMar>
            <w:textDirection w:val="tbRlV"/>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一、部门决策（35分）</w:t>
            </w:r>
          </w:p>
        </w:tc>
        <w:tc>
          <w:tcPr>
            <w:tcW w:w="638" w:type="dxa"/>
            <w:vMerge w:val="restart"/>
            <w:tcBorders>
              <w:top w:val="nil"/>
              <w:left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1.部门目标（20分）</w:t>
            </w: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1.年度工作目标的明确性与合理性（6分）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6</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部门年度工作目标的设定是否明确合理</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snapToGrid w:val="0"/>
              <w:rPr>
                <w:rFonts w:hint="default" w:ascii="Times New Roman" w:hAnsi="Times New Roman" w:cs="Times New Roman"/>
                <w:sz w:val="15"/>
                <w:szCs w:val="15"/>
              </w:rPr>
            </w:pPr>
            <w:r>
              <w:rPr>
                <w:rFonts w:hint="default" w:ascii="Times New Roman" w:hAnsi="Times New Roman" w:cs="Times New Roman"/>
                <w:sz w:val="15"/>
                <w:szCs w:val="15"/>
              </w:rPr>
              <w:t>①部门年度工作目标是否明确设定，得3分；②年度工作目标与部门中长期规划目标一致，得3分。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年度工作目标与部门中长期规划文件</w:t>
            </w:r>
          </w:p>
        </w:tc>
      </w:tr>
      <w:tr>
        <w:tblPrEx>
          <w:tblCellMar>
            <w:top w:w="0" w:type="dxa"/>
            <w:left w:w="28" w:type="dxa"/>
            <w:bottom w:w="0" w:type="dxa"/>
            <w:right w:w="28" w:type="dxa"/>
          </w:tblCellMar>
        </w:tblPrEx>
        <w:trPr>
          <w:trHeight w:val="792" w:hRule="atLeast"/>
          <w:jc w:val="center"/>
        </w:trPr>
        <w:tc>
          <w:tcPr>
            <w:tcW w:w="479"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rPr>
                <w:rFonts w:hint="default" w:ascii="Times New Roman" w:hAnsi="Times New Roman" w:cs="Times New Roman"/>
                <w:sz w:val="15"/>
                <w:szCs w:val="15"/>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2.绩效目标合理性（6分）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6</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用以反映和考核部门整体绩效目标与部门职能、年度工作目标的一致性。</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①符合部门制定的中长期实施规划计2分；②符合部门“三定”方案确定的职责计2分；③与部门年度工作目标、任务相一致计2分。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部门中长期规划、部门“三定”方案、年度重点工作任务与工作计划</w:t>
            </w:r>
          </w:p>
        </w:tc>
      </w:tr>
      <w:tr>
        <w:tblPrEx>
          <w:tblCellMar>
            <w:top w:w="0" w:type="dxa"/>
            <w:left w:w="28" w:type="dxa"/>
            <w:bottom w:w="0" w:type="dxa"/>
            <w:right w:w="28" w:type="dxa"/>
          </w:tblCellMar>
        </w:tblPrEx>
        <w:trPr>
          <w:trHeight w:val="1706" w:hRule="atLeast"/>
          <w:jc w:val="center"/>
        </w:trPr>
        <w:tc>
          <w:tcPr>
            <w:tcW w:w="479"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3.绩效指标明确性（8分）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8</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整体绩效目标所设定的绩效指标是否依据部门工作目标和工作任务进行细化、量化，绩效指标是否可衡量。</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①将部门整体的绩效目标细化分解为具体的工作任务计2分；②通过清晰、可衡量的指标值予以体现计2分。③与部门年度的任务数或计划数相对应计2分；④与本年度部门预算资金相匹配计2分。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部门年度重点工作任务与工作计划。</w:t>
            </w:r>
          </w:p>
        </w:tc>
      </w:tr>
      <w:tr>
        <w:tblPrEx>
          <w:tblCellMar>
            <w:top w:w="0" w:type="dxa"/>
            <w:left w:w="28" w:type="dxa"/>
            <w:bottom w:w="0" w:type="dxa"/>
            <w:right w:w="28" w:type="dxa"/>
          </w:tblCellMar>
        </w:tblPrEx>
        <w:trPr>
          <w:trHeight w:val="690" w:hRule="atLeast"/>
          <w:jc w:val="center"/>
        </w:trPr>
        <w:tc>
          <w:tcPr>
            <w:tcW w:w="479"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638" w:type="dxa"/>
            <w:vMerge w:val="restart"/>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2.部门职能（15分）</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1.部门职能的明确性与科学性（5分）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考察部门职能界定是否明确、科学，是否有相关文件。</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①职能明确、设定依据充分，得5分；②有“三定”文件，但职能描述不明确，得1分;③没有职能设定的文件依据且职能不清，得1分</w:t>
            </w:r>
          </w:p>
        </w:tc>
        <w:tc>
          <w:tcPr>
            <w:tcW w:w="1496" w:type="dxa"/>
            <w:tcBorders>
              <w:top w:val="nil"/>
              <w:left w:val="nil"/>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部门职能描述、“三定”文件</w:t>
            </w:r>
          </w:p>
        </w:tc>
      </w:tr>
      <w:tr>
        <w:tblPrEx>
          <w:tblCellMar>
            <w:top w:w="0" w:type="dxa"/>
            <w:left w:w="28" w:type="dxa"/>
            <w:bottom w:w="0" w:type="dxa"/>
            <w:right w:w="28" w:type="dxa"/>
          </w:tblCellMar>
        </w:tblPrEx>
        <w:trPr>
          <w:trHeight w:val="686" w:hRule="atLeast"/>
          <w:jc w:val="center"/>
        </w:trPr>
        <w:tc>
          <w:tcPr>
            <w:tcW w:w="479"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2.年度具体工作与部门职能的匹配性（5分）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部门年度各类具体工作是否与部门职能相匹配。</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将部门年度具体工作与部门职能对应匹配，视匹配情况酌情得0-5分。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部门年度各项具体工作，部门职能</w:t>
            </w:r>
          </w:p>
        </w:tc>
      </w:tr>
      <w:tr>
        <w:tblPrEx>
          <w:tblCellMar>
            <w:top w:w="0" w:type="dxa"/>
            <w:left w:w="28" w:type="dxa"/>
            <w:bottom w:w="0" w:type="dxa"/>
            <w:right w:w="28" w:type="dxa"/>
          </w:tblCellMar>
        </w:tblPrEx>
        <w:trPr>
          <w:trHeight w:val="554" w:hRule="atLeast"/>
          <w:jc w:val="center"/>
        </w:trPr>
        <w:tc>
          <w:tcPr>
            <w:tcW w:w="479" w:type="dxa"/>
            <w:vMerge w:val="continue"/>
            <w:tcBorders>
              <w:left w:val="single" w:color="auto" w:sz="4" w:space="0"/>
              <w:bottom w:val="single" w:color="auto" w:sz="4" w:space="0"/>
              <w:right w:val="single" w:color="auto" w:sz="4" w:space="0"/>
            </w:tcBorders>
            <w:tcMar>
              <w:top w:w="10" w:type="dxa"/>
              <w:left w:w="10" w:type="dxa"/>
              <w:bottom w:w="0" w:type="dxa"/>
              <w:right w:w="10" w:type="dxa"/>
            </w:tcMar>
            <w:textDirection w:val="tbRlV"/>
            <w:vAlign w:val="center"/>
          </w:tcPr>
          <w:p>
            <w:pPr>
              <w:ind w:left="113"/>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8"/>
                <w:szCs w:val="18"/>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3.部门内设科室及下属单位职责的明确性（5分）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部门内设科室及下属单位具体职责是否明确</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①有职责文件制度规定部门各科室及下属单位具体职责，得3分；②具体职责明确，得2分</w:t>
            </w:r>
          </w:p>
        </w:tc>
        <w:tc>
          <w:tcPr>
            <w:tcW w:w="1496" w:type="dxa"/>
            <w:tcBorders>
              <w:top w:val="nil"/>
              <w:left w:val="nil"/>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内设科室及下属单位职责文件</w:t>
            </w:r>
          </w:p>
        </w:tc>
      </w:tr>
      <w:tr>
        <w:tblPrEx>
          <w:tblCellMar>
            <w:top w:w="0" w:type="dxa"/>
            <w:left w:w="28" w:type="dxa"/>
            <w:bottom w:w="0" w:type="dxa"/>
            <w:right w:w="28" w:type="dxa"/>
          </w:tblCellMar>
        </w:tblPrEx>
        <w:trPr>
          <w:trHeight w:val="804"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hint="default" w:ascii="Times New Roman" w:hAnsi="Times New Roman" w:cs="Times New Roman"/>
                <w:sz w:val="18"/>
                <w:szCs w:val="18"/>
              </w:rPr>
            </w:pPr>
            <w:r>
              <w:rPr>
                <w:rFonts w:hint="default" w:ascii="Times New Roman" w:hAnsi="Times New Roman" w:cs="Times New Roman"/>
                <w:sz w:val="18"/>
                <w:szCs w:val="18"/>
              </w:rPr>
              <w:t>二、部门管理（20分）</w:t>
            </w:r>
          </w:p>
        </w:tc>
        <w:tc>
          <w:tcPr>
            <w:tcW w:w="638" w:type="dxa"/>
            <w:vMerge w:val="restart"/>
            <w:tcBorders>
              <w:left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1.预算管理（5分）</w:t>
            </w: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1.基本支出预算执行率（2分）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2</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部门基本支出本年度决算数与预算数的比率，用以反映和考核部门（单位）基本支出预算执行程度。</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预算执行率=部门基本支出决算/部门基本支出预算×100%。预算执行率≥95%得满分，未达到的按权重进行扣分。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基本支出预算批复，预算调整批复、预算编制等其他资料</w:t>
            </w:r>
          </w:p>
        </w:tc>
      </w:tr>
      <w:tr>
        <w:tblPrEx>
          <w:tblCellMar>
            <w:top w:w="0" w:type="dxa"/>
            <w:left w:w="28" w:type="dxa"/>
            <w:bottom w:w="0" w:type="dxa"/>
            <w:right w:w="28" w:type="dxa"/>
          </w:tblCellMar>
        </w:tblPrEx>
        <w:trPr>
          <w:trHeight w:val="816"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color w:val="0070C0"/>
                <w:sz w:val="18"/>
                <w:szCs w:val="18"/>
              </w:rPr>
            </w:pPr>
          </w:p>
        </w:tc>
        <w:tc>
          <w:tcPr>
            <w:tcW w:w="1173" w:type="dxa"/>
            <w:tcBorders>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2.项目支出预算执行率（2分）分）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0</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部门项目支出本年度决算数与预算数的比率，用以反映和考核部门项目支出预算执行程度。</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预算执行率=部门项目支出决算/部门项目支出预算×100%。预算完成率≥95%得满分，未到按权重进行扣分。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项目支出预算批复，预算调整批复、预算编制等其他资料</w:t>
            </w:r>
          </w:p>
        </w:tc>
      </w:tr>
      <w:tr>
        <w:tblPrEx>
          <w:tblCellMar>
            <w:top w:w="0" w:type="dxa"/>
            <w:left w:w="28" w:type="dxa"/>
            <w:bottom w:w="0" w:type="dxa"/>
            <w:right w:w="28" w:type="dxa"/>
          </w:tblCellMar>
        </w:tblPrEx>
        <w:trPr>
          <w:trHeight w:val="1075" w:hRule="atLeast"/>
          <w:jc w:val="center"/>
        </w:trPr>
        <w:tc>
          <w:tcPr>
            <w:tcW w:w="479" w:type="dxa"/>
            <w:vMerge w:val="continue"/>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textDirection w:val="tbRlV"/>
            <w:vAlign w:val="center"/>
          </w:tcPr>
          <w:p>
            <w:pPr>
              <w:jc w:val="center"/>
              <w:rPr>
                <w:rFonts w:hint="default" w:ascii="Times New Roman" w:hAnsi="Times New Roman" w:cs="Times New Roman"/>
                <w:sz w:val="18"/>
                <w:szCs w:val="18"/>
              </w:rPr>
            </w:pPr>
          </w:p>
        </w:tc>
        <w:tc>
          <w:tcPr>
            <w:tcW w:w="638" w:type="dxa"/>
            <w:vMerge w:val="continue"/>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color w:val="0070C0"/>
                <w:sz w:val="18"/>
                <w:szCs w:val="18"/>
              </w:rPr>
            </w:pP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3.“三公经费”控制率（1分）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0</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部门本年度“三公”经费预算数与上年度“三公”经费预算数的变动比率，用以反映和考核部门（单位）对控制行政成本的努力程度。</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496" w:type="dxa"/>
            <w:tcBorders>
              <w:top w:val="single" w:color="auto" w:sz="4" w:space="0"/>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三公经费使用情况</w:t>
            </w:r>
          </w:p>
        </w:tc>
      </w:tr>
      <w:tr>
        <w:tblPrEx>
          <w:tblCellMar>
            <w:top w:w="0" w:type="dxa"/>
            <w:left w:w="28" w:type="dxa"/>
            <w:bottom w:w="0" w:type="dxa"/>
            <w:right w:w="28" w:type="dxa"/>
          </w:tblCellMar>
        </w:tblPrEx>
        <w:trPr>
          <w:trHeight w:val="2105"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hint="default" w:ascii="Times New Roman" w:hAnsi="Times New Roman" w:cs="Times New Roman"/>
                <w:sz w:val="18"/>
                <w:szCs w:val="18"/>
              </w:rPr>
            </w:pPr>
            <w:r>
              <w:rPr>
                <w:rFonts w:hint="default" w:ascii="Times New Roman" w:hAnsi="Times New Roman" w:cs="Times New Roman"/>
                <w:sz w:val="18"/>
                <w:szCs w:val="18"/>
              </w:rPr>
              <w:t>二、部门管理（20分）</w:t>
            </w:r>
          </w:p>
        </w:tc>
        <w:tc>
          <w:tcPr>
            <w:tcW w:w="638" w:type="dxa"/>
            <w:vMerge w:val="restart"/>
            <w:tcBorders>
              <w:left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2.财务管理（5分）</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1.财务管理制度健全性及执行情况（2分）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部门为加强预算管理、规范财务行为而制定的财务管理制度是否健全完整。用以反映和考核部门预算管理制度对完成主要职责或促进事业发展的保障情况。</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①是否已制定预算资金管理办法、内部财务管理制度、会计核算制度等管理制度；②相关管理制度是否合法、合规、完整；③相关管理制度是否得到有效执行。</w:t>
            </w:r>
          </w:p>
        </w:tc>
        <w:tc>
          <w:tcPr>
            <w:tcW w:w="1496" w:type="dxa"/>
            <w:tcBorders>
              <w:top w:val="single" w:color="auto" w:sz="4" w:space="0"/>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财务管理相关制度及执行情况调研。</w:t>
            </w:r>
          </w:p>
        </w:tc>
      </w:tr>
      <w:tr>
        <w:tblPrEx>
          <w:tblCellMar>
            <w:top w:w="0" w:type="dxa"/>
            <w:left w:w="28" w:type="dxa"/>
            <w:bottom w:w="0" w:type="dxa"/>
            <w:right w:w="28" w:type="dxa"/>
          </w:tblCellMar>
        </w:tblPrEx>
        <w:trPr>
          <w:trHeight w:val="2545" w:hRule="atLeast"/>
          <w:jc w:val="center"/>
        </w:trPr>
        <w:tc>
          <w:tcPr>
            <w:tcW w:w="479" w:type="dxa"/>
            <w:vMerge w:val="continue"/>
            <w:tcBorders>
              <w:left w:val="single" w:color="auto" w:sz="4" w:space="0"/>
              <w:right w:val="single" w:color="auto" w:sz="4" w:space="0"/>
            </w:tcBorders>
            <w:vAlign w:val="center"/>
          </w:tcPr>
          <w:p>
            <w:pPr>
              <w:ind w:left="113" w:right="113"/>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sz w:val="18"/>
                <w:szCs w:val="18"/>
              </w:rPr>
            </w:pP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2.资金使用合规性（3分）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3</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部门使用预算资金是否符合相关财务管理制度的规定，用以反映和考核部门预算资金的规范运行情况。</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①符合国家财经法规和财务管理制度规定以及有关专项资金管理办法的规定,0.5分；②资金的拨付有完整的审批程序和手续，0.5分；③项目的重大开支经过专题论证，1分；④符合部门预算批复的用途，1分；⑤是否存在截留、挤占、挪用、虚列支出等情况，一旦存在该指标不得分。</w:t>
            </w:r>
          </w:p>
        </w:tc>
        <w:tc>
          <w:tcPr>
            <w:tcW w:w="1496" w:type="dxa"/>
            <w:tcBorders>
              <w:top w:val="single" w:color="auto" w:sz="4" w:space="0"/>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资金支出相关凭证、流程梳理等</w:t>
            </w:r>
          </w:p>
        </w:tc>
      </w:tr>
      <w:tr>
        <w:tblPrEx>
          <w:tblCellMar>
            <w:top w:w="0" w:type="dxa"/>
            <w:left w:w="28" w:type="dxa"/>
            <w:bottom w:w="0" w:type="dxa"/>
            <w:right w:w="28" w:type="dxa"/>
          </w:tblCellMar>
        </w:tblPrEx>
        <w:trPr>
          <w:trHeight w:val="2244" w:hRule="atLeast"/>
          <w:jc w:val="center"/>
        </w:trPr>
        <w:tc>
          <w:tcPr>
            <w:tcW w:w="479" w:type="dxa"/>
            <w:vMerge w:val="continue"/>
            <w:tcBorders>
              <w:left w:val="single" w:color="auto" w:sz="4" w:space="0"/>
              <w:right w:val="single" w:color="auto" w:sz="4" w:space="0"/>
            </w:tcBorders>
            <w:textDirection w:val="tbRlV"/>
            <w:vAlign w:val="center"/>
          </w:tcPr>
          <w:p>
            <w:pPr>
              <w:ind w:left="113" w:right="113"/>
              <w:jc w:val="center"/>
              <w:rPr>
                <w:rFonts w:hint="default" w:ascii="Times New Roman" w:hAnsi="Times New Roman" w:cs="Times New Roman"/>
                <w:sz w:val="18"/>
                <w:szCs w:val="18"/>
              </w:rPr>
            </w:pPr>
          </w:p>
        </w:tc>
        <w:tc>
          <w:tcPr>
            <w:tcW w:w="638" w:type="dxa"/>
            <w:vMerge w:val="restart"/>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3.资产管理（5分）</w:t>
            </w: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1.资产管理制度健全性及执行情况（3分）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3</w:t>
            </w:r>
          </w:p>
        </w:tc>
        <w:tc>
          <w:tcPr>
            <w:tcW w:w="1842" w:type="dxa"/>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部门为加强资产管理、规范资产使用而制定的资产管理制度是否健全完整，用以反映和考核部门资产管理制度对完成主要职责或促进事业发展的保障情况。</w:t>
            </w:r>
          </w:p>
        </w:tc>
        <w:tc>
          <w:tcPr>
            <w:tcW w:w="2977" w:type="dxa"/>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①是否已制定或具有固定资产管理办法、资产使用办法等管理制度，得1分；②相关管理制度是否合法、合规、完整，得1分；③相关管理制度是否得到有效执行，得1分。</w:t>
            </w:r>
          </w:p>
        </w:tc>
        <w:tc>
          <w:tcPr>
            <w:tcW w:w="1496" w:type="dxa"/>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资产管理相关办法</w:t>
            </w:r>
          </w:p>
        </w:tc>
      </w:tr>
      <w:tr>
        <w:tblPrEx>
          <w:tblCellMar>
            <w:top w:w="0" w:type="dxa"/>
            <w:left w:w="28" w:type="dxa"/>
            <w:bottom w:w="0" w:type="dxa"/>
            <w:right w:w="28" w:type="dxa"/>
          </w:tblCellMar>
        </w:tblPrEx>
        <w:trPr>
          <w:trHeight w:val="1536"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2.固定资产在用率（2分）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部门实际在用固定资产总额与所有固定资产总额的比率，用以反映和考核部门固定资产使用效率及程度。</w:t>
            </w:r>
          </w:p>
        </w:tc>
        <w:tc>
          <w:tcPr>
            <w:tcW w:w="2977"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固定资产在用率=（实际在用固定资产总额/所有固定资产总额）×100%。固定资产在用率达到95%以上得满分.每降低1%扣0.5分，扣完为止。</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固定资产卡片、固定资产使用信息等</w:t>
            </w:r>
          </w:p>
        </w:tc>
      </w:tr>
      <w:tr>
        <w:tblPrEx>
          <w:tblCellMar>
            <w:top w:w="0" w:type="dxa"/>
            <w:left w:w="28" w:type="dxa"/>
            <w:bottom w:w="0" w:type="dxa"/>
            <w:right w:w="28" w:type="dxa"/>
          </w:tblCellMar>
        </w:tblPrEx>
        <w:trPr>
          <w:trHeight w:val="2081"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restart"/>
            <w:tcBorders>
              <w:left w:val="single" w:color="auto" w:sz="4" w:space="0"/>
              <w:right w:val="single" w:color="auto" w:sz="4" w:space="0"/>
            </w:tcBorders>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4.业务管理（5分）</w:t>
            </w: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1.业务管理制度健全性及执行情况（3分）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3</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部门为加强业务管理、规范业务执行而制定的管理制度是否健全完整，用以反映和考核部门业务管理制度对完成主要职责或促进事业发展的保障情况。</w:t>
            </w:r>
          </w:p>
        </w:tc>
        <w:tc>
          <w:tcPr>
            <w:tcW w:w="2977"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①已制定或具有业务管理、项目管理等管理制度，得1分；②相关管理制度合法、合规、完整，得1分；③相关管理制度得到有效执行，得1分。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业务管理相关办法及执行情况资料</w:t>
            </w:r>
          </w:p>
        </w:tc>
      </w:tr>
      <w:tr>
        <w:tblPrEx>
          <w:tblCellMar>
            <w:top w:w="0" w:type="dxa"/>
            <w:left w:w="28" w:type="dxa"/>
            <w:bottom w:w="0" w:type="dxa"/>
            <w:right w:w="28" w:type="dxa"/>
          </w:tblCellMar>
        </w:tblPrEx>
        <w:trPr>
          <w:trHeight w:val="1188" w:hRule="atLeast"/>
          <w:jc w:val="center"/>
        </w:trPr>
        <w:tc>
          <w:tcPr>
            <w:tcW w:w="479"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2.政府采购规范性（2分）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考察政府采购项目的采购程序、采购方式的规范性</w:t>
            </w:r>
          </w:p>
        </w:tc>
        <w:tc>
          <w:tcPr>
            <w:tcW w:w="2977"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①政府采购方式、程序都规范，得满分；②采购方式、程序中每有一点不规范，扣0.5分，扣完为止。</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政府采购相关资料</w:t>
            </w:r>
          </w:p>
        </w:tc>
      </w:tr>
      <w:tr>
        <w:tblPrEx>
          <w:tblCellMar>
            <w:top w:w="0" w:type="dxa"/>
            <w:left w:w="28" w:type="dxa"/>
            <w:bottom w:w="0" w:type="dxa"/>
            <w:right w:w="28" w:type="dxa"/>
          </w:tblCellMar>
        </w:tblPrEx>
        <w:trPr>
          <w:trHeight w:val="1822"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pPr>
              <w:ind w:left="113"/>
              <w:jc w:val="center"/>
              <w:rPr>
                <w:rFonts w:hint="default" w:ascii="Times New Roman" w:hAnsi="Times New Roman" w:cs="Times New Roman"/>
                <w:sz w:val="18"/>
                <w:szCs w:val="18"/>
              </w:rPr>
            </w:pPr>
            <w:r>
              <w:rPr>
                <w:rFonts w:hint="default" w:ascii="Times New Roman" w:hAnsi="Times New Roman" w:cs="Times New Roman"/>
                <w:sz w:val="15"/>
                <w:szCs w:val="15"/>
              </w:rPr>
              <w:t>三、部门绩效（45</w:t>
            </w:r>
            <w:r>
              <w:rPr>
                <w:rFonts w:hint="default" w:ascii="Times New Roman" w:hAnsi="Times New Roman" w:cs="Times New Roman"/>
                <w:sz w:val="18"/>
                <w:szCs w:val="18"/>
              </w:rPr>
              <w:t>分）</w:t>
            </w:r>
          </w:p>
        </w:tc>
        <w:tc>
          <w:tcPr>
            <w:tcW w:w="638"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1.部门产出（25）</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1.际完成率（6分）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6</w:t>
            </w:r>
          </w:p>
        </w:tc>
        <w:tc>
          <w:tcPr>
            <w:tcW w:w="1842" w:type="dxa"/>
            <w:tcBorders>
              <w:top w:val="single" w:color="auto" w:sz="4" w:space="0"/>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部门履行职责而实际完成工作数与计划工作数的比率，用以反映和考核部门履职工作任务目标的实现程度。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实际完成率得分=实际完成工作数/计划工作数*6分。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工作计划和工作总结等相关资料</w:t>
            </w:r>
          </w:p>
        </w:tc>
      </w:tr>
      <w:tr>
        <w:tblPrEx>
          <w:tblCellMar>
            <w:top w:w="0" w:type="dxa"/>
            <w:left w:w="28" w:type="dxa"/>
            <w:bottom w:w="0" w:type="dxa"/>
            <w:right w:w="28" w:type="dxa"/>
          </w:tblCellMar>
        </w:tblPrEx>
        <w:trPr>
          <w:trHeight w:val="1835" w:hRule="atLeast"/>
          <w:jc w:val="center"/>
        </w:trPr>
        <w:tc>
          <w:tcPr>
            <w:tcW w:w="479" w:type="dxa"/>
            <w:vMerge w:val="continue"/>
            <w:tcBorders>
              <w:left w:val="single" w:color="auto" w:sz="4" w:space="0"/>
              <w:right w:val="single" w:color="auto" w:sz="4" w:space="0"/>
            </w:tcBorders>
            <w:vAlign w:val="center"/>
          </w:tcPr>
          <w:p>
            <w:pPr>
              <w:ind w:left="113"/>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2.完成及时率（4分）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4</w:t>
            </w:r>
          </w:p>
        </w:tc>
        <w:tc>
          <w:tcPr>
            <w:tcW w:w="1842" w:type="dxa"/>
            <w:tcBorders>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部门在规定时限内及时完成的实际工作数与计划工作数的比率,用以反映和考核部门履职时效目标的实现程度。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完成及时率=（及时完成实际工作数/计划工作数）×100%。1-4季度各得1分。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工作计划和工作总结等相关资料</w:t>
            </w:r>
          </w:p>
        </w:tc>
      </w:tr>
      <w:tr>
        <w:tblPrEx>
          <w:tblCellMar>
            <w:top w:w="0" w:type="dxa"/>
            <w:left w:w="28" w:type="dxa"/>
            <w:bottom w:w="0" w:type="dxa"/>
            <w:right w:w="28" w:type="dxa"/>
          </w:tblCellMar>
        </w:tblPrEx>
        <w:trPr>
          <w:trHeight w:val="1670"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4.质量达标率（5分）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color w:val="0070C0"/>
                <w:sz w:val="15"/>
                <w:szCs w:val="15"/>
                <w:lang w:val="en-US" w:eastAsia="zh-CN"/>
              </w:rPr>
            </w:pPr>
            <w:r>
              <w:rPr>
                <w:rFonts w:hint="default" w:ascii="Times New Roman" w:hAnsi="Times New Roman" w:cs="Times New Roman"/>
                <w:color w:val="0070C0"/>
                <w:sz w:val="15"/>
                <w:szCs w:val="15"/>
                <w:lang w:val="en-US" w:eastAsia="zh-CN"/>
              </w:rPr>
              <w:t>5</w:t>
            </w:r>
          </w:p>
        </w:tc>
        <w:tc>
          <w:tcPr>
            <w:tcW w:w="1842" w:type="dxa"/>
            <w:tcBorders>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达到质量标准（绩效标准值）的实际工作数与计划工作数的比率,用以反映和考核部门履职质量目标的实现程度。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质量达标率=（质量达标实际工作数/计划工作数）×100%。实际得分=达标率*5分。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工作计划和工作总结等相关资料</w:t>
            </w:r>
          </w:p>
        </w:tc>
      </w:tr>
      <w:tr>
        <w:tblPrEx>
          <w:tblCellMar>
            <w:top w:w="0" w:type="dxa"/>
            <w:left w:w="28" w:type="dxa"/>
            <w:bottom w:w="0" w:type="dxa"/>
            <w:right w:w="28" w:type="dxa"/>
          </w:tblCellMar>
        </w:tblPrEx>
        <w:trPr>
          <w:trHeight w:val="1397"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5.重点工作办结率（5分）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color w:val="0070C0"/>
                <w:sz w:val="15"/>
                <w:szCs w:val="15"/>
                <w:lang w:val="en-US" w:eastAsia="zh-CN"/>
              </w:rPr>
            </w:pPr>
            <w:r>
              <w:rPr>
                <w:rFonts w:hint="default" w:ascii="Times New Roman" w:hAnsi="Times New Roman" w:cs="Times New Roman"/>
                <w:color w:val="0070C0"/>
                <w:sz w:val="15"/>
                <w:szCs w:val="15"/>
                <w:lang w:val="en-US" w:eastAsia="zh-CN"/>
              </w:rPr>
              <w:t>5</w:t>
            </w:r>
          </w:p>
        </w:tc>
        <w:tc>
          <w:tcPr>
            <w:tcW w:w="1842" w:type="dxa"/>
            <w:tcBorders>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部门年度重点工作实际完成数与交办或下达数的比率，用以反映部门对重点工作的办理落实程度。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重点工作办结率=（重点工作实际完成数/交办或下达数）×100%。实际得分=办结率*5分。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工作计划和工作总结等相关资料</w:t>
            </w:r>
          </w:p>
        </w:tc>
      </w:tr>
      <w:tr>
        <w:tblPrEx>
          <w:tblCellMar>
            <w:top w:w="0" w:type="dxa"/>
            <w:left w:w="28" w:type="dxa"/>
            <w:bottom w:w="0" w:type="dxa"/>
            <w:right w:w="28" w:type="dxa"/>
          </w:tblCellMar>
        </w:tblPrEx>
        <w:trPr>
          <w:trHeight w:val="831"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2.部门效果（20分）</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经济效益（3分）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2</w:t>
            </w:r>
          </w:p>
        </w:tc>
        <w:tc>
          <w:tcPr>
            <w:tcW w:w="1842" w:type="dxa"/>
            <w:tcBorders>
              <w:top w:val="single" w:color="auto" w:sz="4" w:space="0"/>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部门履行职责对经济发展所带来的直接或间接影响。</w:t>
            </w:r>
          </w:p>
        </w:tc>
        <w:tc>
          <w:tcPr>
            <w:tcW w:w="2977" w:type="dxa"/>
            <w:vMerge w:val="restart"/>
            <w:tcBorders>
              <w:top w:val="single" w:color="auto" w:sz="4" w:space="0"/>
              <w:left w:val="single" w:color="auto" w:sz="4" w:space="0"/>
              <w:right w:val="single" w:color="auto" w:sz="4" w:space="0"/>
            </w:tcBorders>
            <w:vAlign w:val="center"/>
          </w:tcPr>
          <w:p>
            <w:pPr>
              <w:spacing w:line="240" w:lineRule="exact"/>
              <w:jc w:val="left"/>
              <w:rPr>
                <w:rFonts w:hint="default" w:ascii="Times New Roman" w:hAnsi="Times New Roman" w:cs="Times New Roman"/>
                <w:sz w:val="15"/>
                <w:szCs w:val="15"/>
              </w:rPr>
            </w:pPr>
            <w:r>
              <w:rPr>
                <w:rFonts w:hint="default" w:ascii="Times New Roman" w:hAnsi="Times New Roman" w:cs="Times New Roman"/>
                <w:kern w:val="0"/>
                <w:sz w:val="15"/>
                <w:szCs w:val="15"/>
              </w:rPr>
              <w:t>（1）工作完成实际，对照绩效目标进行分析计算。                               （2）按经济效益实现程度计算得分（3分）；按社会效益实现程度计算得分（10分）；按生态效益实现程度计算得分（2分）。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绩效目标、工作计划和工作总结等相关资料。</w:t>
            </w:r>
          </w:p>
        </w:tc>
      </w:tr>
      <w:tr>
        <w:tblPrEx>
          <w:tblCellMar>
            <w:top w:w="0" w:type="dxa"/>
            <w:left w:w="28" w:type="dxa"/>
            <w:bottom w:w="0" w:type="dxa"/>
            <w:right w:w="28" w:type="dxa"/>
          </w:tblCellMar>
        </w:tblPrEx>
        <w:trPr>
          <w:trHeight w:val="840"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社会效益（10分）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10</w:t>
            </w:r>
          </w:p>
        </w:tc>
        <w:tc>
          <w:tcPr>
            <w:tcW w:w="1842" w:type="dxa"/>
            <w:tcBorders>
              <w:top w:val="single" w:color="auto" w:sz="4" w:space="0"/>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部门履行职责对社会发展所带来的直接或间接影响。</w:t>
            </w:r>
          </w:p>
        </w:tc>
        <w:tc>
          <w:tcPr>
            <w:tcW w:w="2977"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绩效目标、工作计划和工作总结等相关资料。</w:t>
            </w:r>
          </w:p>
        </w:tc>
      </w:tr>
      <w:tr>
        <w:tblPrEx>
          <w:tblCellMar>
            <w:top w:w="0" w:type="dxa"/>
            <w:left w:w="28" w:type="dxa"/>
            <w:bottom w:w="0" w:type="dxa"/>
            <w:right w:w="28" w:type="dxa"/>
          </w:tblCellMar>
        </w:tblPrEx>
        <w:trPr>
          <w:trHeight w:val="824"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生态效益（2分）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1</w:t>
            </w:r>
          </w:p>
        </w:tc>
        <w:tc>
          <w:tcPr>
            <w:tcW w:w="1842"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部门履行职责对生态环境所带来的直接或间接影响。</w:t>
            </w:r>
          </w:p>
        </w:tc>
        <w:tc>
          <w:tcPr>
            <w:tcW w:w="2977" w:type="dxa"/>
            <w:vMerge w:val="continue"/>
            <w:tcBorders>
              <w:left w:val="single" w:color="auto" w:sz="4" w:space="0"/>
              <w:bottom w:val="single" w:color="auto" w:sz="4" w:space="0"/>
              <w:right w:val="single" w:color="auto" w:sz="4" w:space="0"/>
            </w:tcBorders>
            <w:vAlign w:val="center"/>
          </w:tcPr>
          <w:p>
            <w:pPr>
              <w:tabs>
                <w:tab w:val="left" w:pos="2604"/>
              </w:tabs>
              <w:jc w:val="center"/>
              <w:rPr>
                <w:rFonts w:hint="default" w:ascii="Times New Roman" w:hAnsi="Times New Roman" w:cs="Times New Roman"/>
                <w:sz w:val="15"/>
                <w:szCs w:val="15"/>
              </w:rPr>
            </w:pPr>
          </w:p>
        </w:tc>
        <w:tc>
          <w:tcPr>
            <w:tcW w:w="1496" w:type="dxa"/>
            <w:tcBorders>
              <w:top w:val="single" w:color="auto" w:sz="4" w:space="0"/>
              <w:left w:val="single" w:color="auto" w:sz="4" w:space="0"/>
              <w:bottom w:val="single" w:color="auto" w:sz="4" w:space="0"/>
              <w:right w:val="single" w:color="auto" w:sz="4" w:space="0"/>
            </w:tcBorders>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绩效目标、工作计划和工作总结等相关资料。</w:t>
            </w:r>
          </w:p>
        </w:tc>
      </w:tr>
      <w:tr>
        <w:tblPrEx>
          <w:tblCellMar>
            <w:top w:w="0" w:type="dxa"/>
            <w:left w:w="28" w:type="dxa"/>
            <w:bottom w:w="0" w:type="dxa"/>
            <w:right w:w="28" w:type="dxa"/>
          </w:tblCellMar>
        </w:tblPrEx>
        <w:trPr>
          <w:trHeight w:val="1261" w:hRule="atLeast"/>
          <w:jc w:val="center"/>
        </w:trPr>
        <w:tc>
          <w:tcPr>
            <w:tcW w:w="479"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社会公众或服务对象满意度（5分）</w:t>
            </w:r>
          </w:p>
        </w:tc>
        <w:tc>
          <w:tcPr>
            <w:tcW w:w="569" w:type="dxa"/>
            <w:tcBorders>
              <w:top w:val="single" w:color="auto" w:sz="4" w:space="0"/>
              <w:left w:val="single" w:color="auto" w:sz="4" w:space="0"/>
              <w:bottom w:val="single" w:color="auto" w:sz="4" w:space="0"/>
            </w:tcBorders>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5</w:t>
            </w:r>
          </w:p>
        </w:tc>
        <w:tc>
          <w:tcPr>
            <w:tcW w:w="1842" w:type="dxa"/>
            <w:tcBorders>
              <w:top w:val="single" w:color="auto" w:sz="4" w:space="0"/>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社会公众或部门的服务对象对部门履职效果的满意程度。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kern w:val="0"/>
                <w:sz w:val="15"/>
                <w:szCs w:val="15"/>
              </w:rPr>
              <w:t>按收集到的服务对象的满意率计算得分（5分）。</w:t>
            </w:r>
          </w:p>
        </w:tc>
        <w:tc>
          <w:tcPr>
            <w:tcW w:w="149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问卷调查、访谈</w:t>
            </w:r>
          </w:p>
        </w:tc>
      </w:tr>
      <w:tr>
        <w:tblPrEx>
          <w:tblCellMar>
            <w:top w:w="0" w:type="dxa"/>
            <w:left w:w="28" w:type="dxa"/>
            <w:bottom w:w="0" w:type="dxa"/>
            <w:right w:w="28" w:type="dxa"/>
          </w:tblCellMar>
        </w:tblPrEx>
        <w:trPr>
          <w:trHeight w:val="698" w:hRule="atLeast"/>
          <w:jc w:val="center"/>
        </w:trPr>
        <w:tc>
          <w:tcPr>
            <w:tcW w:w="1117"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合计</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100分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90</w:t>
            </w:r>
          </w:p>
          <w:p>
            <w:pPr>
              <w:jc w:val="center"/>
              <w:rPr>
                <w:rFonts w:hint="default" w:ascii="Times New Roman" w:hAnsi="Times New Roman" w:cs="Times New Roman"/>
                <w:sz w:val="18"/>
                <w:szCs w:val="18"/>
                <w:lang w:val="en-US" w:eastAsia="zh-CN"/>
              </w:rPr>
            </w:pPr>
          </w:p>
        </w:tc>
        <w:tc>
          <w:tcPr>
            <w:tcW w:w="6315" w:type="dxa"/>
            <w:gridSpan w:val="3"/>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8"/>
                <w:szCs w:val="18"/>
                <w:lang w:val="en-US"/>
              </w:rPr>
            </w:pPr>
            <w:r>
              <w:rPr>
                <w:rFonts w:hint="default" w:ascii="Times New Roman" w:hAnsi="Times New Roman" w:cs="Times New Roman"/>
                <w:sz w:val="18"/>
                <w:szCs w:val="18"/>
              </w:rPr>
              <w:t>评价等次：实际得分（S）≥90,优秀；90＞S≥80,良好；80＞S≥60,合格；S＜60，不合格。</w:t>
            </w:r>
          </w:p>
        </w:tc>
      </w:tr>
    </w:tbl>
    <w:p>
      <w:pPr>
        <w:rPr>
          <w:rFonts w:hint="default" w:ascii="Times New Roman" w:hAnsi="Times New Roman" w:cs="Times New Roman"/>
        </w:rPr>
      </w:pP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lOTJmMjMxNDU4OWIxMGJlMjdlN2NjZmE4ZDM4MmEifQ=="/>
  </w:docVars>
  <w:rsids>
    <w:rsidRoot w:val="00B60F8E"/>
    <w:rsid w:val="000E01B9"/>
    <w:rsid w:val="00112B1C"/>
    <w:rsid w:val="001411B7"/>
    <w:rsid w:val="00165CDE"/>
    <w:rsid w:val="002827B9"/>
    <w:rsid w:val="002919C4"/>
    <w:rsid w:val="00320752"/>
    <w:rsid w:val="0032728D"/>
    <w:rsid w:val="0033313D"/>
    <w:rsid w:val="004336BC"/>
    <w:rsid w:val="004852DB"/>
    <w:rsid w:val="004D77ED"/>
    <w:rsid w:val="004F2643"/>
    <w:rsid w:val="005610A2"/>
    <w:rsid w:val="005B6DCE"/>
    <w:rsid w:val="005D1E83"/>
    <w:rsid w:val="00601021"/>
    <w:rsid w:val="0068776A"/>
    <w:rsid w:val="0077779E"/>
    <w:rsid w:val="008200F2"/>
    <w:rsid w:val="00820F8E"/>
    <w:rsid w:val="0083370E"/>
    <w:rsid w:val="00864CBE"/>
    <w:rsid w:val="008B78CE"/>
    <w:rsid w:val="008C6210"/>
    <w:rsid w:val="008F25B0"/>
    <w:rsid w:val="0090046A"/>
    <w:rsid w:val="00910DC6"/>
    <w:rsid w:val="00974162"/>
    <w:rsid w:val="0097453A"/>
    <w:rsid w:val="00994DB7"/>
    <w:rsid w:val="009B21DE"/>
    <w:rsid w:val="00A530A7"/>
    <w:rsid w:val="00A730D7"/>
    <w:rsid w:val="00AB5795"/>
    <w:rsid w:val="00B5184D"/>
    <w:rsid w:val="00B60F8E"/>
    <w:rsid w:val="00B830BE"/>
    <w:rsid w:val="00B85AAB"/>
    <w:rsid w:val="00C46C7B"/>
    <w:rsid w:val="00C51F0B"/>
    <w:rsid w:val="00CC57AD"/>
    <w:rsid w:val="00D1430D"/>
    <w:rsid w:val="00D5493D"/>
    <w:rsid w:val="00D61E73"/>
    <w:rsid w:val="00D76693"/>
    <w:rsid w:val="00D877AD"/>
    <w:rsid w:val="00E270B3"/>
    <w:rsid w:val="00FB219A"/>
    <w:rsid w:val="00FD59B9"/>
    <w:rsid w:val="016B1C15"/>
    <w:rsid w:val="03C87381"/>
    <w:rsid w:val="03D337A1"/>
    <w:rsid w:val="03D816E5"/>
    <w:rsid w:val="06F91536"/>
    <w:rsid w:val="0967206C"/>
    <w:rsid w:val="099F39F9"/>
    <w:rsid w:val="09E74C7B"/>
    <w:rsid w:val="0E634DFF"/>
    <w:rsid w:val="11562670"/>
    <w:rsid w:val="118E1CE2"/>
    <w:rsid w:val="1334195B"/>
    <w:rsid w:val="139611D3"/>
    <w:rsid w:val="14C45936"/>
    <w:rsid w:val="15603700"/>
    <w:rsid w:val="174E777C"/>
    <w:rsid w:val="18A9760A"/>
    <w:rsid w:val="19C97D69"/>
    <w:rsid w:val="1F113752"/>
    <w:rsid w:val="20567859"/>
    <w:rsid w:val="210A5599"/>
    <w:rsid w:val="28A358C0"/>
    <w:rsid w:val="29D01387"/>
    <w:rsid w:val="2A447D30"/>
    <w:rsid w:val="2CA66F05"/>
    <w:rsid w:val="2D9F5467"/>
    <w:rsid w:val="2F3E34CE"/>
    <w:rsid w:val="3511189F"/>
    <w:rsid w:val="3753260E"/>
    <w:rsid w:val="3A7C7F68"/>
    <w:rsid w:val="3D854C97"/>
    <w:rsid w:val="41E330FC"/>
    <w:rsid w:val="41E53081"/>
    <w:rsid w:val="42565AA3"/>
    <w:rsid w:val="42A12218"/>
    <w:rsid w:val="432F6F1C"/>
    <w:rsid w:val="44E315D8"/>
    <w:rsid w:val="45932C3B"/>
    <w:rsid w:val="4624561D"/>
    <w:rsid w:val="48A2491F"/>
    <w:rsid w:val="49805C9E"/>
    <w:rsid w:val="566B06F7"/>
    <w:rsid w:val="57501870"/>
    <w:rsid w:val="594D60C0"/>
    <w:rsid w:val="5C7C4DA5"/>
    <w:rsid w:val="5D1046BD"/>
    <w:rsid w:val="61237646"/>
    <w:rsid w:val="615742CE"/>
    <w:rsid w:val="66FA63F2"/>
    <w:rsid w:val="687E36CD"/>
    <w:rsid w:val="6C5533AB"/>
    <w:rsid w:val="6E3978B9"/>
    <w:rsid w:val="6EFA0731"/>
    <w:rsid w:val="71A863BA"/>
    <w:rsid w:val="74FB7943"/>
    <w:rsid w:val="754220C8"/>
    <w:rsid w:val="79B41431"/>
    <w:rsid w:val="7B9E00DD"/>
    <w:rsid w:val="7D7E79ED"/>
    <w:rsid w:val="7ED765B7"/>
    <w:rsid w:val="7F611468"/>
    <w:rsid w:val="7F970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列出段落1"/>
    <w:basedOn w:val="1"/>
    <w:qFormat/>
    <w:uiPriority w:val="0"/>
    <w:pPr>
      <w:ind w:firstLine="420" w:firstLineChars="200"/>
    </w:pPr>
    <w:rPr>
      <w:rFonts w:ascii="Calibri" w:hAnsi="Calibri" w:eastAsia="宋体" w:cs="Calibri"/>
      <w:sz w:val="21"/>
      <w:szCs w:val="21"/>
    </w:rPr>
  </w:style>
  <w:style w:type="character" w:customStyle="1" w:styleId="7">
    <w:name w:val="页眉 Char"/>
    <w:basedOn w:val="5"/>
    <w:link w:val="3"/>
    <w:semiHidden/>
    <w:qFormat/>
    <w:uiPriority w:val="99"/>
    <w:rPr>
      <w:rFonts w:eastAsia="仿宋_GB2312"/>
      <w:kern w:val="2"/>
      <w:sz w:val="18"/>
      <w:szCs w:val="18"/>
    </w:rPr>
  </w:style>
  <w:style w:type="character" w:customStyle="1" w:styleId="8">
    <w:name w:val="页脚 Char"/>
    <w:basedOn w:val="5"/>
    <w:link w:val="2"/>
    <w:semiHidden/>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fmczj</Company>
  <Pages>22</Pages>
  <Words>11366</Words>
  <Characters>12004</Characters>
  <Lines>25</Lines>
  <Paragraphs>7</Paragraphs>
  <TotalTime>6</TotalTime>
  <ScaleCrop>false</ScaleCrop>
  <LinksUpToDate>false</LinksUpToDate>
  <CharactersWithSpaces>12116</CharactersWithSpaces>
  <Application>WPS Office_11.1.0.13609_F1E327BC-269C-435d-A152-05C5408002CA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2019-04-24T07:39:00Z</dcterms:created>
  <dc:creator>张子明</dc:creator>
  <cp:lastModifiedBy>Administrator</cp:lastModifiedBy>
  <cp:lastPrinted>2020-04-16T03:08:00Z</cp:lastPrinted>
  <dcterms:modified xsi:type="dcterms:W3CDTF">2022-12-22T08:40:55Z</dcterms:modified>
  <dc:title>富民县文化馆2019年度部门整体支出</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2052-11.1.0.13609</vt:lpwstr>
  </property>
  <property fmtid="{D5CDD505-2E9C-101B-9397-08002B2CF9AE}" pid="3" name="ICV">
    <vt:lpwstr>A924356F732547F1A9060E9CFDA26C5A</vt:lpwstr>
  </property>
</Properties>
</file>