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bookmarkStart w:id="0" w:name="_GoBack"/>
      <w:bookmarkEnd w:id="0"/>
      <w:r>
        <w:rPr>
          <w:rFonts w:hint="eastAsia" w:ascii="黑体" w:hAnsi="黑体" w:eastAsia="黑体"/>
          <w:spacing w:val="-20"/>
          <w:sz w:val="21"/>
          <w:szCs w:val="21"/>
        </w:rPr>
        <w:t xml:space="preserve">                                                                                                                                                                                                                                                                  </w:t>
      </w:r>
    </w:p>
    <w:p>
      <w:pPr>
        <w:topLinePunct/>
        <w:spacing w:line="540" w:lineRule="exact"/>
        <w:ind w:firstLine="1000" w:firstLineChars="250"/>
        <w:jc w:val="center"/>
        <w:rPr>
          <w:rFonts w:ascii="方正小标宋简体" w:eastAsia="方正小标宋简体"/>
          <w:sz w:val="44"/>
          <w:szCs w:val="44"/>
        </w:rPr>
      </w:pPr>
      <w:r>
        <w:rPr>
          <w:rFonts w:hint="eastAsia" w:ascii="方正小标宋简体" w:hAnsi="黑体" w:eastAsia="方正小标宋简体"/>
          <w:spacing w:val="-20"/>
          <w:sz w:val="44"/>
          <w:szCs w:val="44"/>
        </w:rPr>
        <w:t>富民县公安局</w:t>
      </w:r>
    </w:p>
    <w:p>
      <w:pPr>
        <w:topLinePunct/>
        <w:spacing w:line="540" w:lineRule="exact"/>
        <w:ind w:firstLine="1000" w:firstLineChars="250"/>
        <w:jc w:val="center"/>
        <w:rPr>
          <w:rFonts w:ascii="方正小标宋简体" w:eastAsia="方正小标宋简体"/>
          <w:sz w:val="44"/>
          <w:szCs w:val="44"/>
        </w:rPr>
      </w:pPr>
      <w:r>
        <w:rPr>
          <w:rFonts w:hint="eastAsia" w:ascii="方正小标宋简体" w:hAnsi="黑体" w:eastAsia="方正小标宋简体"/>
          <w:spacing w:val="-20"/>
          <w:sz w:val="44"/>
          <w:szCs w:val="44"/>
        </w:rPr>
        <w:t>省安排政法综治维稳工作补助经费</w:t>
      </w:r>
      <w:r>
        <w:rPr>
          <w:rFonts w:hint="eastAsia" w:ascii="方正小标宋简体" w:eastAsia="方正小标宋简体"/>
          <w:sz w:val="44"/>
          <w:szCs w:val="44"/>
        </w:rPr>
        <w:t>项目支出绩效评价报告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ascii="仿宋_GB2312" w:hAnsi="楷体"/>
          <w:szCs w:val="32"/>
        </w:rPr>
      </w:pPr>
      <w:r>
        <w:rPr>
          <w:rFonts w:hint="eastAsia" w:ascii="仿宋_GB2312" w:hAnsi="楷体"/>
          <w:szCs w:val="32"/>
        </w:rPr>
        <w:t>（一）项目概况。</w:t>
      </w:r>
    </w:p>
    <w:p>
      <w:pPr>
        <w:topLinePunct/>
        <w:spacing w:line="540" w:lineRule="exact"/>
        <w:ind w:firstLine="800" w:firstLineChars="250"/>
        <w:rPr>
          <w:rFonts w:ascii="仿宋_GB2312" w:hAnsi="楷体"/>
          <w:szCs w:val="32"/>
        </w:rPr>
      </w:pPr>
      <w:r>
        <w:rPr>
          <w:rFonts w:hint="eastAsia" w:ascii="仿宋_GB2312" w:hAnsi="楷体"/>
          <w:szCs w:val="32"/>
        </w:rPr>
        <w:t>1.立项背景及目的。</w:t>
      </w:r>
    </w:p>
    <w:p>
      <w:pPr>
        <w:topLinePunct/>
        <w:spacing w:line="540" w:lineRule="exact"/>
        <w:ind w:firstLine="800" w:firstLineChars="250"/>
        <w:rPr>
          <w:rFonts w:ascii="仿宋_GB2312" w:hAnsi="楷体"/>
          <w:szCs w:val="32"/>
        </w:rPr>
      </w:pPr>
      <w:r>
        <w:rPr>
          <w:rFonts w:hint="eastAsia" w:ascii="仿宋_GB2312" w:hAnsi="楷体"/>
          <w:szCs w:val="32"/>
        </w:rPr>
        <w:t>坚持以党的十九大精神和</w:t>
      </w:r>
      <w:r>
        <w:rPr>
          <w:rFonts w:hint="eastAsia" w:ascii="仿宋_GB2312" w:hAnsi="楷体"/>
          <w:szCs w:val="32"/>
          <w:lang w:eastAsia="zh-CN"/>
        </w:rPr>
        <w:t>习近平新时代中国特色社会主义思想</w:t>
      </w:r>
      <w:r>
        <w:rPr>
          <w:rFonts w:hint="eastAsia" w:ascii="仿宋_GB2312" w:hAnsi="楷体"/>
          <w:szCs w:val="32"/>
        </w:rPr>
        <w:t>为指导，深入贯彻落实中央政法工作会议、省委政法工作会议等一系列会议精神，改善基层基础建设及信息化办公条件，促进群众安全感满意度持续上升，着力推进信息收集研判，突发事件应急处置等工作，着力解决影响社会稳定的源头性、根本性、基础性问题，确保社会大局和谐稳定。</w:t>
      </w:r>
    </w:p>
    <w:p>
      <w:pPr>
        <w:topLinePunct/>
        <w:spacing w:line="540" w:lineRule="exact"/>
        <w:ind w:firstLine="800" w:firstLineChars="250"/>
        <w:rPr>
          <w:rFonts w:ascii="仿宋_GB2312" w:hAnsi="楷体"/>
          <w:szCs w:val="32"/>
        </w:rPr>
      </w:pPr>
      <w:r>
        <w:rPr>
          <w:rFonts w:hint="eastAsia" w:ascii="仿宋_GB2312" w:hAnsi="楷体"/>
          <w:szCs w:val="32"/>
        </w:rPr>
        <w:t>2.项目实施情况。</w:t>
      </w:r>
    </w:p>
    <w:p>
      <w:pPr>
        <w:topLinePunct/>
        <w:spacing w:line="540" w:lineRule="exact"/>
        <w:ind w:firstLine="800" w:firstLineChars="250"/>
        <w:rPr>
          <w:rFonts w:ascii="仿宋_GB2312" w:hAnsi="楷体"/>
          <w:szCs w:val="32"/>
        </w:rPr>
      </w:pPr>
      <w:r>
        <w:rPr>
          <w:rFonts w:hint="eastAsia" w:ascii="仿宋_GB2312" w:hAnsi="楷体"/>
          <w:szCs w:val="32"/>
        </w:rPr>
        <w:t>富民县公安局收到</w:t>
      </w:r>
      <w:r>
        <w:rPr>
          <w:rFonts w:hint="eastAsia" w:ascii="方正小标宋简体" w:hAnsi="黑体" w:eastAsia="方正小标宋简体"/>
          <w:spacing w:val="-20"/>
          <w:szCs w:val="32"/>
        </w:rPr>
        <w:t>省安排政法综治维稳工作补助经费25万元</w:t>
      </w:r>
      <w:r>
        <w:rPr>
          <w:rFonts w:hint="eastAsia" w:ascii="仿宋_GB2312" w:hAnsi="楷体"/>
          <w:szCs w:val="32"/>
        </w:rPr>
        <w:t>资金全部用于维护社会治安和谐稳定开展的业务工作支出。</w:t>
      </w:r>
    </w:p>
    <w:p>
      <w:pPr>
        <w:topLinePunct/>
        <w:spacing w:line="540" w:lineRule="exact"/>
        <w:ind w:firstLine="800" w:firstLineChars="250"/>
        <w:rPr>
          <w:rFonts w:ascii="仿宋_GB2312" w:hAnsi="楷体"/>
          <w:szCs w:val="32"/>
        </w:rPr>
      </w:pPr>
      <w:r>
        <w:rPr>
          <w:rFonts w:hint="eastAsia" w:ascii="仿宋_GB2312" w:hAnsi="楷体"/>
          <w:szCs w:val="32"/>
        </w:rPr>
        <w:t>3.资金来源及使用情况。</w:t>
      </w:r>
    </w:p>
    <w:p>
      <w:pPr>
        <w:topLinePunct/>
        <w:spacing w:line="540" w:lineRule="exact"/>
        <w:ind w:firstLine="700" w:firstLineChars="250"/>
        <w:rPr>
          <w:rFonts w:ascii="方正小标宋简体" w:hAnsi="黑体" w:eastAsia="方正小标宋简体"/>
          <w:spacing w:val="-20"/>
          <w:szCs w:val="32"/>
        </w:rPr>
      </w:pPr>
      <w:r>
        <w:rPr>
          <w:rFonts w:hint="eastAsia" w:ascii="方正小标宋简体" w:hAnsi="黑体" w:eastAsia="方正小标宋简体"/>
          <w:spacing w:val="-20"/>
          <w:szCs w:val="32"/>
        </w:rPr>
        <w:t>省级安排政法综治维稳工作补助经费25万元，</w:t>
      </w:r>
      <w:r>
        <w:rPr>
          <w:rFonts w:hint="eastAsia" w:ascii="仿宋_GB2312" w:hAnsi="楷体"/>
          <w:szCs w:val="32"/>
        </w:rPr>
        <w:t>资金全部用于维护社会治安和谐稳定开展的业务工作支出的车辆运行维护费、外出办案的差旅费等。</w:t>
      </w:r>
    </w:p>
    <w:p>
      <w:pPr>
        <w:topLinePunct/>
        <w:spacing w:line="540" w:lineRule="exact"/>
        <w:ind w:firstLine="800" w:firstLineChars="250"/>
        <w:rPr>
          <w:rFonts w:ascii="仿宋_GB2312" w:hAnsi="楷体"/>
          <w:szCs w:val="32"/>
        </w:rPr>
      </w:pPr>
      <w:r>
        <w:rPr>
          <w:rFonts w:hint="eastAsia" w:ascii="仿宋_GB2312" w:hAnsi="楷体"/>
          <w:szCs w:val="32"/>
        </w:rPr>
        <w:t>4.组织及管理情况。</w:t>
      </w:r>
      <w:r>
        <w:rPr>
          <w:rFonts w:hint="eastAsia" w:ascii="仿宋_GB2312" w:hAnsi="仿宋_GB2312" w:cs="仿宋_GB2312"/>
          <w:szCs w:val="32"/>
        </w:rPr>
        <w:t>《昆明市财政局关于下达</w:t>
      </w:r>
      <w:r>
        <w:rPr>
          <w:rFonts w:hint="eastAsia" w:ascii="方正小标宋简体" w:hAnsi="黑体" w:eastAsia="方正小标宋简体"/>
          <w:spacing w:val="-20"/>
          <w:szCs w:val="32"/>
        </w:rPr>
        <w:t>省安排政法综治维稳工作补助经费</w:t>
      </w:r>
      <w:r>
        <w:rPr>
          <w:rFonts w:hint="eastAsia" w:ascii="仿宋_GB2312" w:hAnsi="仿宋_GB2312" w:cs="仿宋_GB2312"/>
          <w:szCs w:val="32"/>
        </w:rPr>
        <w:t>的通知》（昆财行〔2020〕15号）文件要求，通过县财政局拨付给富民县公安局按照厉行节约的原则专款专用。</w:t>
      </w:r>
    </w:p>
    <w:p>
      <w:pPr>
        <w:topLinePunct/>
        <w:spacing w:line="540" w:lineRule="exact"/>
        <w:ind w:firstLine="800" w:firstLineChars="250"/>
        <w:rPr>
          <w:rFonts w:ascii="仿宋_GB2312" w:hAnsi="楷体"/>
          <w:szCs w:val="32"/>
        </w:rPr>
      </w:pPr>
      <w:r>
        <w:rPr>
          <w:rFonts w:hint="eastAsia" w:ascii="仿宋_GB2312" w:hAnsi="楷体"/>
          <w:szCs w:val="32"/>
        </w:rPr>
        <w:t>（二）绩效目标。</w:t>
      </w:r>
    </w:p>
    <w:p>
      <w:pPr>
        <w:topLinePunct/>
        <w:spacing w:line="540" w:lineRule="exact"/>
        <w:ind w:firstLine="800" w:firstLineChars="250"/>
        <w:rPr>
          <w:rFonts w:ascii="仿宋_GB2312" w:hAnsi="楷体"/>
          <w:szCs w:val="32"/>
        </w:rPr>
      </w:pPr>
      <w:r>
        <w:rPr>
          <w:rFonts w:hint="eastAsia" w:ascii="仿宋_GB2312" w:hAnsi="楷体"/>
          <w:szCs w:val="32"/>
        </w:rPr>
        <w:t>1.总目标。</w:t>
      </w:r>
    </w:p>
    <w:p>
      <w:pPr>
        <w:topLinePunct/>
        <w:spacing w:line="540" w:lineRule="exact"/>
        <w:ind w:firstLine="800" w:firstLineChars="250"/>
        <w:rPr>
          <w:rFonts w:ascii="仿宋_GB2312" w:hAnsi="楷体"/>
          <w:szCs w:val="32"/>
        </w:rPr>
      </w:pPr>
      <w:r>
        <w:rPr>
          <w:rFonts w:hint="eastAsia" w:ascii="仿宋_GB2312" w:hAnsi="楷体"/>
          <w:szCs w:val="32"/>
        </w:rPr>
        <w:t>坚持以党的十九大精神和</w:t>
      </w:r>
      <w:r>
        <w:rPr>
          <w:rFonts w:hint="eastAsia" w:ascii="仿宋_GB2312" w:hAnsi="楷体"/>
          <w:szCs w:val="32"/>
          <w:lang w:eastAsia="zh-CN"/>
        </w:rPr>
        <w:t>习近平新时代中国特色社会主义思想</w:t>
      </w:r>
      <w:r>
        <w:rPr>
          <w:rFonts w:hint="eastAsia" w:ascii="仿宋_GB2312" w:hAnsi="楷体"/>
          <w:szCs w:val="32"/>
        </w:rPr>
        <w:t>为指导，深入贯彻落实中央政法工作会议、省委政法工作会议等一系列会议精神，改善基层基础建设及信息化办公条件，促进群众安全感满意度持续上升，着力推进信息收集研判，突发事件应急处置等工作，着力解决影响社会稳定的源头性、根本性、基础性问题，确保社会大局和谐稳定。</w:t>
      </w:r>
    </w:p>
    <w:p>
      <w:pPr>
        <w:topLinePunct/>
        <w:spacing w:line="540" w:lineRule="exact"/>
        <w:ind w:firstLine="800" w:firstLineChars="250"/>
        <w:rPr>
          <w:rFonts w:ascii="仿宋_GB2312" w:hAnsi="楷体"/>
          <w:szCs w:val="32"/>
        </w:rPr>
      </w:pPr>
      <w:r>
        <w:rPr>
          <w:rFonts w:hint="eastAsia" w:ascii="仿宋_GB2312" w:hAnsi="楷体"/>
          <w:szCs w:val="32"/>
        </w:rPr>
        <w:t>2.年度目标。</w:t>
      </w:r>
    </w:p>
    <w:p>
      <w:pPr>
        <w:topLinePunct/>
        <w:spacing w:line="540" w:lineRule="exact"/>
        <w:ind w:firstLine="800" w:firstLineChars="250"/>
        <w:rPr>
          <w:rFonts w:ascii="仿宋_GB2312" w:hAnsi="楷体"/>
          <w:szCs w:val="32"/>
        </w:rPr>
      </w:pPr>
      <w:r>
        <w:rPr>
          <w:rFonts w:hint="eastAsia" w:ascii="仿宋_GB2312" w:hAnsi="楷体"/>
          <w:szCs w:val="32"/>
        </w:rPr>
        <w:t>（1）产出目标。</w:t>
      </w:r>
    </w:p>
    <w:p>
      <w:pPr>
        <w:topLinePunct/>
        <w:spacing w:line="540" w:lineRule="exact"/>
        <w:ind w:firstLine="800" w:firstLineChars="250"/>
        <w:rPr>
          <w:rFonts w:ascii="仿宋_GB2312" w:hAnsi="楷体"/>
          <w:szCs w:val="32"/>
        </w:rPr>
      </w:pPr>
      <w:r>
        <w:rPr>
          <w:rFonts w:hint="eastAsia" w:ascii="仿宋_GB2312" w:hAnsi="楷体"/>
          <w:szCs w:val="32"/>
        </w:rPr>
        <w:t>质量指标：涉黑涉恶立案查处率100%，刑事案件跨部门办案效率显著提升，基层基础工作条件较上年显著提高。</w:t>
      </w:r>
    </w:p>
    <w:p>
      <w:pPr>
        <w:topLinePunct/>
        <w:spacing w:line="540" w:lineRule="exact"/>
        <w:ind w:firstLine="800" w:firstLineChars="250"/>
        <w:rPr>
          <w:rFonts w:ascii="仿宋_GB2312" w:hAnsi="楷体"/>
          <w:szCs w:val="32"/>
        </w:rPr>
      </w:pPr>
      <w:r>
        <w:rPr>
          <w:rFonts w:hint="eastAsia" w:ascii="仿宋_GB2312" w:hAnsi="楷体"/>
          <w:szCs w:val="32"/>
        </w:rPr>
        <w:t>（2）效果目标。</w:t>
      </w:r>
    </w:p>
    <w:p>
      <w:pPr>
        <w:topLinePunct/>
        <w:spacing w:line="540" w:lineRule="exact"/>
        <w:ind w:firstLine="800" w:firstLineChars="250"/>
        <w:rPr>
          <w:rFonts w:ascii="仿宋_GB2312" w:hAnsi="楷体"/>
          <w:szCs w:val="32"/>
        </w:rPr>
      </w:pPr>
      <w:r>
        <w:rPr>
          <w:rFonts w:hint="eastAsia" w:ascii="仿宋_GB2312" w:hAnsi="楷体"/>
          <w:szCs w:val="32"/>
        </w:rPr>
        <w:t>社会效益指标：群众对社会治安状况满意度大于等于90%。</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0" w:firstLineChars="250"/>
        <w:rPr>
          <w:rFonts w:ascii="仿宋_GB2312" w:hAnsi="仿宋_GB2312" w:cs="仿宋_GB2312"/>
          <w:sz w:val="24"/>
          <w:szCs w:val="24"/>
        </w:rPr>
      </w:pPr>
      <w:r>
        <w:rPr>
          <w:rFonts w:hint="eastAsia" w:ascii="仿宋_GB2312" w:hAnsi="楷体"/>
          <w:szCs w:val="32"/>
        </w:rPr>
        <w:t>（一）阐述的主要内容：</w:t>
      </w:r>
      <w:r>
        <w:rPr>
          <w:rFonts w:hint="eastAsia" w:ascii="仿宋_GB2312" w:hAnsi="仿宋_GB2312" w:cs="仿宋_GB2312"/>
          <w:szCs w:val="32"/>
        </w:rPr>
        <w:t>该项目按《昆明市财政局关于下达</w:t>
      </w:r>
      <w:r>
        <w:rPr>
          <w:rFonts w:hint="eastAsia" w:ascii="方正小标宋简体" w:hAnsi="黑体" w:eastAsia="方正小标宋简体"/>
          <w:spacing w:val="-20"/>
          <w:szCs w:val="32"/>
        </w:rPr>
        <w:t>省安排政法综治维稳工作补助经费</w:t>
      </w:r>
      <w:r>
        <w:rPr>
          <w:rFonts w:hint="eastAsia" w:ascii="仿宋_GB2312" w:hAnsi="仿宋_GB2312" w:cs="仿宋_GB2312"/>
          <w:szCs w:val="32"/>
        </w:rPr>
        <w:t>的通知》（昆财行〔2020〕15号）文件规范进行项目申报、管理，项目目标明确，效果明显，实现了项目目标，为进一步稳控辖区社会治安打下坚实的基础。</w:t>
      </w:r>
    </w:p>
    <w:p>
      <w:pPr>
        <w:topLinePunct/>
        <w:spacing w:line="540" w:lineRule="exact"/>
        <w:ind w:firstLine="800" w:firstLineChars="250"/>
        <w:rPr>
          <w:rFonts w:ascii="仿宋_GB2312" w:hAnsi="楷体"/>
          <w:szCs w:val="32"/>
        </w:rPr>
      </w:pPr>
      <w:r>
        <w:rPr>
          <w:rFonts w:hint="eastAsia" w:ascii="仿宋_GB2312" w:hAnsi="楷体"/>
          <w:szCs w:val="32"/>
        </w:rPr>
        <w:t>（二）绩效评价原则、评价方法</w:t>
      </w:r>
    </w:p>
    <w:p>
      <w:pPr>
        <w:topLinePunct/>
        <w:spacing w:line="540" w:lineRule="exact"/>
        <w:ind w:firstLine="800" w:firstLineChars="250"/>
        <w:rPr>
          <w:rFonts w:ascii="仿宋_GB2312" w:hAnsi="仿宋_GB2312" w:cs="仿宋_GB2312"/>
          <w:szCs w:val="32"/>
        </w:rPr>
      </w:pPr>
      <w:r>
        <w:rPr>
          <w:rFonts w:hint="eastAsia" w:ascii="仿宋_GB2312" w:hAnsi="仿宋_GB2312" w:cs="仿宋_GB2312"/>
          <w:szCs w:val="32"/>
        </w:rPr>
        <w:t>1.绩效评价原则。采取科学规范、公开公正、绩效相关等原则实施评价。</w:t>
      </w:r>
    </w:p>
    <w:p>
      <w:pPr>
        <w:numPr>
          <w:ilvl w:val="0"/>
          <w:numId w:val="1"/>
        </w:numPr>
        <w:topLinePunct/>
        <w:spacing w:line="540" w:lineRule="exact"/>
        <w:ind w:firstLine="800" w:firstLineChars="250"/>
        <w:rPr>
          <w:rFonts w:ascii="仿宋_GB2312" w:hAnsi="仿宋_GB2312" w:cs="仿宋_GB2312"/>
          <w:szCs w:val="32"/>
        </w:rPr>
      </w:pPr>
      <w:r>
        <w:rPr>
          <w:rFonts w:hint="eastAsia" w:ascii="仿宋_GB2312" w:hAnsi="仿宋_GB2312" w:cs="仿宋_GB2312"/>
          <w:szCs w:val="32"/>
        </w:rPr>
        <w:t>绩效评价方法。由驻局纪检组及财务等组成评价小组 ，对照绩效目标进行评价。</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w:t>
      </w:r>
    </w:p>
    <w:p>
      <w:pPr>
        <w:topLinePunct/>
        <w:spacing w:line="540" w:lineRule="exact"/>
        <w:ind w:firstLine="800" w:firstLineChars="250"/>
        <w:rPr>
          <w:rFonts w:ascii="仿宋_GB2312" w:hAnsi="仿宋"/>
          <w:szCs w:val="32"/>
        </w:rPr>
      </w:pPr>
      <w:r>
        <w:rPr>
          <w:rFonts w:hint="eastAsia" w:ascii="仿宋_GB2312" w:hAnsi="仿宋"/>
          <w:szCs w:val="32"/>
        </w:rPr>
        <w:t>（一）评价结果。</w:t>
      </w:r>
      <w:r>
        <w:rPr>
          <w:rFonts w:hint="eastAsia" w:ascii="仿宋_GB2312" w:hAnsi="仿宋_GB2312" w:cs="仿宋_GB2312"/>
          <w:szCs w:val="32"/>
        </w:rPr>
        <w:t>全面完成项目预期各项目标指标。</w:t>
      </w:r>
    </w:p>
    <w:p>
      <w:pPr>
        <w:topLinePunct/>
        <w:spacing w:line="540" w:lineRule="exact"/>
        <w:ind w:firstLine="800" w:firstLineChars="250"/>
        <w:rPr>
          <w:rFonts w:ascii="方正小标宋简体" w:hAnsi="黑体" w:eastAsia="方正小标宋简体"/>
          <w:spacing w:val="-20"/>
          <w:szCs w:val="32"/>
        </w:rPr>
      </w:pPr>
      <w:r>
        <w:rPr>
          <w:rFonts w:hint="eastAsia" w:ascii="仿宋_GB2312" w:hAnsi="仿宋"/>
          <w:szCs w:val="32"/>
        </w:rPr>
        <w:t>（二）主要绩效。</w:t>
      </w:r>
      <w:r>
        <w:rPr>
          <w:rFonts w:hint="eastAsia" w:ascii="方正小标宋简体" w:hAnsi="黑体" w:eastAsia="方正小标宋简体"/>
          <w:spacing w:val="-20"/>
          <w:szCs w:val="32"/>
        </w:rPr>
        <w:t>省级安排政法综治维稳工作补助经费25万元，</w:t>
      </w:r>
      <w:r>
        <w:rPr>
          <w:rFonts w:hint="eastAsia" w:ascii="仿宋_GB2312" w:hAnsi="楷体"/>
          <w:szCs w:val="32"/>
        </w:rPr>
        <w:t>资金全部用于维护社会治安和谐稳定开展的业务工作支出的车辆运行维护费、外出办案的差旅费等。</w:t>
      </w:r>
    </w:p>
    <w:p>
      <w:pPr>
        <w:topLinePunct/>
        <w:spacing w:line="540" w:lineRule="exact"/>
        <w:ind w:firstLine="800" w:firstLineChars="250"/>
        <w:rPr>
          <w:rFonts w:ascii="仿宋_GB2312" w:hAnsi="仿宋_GB2312" w:cs="仿宋_GB2312"/>
          <w:szCs w:val="32"/>
        </w:rPr>
      </w:pPr>
      <w:r>
        <w:rPr>
          <w:rFonts w:hint="eastAsia" w:ascii="黑体" w:hAnsi="黑体" w:eastAsia="黑体"/>
          <w:szCs w:val="32"/>
        </w:rPr>
        <w:t>四、成本效益分析。</w:t>
      </w:r>
      <w:r>
        <w:rPr>
          <w:rFonts w:hint="eastAsia" w:ascii="仿宋_GB2312" w:hAnsi="仿宋_GB2312" w:cs="仿宋_GB2312"/>
          <w:szCs w:val="32"/>
        </w:rPr>
        <w:t>该项目资金全部用于</w:t>
      </w:r>
      <w:r>
        <w:rPr>
          <w:rFonts w:hint="eastAsia" w:ascii="仿宋_GB2312" w:hAnsi="楷体"/>
          <w:szCs w:val="32"/>
        </w:rPr>
        <w:t>资金全部用于维护社会治安和谐稳定开展的业务工作支出</w:t>
      </w:r>
      <w:r>
        <w:rPr>
          <w:rFonts w:hint="eastAsia" w:ascii="仿宋_GB2312" w:hAnsi="仿宋_GB2312" w:cs="仿宋_GB2312"/>
          <w:szCs w:val="32"/>
        </w:rPr>
        <w:t>，资金足额，并要求实行专款专用，并用于所申报的项目上，充分发挥专项资金的绩效。</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ascii="仿宋_GB2312" w:hAnsi="楷体"/>
          <w:szCs w:val="32"/>
        </w:rPr>
      </w:pPr>
      <w:r>
        <w:rPr>
          <w:rFonts w:hint="eastAsia" w:ascii="仿宋_GB2312" w:hAnsi="楷体"/>
          <w:szCs w:val="32"/>
        </w:rPr>
        <w:t>（一）主要经验及做法：积极对接争取资金、专款专用，发挥资金的最大效益。</w:t>
      </w:r>
    </w:p>
    <w:p>
      <w:pPr>
        <w:topLinePunct/>
        <w:spacing w:line="540" w:lineRule="exact"/>
        <w:ind w:firstLine="800" w:firstLineChars="250"/>
        <w:rPr>
          <w:rFonts w:ascii="仿宋_GB2312" w:hAnsi="楷体"/>
          <w:szCs w:val="32"/>
        </w:rPr>
      </w:pPr>
      <w:r>
        <w:rPr>
          <w:rFonts w:hint="eastAsia" w:ascii="仿宋_GB2312" w:hAnsi="楷体"/>
          <w:szCs w:val="32"/>
        </w:rPr>
        <w:t>（二）存在的问题：无。</w:t>
      </w:r>
    </w:p>
    <w:p>
      <w:pPr>
        <w:topLinePunct/>
        <w:spacing w:line="540" w:lineRule="exact"/>
        <w:ind w:firstLine="800" w:firstLineChars="250"/>
        <w:rPr>
          <w:rFonts w:ascii="仿宋_GB2312" w:hAnsi="楷体"/>
          <w:szCs w:val="32"/>
        </w:rPr>
      </w:pPr>
      <w:r>
        <w:rPr>
          <w:rFonts w:hint="eastAsia" w:ascii="仿宋_GB2312" w:hAnsi="楷体"/>
          <w:szCs w:val="32"/>
        </w:rPr>
        <w:t>（三）建议和改进措施：无</w:t>
      </w:r>
    </w:p>
    <w:p/>
    <w:p/>
    <w:p/>
    <w:p/>
    <w:p/>
    <w:p/>
    <w:p/>
    <w:p/>
    <w:p/>
    <w:p>
      <w:pPr>
        <w:rPr>
          <w:sz w:val="15"/>
          <w:szCs w:val="15"/>
        </w:rPr>
      </w:pPr>
    </w:p>
    <w:p>
      <w:pPr>
        <w:rPr>
          <w:sz w:val="21"/>
          <w:szCs w:val="21"/>
        </w:rPr>
      </w:pPr>
    </w:p>
    <w:tbl>
      <w:tblPr>
        <w:tblStyle w:val="4"/>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ascii="仿宋_GB2312"/>
                <w:sz w:val="18"/>
                <w:szCs w:val="18"/>
              </w:rPr>
            </w:pPr>
            <w:r>
              <w:rPr>
                <w:rFonts w:hint="eastAsia" w:ascii="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ascii="仿宋_GB2312"/>
                <w:sz w:val="18"/>
                <w:szCs w:val="18"/>
              </w:rPr>
            </w:pPr>
            <w:r>
              <w:rPr>
                <w:rFonts w:hint="eastAsia" w:ascii="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ascii="仿宋_GB2312"/>
                <w:sz w:val="18"/>
                <w:szCs w:val="18"/>
              </w:rPr>
            </w:pPr>
            <w:r>
              <w:rPr>
                <w:rFonts w:hint="eastAsia" w:ascii="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ascii="仿宋_GB2312"/>
                <w:sz w:val="18"/>
                <w:szCs w:val="18"/>
              </w:rPr>
            </w:pPr>
            <w:r>
              <w:rPr>
                <w:rFonts w:hint="eastAsia" w:ascii="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ascii="仿宋_GB2312"/>
                <w:sz w:val="18"/>
                <w:szCs w:val="18"/>
              </w:rPr>
            </w:pPr>
            <w:r>
              <w:rPr>
                <w:rFonts w:hint="eastAsia" w:ascii="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ascii="仿宋_GB2312"/>
                <w:sz w:val="18"/>
                <w:szCs w:val="18"/>
              </w:rPr>
            </w:pPr>
            <w:r>
              <w:rPr>
                <w:rFonts w:hint="eastAsia" w:ascii="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ascii="仿宋_GB2312"/>
                <w:sz w:val="18"/>
                <w:szCs w:val="18"/>
              </w:rPr>
            </w:pPr>
            <w:r>
              <w:rPr>
                <w:rFonts w:hint="eastAsia" w:ascii="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ascii="仿宋_GB2312"/>
                <w:sz w:val="18"/>
                <w:szCs w:val="18"/>
              </w:rPr>
            </w:pPr>
            <w:r>
              <w:rPr>
                <w:rFonts w:hint="eastAsia" w:ascii="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ascii="仿宋_GB2312"/>
                <w:sz w:val="18"/>
                <w:szCs w:val="18"/>
              </w:rPr>
            </w:pPr>
            <w:r>
              <w:rPr>
                <w:rFonts w:hint="eastAsia" w:ascii="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ascii="仿宋_GB2312"/>
                <w:sz w:val="18"/>
                <w:szCs w:val="18"/>
              </w:rPr>
            </w:pPr>
            <w:r>
              <w:rPr>
                <w:rFonts w:hint="eastAsia" w:ascii="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ascii="仿宋_GB2312"/>
                <w:sz w:val="18"/>
                <w:szCs w:val="18"/>
              </w:rPr>
            </w:pPr>
            <w:r>
              <w:rPr>
                <w:rFonts w:hint="eastAsia" w:ascii="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ascii="仿宋_GB2312"/>
                <w:sz w:val="18"/>
                <w:szCs w:val="18"/>
              </w:rPr>
            </w:pPr>
            <w:r>
              <w:rPr>
                <w:rFonts w:hint="eastAsia" w:ascii="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ascii="仿宋_GB2312"/>
                <w:sz w:val="18"/>
                <w:szCs w:val="18"/>
              </w:rPr>
            </w:pPr>
            <w:r>
              <w:rPr>
                <w:rFonts w:hint="eastAsia" w:ascii="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ascii="仿宋_GB2312"/>
                <w:sz w:val="18"/>
                <w:szCs w:val="18"/>
              </w:rPr>
            </w:pPr>
            <w:r>
              <w:rPr>
                <w:rFonts w:hint="eastAsia" w:ascii="仿宋_GB2312"/>
                <w:sz w:val="18"/>
                <w:szCs w:val="18"/>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ascii="仿宋_GB2312"/>
                <w:sz w:val="18"/>
                <w:szCs w:val="18"/>
              </w:rPr>
            </w:pPr>
            <w:r>
              <w:rPr>
                <w:rFonts w:hint="eastAsia" w:ascii="仿宋_GB2312"/>
                <w:sz w:val="18"/>
                <w:szCs w:val="18"/>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r>
              <w:rPr>
                <w:rFonts w:hint="eastAsia" w:ascii="仿宋_GB2312"/>
                <w:sz w:val="18"/>
                <w:szCs w:val="18"/>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ascii="仿宋_GB2312"/>
                <w:sz w:val="18"/>
                <w:szCs w:val="18"/>
              </w:rPr>
            </w:pPr>
            <w:r>
              <w:rPr>
                <w:rFonts w:hint="eastAsia" w:ascii="仿宋_GB2312"/>
                <w:sz w:val="18"/>
                <w:szCs w:val="18"/>
              </w:rPr>
              <w:t>19</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ascii="仿宋_GB2312"/>
                <w:sz w:val="18"/>
                <w:szCs w:val="18"/>
              </w:rPr>
            </w:pPr>
            <w:r>
              <w:rPr>
                <w:rFonts w:hint="eastAsia" w:ascii="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ascii="仿宋_GB2312"/>
                <w:sz w:val="18"/>
                <w:szCs w:val="18"/>
              </w:rPr>
            </w:pPr>
            <w:r>
              <w:rPr>
                <w:rFonts w:hint="eastAsia" w:ascii="仿宋_GB2312"/>
                <w:sz w:val="18"/>
                <w:szCs w:val="18"/>
              </w:rPr>
              <w:t>4</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ascii="仿宋_GB2312"/>
                <w:sz w:val="18"/>
                <w:szCs w:val="18"/>
              </w:rPr>
            </w:pPr>
            <w:r>
              <w:rPr>
                <w:rFonts w:hint="eastAsia" w:ascii="仿宋_GB2312"/>
                <w:sz w:val="18"/>
                <w:szCs w:val="18"/>
              </w:rPr>
              <w:t>95</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9D7858"/>
    <w:multiLevelType w:val="singleLevel"/>
    <w:tmpl w:val="839D7858"/>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C1657"/>
    <w:rsid w:val="00076B47"/>
    <w:rsid w:val="000A2E4C"/>
    <w:rsid w:val="000C7314"/>
    <w:rsid w:val="000D37FE"/>
    <w:rsid w:val="000F16B4"/>
    <w:rsid w:val="001104B7"/>
    <w:rsid w:val="00110577"/>
    <w:rsid w:val="00127A2F"/>
    <w:rsid w:val="00175AAC"/>
    <w:rsid w:val="00197507"/>
    <w:rsid w:val="001C5DCB"/>
    <w:rsid w:val="00246DAD"/>
    <w:rsid w:val="0025715A"/>
    <w:rsid w:val="00257E07"/>
    <w:rsid w:val="00282102"/>
    <w:rsid w:val="002C1657"/>
    <w:rsid w:val="002E3518"/>
    <w:rsid w:val="003033E4"/>
    <w:rsid w:val="00341940"/>
    <w:rsid w:val="00364740"/>
    <w:rsid w:val="003777D5"/>
    <w:rsid w:val="003C2470"/>
    <w:rsid w:val="003D7DDC"/>
    <w:rsid w:val="003E1CE8"/>
    <w:rsid w:val="003E6C89"/>
    <w:rsid w:val="004404E8"/>
    <w:rsid w:val="004E1CFF"/>
    <w:rsid w:val="004E5600"/>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0EC4"/>
    <w:rsid w:val="00971170"/>
    <w:rsid w:val="00991C6C"/>
    <w:rsid w:val="00993DEC"/>
    <w:rsid w:val="009A7C71"/>
    <w:rsid w:val="009D4A58"/>
    <w:rsid w:val="009E55C2"/>
    <w:rsid w:val="00A3508F"/>
    <w:rsid w:val="00A4158F"/>
    <w:rsid w:val="00A70BC2"/>
    <w:rsid w:val="00A7249B"/>
    <w:rsid w:val="00A730D7"/>
    <w:rsid w:val="00A9345F"/>
    <w:rsid w:val="00AB0EC9"/>
    <w:rsid w:val="00B27C69"/>
    <w:rsid w:val="00B540B6"/>
    <w:rsid w:val="00B7368C"/>
    <w:rsid w:val="00BE077F"/>
    <w:rsid w:val="00CA7DE8"/>
    <w:rsid w:val="00CC0BDC"/>
    <w:rsid w:val="00CF6D07"/>
    <w:rsid w:val="00D20A5D"/>
    <w:rsid w:val="00D263E1"/>
    <w:rsid w:val="00D96A1D"/>
    <w:rsid w:val="00D96B8D"/>
    <w:rsid w:val="00DA414F"/>
    <w:rsid w:val="00DE53D1"/>
    <w:rsid w:val="00DF5C8E"/>
    <w:rsid w:val="00E07C05"/>
    <w:rsid w:val="00E30C53"/>
    <w:rsid w:val="00E36750"/>
    <w:rsid w:val="00E44FCF"/>
    <w:rsid w:val="00E560DB"/>
    <w:rsid w:val="00EA0572"/>
    <w:rsid w:val="00EA3D4A"/>
    <w:rsid w:val="00EF279E"/>
    <w:rsid w:val="00F63D8D"/>
    <w:rsid w:val="00FA1C86"/>
    <w:rsid w:val="00FA1DD3"/>
    <w:rsid w:val="00FF23ED"/>
    <w:rsid w:val="00FF7E55"/>
    <w:rsid w:val="110C11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kern w:val="2"/>
      <w:sz w:val="18"/>
      <w:szCs w:val="18"/>
    </w:rPr>
  </w:style>
  <w:style w:type="character" w:customStyle="1" w:styleId="7">
    <w:name w:val="页脚 Char"/>
    <w:basedOn w:val="5"/>
    <w:link w:val="2"/>
    <w:semiHidden/>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66BD33-889B-4D88-9A15-0BA21D4CC186}">
  <ds:schemaRefs/>
</ds:datastoreItem>
</file>

<file path=docProps/app.xml><?xml version="1.0" encoding="utf-8"?>
<Properties xmlns="http://schemas.openxmlformats.org/officeDocument/2006/extended-properties" xmlns:vt="http://schemas.openxmlformats.org/officeDocument/2006/docPropsVTypes">
  <Template>Normal.dotm</Template>
  <Company>fmczj</Company>
  <Pages>5</Pages>
  <Words>510</Words>
  <Characters>2913</Characters>
  <Lines>24</Lines>
  <Paragraphs>6</Paragraphs>
  <TotalTime>346</TotalTime>
  <ScaleCrop>false</ScaleCrop>
  <LinksUpToDate>false</LinksUpToDate>
  <CharactersWithSpaces>3417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dcterms:modified xsi:type="dcterms:W3CDTF">2023-04-12T09:20:09Z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