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00" w:firstLineChars="200"/>
        <w:jc w:val="center"/>
        <w:rPr>
          <w:rFonts w:ascii="方正大标宋简体" w:eastAsia="方正大标宋简体"/>
          <w:spacing w:val="-20"/>
          <w:sz w:val="44"/>
          <w:szCs w:val="44"/>
        </w:rPr>
      </w:pPr>
      <w:bookmarkStart w:id="2" w:name="_GoBack"/>
      <w:r>
        <w:rPr>
          <w:rFonts w:hint="eastAsia" w:ascii="方正大标宋简体" w:eastAsia="方正大标宋简体"/>
          <w:spacing w:val="-20"/>
          <w:sz w:val="44"/>
          <w:szCs w:val="44"/>
        </w:rPr>
        <w:t>富民县公安局交通警察大队2021年度部门整体支出绩效评价报告</w:t>
      </w:r>
    </w:p>
    <w:bookmarkEnd w:id="2"/>
    <w:p>
      <w:pPr>
        <w:topLinePunct/>
        <w:spacing w:line="560" w:lineRule="exact"/>
        <w:ind w:firstLine="640" w:firstLineChars="200"/>
        <w:rPr>
          <w:rFonts w:ascii="黑体" w:hAnsi="黑体" w:eastAsia="黑体" w:cs="Times New Roman"/>
          <w:sz w:val="32"/>
          <w:szCs w:val="32"/>
        </w:rPr>
      </w:pPr>
      <w:r>
        <w:rPr>
          <w:rFonts w:hint="eastAsia" w:ascii="黑体" w:hAnsi="黑体" w:eastAsia="黑体"/>
          <w:sz w:val="32"/>
          <w:szCs w:val="32"/>
        </w:rPr>
        <w:t>一、部门概况</w:t>
      </w:r>
    </w:p>
    <w:p>
      <w:pPr>
        <w:topLinePunct/>
        <w:spacing w:line="560" w:lineRule="exact"/>
        <w:ind w:firstLine="640" w:firstLineChars="200"/>
        <w:rPr>
          <w:rFonts w:ascii="楷体" w:hAnsi="楷体" w:eastAsia="楷体"/>
          <w:sz w:val="32"/>
          <w:szCs w:val="32"/>
        </w:rPr>
      </w:pPr>
      <w:r>
        <w:rPr>
          <w:rFonts w:hint="eastAsia" w:ascii="楷体" w:hAnsi="楷体" w:eastAsia="楷体"/>
          <w:sz w:val="32"/>
          <w:szCs w:val="32"/>
        </w:rPr>
        <w:t>（一）部门机构设置、编制</w:t>
      </w:r>
    </w:p>
    <w:p>
      <w:pPr>
        <w:topLinePunct/>
        <w:spacing w:line="560" w:lineRule="exact"/>
        <w:ind w:firstLine="643" w:firstLineChars="200"/>
        <w:rPr>
          <w:rFonts w:ascii="仿宋_GB2312" w:eastAsia="仿宋_GB2312"/>
          <w:b/>
          <w:sz w:val="32"/>
          <w:szCs w:val="32"/>
        </w:rPr>
      </w:pPr>
      <w:r>
        <w:rPr>
          <w:rFonts w:hint="eastAsia" w:ascii="仿宋_GB2312" w:eastAsia="仿宋_GB2312"/>
          <w:b/>
          <w:sz w:val="32"/>
          <w:szCs w:val="32"/>
        </w:rPr>
        <w:t>1.部门机构设置</w:t>
      </w:r>
    </w:p>
    <w:p>
      <w:pPr>
        <w:topLinePunct/>
        <w:spacing w:line="560" w:lineRule="exact"/>
        <w:ind w:firstLine="640" w:firstLineChars="200"/>
        <w:rPr>
          <w:rFonts w:ascii="仿宋_GB2312" w:eastAsia="仿宋_GB2312"/>
          <w:sz w:val="32"/>
          <w:szCs w:val="32"/>
        </w:rPr>
      </w:pPr>
      <w:r>
        <w:rPr>
          <w:rFonts w:hint="eastAsia" w:ascii="仿宋_GB2312" w:eastAsia="仿宋_GB2312"/>
          <w:sz w:val="32"/>
          <w:szCs w:val="32"/>
        </w:rPr>
        <w:t>富民县公安局交通警察大队内设8个机构，即：内勤中队、车管中队、法制宣传中队、事故中队、城区中队、秩序中队、者北中队、款庄中队。</w:t>
      </w:r>
    </w:p>
    <w:p>
      <w:pPr>
        <w:topLinePunct/>
        <w:spacing w:line="560" w:lineRule="exact"/>
        <w:ind w:firstLine="643" w:firstLineChars="200"/>
        <w:rPr>
          <w:rFonts w:ascii="仿宋_GB2312" w:eastAsia="仿宋_GB2312"/>
          <w:b/>
          <w:sz w:val="32"/>
          <w:szCs w:val="32"/>
        </w:rPr>
      </w:pPr>
      <w:r>
        <w:rPr>
          <w:rFonts w:hint="eastAsia" w:ascii="仿宋_GB2312" w:eastAsia="仿宋_GB2312"/>
          <w:b/>
          <w:sz w:val="32"/>
          <w:szCs w:val="32"/>
        </w:rPr>
        <w:t>2.部门编制</w:t>
      </w:r>
    </w:p>
    <w:p>
      <w:pPr>
        <w:topLinePunct/>
        <w:spacing w:line="560" w:lineRule="exact"/>
        <w:ind w:firstLine="640" w:firstLineChars="200"/>
        <w:rPr>
          <w:rFonts w:ascii="仿宋_GB2312" w:eastAsia="仿宋_GB2312"/>
          <w:sz w:val="32"/>
          <w:szCs w:val="32"/>
        </w:rPr>
      </w:pPr>
      <w:r>
        <w:rPr>
          <w:rFonts w:hint="eastAsia" w:ascii="仿宋_GB2312" w:eastAsia="仿宋_GB2312"/>
          <w:sz w:val="32"/>
          <w:szCs w:val="32"/>
        </w:rPr>
        <w:t>富民县公安局交通警察大队有民警编制数31人，截止2021年12月31日止实有民警数29人。执勤执法车辆数编制9辆，实有车辆9辆。</w:t>
      </w:r>
    </w:p>
    <w:p>
      <w:pPr>
        <w:topLinePunct/>
        <w:spacing w:line="560" w:lineRule="exact"/>
        <w:ind w:firstLine="640" w:firstLineChars="200"/>
        <w:rPr>
          <w:rFonts w:ascii="楷体" w:hAnsi="楷体" w:eastAsia="楷体"/>
          <w:sz w:val="32"/>
          <w:szCs w:val="32"/>
        </w:rPr>
      </w:pPr>
      <w:r>
        <w:rPr>
          <w:rFonts w:hint="eastAsia" w:ascii="楷体" w:hAnsi="楷体" w:eastAsia="楷体"/>
          <w:sz w:val="32"/>
          <w:szCs w:val="32"/>
        </w:rPr>
        <w:t>（二）部门职能。</w:t>
      </w:r>
    </w:p>
    <w:p>
      <w:pPr>
        <w:pStyle w:val="5"/>
        <w:shd w:val="clear" w:color="auto" w:fill="FFFFFF"/>
        <w:spacing w:before="0" w:beforeAutospacing="0" w:after="0" w:afterAutospacing="0" w:line="56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负责维护全县道路交通安全和交通秩序、按规定组织实施交通安全警卫、处理全县辖区内道路交通事故、查处辖区内交通违法行为，负责辖区内机动车辆、非机动车辆和驾驶人的管理。</w:t>
      </w:r>
    </w:p>
    <w:p>
      <w:pPr>
        <w:topLinePunct/>
        <w:spacing w:line="560" w:lineRule="exact"/>
        <w:ind w:firstLine="640" w:firstLineChars="200"/>
        <w:rPr>
          <w:rFonts w:ascii="楷体" w:hAnsi="楷体" w:eastAsia="楷体" w:cs="Times New Roman"/>
          <w:sz w:val="32"/>
          <w:szCs w:val="32"/>
        </w:rPr>
      </w:pPr>
      <w:r>
        <w:rPr>
          <w:rFonts w:hint="eastAsia" w:ascii="楷体" w:hAnsi="楷体" w:eastAsia="楷体"/>
          <w:sz w:val="32"/>
          <w:szCs w:val="32"/>
        </w:rPr>
        <w:t>（三）部门工作完成情况。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2021年，交警大队在县委县政府和县局、支队的领导下，在全体民警、协管员的共同努力下，紧紧围绕“降事故、保安全、保畅通、促和谐、保稳定”的工作目标，深入贯彻落实</w:t>
      </w:r>
      <w:r>
        <w:rPr>
          <w:rFonts w:hint="eastAsia" w:ascii="仿宋_GB2312" w:eastAsia="仿宋_GB2312"/>
          <w:sz w:val="32"/>
          <w:szCs w:val="32"/>
          <w:lang w:eastAsia="zh-CN"/>
        </w:rPr>
        <w:t>习近平新时代中国特色社会主义思想和党的十九大精神</w:t>
      </w:r>
      <w:r>
        <w:rPr>
          <w:rFonts w:hint="eastAsia" w:ascii="仿宋_GB2312" w:eastAsia="仿宋_GB2312"/>
          <w:sz w:val="32"/>
          <w:szCs w:val="32"/>
        </w:rPr>
        <w:t>，认真履行交通管理工作职能，积极深化</w:t>
      </w:r>
      <w:r>
        <w:rPr>
          <w:rFonts w:hint="eastAsia" w:ascii="仿宋_GB2312" w:eastAsia="仿宋_GB2312"/>
          <w:bCs/>
          <w:color w:val="000000"/>
          <w:sz w:val="32"/>
          <w:szCs w:val="32"/>
        </w:rPr>
        <w:t>交通安全隐患排查整治</w:t>
      </w:r>
      <w:r>
        <w:rPr>
          <w:rFonts w:hint="eastAsia" w:ascii="仿宋_GB2312" w:eastAsia="仿宋_GB2312"/>
          <w:sz w:val="32"/>
          <w:szCs w:val="32"/>
        </w:rPr>
        <w:t>，不断强化队伍教育管理，努力推进各项工作措施的贯彻落实，确保了全县道路交通安全形势持续平稳。</w:t>
      </w:r>
    </w:p>
    <w:p>
      <w:pPr>
        <w:topLinePunct/>
        <w:spacing w:line="560" w:lineRule="exact"/>
        <w:ind w:firstLine="640" w:firstLineChars="200"/>
        <w:rPr>
          <w:rFonts w:ascii="楷体" w:hAnsi="楷体" w:eastAsia="楷体"/>
          <w:sz w:val="32"/>
          <w:szCs w:val="32"/>
        </w:rPr>
      </w:pPr>
      <w:r>
        <w:rPr>
          <w:rFonts w:hint="eastAsia" w:ascii="楷体" w:hAnsi="楷体" w:eastAsia="楷体"/>
          <w:sz w:val="32"/>
          <w:szCs w:val="32"/>
        </w:rPr>
        <w:t>（四）部门管理制度。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富民县公安局交通警察大队专门成立绩效管理小组，研究制定绩效跟踪的相关制度与措施，组织对2021年中央、省、市财政安排的专项转移支付资金支出项目进行绩效跟踪监控，根据设定的绩效目标，结合绩效实现程度和项目实施情况，把握资金拨付进度，发现项目实际运行目标与预期绩效目标发生偏离时，提出处理措施和意见。</w:t>
      </w:r>
    </w:p>
    <w:p>
      <w:pPr>
        <w:topLinePunct/>
        <w:spacing w:line="560" w:lineRule="exact"/>
        <w:ind w:firstLine="640" w:firstLineChars="200"/>
        <w:rPr>
          <w:rFonts w:ascii="楷体" w:hAnsi="楷体" w:eastAsia="楷体"/>
          <w:sz w:val="32"/>
          <w:szCs w:val="32"/>
        </w:rPr>
      </w:pPr>
      <w:r>
        <w:rPr>
          <w:rFonts w:hint="eastAsia" w:ascii="楷体" w:hAnsi="楷体" w:eastAsia="楷体"/>
          <w:sz w:val="32"/>
          <w:szCs w:val="32"/>
        </w:rPr>
        <w:t>（五）部门资金来源及使用情况。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2021年富民县公安交通警察大队预算资金总额为2037.01万元，其中：一般公共财政预算收入2037.01万元，政府性基金预算收入0元。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2021年富民县公安交通警察大队支出预算2037.01万元，其中：基本支出1160.01万元，（工资福利支出624.30万元、对个人和家庭的补助支出443.65万元，商品及服务支出92.05万元）；项目支出877.00万元。</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当年年初收入预算数是2037.01万元，收入决算数是</w:t>
      </w:r>
      <w:r>
        <w:rPr>
          <w:rFonts w:hint="eastAsia" w:ascii="仿宋_GB2312" w:eastAsia="仿宋_GB2312"/>
          <w:color w:val="000000"/>
          <w:sz w:val="32"/>
          <w:szCs w:val="32"/>
        </w:rPr>
        <w:t>1943.94万元</w:t>
      </w:r>
      <w:r>
        <w:rPr>
          <w:rFonts w:hint="eastAsia" w:ascii="仿宋_GB2312" w:eastAsia="仿宋_GB2312"/>
          <w:sz w:val="32"/>
          <w:szCs w:val="32"/>
        </w:rPr>
        <w:t>，收入决算数比预算数少93.07万元，执行率为95.43%。年初支出预算数是2037.01万元，支出决算数是1975.58万元，支出决算数比预算数少61.43万元，执行率为97%。支出预算执行基本情况，与上年度对比总支出减少5.38万元，增减变动主要原因是2021年未新购置过执勤执法车辆。</w:t>
      </w:r>
    </w:p>
    <w:p>
      <w:pPr>
        <w:topLinePunct/>
        <w:spacing w:line="560" w:lineRule="exact"/>
        <w:ind w:firstLine="640" w:firstLineChars="200"/>
        <w:rPr>
          <w:rFonts w:ascii="楷体" w:hAnsi="楷体" w:eastAsia="楷体"/>
          <w:sz w:val="32"/>
          <w:szCs w:val="32"/>
        </w:rPr>
      </w:pPr>
      <w:r>
        <w:rPr>
          <w:rFonts w:hint="eastAsia" w:ascii="楷体" w:hAnsi="楷体" w:eastAsia="楷体"/>
          <w:sz w:val="32"/>
          <w:szCs w:val="32"/>
        </w:rPr>
        <w:t>（六）政府采购情况。</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2021年，我单位政府采购支出37.91万元，新购入打印机、台式电脑、文件柜、茶几、办公桌椅等和其他公安专用设备。</w:t>
      </w:r>
    </w:p>
    <w:p>
      <w:pPr>
        <w:topLinePunct/>
        <w:spacing w:line="560" w:lineRule="exact"/>
        <w:ind w:firstLine="640" w:firstLineChars="200"/>
        <w:rPr>
          <w:rFonts w:ascii="楷体" w:hAnsi="楷体" w:eastAsia="楷体"/>
          <w:sz w:val="32"/>
          <w:szCs w:val="32"/>
        </w:rPr>
      </w:pPr>
      <w:r>
        <w:rPr>
          <w:rFonts w:hint="eastAsia" w:ascii="楷体" w:hAnsi="楷体" w:eastAsia="楷体"/>
          <w:sz w:val="32"/>
          <w:szCs w:val="32"/>
        </w:rPr>
        <w:t>（七）固定资产情况。</w:t>
      </w:r>
    </w:p>
    <w:p>
      <w:pPr>
        <w:topLinePunct/>
        <w:spacing w:line="560" w:lineRule="exact"/>
        <w:ind w:firstLine="640" w:firstLineChars="200"/>
        <w:rPr>
          <w:rFonts w:ascii="仿宋_GB2312" w:eastAsia="仿宋_GB2312"/>
          <w:sz w:val="32"/>
          <w:szCs w:val="32"/>
        </w:rPr>
      </w:pPr>
      <w:r>
        <w:rPr>
          <w:rFonts w:hint="eastAsia" w:ascii="仿宋_GB2312" w:eastAsia="仿宋_GB2312"/>
          <w:sz w:val="32"/>
          <w:szCs w:val="32"/>
        </w:rPr>
        <w:t>截至2021年12月31日，我单位资产总计账面数5404166.95元；固定资产2666961.01元、无形资产2005.48元。负债总计账面数2221670.67元。净资产总计账面数3182496.28元,较上年减少33.37%。</w:t>
      </w:r>
    </w:p>
    <w:p>
      <w:pPr>
        <w:topLinePunct/>
        <w:spacing w:line="560" w:lineRule="exact"/>
        <w:ind w:firstLine="640" w:firstLineChars="200"/>
        <w:rPr>
          <w:rFonts w:ascii="黑体" w:hAnsi="黑体" w:eastAsia="黑体"/>
          <w:sz w:val="32"/>
          <w:szCs w:val="32"/>
        </w:rPr>
      </w:pPr>
      <w:r>
        <w:rPr>
          <w:rFonts w:hint="eastAsia" w:ascii="黑体" w:hAnsi="黑体" w:eastAsia="黑体"/>
          <w:sz w:val="32"/>
          <w:szCs w:val="32"/>
        </w:rPr>
        <w:t>二、绩效目标</w:t>
      </w:r>
    </w:p>
    <w:p>
      <w:pPr>
        <w:topLinePunct/>
        <w:spacing w:line="560" w:lineRule="exact"/>
        <w:ind w:firstLine="640" w:firstLineChars="200"/>
        <w:rPr>
          <w:rFonts w:ascii="楷体" w:hAnsi="楷体" w:eastAsia="楷体"/>
          <w:sz w:val="32"/>
          <w:szCs w:val="32"/>
        </w:rPr>
      </w:pPr>
      <w:r>
        <w:rPr>
          <w:rFonts w:hint="eastAsia" w:ascii="楷体" w:hAnsi="楷体" w:eastAsia="楷体"/>
          <w:sz w:val="32"/>
          <w:szCs w:val="32"/>
        </w:rPr>
        <w:t>（一）部门总目标。</w:t>
      </w:r>
    </w:p>
    <w:p>
      <w:pPr>
        <w:topLinePunct/>
        <w:spacing w:line="560" w:lineRule="exact"/>
        <w:ind w:firstLine="640" w:firstLineChars="200"/>
        <w:rPr>
          <w:rFonts w:ascii="仿宋_GB2312" w:eastAsia="仿宋_GB2312"/>
          <w:sz w:val="32"/>
          <w:szCs w:val="32"/>
        </w:rPr>
      </w:pPr>
      <w:r>
        <w:rPr>
          <w:rFonts w:hint="eastAsia" w:ascii="仿宋_GB2312" w:eastAsia="仿宋_GB2312"/>
          <w:sz w:val="32"/>
          <w:szCs w:val="32"/>
        </w:rPr>
        <w:t>完成年度公安交管工作任务，保障部门人员经费及日常办公经费。</w:t>
      </w:r>
    </w:p>
    <w:p>
      <w:pPr>
        <w:topLinePunct/>
        <w:spacing w:line="560" w:lineRule="exact"/>
        <w:ind w:firstLine="640" w:firstLineChars="200"/>
        <w:rPr>
          <w:rFonts w:ascii="楷体" w:hAnsi="楷体" w:eastAsia="楷体"/>
          <w:sz w:val="32"/>
          <w:szCs w:val="32"/>
        </w:rPr>
      </w:pPr>
      <w:r>
        <w:rPr>
          <w:rFonts w:hint="eastAsia" w:ascii="楷体" w:hAnsi="楷体" w:eastAsia="楷体"/>
          <w:sz w:val="32"/>
          <w:szCs w:val="32"/>
        </w:rPr>
        <w:t>（二）部门项目具体计划目标。</w:t>
      </w:r>
    </w:p>
    <w:p>
      <w:pPr>
        <w:topLinePunct/>
        <w:spacing w:line="560" w:lineRule="exact"/>
        <w:ind w:firstLine="640" w:firstLineChars="200"/>
        <w:rPr>
          <w:rFonts w:ascii="仿宋_GB2312" w:eastAsia="仿宋_GB2312"/>
          <w:sz w:val="32"/>
          <w:szCs w:val="32"/>
        </w:rPr>
      </w:pPr>
      <w:r>
        <w:rPr>
          <w:rFonts w:hint="eastAsia" w:ascii="仿宋_GB2312" w:eastAsia="仿宋_GB2312"/>
          <w:sz w:val="32"/>
          <w:szCs w:val="32"/>
        </w:rPr>
        <w:t>部门项目资金专款专用，保障交警大队日常办公办案，开展“减量控大”、道路交通事故预防等各类支出，保障全县交通信号灯及电子警察的正常使用，保障全县道路交通安全平稳有序。</w:t>
      </w:r>
    </w:p>
    <w:p>
      <w:pPr>
        <w:topLinePunct/>
        <w:spacing w:line="560" w:lineRule="exact"/>
        <w:ind w:firstLine="640" w:firstLineChars="200"/>
        <w:rPr>
          <w:rFonts w:ascii="黑体" w:hAnsi="黑体" w:eastAsia="黑体"/>
          <w:sz w:val="32"/>
          <w:szCs w:val="32"/>
        </w:rPr>
      </w:pPr>
      <w:r>
        <w:rPr>
          <w:rFonts w:hint="eastAsia" w:ascii="黑体" w:hAnsi="黑体" w:eastAsia="黑体"/>
          <w:sz w:val="32"/>
          <w:szCs w:val="32"/>
        </w:rPr>
        <w:t>三、评价结论</w:t>
      </w:r>
    </w:p>
    <w:p>
      <w:pPr>
        <w:topLinePunct/>
        <w:spacing w:line="560" w:lineRule="exact"/>
        <w:ind w:firstLine="640" w:firstLineChars="200"/>
        <w:rPr>
          <w:rFonts w:ascii="楷体" w:hAnsi="楷体" w:eastAsia="楷体"/>
          <w:sz w:val="32"/>
          <w:szCs w:val="32"/>
        </w:rPr>
      </w:pPr>
      <w:r>
        <w:rPr>
          <w:rFonts w:hint="eastAsia" w:ascii="楷体" w:hAnsi="楷体" w:eastAsia="楷体"/>
          <w:sz w:val="32"/>
          <w:szCs w:val="32"/>
        </w:rPr>
        <w:t>（一）主要绩效。</w:t>
      </w:r>
    </w:p>
    <w:p>
      <w:pPr>
        <w:pStyle w:val="5"/>
        <w:shd w:val="clear" w:color="auto" w:fill="FFFFFF"/>
        <w:spacing w:beforeAutospacing="0" w:afterAutospacing="0" w:line="560" w:lineRule="exact"/>
        <w:ind w:firstLine="200"/>
        <w:jc w:val="both"/>
        <w:rPr>
          <w:rFonts w:ascii="仿宋_GB2312" w:hAnsi="微软雅黑" w:eastAsia="仿宋_GB2312" w:cs="微软雅黑"/>
          <w:color w:val="333333"/>
          <w:sz w:val="32"/>
          <w:szCs w:val="32"/>
        </w:rPr>
      </w:pPr>
      <w:r>
        <w:rPr>
          <w:rFonts w:hint="eastAsia" w:ascii="仿宋_GB2312" w:hAnsi="微软雅黑" w:eastAsia="仿宋_GB2312" w:cs="仿宋_GB2312"/>
          <w:color w:val="333333"/>
          <w:sz w:val="32"/>
          <w:szCs w:val="32"/>
          <w:shd w:val="clear" w:color="auto" w:fill="FFFFFF"/>
        </w:rPr>
        <w:t>通过绩效目标的设置情况、资金使用情况、项目实施管理情况、项目绩效表现情况自我评价，了解资金使用是否达到了预期目标、资金管理是否规范、资金使用是否有效，检验资金支出效率和效果，分析存在问题及原因，及时总结经验，改进管理措施，不断增强和落实绩效管理责任，完善工作机制，有效提高资金管理水平和使用效益。</w:t>
      </w:r>
    </w:p>
    <w:p>
      <w:pPr>
        <w:topLinePunct/>
        <w:spacing w:line="560" w:lineRule="exact"/>
        <w:ind w:firstLine="640" w:firstLineChars="200"/>
        <w:rPr>
          <w:rFonts w:ascii="楷体" w:hAnsi="楷体" w:eastAsia="楷体"/>
          <w:sz w:val="32"/>
          <w:szCs w:val="32"/>
        </w:rPr>
      </w:pPr>
      <w:r>
        <w:rPr>
          <w:rFonts w:hint="eastAsia" w:ascii="楷体" w:hAnsi="楷体" w:eastAsia="楷体"/>
          <w:sz w:val="32"/>
          <w:szCs w:val="32"/>
        </w:rPr>
        <w:t>（二）评价结果。</w:t>
      </w:r>
    </w:p>
    <w:p>
      <w:pPr>
        <w:topLinePunct/>
        <w:spacing w:line="560" w:lineRule="exact"/>
        <w:ind w:firstLine="640" w:firstLineChars="200"/>
        <w:rPr>
          <w:rFonts w:ascii="楷体" w:hAnsi="楷体" w:eastAsia="楷体"/>
          <w:sz w:val="32"/>
          <w:szCs w:val="32"/>
        </w:rPr>
      </w:pPr>
      <w:r>
        <w:rPr>
          <w:rFonts w:hint="eastAsia" w:ascii="仿宋_GB2312" w:hAnsi="微软雅黑" w:eastAsia="仿宋_GB2312" w:cs="仿宋_GB2312"/>
          <w:color w:val="333333"/>
          <w:sz w:val="32"/>
          <w:szCs w:val="32"/>
          <w:shd w:val="clear" w:color="auto" w:fill="FFFFFF"/>
        </w:rPr>
        <w:t>资金使用达到了预期目标、资金管理规范、资金使用有效，资金支出效率较高、效果较好。</w:t>
      </w:r>
    </w:p>
    <w:p>
      <w:pPr>
        <w:topLinePunct/>
        <w:spacing w:line="560" w:lineRule="exact"/>
        <w:ind w:firstLine="640" w:firstLineChars="200"/>
        <w:rPr>
          <w:rFonts w:ascii="黑体" w:hAnsi="黑体" w:eastAsia="黑体"/>
          <w:sz w:val="32"/>
          <w:szCs w:val="32"/>
        </w:rPr>
      </w:pPr>
      <w:r>
        <w:rPr>
          <w:rFonts w:hint="eastAsia" w:ascii="黑体" w:hAnsi="黑体" w:eastAsia="黑体"/>
          <w:sz w:val="32"/>
          <w:szCs w:val="32"/>
        </w:rPr>
        <w:t>四、主要经验做法</w:t>
      </w:r>
    </w:p>
    <w:p>
      <w:pPr>
        <w:pStyle w:val="5"/>
        <w:shd w:val="clear" w:color="auto" w:fill="FFFFFF"/>
        <w:spacing w:beforeAutospacing="0" w:afterAutospacing="0" w:line="560" w:lineRule="exact"/>
        <w:ind w:firstLine="640" w:firstLineChars="200"/>
        <w:jc w:val="both"/>
        <w:rPr>
          <w:rFonts w:ascii="仿宋_GB2312" w:hAnsi="微软雅黑" w:eastAsia="仿宋_GB2312" w:cs="微软雅黑"/>
          <w:color w:val="333333"/>
          <w:sz w:val="32"/>
          <w:szCs w:val="32"/>
        </w:rPr>
      </w:pPr>
      <w:r>
        <w:rPr>
          <w:rFonts w:hint="eastAsia" w:ascii="仿宋_GB2312" w:hAnsi="微软雅黑" w:eastAsia="仿宋_GB2312" w:cs="仿宋_GB2312"/>
          <w:color w:val="333333"/>
          <w:sz w:val="32"/>
          <w:szCs w:val="32"/>
          <w:shd w:val="clear" w:color="auto" w:fill="FFFFFF"/>
        </w:rPr>
        <w:t>及时了解资金使用是否达到了预期目标、资金管理是否规范、资金使用是否有效，检验资金支出效率和效果，分析存在问题及原因，及时总结经验，改进管理措施，不断增强和落实绩效管理责任，完善工作机制，有效提高资金管理水平和使用效益。</w:t>
      </w:r>
    </w:p>
    <w:p>
      <w:pPr>
        <w:topLinePunct/>
        <w:spacing w:line="560" w:lineRule="exact"/>
        <w:ind w:firstLine="640" w:firstLineChars="200"/>
        <w:rPr>
          <w:rFonts w:ascii="黑体" w:hAnsi="黑体" w:eastAsia="黑体"/>
          <w:sz w:val="32"/>
          <w:szCs w:val="32"/>
        </w:rPr>
      </w:pPr>
      <w:r>
        <w:rPr>
          <w:rFonts w:hint="eastAsia" w:ascii="黑体" w:hAnsi="黑体" w:eastAsia="黑体"/>
          <w:sz w:val="32"/>
          <w:szCs w:val="32"/>
        </w:rPr>
        <w:t>五、存在的问题</w:t>
      </w:r>
    </w:p>
    <w:p>
      <w:pPr>
        <w:pStyle w:val="5"/>
        <w:shd w:val="clear" w:color="auto" w:fill="FFFFFF"/>
        <w:spacing w:beforeAutospacing="0" w:afterAutospacing="0" w:line="560" w:lineRule="exact"/>
        <w:ind w:firstLine="600"/>
        <w:jc w:val="both"/>
        <w:rPr>
          <w:rFonts w:ascii="微软雅黑" w:hAnsi="微软雅黑" w:eastAsia="微软雅黑" w:cs="微软雅黑"/>
          <w:color w:val="333333"/>
          <w:sz w:val="27"/>
          <w:szCs w:val="27"/>
        </w:rPr>
      </w:pPr>
      <w:r>
        <w:rPr>
          <w:rFonts w:ascii="仿宋_GB2312" w:hAnsi="微软雅黑" w:eastAsia="仿宋_GB2312" w:cs="仿宋_GB2312"/>
          <w:color w:val="333333"/>
          <w:sz w:val="30"/>
          <w:szCs w:val="30"/>
          <w:shd w:val="clear" w:color="auto" w:fill="FFFFFF"/>
        </w:rPr>
        <w:t>根据本次绩效评价情况，存在预算绩效申报时，编制的绩效目标不具体，绩效目标未完全细化分解为具体工作任务，部分绩效指标不清晰、可衡量性差。</w:t>
      </w:r>
    </w:p>
    <w:p>
      <w:pPr>
        <w:topLinePunct/>
        <w:spacing w:line="560" w:lineRule="exact"/>
        <w:ind w:firstLine="640" w:firstLineChars="200"/>
        <w:rPr>
          <w:rFonts w:ascii="黑体" w:hAnsi="黑体" w:eastAsia="黑体"/>
          <w:sz w:val="32"/>
          <w:szCs w:val="32"/>
        </w:rPr>
      </w:pPr>
      <w:r>
        <w:rPr>
          <w:rFonts w:hint="eastAsia" w:ascii="黑体" w:hAnsi="黑体" w:eastAsia="黑体"/>
          <w:sz w:val="32"/>
          <w:szCs w:val="32"/>
        </w:rPr>
        <w:t>六、改进措施及建议</w:t>
      </w:r>
    </w:p>
    <w:p>
      <w:pPr>
        <w:pStyle w:val="5"/>
        <w:shd w:val="clear" w:color="auto" w:fill="FFFFFF"/>
        <w:spacing w:beforeAutospacing="0" w:afterAutospacing="0" w:line="560" w:lineRule="exact"/>
        <w:ind w:firstLine="600" w:firstLineChars="200"/>
        <w:jc w:val="both"/>
        <w:rPr>
          <w:rFonts w:ascii="微软雅黑" w:hAnsi="微软雅黑" w:eastAsia="微软雅黑" w:cs="微软雅黑"/>
          <w:color w:val="333333"/>
          <w:sz w:val="27"/>
          <w:szCs w:val="27"/>
        </w:rPr>
      </w:pPr>
      <w:r>
        <w:rPr>
          <w:rFonts w:ascii="仿宋_GB2312" w:hAnsi="微软雅黑" w:eastAsia="仿宋_GB2312" w:cs="仿宋_GB2312"/>
          <w:color w:val="333333"/>
          <w:sz w:val="30"/>
          <w:szCs w:val="30"/>
          <w:shd w:val="clear" w:color="auto" w:fill="FFFFFF"/>
        </w:rPr>
        <w:t>针对上述问题，责成相关业务处室在今后的预算绩效申报时，在财务部门的配合下，将全年工作任务细化分解为具体的工作目标，并尽量采取定量的方式制定清晰、可衡量的绩效指标。</w:t>
      </w:r>
    </w:p>
    <w:p>
      <w:pPr>
        <w:pStyle w:val="5"/>
        <w:shd w:val="clear" w:color="auto" w:fill="FFFFFF"/>
        <w:spacing w:beforeAutospacing="0" w:afterAutospacing="0" w:line="560" w:lineRule="exact"/>
        <w:ind w:firstLine="600" w:firstLineChars="200"/>
        <w:jc w:val="both"/>
        <w:rPr>
          <w:rFonts w:ascii="微软雅黑" w:hAnsi="微软雅黑" w:eastAsia="微软雅黑" w:cs="微软雅黑"/>
          <w:color w:val="333333"/>
          <w:sz w:val="27"/>
          <w:szCs w:val="27"/>
        </w:rPr>
      </w:pPr>
      <w:r>
        <w:rPr>
          <w:rFonts w:ascii="仿宋_GB2312" w:hAnsi="微软雅黑" w:eastAsia="仿宋_GB2312" w:cs="仿宋_GB2312"/>
          <w:color w:val="333333"/>
          <w:sz w:val="30"/>
          <w:szCs w:val="30"/>
          <w:shd w:val="clear" w:color="auto" w:fill="FFFFFF"/>
        </w:rPr>
        <w:t>1、针对本部门绩效自评中存在的问题，及时调整和优化本部门后续项目和以后年度预算支出的方向和结构，合理配置资源，加强财务管理。</w:t>
      </w:r>
    </w:p>
    <w:p>
      <w:pPr>
        <w:pStyle w:val="5"/>
        <w:shd w:val="clear" w:color="auto" w:fill="FFFFFF"/>
        <w:spacing w:beforeAutospacing="0" w:afterAutospacing="0" w:line="560" w:lineRule="exact"/>
        <w:ind w:firstLine="600" w:firstLineChars="200"/>
        <w:jc w:val="both"/>
        <w:rPr>
          <w:rFonts w:ascii="微软雅黑" w:hAnsi="微软雅黑" w:eastAsia="微软雅黑" w:cs="微软雅黑"/>
          <w:color w:val="333333"/>
          <w:sz w:val="27"/>
          <w:szCs w:val="27"/>
        </w:rPr>
      </w:pPr>
      <w:r>
        <w:rPr>
          <w:rFonts w:ascii="仿宋_GB2312" w:hAnsi="微软雅黑" w:eastAsia="仿宋_GB2312" w:cs="仿宋_GB2312"/>
          <w:color w:val="333333"/>
          <w:sz w:val="30"/>
          <w:szCs w:val="30"/>
          <w:shd w:val="clear" w:color="auto" w:fill="FFFFFF"/>
        </w:rPr>
        <w:t>2</w:t>
      </w:r>
      <w:r>
        <w:rPr>
          <w:rFonts w:hint="eastAsia" w:ascii="仿宋_GB2312" w:hAnsi="微软雅黑" w:eastAsia="仿宋_GB2312" w:cs="仿宋_GB2312"/>
          <w:color w:val="333333"/>
          <w:sz w:val="30"/>
          <w:szCs w:val="30"/>
          <w:shd w:val="clear" w:color="auto" w:fill="FFFFFF"/>
        </w:rPr>
        <w:t>、</w:t>
      </w:r>
      <w:r>
        <w:rPr>
          <w:rFonts w:ascii="仿宋_GB2312" w:hAnsi="微软雅黑" w:eastAsia="仿宋_GB2312" w:cs="仿宋_GB2312"/>
          <w:color w:val="333333"/>
          <w:sz w:val="30"/>
          <w:szCs w:val="30"/>
          <w:shd w:val="clear" w:color="auto" w:fill="FFFFFF"/>
        </w:rPr>
        <w:t>建立激励与约束机制，强化评价结果在项目申报和预算编制中的有效应用。</w:t>
      </w:r>
    </w:p>
    <w:p>
      <w:pPr>
        <w:spacing w:line="560" w:lineRule="exact"/>
        <w:ind w:firstLine="640" w:firstLineChars="200"/>
        <w:rPr>
          <w:rFonts w:ascii="仿宋_GB2312"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textAlignment w:val="center"/>
        <w:rPr>
          <w:rFonts w:ascii="仿宋_GB2312" w:hAnsi="等线 Light" w:eastAsia="仿宋_GB2312" w:cs="Cambria Math"/>
          <w:bCs/>
          <w:sz w:val="32"/>
          <w:szCs w:val="32"/>
        </w:rPr>
      </w:pPr>
      <w:r>
        <w:rPr>
          <w:rFonts w:hint="eastAsia" w:ascii="仿宋_GB2312" w:hAnsi="等线 Light" w:eastAsia="仿宋_GB2312" w:cs="Cambria Math"/>
          <w:bCs/>
          <w:sz w:val="32"/>
          <w:szCs w:val="32"/>
        </w:rPr>
        <w:t>附件1</w:t>
      </w:r>
    </w:p>
    <w:p>
      <w:pPr>
        <w:pStyle w:val="2"/>
        <w:widowControl w:val="0"/>
        <w:overflowPunct/>
        <w:autoSpaceDE/>
        <w:autoSpaceDN/>
        <w:adjustRightInd/>
        <w:spacing w:before="120" w:after="120" w:line="415" w:lineRule="auto"/>
        <w:jc w:val="center"/>
        <w:rPr>
          <w:rFonts w:ascii="仿宋_GB2312" w:hAnsi="等线 Light" w:eastAsia="仿宋_GB2312"/>
          <w:kern w:val="2"/>
        </w:rPr>
      </w:pPr>
      <w:bookmarkStart w:id="0" w:name="_Toc72920232"/>
      <w:bookmarkStart w:id="1" w:name="_Toc72920347"/>
      <w:r>
        <w:rPr>
          <w:rFonts w:hint="eastAsia" w:ascii="仿宋_GB2312" w:eastAsia="仿宋_GB2312" w:cs="仿宋_GB2312"/>
        </w:rPr>
        <w:t>富民县公安局交通警察大队2021年度</w:t>
      </w:r>
      <w:r>
        <w:rPr>
          <w:rFonts w:hint="eastAsia" w:ascii="仿宋_GB2312" w:eastAsia="仿宋_GB2312"/>
          <w:kern w:val="2"/>
        </w:rPr>
        <w:t>部门整体支出绩效评价指标体系及打分表</w:t>
      </w:r>
      <w:bookmarkEnd w:id="0"/>
      <w:bookmarkEnd w:id="1"/>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931"/>
        <w:gridCol w:w="1473"/>
        <w:gridCol w:w="700"/>
        <w:gridCol w:w="1881"/>
        <w:gridCol w:w="2159"/>
        <w:gridCol w:w="1476"/>
        <w:gridCol w:w="861"/>
        <w:gridCol w:w="700"/>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blHeader/>
          <w:jc w:val="center"/>
        </w:trPr>
        <w:tc>
          <w:tcPr>
            <w:tcW w:w="896"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一级指标</w:t>
            </w:r>
          </w:p>
        </w:tc>
        <w:tc>
          <w:tcPr>
            <w:tcW w:w="931"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二级指标</w:t>
            </w:r>
          </w:p>
        </w:tc>
        <w:tc>
          <w:tcPr>
            <w:tcW w:w="1473"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三级指标</w:t>
            </w:r>
          </w:p>
        </w:tc>
        <w:tc>
          <w:tcPr>
            <w:tcW w:w="700"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分值</w:t>
            </w:r>
          </w:p>
        </w:tc>
        <w:tc>
          <w:tcPr>
            <w:tcW w:w="1881"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指标解释</w:t>
            </w:r>
          </w:p>
        </w:tc>
        <w:tc>
          <w:tcPr>
            <w:tcW w:w="2159"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指标评分细则</w:t>
            </w:r>
          </w:p>
        </w:tc>
        <w:tc>
          <w:tcPr>
            <w:tcW w:w="1476"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数据来源</w:t>
            </w:r>
          </w:p>
        </w:tc>
        <w:tc>
          <w:tcPr>
            <w:tcW w:w="861"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评价得分</w:t>
            </w:r>
          </w:p>
        </w:tc>
        <w:tc>
          <w:tcPr>
            <w:tcW w:w="700"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扣分情况</w:t>
            </w:r>
          </w:p>
        </w:tc>
        <w:tc>
          <w:tcPr>
            <w:tcW w:w="3097"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896"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一、部门决策（35分）</w:t>
            </w:r>
          </w:p>
        </w:tc>
        <w:tc>
          <w:tcPr>
            <w:tcW w:w="931"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1.部门目标（20分）</w:t>
            </w:r>
          </w:p>
        </w:tc>
        <w:tc>
          <w:tcPr>
            <w:tcW w:w="1473"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1.年度工作目标的明确性与合理性（6分）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6</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部门年度工作目标的设定是否明确合理</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①部门年度工作目标是否明确设定，得3分；②年度工作目标与部门中长期规划目标一致，得3分。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年度工作目标与部门中长期规划文件</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6</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2.绩效目标合理性（6分）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6</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用以反映和考核部门整体绩效目标与部门职能、年度工作目标的一致性。</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①符合部门制定的中长期实施规划计2分；②符合部门“三定”方案确定的职责计2分；③与部门年度工作目标、任务相一致计2分。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部门中长期规划、部门“三定”方案、年度重点工作任务与工作计划</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6</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3.绩效指标明确性（8分）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8</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整体绩效目标所设定的绩效指标是否依据部门工作目标和工作任务进行细化、量化，绩效指标是否可衡量。</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①将部门整体的绩效目标细化分解为具体的工作任务计2分；②通过清晰、可衡量的指标值予以体现计2分。③与部门年度的任务数或计划数相对应计2分；④与本年度部门预算资金相匹配计2分。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部门年度重点工作任务与工作计划。</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7</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2.部门职能（15分）</w:t>
            </w:r>
          </w:p>
        </w:tc>
        <w:tc>
          <w:tcPr>
            <w:tcW w:w="1473"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1.部门职能的明确性与科学性（5分）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5</w:t>
            </w:r>
          </w:p>
        </w:tc>
        <w:tc>
          <w:tcPr>
            <w:tcW w:w="1881"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考察部门职能界定是否明确、科学，是否有相关文件。</w:t>
            </w:r>
          </w:p>
        </w:tc>
        <w:tc>
          <w:tcPr>
            <w:tcW w:w="2159"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①职能明确、设定依据充分，得5分；②有“三定”文件，但职能描述不明确，扣2分;③没有职能设定的文件依据且职能不清，扣3分</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部门职能描述、“三定”文件</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5</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2.年度具体工作与部门职能的匹配性（5分）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5</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部门年度各类具体工作是否与部门职能相匹配。</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将部门年度具体工作与部门职能对应匹配，视匹配情况酌情得0-5分。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部门年度各项具体工作，部门职能</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5</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3.部门内设科室及下属单位职责的明确性（5分）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5</w:t>
            </w:r>
          </w:p>
        </w:tc>
        <w:tc>
          <w:tcPr>
            <w:tcW w:w="1881"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部门内设科室及下属单位具体职责是否明确</w:t>
            </w:r>
          </w:p>
        </w:tc>
        <w:tc>
          <w:tcPr>
            <w:tcW w:w="2159"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①有职责文件制度规定部门各科室及下属单位具体职责，得3分；②具体职责明确，得2分</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内设科室及下属单位职责文件</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5</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96"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二、部门管理（20分）</w:t>
            </w:r>
          </w:p>
        </w:tc>
        <w:tc>
          <w:tcPr>
            <w:tcW w:w="931"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1.预算管理（5分）</w:t>
            </w: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1.基本支出预算执行率（2分）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2</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部门基本支出本年度决算数与预算数的比率，用以反映和考核部门（单位）基本支出预算执行程度。</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预算执行率=部门基本支出决算/部门基本支出预算×100%。预算执行率≥95%得满分，未达到的按权重进行扣分。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基本支出预算批复，预算调整批复、预算编制等其他资料</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2</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2.项目支出预算执行率（1分）分）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部门项目支出本年度决算数与预算数的比率，用以反映和考核部门项目支出预算执行程度。</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预算执行率=部门项目支出决算/部门项目支出预算×100%。预算完成率≥95%得满分，未到按权重进行扣分。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项目支出预算批复，预算调整批复、预算编制等其他资料</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3.“三公经费”控制率（1分）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部门本年度“三公”经费预算数与上年度“三公”经费预算数的变动比率，用以反映和考核部门（单位）对控制行政成本的努力程度。</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三公”经费控制率=（本年度“三公”经费总额/上年度“三公”经费总额）×100%。“三公”经费：年度预算安排的因公出国（境）费、公务用车购置及运行费和公务接待费。三公经费控制率≤100%得满分，≥120%得1分，区间内按权重进行扣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三公经费使用情况</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4.预算调整情况（1分）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用以反映预算单位是否根据年中预算实际执行情况及时合规进行预算调整。</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①根据年中预算执行情况及时申请预算调整，得0.5分；②按规定程序进行预算调整，得0.5分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预算调整相关资料</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96" w:type="dxa"/>
            <w:vMerge w:val="restart"/>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二、部门管理（</w:t>
            </w:r>
            <w:r>
              <w:rPr>
                <w:rFonts w:hint="eastAsia" w:ascii="仿宋_GB2312" w:hAnsi="宋体" w:eastAsia="仿宋_GB2312" w:cs="宋体"/>
                <w:sz w:val="32"/>
                <w:szCs w:val="32"/>
              </w:rPr>
              <w:t>20</w:t>
            </w:r>
            <w:r>
              <w:rPr>
                <w:rFonts w:hint="eastAsia" w:ascii="仿宋_GB2312" w:hAnsi="宋体" w:eastAsia="仿宋_GB2312" w:cs="Calibri"/>
                <w:sz w:val="32"/>
                <w:szCs w:val="32"/>
              </w:rPr>
              <w:t>分）</w:t>
            </w:r>
          </w:p>
        </w:tc>
        <w:tc>
          <w:tcPr>
            <w:tcW w:w="931"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2.财务管理（5分）</w:t>
            </w:r>
          </w:p>
        </w:tc>
        <w:tc>
          <w:tcPr>
            <w:tcW w:w="1473"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1.财务管理制度健全性及执行情况（2分）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2</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部门为加强预算管理、规范财务行为而制定的财务管理制度是否健全完整。用以反映和考核部门预算管理制度对完成主要职责或促进事业发展的保障情况。</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①是否已制定预算资金管理办法、内部财务管理制度、会计核算制度等管理制度1分；②相关管理制度是否合法、合规、完整0.5分；③相关管理制度是否得到有效执行0.5分。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财务管理相关制度及执行情况等。</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1.5</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0.5</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相关管理制度不完整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2.资金使用合规性（2分）</w:t>
            </w:r>
          </w:p>
        </w:tc>
        <w:tc>
          <w:tcPr>
            <w:tcW w:w="700"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2</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部门使用预算资金是否符合相关财务管理制度的规定，用以反映和考核部门预算资金的规范运行情况。</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①符合国家财经法规和财务管理制度规定以及有关专项资金管理办法的规定,0.5分；②资金的拨付有完整的审批程序和手续，0.5分；③项目的重大开支经过专题论证，1分；④符合部门预算批复的用途，0分；⑤是否存在截留、挤占、挪用、虚列支出等情况，一旦存在该指标不得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资金支出相关凭证、流程梳理等</w:t>
            </w:r>
          </w:p>
        </w:tc>
        <w:tc>
          <w:tcPr>
            <w:tcW w:w="861"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2</w:t>
            </w:r>
          </w:p>
        </w:tc>
        <w:tc>
          <w:tcPr>
            <w:tcW w:w="700"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3.财务监控的有效性（1分）</w:t>
            </w:r>
          </w:p>
        </w:tc>
        <w:tc>
          <w:tcPr>
            <w:tcW w:w="700"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1</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用以反映部门财务监控监督工作的有效性，包括监控、监督措施的制定及执行等方面。</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①制定明确的财务监控监督措施，得0.5分；②监控、监督措施执行有效，得0.5分；</w:t>
            </w:r>
          </w:p>
        </w:tc>
        <w:tc>
          <w:tcPr>
            <w:tcW w:w="1476"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财务监控监督相关办法及条款，实际执行情况资料</w:t>
            </w:r>
          </w:p>
        </w:tc>
        <w:tc>
          <w:tcPr>
            <w:tcW w:w="861"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1</w:t>
            </w:r>
          </w:p>
        </w:tc>
        <w:tc>
          <w:tcPr>
            <w:tcW w:w="700"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3.资产管理（5分）</w:t>
            </w:r>
          </w:p>
        </w:tc>
        <w:tc>
          <w:tcPr>
            <w:tcW w:w="1473"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1.资产管理制度健全性及执行情况（3分）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3</w:t>
            </w:r>
          </w:p>
        </w:tc>
        <w:tc>
          <w:tcPr>
            <w:tcW w:w="1881"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部门为加强资产管理、规范资产使用而制定的资产管理制度是否健全完整，用以反映和考核部门资产管理制度对完成主要职责或促进事业发展的保障情况。</w:t>
            </w:r>
          </w:p>
        </w:tc>
        <w:tc>
          <w:tcPr>
            <w:tcW w:w="2159"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①是否已制定或具有固定资产管理办法、资产使用办法等管理制度，得1分；②相关管理制度是否合法、合规、完整，得1分；③相关管理制度是否得到有效执行，得1分。</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资产管理相关办法</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2</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相关管理制度不够完整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2.固定资产在用率（2分）</w:t>
            </w:r>
          </w:p>
        </w:tc>
        <w:tc>
          <w:tcPr>
            <w:tcW w:w="700"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2</w:t>
            </w:r>
          </w:p>
        </w:tc>
        <w:tc>
          <w:tcPr>
            <w:tcW w:w="1881"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部门实际在用固定资产总额与所有固定资产总额的比率，用以反映和考核部门固定资产使用效率及程度。</w:t>
            </w:r>
          </w:p>
        </w:tc>
        <w:tc>
          <w:tcPr>
            <w:tcW w:w="2159"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固定资产在用率=（实际在用固定资产总额/所有固定资产总额）×100%。固定资产在用率达到95%以上得满分.每降低1%扣0.5分，扣完为止。</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固定资产卡片、固定资产使用信息等</w:t>
            </w:r>
          </w:p>
        </w:tc>
        <w:tc>
          <w:tcPr>
            <w:tcW w:w="861"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2</w:t>
            </w:r>
          </w:p>
        </w:tc>
        <w:tc>
          <w:tcPr>
            <w:tcW w:w="700"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4.业务管理（5分）</w:t>
            </w:r>
          </w:p>
        </w:tc>
        <w:tc>
          <w:tcPr>
            <w:tcW w:w="1473"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1.业务管理制度健全性及执行情况（3分）</w:t>
            </w:r>
          </w:p>
        </w:tc>
        <w:tc>
          <w:tcPr>
            <w:tcW w:w="700"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3</w:t>
            </w:r>
          </w:p>
        </w:tc>
        <w:tc>
          <w:tcPr>
            <w:tcW w:w="1881"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部门为加强业务管理、规范业务执行而制定的管理制度是否健全完整，用以反映和考核部门业务管理制度对完成主要职责或促进事业发展的保障情况。</w:t>
            </w:r>
          </w:p>
        </w:tc>
        <w:tc>
          <w:tcPr>
            <w:tcW w:w="2159"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①已制定或具有业务管理、项目管理等管理制度，得1分；②相关管理制度合法、合规、完整，得1分；③相关管理制度得到有效执行，得1分。</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业务管理相关办法及执行情况资料</w:t>
            </w:r>
          </w:p>
        </w:tc>
        <w:tc>
          <w:tcPr>
            <w:tcW w:w="861"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2</w:t>
            </w:r>
          </w:p>
        </w:tc>
        <w:tc>
          <w:tcPr>
            <w:tcW w:w="700"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1</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相关管理制度不够完整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2.政府采购规范性（2分）</w:t>
            </w:r>
          </w:p>
        </w:tc>
        <w:tc>
          <w:tcPr>
            <w:tcW w:w="700"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2</w:t>
            </w:r>
          </w:p>
        </w:tc>
        <w:tc>
          <w:tcPr>
            <w:tcW w:w="1881"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考察政府采购项目的采购程序、采购方式的规范性</w:t>
            </w:r>
          </w:p>
        </w:tc>
        <w:tc>
          <w:tcPr>
            <w:tcW w:w="2159"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①政府采购方式、程序都规范，得满分；②采购方式、程序中每有一点不规范，扣0.5分，扣完为止。</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政府采购相关资料</w:t>
            </w:r>
          </w:p>
        </w:tc>
        <w:tc>
          <w:tcPr>
            <w:tcW w:w="861"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2</w:t>
            </w:r>
          </w:p>
        </w:tc>
        <w:tc>
          <w:tcPr>
            <w:tcW w:w="700" w:type="dxa"/>
            <w:shd w:val="clear" w:color="auto" w:fill="auto"/>
            <w:vAlign w:val="center"/>
          </w:tcPr>
          <w:p>
            <w:pPr>
              <w:overflowPunct/>
              <w:autoSpaceDE/>
              <w:autoSpaceDN/>
              <w:adjustRightInd/>
              <w:jc w:val="center"/>
              <w:rPr>
                <w:rFonts w:ascii="仿宋_GB2312" w:hAnsi="宋体" w:eastAsia="仿宋_GB2312" w:cs="宋体"/>
                <w:sz w:val="32"/>
                <w:szCs w:val="32"/>
              </w:rPr>
            </w:pPr>
            <w:r>
              <w:rPr>
                <w:rFonts w:hint="eastAsia" w:ascii="仿宋_GB2312" w:hAnsi="宋体" w:eastAsia="仿宋_GB2312" w:cs="宋体"/>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96"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三、部门绩效（45分）</w:t>
            </w:r>
          </w:p>
        </w:tc>
        <w:tc>
          <w:tcPr>
            <w:tcW w:w="931"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1.部门产出（25分）</w:t>
            </w: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1.实际完成率（7分）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7</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部门履行职责而实际完成工作数与计划工作数的比率，用以反映和考核部门履职工作任务目标的实现程度。</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实际完成率得分=实际完成工作数/计划工作数×7分。全部完成计划目标为满分，每一项不达标扣2分；扣完为止。</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工作计划和工作总结等相关资料</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7</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2.完成及时率（6分）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6</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部门在规定时限内及时完成的实际工作数与计划工作数的比率,用以反映和考核部门履职时效目标的实现程度。</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完成及时率=（及时完成实际工作数/计划工作数）×6分。扣完为止。</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工作计划和工作总结等相关资料</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6</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4.质量达标率（6分）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6</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达到质量标准（绩效标准值）的实际工作数与计划工作数的比率,用以反映和考核部门履职质量目标的实现程度。</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质量达标率=（质量达标实际工作数/计划工作数）×100%。实际得分=达标率×6分。</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工作计划和工作总结等相关资料</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6</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5.重点工作办结率（6分）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6</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部门年度重点工作实际完成数与交办或下达数的比率，用以反映部门对重点工作的办理落实程度。</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重点工作办结率=（重点工作实际完成数/交办或下达数）×100%。实际得分=办结率×6分。</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工作计划和工作总结等相关资料</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6</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restart"/>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2.部门效果（20分）</w:t>
            </w: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1.经济效益（3分）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3</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部门履行职责对经济发展所带来的直接或间接影响。</w:t>
            </w:r>
          </w:p>
        </w:tc>
        <w:tc>
          <w:tcPr>
            <w:tcW w:w="2159"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部门履行职责对经济发展所带来的直接或间接影响，经济效益实现程度较直接影响较大得分（3分）。</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绩效目标、工作计划和工作总结等相关资料。</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3</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2.社会效益（10分）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10</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部门履行职责对社会发展所带来的直接或间接影响。</w:t>
            </w:r>
          </w:p>
        </w:tc>
        <w:tc>
          <w:tcPr>
            <w:tcW w:w="2159"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部门履行职责对社会发展所带来的直接或间接影响，社会效益实现程度较直接影响较大得分（10分）；</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绩效目标、工作计划和工作总结等相关资料。</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10</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3.生态效益（2分）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2</w:t>
            </w:r>
          </w:p>
        </w:tc>
        <w:tc>
          <w:tcPr>
            <w:tcW w:w="1881"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部门履行职责对生态环境所带来的直接或间接影响。</w:t>
            </w:r>
          </w:p>
        </w:tc>
        <w:tc>
          <w:tcPr>
            <w:tcW w:w="2159"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部门履行职责对生态环境所带来的直接或间接影响，生态效益实现程度较直接影响较大得分（2分）。</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绩效目标、工作计划和工作总结等相关资料。</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2</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896" w:type="dxa"/>
            <w:vMerge w:val="continue"/>
            <w:vAlign w:val="center"/>
          </w:tcPr>
          <w:p>
            <w:pPr>
              <w:overflowPunct/>
              <w:autoSpaceDE/>
              <w:autoSpaceDN/>
              <w:adjustRightInd/>
              <w:jc w:val="left"/>
              <w:rPr>
                <w:rFonts w:ascii="仿宋_GB2312" w:hAnsi="宋体" w:eastAsia="仿宋_GB2312" w:cs="Calibri"/>
                <w:sz w:val="32"/>
                <w:szCs w:val="32"/>
              </w:rPr>
            </w:pPr>
          </w:p>
        </w:tc>
        <w:tc>
          <w:tcPr>
            <w:tcW w:w="931" w:type="dxa"/>
            <w:vMerge w:val="continue"/>
            <w:vAlign w:val="center"/>
          </w:tcPr>
          <w:p>
            <w:pPr>
              <w:overflowPunct/>
              <w:autoSpaceDE/>
              <w:autoSpaceDN/>
              <w:adjustRightInd/>
              <w:jc w:val="left"/>
              <w:rPr>
                <w:rFonts w:ascii="仿宋_GB2312" w:hAnsi="宋体" w:eastAsia="仿宋_GB2312" w:cs="Calibri"/>
                <w:sz w:val="32"/>
                <w:szCs w:val="32"/>
              </w:rPr>
            </w:pPr>
          </w:p>
        </w:tc>
        <w:tc>
          <w:tcPr>
            <w:tcW w:w="1473"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4.社会公众或服务对象满意度（5分）</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5</w:t>
            </w:r>
          </w:p>
        </w:tc>
        <w:tc>
          <w:tcPr>
            <w:tcW w:w="1881"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社会公众或部门的服务对象对部门履职效果的满意程度。</w:t>
            </w:r>
          </w:p>
        </w:tc>
        <w:tc>
          <w:tcPr>
            <w:tcW w:w="2159" w:type="dxa"/>
            <w:shd w:val="clear" w:color="auto" w:fill="auto"/>
            <w:vAlign w:val="center"/>
          </w:tcPr>
          <w:p>
            <w:pPr>
              <w:overflowPunct/>
              <w:autoSpaceDE/>
              <w:autoSpaceDN/>
              <w:adjustRightInd/>
              <w:rPr>
                <w:rFonts w:ascii="仿宋_GB2312" w:hAnsi="宋体" w:eastAsia="仿宋_GB2312" w:cs="Calibri"/>
                <w:sz w:val="32"/>
                <w:szCs w:val="32"/>
              </w:rPr>
            </w:pPr>
            <w:r>
              <w:rPr>
                <w:rFonts w:hint="eastAsia" w:ascii="仿宋_GB2312" w:hAnsi="宋体" w:eastAsia="仿宋_GB2312" w:cs="Calibri"/>
                <w:sz w:val="32"/>
                <w:szCs w:val="32"/>
              </w:rPr>
              <w:t>按收集到的服务对象的满意率计算得分达到90%以上，得5分；每小1%，扣1分，扣完为。。</w:t>
            </w:r>
          </w:p>
        </w:tc>
        <w:tc>
          <w:tcPr>
            <w:tcW w:w="1476" w:type="dxa"/>
            <w:shd w:val="clear" w:color="auto" w:fill="auto"/>
            <w:vAlign w:val="center"/>
          </w:tcPr>
          <w:p>
            <w:pPr>
              <w:overflowPunct/>
              <w:autoSpaceDE/>
              <w:autoSpaceDN/>
              <w:adjustRightInd/>
              <w:jc w:val="left"/>
              <w:rPr>
                <w:rFonts w:ascii="仿宋_GB2312" w:hAnsi="宋体" w:eastAsia="仿宋_GB2312" w:cs="Calibri"/>
                <w:sz w:val="32"/>
                <w:szCs w:val="32"/>
              </w:rPr>
            </w:pPr>
            <w:r>
              <w:rPr>
                <w:rFonts w:hint="eastAsia" w:ascii="仿宋_GB2312" w:hAnsi="宋体" w:eastAsia="仿宋_GB2312" w:cs="Calibri"/>
                <w:sz w:val="32"/>
                <w:szCs w:val="32"/>
              </w:rPr>
              <w:t>问卷调查、访谈</w:t>
            </w:r>
          </w:p>
        </w:tc>
        <w:tc>
          <w:tcPr>
            <w:tcW w:w="861"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5</w:t>
            </w:r>
          </w:p>
        </w:tc>
        <w:tc>
          <w:tcPr>
            <w:tcW w:w="700" w:type="dxa"/>
            <w:shd w:val="clear" w:color="auto" w:fill="auto"/>
            <w:vAlign w:val="center"/>
          </w:tcPr>
          <w:p>
            <w:pPr>
              <w:overflowPunct/>
              <w:autoSpaceDE/>
              <w:autoSpaceDN/>
              <w:adjustRightInd/>
              <w:jc w:val="center"/>
              <w:rPr>
                <w:rFonts w:ascii="仿宋_GB2312" w:hAnsi="宋体" w:eastAsia="仿宋_GB2312" w:cs="Calibri"/>
                <w:sz w:val="32"/>
                <w:szCs w:val="32"/>
              </w:rPr>
            </w:pPr>
            <w:r>
              <w:rPr>
                <w:rFonts w:hint="eastAsia" w:ascii="仿宋_GB2312" w:hAnsi="宋体" w:eastAsia="仿宋_GB2312" w:cs="Calibri"/>
                <w:sz w:val="32"/>
                <w:szCs w:val="32"/>
              </w:rPr>
              <w:t>0</w:t>
            </w:r>
          </w:p>
        </w:tc>
        <w:tc>
          <w:tcPr>
            <w:tcW w:w="3097" w:type="dxa"/>
            <w:shd w:val="clear" w:color="auto" w:fill="auto"/>
            <w:vAlign w:val="center"/>
          </w:tcPr>
          <w:p>
            <w:pPr>
              <w:overflowPunct/>
              <w:autoSpaceDE/>
              <w:autoSpaceDN/>
              <w:adjustRightInd/>
              <w:jc w:val="left"/>
              <w:rPr>
                <w:rFonts w:ascii="仿宋_GB2312" w:hAnsi="宋体" w:eastAsia="仿宋_GB2312" w:cs="Calibr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827" w:type="dxa"/>
            <w:gridSpan w:val="2"/>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合计</w:t>
            </w:r>
          </w:p>
        </w:tc>
        <w:tc>
          <w:tcPr>
            <w:tcW w:w="1473"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96.5</w:t>
            </w:r>
          </w:p>
        </w:tc>
        <w:tc>
          <w:tcPr>
            <w:tcW w:w="700"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100</w:t>
            </w:r>
          </w:p>
        </w:tc>
        <w:tc>
          <w:tcPr>
            <w:tcW w:w="5516" w:type="dxa"/>
            <w:gridSpan w:val="3"/>
            <w:shd w:val="clear" w:color="auto" w:fill="auto"/>
            <w:vAlign w:val="center"/>
          </w:tcPr>
          <w:p>
            <w:pPr>
              <w:overflowPunct/>
              <w:autoSpaceDE/>
              <w:autoSpaceDN/>
              <w:adjustRightInd/>
              <w:jc w:val="left"/>
              <w:rPr>
                <w:rFonts w:ascii="仿宋_GB2312" w:hAnsi="宋体" w:eastAsia="仿宋_GB2312" w:cs="Calibri"/>
                <w:b/>
                <w:bCs/>
                <w:sz w:val="32"/>
                <w:szCs w:val="32"/>
              </w:rPr>
            </w:pPr>
            <w:r>
              <w:rPr>
                <w:rFonts w:hint="eastAsia" w:ascii="仿宋_GB2312" w:hAnsi="宋体" w:eastAsia="仿宋_GB2312" w:cs="Calibri"/>
                <w:b/>
                <w:bCs/>
                <w:sz w:val="32"/>
                <w:szCs w:val="32"/>
              </w:rPr>
              <w:t>　</w:t>
            </w:r>
          </w:p>
        </w:tc>
        <w:tc>
          <w:tcPr>
            <w:tcW w:w="861"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96.5</w:t>
            </w:r>
          </w:p>
        </w:tc>
        <w:tc>
          <w:tcPr>
            <w:tcW w:w="700" w:type="dxa"/>
            <w:shd w:val="clear" w:color="auto" w:fill="auto"/>
            <w:vAlign w:val="center"/>
          </w:tcPr>
          <w:p>
            <w:pPr>
              <w:overflowPunct/>
              <w:autoSpaceDE/>
              <w:autoSpaceDN/>
              <w:adjustRightInd/>
              <w:jc w:val="center"/>
              <w:rPr>
                <w:rFonts w:ascii="仿宋_GB2312" w:hAnsi="宋体" w:eastAsia="仿宋_GB2312" w:cs="Calibri"/>
                <w:b/>
                <w:bCs/>
                <w:sz w:val="32"/>
                <w:szCs w:val="32"/>
              </w:rPr>
            </w:pPr>
            <w:r>
              <w:rPr>
                <w:rFonts w:hint="eastAsia" w:ascii="仿宋_GB2312" w:hAnsi="宋体" w:eastAsia="仿宋_GB2312" w:cs="Calibri"/>
                <w:b/>
                <w:bCs/>
                <w:sz w:val="32"/>
                <w:szCs w:val="32"/>
              </w:rPr>
              <w:t>3.5</w:t>
            </w:r>
          </w:p>
        </w:tc>
        <w:tc>
          <w:tcPr>
            <w:tcW w:w="3097" w:type="dxa"/>
            <w:shd w:val="clear" w:color="auto" w:fill="auto"/>
            <w:noWrap/>
            <w:vAlign w:val="center"/>
          </w:tcPr>
          <w:p>
            <w:pPr>
              <w:overflowPunct/>
              <w:autoSpaceDE/>
              <w:autoSpaceDN/>
              <w:adjustRightInd/>
              <w:jc w:val="left"/>
              <w:rPr>
                <w:rFonts w:ascii="仿宋_GB2312" w:hAnsi="宋体" w:eastAsia="仿宋_GB2312" w:cs="Calibri"/>
                <w:b/>
                <w:bCs/>
                <w:sz w:val="32"/>
                <w:szCs w:val="32"/>
              </w:rPr>
            </w:pPr>
            <w:r>
              <w:rPr>
                <w:rFonts w:hint="eastAsia" w:ascii="仿宋_GB2312" w:hAnsi="宋体" w:eastAsia="仿宋_GB2312" w:cs="Calibri"/>
                <w:b/>
                <w:bCs/>
                <w:sz w:val="32"/>
                <w:szCs w:val="32"/>
              </w:rPr>
              <w:t>　</w:t>
            </w:r>
          </w:p>
        </w:tc>
      </w:tr>
    </w:tbl>
    <w:p>
      <w:pPr>
        <w:widowControl w:val="0"/>
        <w:overflowPunct/>
        <w:rPr>
          <w:rFonts w:ascii="仿宋_GB2312" w:hAnsi="等线 Light" w:eastAsia="仿宋_GB2312"/>
          <w:sz w:val="32"/>
          <w:szCs w:val="32"/>
        </w:rPr>
      </w:pPr>
    </w:p>
    <w:p>
      <w:pPr>
        <w:rPr>
          <w:rFonts w:ascii="仿宋_GB2312" w:eastAsia="仿宋_GB2312"/>
          <w:sz w:val="32"/>
          <w:szCs w:val="32"/>
        </w:rPr>
      </w:pPr>
    </w:p>
    <w:p>
      <w:pPr>
        <w:rPr>
          <w:rFonts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大标宋简体">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14358"/>
      <w:docPartObj>
        <w:docPartGallery w:val="AutoText"/>
      </w:docPartObj>
    </w:sdtPr>
    <w:sdtContent>
      <w:p>
        <w:pPr>
          <w:pStyle w:val="3"/>
          <w:jc w:val="right"/>
        </w:pPr>
        <w:r>
          <w:fldChar w:fldCharType="begin"/>
        </w:r>
        <w:r>
          <w:instrText xml:space="preserve"> PAGE   \* MERGEFORMAT </w:instrText>
        </w:r>
        <w:r>
          <w:fldChar w:fldCharType="separate"/>
        </w:r>
        <w:r>
          <w:rPr>
            <w:lang w:val="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3BCF"/>
    <w:rsid w:val="000212CA"/>
    <w:rsid w:val="00036766"/>
    <w:rsid w:val="00046656"/>
    <w:rsid w:val="00122F40"/>
    <w:rsid w:val="001C5181"/>
    <w:rsid w:val="001F790D"/>
    <w:rsid w:val="00225873"/>
    <w:rsid w:val="002A0B01"/>
    <w:rsid w:val="00352EAD"/>
    <w:rsid w:val="003F47BC"/>
    <w:rsid w:val="004123B9"/>
    <w:rsid w:val="004135D4"/>
    <w:rsid w:val="004646E4"/>
    <w:rsid w:val="004C57FC"/>
    <w:rsid w:val="00566162"/>
    <w:rsid w:val="006D7357"/>
    <w:rsid w:val="008518F0"/>
    <w:rsid w:val="008D0045"/>
    <w:rsid w:val="00952696"/>
    <w:rsid w:val="00A54756"/>
    <w:rsid w:val="00AB030D"/>
    <w:rsid w:val="00AD3BCF"/>
    <w:rsid w:val="00B03D89"/>
    <w:rsid w:val="00B124BF"/>
    <w:rsid w:val="00B36E72"/>
    <w:rsid w:val="00B52CA2"/>
    <w:rsid w:val="00BF752B"/>
    <w:rsid w:val="00C417EC"/>
    <w:rsid w:val="00C43BAD"/>
    <w:rsid w:val="00C65572"/>
    <w:rsid w:val="00C67644"/>
    <w:rsid w:val="00CB6090"/>
    <w:rsid w:val="00D136B8"/>
    <w:rsid w:val="00DA169C"/>
    <w:rsid w:val="00DC6DA4"/>
    <w:rsid w:val="00E22C46"/>
    <w:rsid w:val="00E64189"/>
    <w:rsid w:val="00E77650"/>
    <w:rsid w:val="00EA5219"/>
    <w:rsid w:val="00EC51E8"/>
    <w:rsid w:val="00FC2FBF"/>
    <w:rsid w:val="00FC659F"/>
    <w:rsid w:val="00FF2EAD"/>
    <w:rsid w:val="181D3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pPr>
    <w:rPr>
      <w:rFonts w:ascii="@楷体_GB2312" w:hAnsi="@楷体_GB2312" w:eastAsia="等线" w:cs="@楷体_GB2312"/>
      <w:kern w:val="0"/>
      <w:sz w:val="21"/>
      <w:szCs w:val="20"/>
      <w:lang w:val="en-US" w:eastAsia="zh-CN" w:bidi="ar-SA"/>
    </w:rPr>
  </w:style>
  <w:style w:type="paragraph" w:styleId="2">
    <w:name w:val="heading 2"/>
    <w:basedOn w:val="1"/>
    <w:next w:val="1"/>
    <w:link w:val="10"/>
    <w:qFormat/>
    <w:uiPriority w:val="9"/>
    <w:pPr>
      <w:keepNext/>
      <w:keepLines/>
      <w:spacing w:before="260" w:after="260" w:line="416" w:lineRule="auto"/>
      <w:outlineLvl w:val="1"/>
    </w:pPr>
    <w:rPr>
      <w:rFonts w:ascii="Calibri" w:hAnsi="Calibri" w:eastAsia="Calibr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widowControl w:val="0"/>
      <w:tabs>
        <w:tab w:val="center" w:pos="4153"/>
        <w:tab w:val="right" w:pos="8306"/>
      </w:tabs>
      <w:overflowPunct/>
      <w:autoSpaceDE/>
      <w:autoSpaceDN/>
      <w:adjustRightInd/>
      <w:snapToGrid w:val="0"/>
      <w:jc w:val="left"/>
    </w:pPr>
    <w:rPr>
      <w:rFonts w:asciiTheme="minorHAnsi" w:hAnsiTheme="minorHAnsi" w:eastAsiaTheme="minorEastAsia" w:cstheme="minorBidi"/>
      <w:kern w:val="2"/>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overflowPunct/>
      <w:autoSpaceDE/>
      <w:autoSpaceDN/>
      <w:adjustRightInd/>
      <w:spacing w:before="100" w:beforeAutospacing="1" w:after="100" w:afterAutospacing="1"/>
      <w:jc w:val="left"/>
    </w:pPr>
    <w:rPr>
      <w:rFonts w:ascii="宋体" w:hAnsi="宋体" w:eastAsia="宋体" w:cs="宋体"/>
      <w:sz w:val="24"/>
      <w:szCs w:val="24"/>
    </w:rPr>
  </w:style>
  <w:style w:type="character" w:customStyle="1" w:styleId="8">
    <w:name w:val="标题 2 Char"/>
    <w:basedOn w:val="7"/>
    <w:semiHidden/>
    <w:uiPriority w:val="9"/>
    <w:rPr>
      <w:rFonts w:asciiTheme="majorHAnsi" w:hAnsiTheme="majorHAnsi" w:eastAsiaTheme="majorEastAsia" w:cstheme="majorBidi"/>
      <w:b/>
      <w:bCs/>
      <w:kern w:val="0"/>
      <w:sz w:val="32"/>
      <w:szCs w:val="32"/>
    </w:rPr>
  </w:style>
  <w:style w:type="character" w:customStyle="1" w:styleId="9">
    <w:name w:val="页脚 Char"/>
    <w:basedOn w:val="7"/>
    <w:link w:val="3"/>
    <w:uiPriority w:val="99"/>
    <w:rPr>
      <w:sz w:val="18"/>
      <w:szCs w:val="18"/>
    </w:rPr>
  </w:style>
  <w:style w:type="character" w:customStyle="1" w:styleId="10">
    <w:name w:val="标题 2 Char1"/>
    <w:link w:val="2"/>
    <w:qFormat/>
    <w:uiPriority w:val="9"/>
    <w:rPr>
      <w:rFonts w:ascii="Calibri" w:hAnsi="Calibri" w:eastAsia="Calibri" w:cs="@楷体_GB2312"/>
      <w:b/>
      <w:bCs/>
      <w:kern w:val="0"/>
      <w:sz w:val="32"/>
      <w:szCs w:val="32"/>
    </w:rPr>
  </w:style>
  <w:style w:type="paragraph" w:customStyle="1" w:styleId="11">
    <w:name w:val="列出段落1"/>
    <w:basedOn w:val="1"/>
    <w:uiPriority w:val="99"/>
    <w:pPr>
      <w:widowControl w:val="0"/>
      <w:overflowPunct/>
      <w:autoSpaceDE/>
      <w:autoSpaceDN/>
      <w:adjustRightInd/>
      <w:ind w:firstLine="420" w:firstLineChars="200"/>
    </w:pPr>
    <w:rPr>
      <w:rFonts w:ascii="Calibri" w:hAnsi="Calibri" w:eastAsia="宋体" w:cs="Calibri"/>
      <w:kern w:val="2"/>
      <w:szCs w:val="21"/>
    </w:rPr>
  </w:style>
  <w:style w:type="character" w:customStyle="1" w:styleId="12">
    <w:name w:val="页眉 Char"/>
    <w:basedOn w:val="7"/>
    <w:link w:val="4"/>
    <w:uiPriority w:val="99"/>
    <w:rPr>
      <w:rFonts w:ascii="@楷体_GB2312" w:hAnsi="@楷体_GB2312" w:eastAsia="等线" w:cs="@楷体_GB2312"/>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3A4E0-C893-4307-A4EC-FFD5180B0F63}">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36</Pages>
  <Words>861</Words>
  <Characters>4913</Characters>
  <Lines>40</Lines>
  <Paragraphs>11</Paragraphs>
  <TotalTime>193</TotalTime>
  <ScaleCrop>false</ScaleCrop>
  <LinksUpToDate>false</LinksUpToDate>
  <CharactersWithSpaces>5763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2022-03-14T05:51:00Z</dcterms:created>
  <dc:creator>张子明</dc:creator>
  <cp:lastModifiedBy>Lenovo</cp:lastModifiedBy>
  <dcterms:modified xsi:type="dcterms:W3CDTF">2023-05-31T02:19:23Z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