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CF" w:rsidRPr="00B440CF" w:rsidRDefault="00B440CF" w:rsidP="00B440CF">
      <w:pPr>
        <w:widowControl/>
        <w:spacing w:line="450" w:lineRule="atLeast"/>
        <w:jc w:val="center"/>
        <w:rPr>
          <w:rFonts w:ascii="宋体" w:eastAsia="宋体" w:hAnsi="宋体" w:cs="宋体"/>
          <w:kern w:val="0"/>
          <w:sz w:val="24"/>
          <w:szCs w:val="24"/>
        </w:rPr>
      </w:pPr>
      <w:bookmarkStart w:id="0" w:name="_GoBack"/>
      <w:bookmarkEnd w:id="0"/>
      <w:r w:rsidRPr="00B440CF">
        <w:rPr>
          <w:rFonts w:ascii="方正小标宋简体" w:eastAsia="方正小标宋简体" w:hAnsi="宋体" w:cs="宋体" w:hint="eastAsia"/>
          <w:kern w:val="0"/>
          <w:sz w:val="44"/>
          <w:szCs w:val="44"/>
        </w:rPr>
        <w:t>免予行政处罚事项清单</w:t>
      </w:r>
    </w:p>
    <w:tbl>
      <w:tblPr>
        <w:tblW w:w="13884"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720"/>
        <w:gridCol w:w="2688"/>
        <w:gridCol w:w="5373"/>
        <w:gridCol w:w="3402"/>
        <w:gridCol w:w="1701"/>
      </w:tblGrid>
      <w:tr w:rsidR="00B440CF" w:rsidRPr="00B440CF" w:rsidTr="00AB5B19">
        <w:trPr>
          <w:trHeight w:val="495"/>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黑体" w:eastAsia="黑体" w:hAnsi="黑体" w:cs="Helvetica" w:hint="eastAsia"/>
                <w:b/>
                <w:bCs/>
                <w:color w:val="525252"/>
                <w:kern w:val="0"/>
                <w:sz w:val="29"/>
                <w:szCs w:val="29"/>
              </w:rPr>
              <w:t>序号</w:t>
            </w:r>
          </w:p>
        </w:tc>
        <w:tc>
          <w:tcPr>
            <w:tcW w:w="268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黑体" w:eastAsia="黑体" w:hAnsi="黑体" w:cs="Helvetica" w:hint="eastAsia"/>
                <w:b/>
                <w:bCs/>
                <w:color w:val="525252"/>
                <w:kern w:val="0"/>
                <w:sz w:val="24"/>
                <w:szCs w:val="24"/>
              </w:rPr>
              <w:t>违法行为</w:t>
            </w:r>
          </w:p>
        </w:tc>
        <w:tc>
          <w:tcPr>
            <w:tcW w:w="5373"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黑体" w:eastAsia="黑体" w:hAnsi="黑体" w:cs="Helvetica" w:hint="eastAsia"/>
                <w:b/>
                <w:bCs/>
                <w:color w:val="525252"/>
                <w:kern w:val="0"/>
                <w:sz w:val="24"/>
                <w:szCs w:val="24"/>
              </w:rPr>
              <w:t>法律依据</w:t>
            </w:r>
          </w:p>
        </w:tc>
        <w:tc>
          <w:tcPr>
            <w:tcW w:w="340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黑体" w:eastAsia="黑体" w:hAnsi="黑体" w:cs="Helvetica" w:hint="eastAsia"/>
                <w:b/>
                <w:bCs/>
                <w:color w:val="525252"/>
                <w:kern w:val="0"/>
                <w:sz w:val="24"/>
                <w:szCs w:val="24"/>
              </w:rPr>
              <w:t>适用情形</w:t>
            </w:r>
          </w:p>
        </w:tc>
        <w:tc>
          <w:tcPr>
            <w:tcW w:w="170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黑体" w:eastAsia="黑体" w:hAnsi="黑体" w:cs="Helvetica" w:hint="eastAsia"/>
                <w:b/>
                <w:bCs/>
                <w:color w:val="525252"/>
                <w:kern w:val="0"/>
                <w:sz w:val="24"/>
                <w:szCs w:val="24"/>
              </w:rPr>
              <w:t>实施主体</w:t>
            </w:r>
          </w:p>
        </w:tc>
      </w:tr>
      <w:tr w:rsidR="00B440CF" w:rsidRPr="00AB5B19"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1</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逾期</w:t>
            </w:r>
            <w:proofErr w:type="gramStart"/>
            <w:r w:rsidRPr="00B440CF">
              <w:rPr>
                <w:rFonts w:ascii="仿宋_GB2312" w:eastAsia="仿宋_GB2312" w:hAnsi="Helvetica" w:cs="Helvetica" w:hint="eastAsia"/>
                <w:color w:val="525252"/>
                <w:kern w:val="0"/>
                <w:szCs w:val="21"/>
              </w:rPr>
              <w:t>不</w:t>
            </w:r>
            <w:proofErr w:type="gramEnd"/>
            <w:r w:rsidRPr="00B440CF">
              <w:rPr>
                <w:rFonts w:ascii="仿宋_GB2312" w:eastAsia="仿宋_GB2312" w:hAnsi="Helvetica" w:cs="Helvetica" w:hint="eastAsia"/>
                <w:color w:val="525252"/>
                <w:kern w:val="0"/>
                <w:szCs w:val="21"/>
              </w:rPr>
              <w:t>校验《医疗机构执业许可证》仍从事诊疗活动的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《医疗机构管理条例》第四十五条　 违反本条例第二十二条规定，逾期</w:t>
            </w:r>
            <w:proofErr w:type="gramStart"/>
            <w:r w:rsidRPr="00B440CF">
              <w:rPr>
                <w:rFonts w:ascii="仿宋_GB2312" w:eastAsia="仿宋_GB2312" w:hAnsi="Helvetica" w:cs="Helvetica" w:hint="eastAsia"/>
                <w:color w:val="525252"/>
                <w:kern w:val="0"/>
                <w:szCs w:val="21"/>
              </w:rPr>
              <w:t>不</w:t>
            </w:r>
            <w:proofErr w:type="gramEnd"/>
            <w:r w:rsidRPr="00B440CF">
              <w:rPr>
                <w:rFonts w:ascii="仿宋_GB2312" w:eastAsia="仿宋_GB2312" w:hAnsi="Helvetica" w:cs="Helvetica" w:hint="eastAsia"/>
                <w:color w:val="525252"/>
                <w:kern w:val="0"/>
                <w:szCs w:val="21"/>
              </w:rPr>
              <w:t>校验《医疗机构执业许可证》仍从事诊疗活动的，由县级以上人民政府卫生行政部门责令其限期补办校验手续；拒不校验的，吊销其《医疗机构执业许可证》。</w:t>
            </w:r>
          </w:p>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《医疗机构管理条例实施细则》第七十八条 对不按期办理校验《医疗机构执业许可证》又不停止诊疗活动的，责令其限期补办校验手续；在限期内仍不办理校验的，吊销其《医疗机构执业许可证》。</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县级以上人民政府卫生行政部门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2</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医疗机构发布医疗广告，未向其所在地的州（市）卫生行政部门申请办理《医疗广告审查证明》，发布的内容</w:t>
            </w:r>
            <w:r w:rsidRPr="00B440CF">
              <w:rPr>
                <w:rFonts w:ascii="仿宋_GB2312" w:eastAsia="仿宋_GB2312" w:hAnsi="Helvetica" w:cs="Helvetica" w:hint="eastAsia"/>
                <w:color w:val="525252"/>
                <w:kern w:val="0"/>
                <w:szCs w:val="21"/>
              </w:rPr>
              <w:lastRenderedPageBreak/>
              <w:t>超出《医疗广告审查证明》核准的范围的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《云南省医疗机构管理条例》第五十条 医疗机构违反本条例第二十七条第一款规定的，由县级以上卫生行政部门责令限期改正；逾期不改正的，责令停业整顿；情节严重</w:t>
            </w:r>
            <w:r w:rsidRPr="00B440CF">
              <w:rPr>
                <w:rFonts w:ascii="仿宋_GB2312" w:eastAsia="仿宋_GB2312" w:hAnsi="Helvetica" w:cs="Helvetica" w:hint="eastAsia"/>
                <w:color w:val="525252"/>
                <w:kern w:val="0"/>
                <w:szCs w:val="21"/>
              </w:rPr>
              <w:lastRenderedPageBreak/>
              <w:t>的，吊销其相关诊疗科目，直至吊销《医疗机构执业许可证》。</w:t>
            </w:r>
          </w:p>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第二十七条 医疗机构发布医疗广告，应当向其所在地的州（市）卫生行政部门申请办理《医疗广告审查证明》，发布的内容不得超出《医疗广告审查证明》核准的范围。</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县级以上卫生行政部门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3</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县级以上卫生行政部门</w:t>
            </w:r>
          </w:p>
        </w:tc>
      </w:tr>
      <w:tr w:rsidR="00B440CF" w:rsidRPr="00B440CF" w:rsidTr="00AB5B19">
        <w:trPr>
          <w:trHeight w:val="90"/>
        </w:trPr>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lastRenderedPageBreak/>
              <w:t>4</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30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（七）未将相关信息纳入院务公开范围向社会公开的；（八）未按要求保障医务人员接受医疗技术临床应用规范化培训权益的。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（七）未将相关信息纳入院务公开范围向社会公开的；（八）未按要求保障医务人员接受医疗技术临床应用规范化培训权益的。</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县级以上地方卫生行政部门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5</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30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（一）未建立医疗质量管理部门或者未指定专（兼）职人员负责医疗质量管理工</w:t>
            </w:r>
            <w:r w:rsidRPr="00B440CF">
              <w:rPr>
                <w:rFonts w:ascii="仿宋_GB2312" w:eastAsia="仿宋_GB2312" w:hAnsi="Helvetica" w:cs="Helvetica" w:hint="eastAsia"/>
                <w:color w:val="525252"/>
                <w:kern w:val="0"/>
                <w:szCs w:val="21"/>
              </w:rPr>
              <w:lastRenderedPageBreak/>
              <w:t>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《医疗质量管理办法》第四十四条 医疗机构有下列情形之一的，由县级以上卫生计生行政部门责令限期改正；逾</w:t>
            </w:r>
            <w:r w:rsidRPr="00B440CF">
              <w:rPr>
                <w:rFonts w:ascii="仿宋_GB2312" w:eastAsia="仿宋_GB2312" w:hAnsi="Helvetica" w:cs="Helvetica" w:hint="eastAsia"/>
                <w:color w:val="525252"/>
                <w:kern w:val="0"/>
                <w:szCs w:val="21"/>
              </w:rPr>
              <w:lastRenderedPageBreak/>
              <w:t>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县级以上人民政府卫生行政部门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6</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经批准实施人工终止妊娠手术的机构未建立真实完整的终止妊娠药品购进记录的，或者未按照规定为终止妊娠药品使用者建立完整用药档案的，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《禁止非医学需要的胎儿性别鉴定选择性别人工终止妊娠的规定》第二十条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一万元以上三万元以下罚款；对医疗卫生机构的主要负责人、直接负责的主管人员和直接责任人员，依法进行处理。</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县级以上卫生计生行政部门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t>7</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（一）未建立医疗技术临床应用管理专门组织或者未</w:t>
            </w:r>
            <w:r w:rsidRPr="00B440CF">
              <w:rPr>
                <w:rFonts w:ascii="仿宋_GB2312" w:eastAsia="仿宋_GB2312" w:hAnsi="Helvetica" w:cs="Helvetica" w:hint="eastAsia"/>
                <w:color w:val="525252"/>
                <w:kern w:val="0"/>
                <w:szCs w:val="21"/>
              </w:rPr>
              <w:lastRenderedPageBreak/>
              <w:t>指定专（兼）职人员负责具体管理工作的；（二）未建立医疗技术临床应用管理相关规章制度的；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（三）医疗技术临床应用管理混乱，存在医疗质量和医疗安全隐患的；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w:t>
            </w:r>
            <w:r w:rsidRPr="00B440CF">
              <w:rPr>
                <w:rFonts w:ascii="仿宋_GB2312" w:eastAsia="仿宋_GB2312" w:hAnsi="Helvetica" w:cs="Helvetica" w:hint="eastAsia"/>
                <w:color w:val="525252"/>
                <w:kern w:val="0"/>
                <w:szCs w:val="21"/>
              </w:rPr>
              <w:lastRenderedPageBreak/>
              <w:t>受医疗技术临床应用规范化培训权益的。</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《医疗技术临床应用管理办法》第四十一条 医疗机构违反本办法规定，有下列情形之一的，由县级以上地方卫生</w:t>
            </w:r>
            <w:r w:rsidRPr="00B440CF">
              <w:rPr>
                <w:rFonts w:ascii="仿宋_GB2312" w:eastAsia="仿宋_GB2312" w:hAnsi="Helvetica" w:cs="Helvetica" w:hint="eastAsia"/>
                <w:color w:val="525252"/>
                <w:kern w:val="0"/>
                <w:szCs w:val="21"/>
              </w:rPr>
              <w:lastRenderedPageBreak/>
              <w:t>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（三）医疗技术临床应用管理混乱，存在医疗质量和医疗安全隐患的；</w:t>
            </w:r>
            <w:r w:rsidRPr="00B440CF">
              <w:rPr>
                <w:rFonts w:ascii="仿宋_GB2312" w:eastAsia="仿宋_GB2312" w:hAnsi="Helvetica" w:cs="Helvetica" w:hint="eastAsia"/>
                <w:color w:val="525252"/>
                <w:kern w:val="0"/>
                <w:szCs w:val="21"/>
              </w:rPr>
              <w:t> </w:t>
            </w:r>
            <w:r w:rsidRPr="00B440CF">
              <w:rPr>
                <w:rFonts w:ascii="仿宋_GB2312" w:eastAsia="仿宋_GB2312" w:hAnsi="Helvetica" w:cs="Helvetica" w:hint="eastAsia"/>
                <w:color w:val="525252"/>
                <w:kern w:val="0"/>
                <w:szCs w:val="21"/>
              </w:rPr>
              <w:t>（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lastRenderedPageBreak/>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县级以上地方卫生行政部门</w:t>
            </w:r>
          </w:p>
        </w:tc>
      </w:tr>
      <w:tr w:rsidR="00B440CF" w:rsidRPr="00B440CF" w:rsidTr="00AB5B19">
        <w:tc>
          <w:tcPr>
            <w:tcW w:w="7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 w:val="29"/>
                <w:szCs w:val="29"/>
              </w:rPr>
              <w:lastRenderedPageBreak/>
              <w:t>8</w:t>
            </w:r>
          </w:p>
        </w:tc>
        <w:tc>
          <w:tcPr>
            <w:tcW w:w="2688"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c>
          <w:tcPr>
            <w:tcW w:w="5373"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初次违反</w:t>
            </w: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B440CF" w:rsidRPr="00B440CF" w:rsidRDefault="00B440CF" w:rsidP="00B440CF">
            <w:pPr>
              <w:widowControl/>
              <w:spacing w:line="450" w:lineRule="atLeast"/>
              <w:jc w:val="center"/>
              <w:rPr>
                <w:rFonts w:ascii="Helvetica" w:eastAsia="宋体" w:hAnsi="Helvetica" w:cs="Helvetica"/>
                <w:color w:val="525252"/>
                <w:kern w:val="0"/>
                <w:sz w:val="24"/>
                <w:szCs w:val="24"/>
              </w:rPr>
            </w:pPr>
            <w:r w:rsidRPr="00B440CF">
              <w:rPr>
                <w:rFonts w:ascii="仿宋_GB2312" w:eastAsia="仿宋_GB2312" w:hAnsi="Helvetica" w:cs="Helvetica" w:hint="eastAsia"/>
                <w:color w:val="525252"/>
                <w:kern w:val="0"/>
                <w:szCs w:val="21"/>
              </w:rPr>
              <w:t>县级以上地方卫生行政部门</w:t>
            </w:r>
          </w:p>
        </w:tc>
      </w:tr>
    </w:tbl>
    <w:p w:rsidR="0052181A" w:rsidRPr="00B440CF" w:rsidRDefault="0052181A" w:rsidP="00B440CF"/>
    <w:sectPr w:rsidR="0052181A" w:rsidRPr="00B440CF" w:rsidSect="00AB5B1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CF"/>
    <w:rsid w:val="0052181A"/>
    <w:rsid w:val="00AB235F"/>
    <w:rsid w:val="00AB5B19"/>
    <w:rsid w:val="00B4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2CE0-4E0F-4D21-BC8A-5533CA39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0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4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2857</Characters>
  <Application>Microsoft Office Word</Application>
  <DocSecurity>0</DocSecurity>
  <Lines>23</Lines>
  <Paragraphs>6</Paragraphs>
  <ScaleCrop>false</ScaleCrop>
  <Company>Organization</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2023-03-09T01:27:00Z</dcterms:created>
  <dcterms:modified xsi:type="dcterms:W3CDTF">2023-06-26T01:48:00Z</dcterms:modified>
</cp:coreProperties>
</file>