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免于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行政处罚事项清单</w:t>
      </w:r>
    </w:p>
    <w:tbl>
      <w:tblPr>
        <w:tblStyle w:val="3"/>
        <w:tblW w:w="14026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2028"/>
        <w:gridCol w:w="6876"/>
        <w:gridCol w:w="2676"/>
        <w:gridCol w:w="156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违法行为</w:t>
            </w:r>
          </w:p>
        </w:tc>
        <w:tc>
          <w:tcPr>
            <w:tcW w:w="6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法律依据</w:t>
            </w:r>
          </w:p>
        </w:tc>
        <w:tc>
          <w:tcPr>
            <w:tcW w:w="26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适用情形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b/>
                <w:bCs/>
                <w:color w:val="525252"/>
                <w:kern w:val="0"/>
                <w:sz w:val="28"/>
                <w:szCs w:val="28"/>
              </w:rPr>
              <w:t>实施主体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Helvetica" w:hAnsi="Helvetica" w:eastAsia="微软雅黑" w:cs="Helvetica"/>
                <w:color w:val="525252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6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仿宋_GB2312" w:hAnsi="仿宋_GB2312" w:eastAsia="仿宋_GB2312" w:cs="仿宋_GB2312"/>
                <w:color w:val="525252"/>
                <w:kern w:val="0"/>
                <w:sz w:val="28"/>
                <w:szCs w:val="28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FC"/>
    <w:rsid w:val="006D67FC"/>
    <w:rsid w:val="008F094F"/>
    <w:rsid w:val="00C56249"/>
    <w:rsid w:val="00ED19A9"/>
    <w:rsid w:val="24C751C9"/>
    <w:rsid w:val="28C3294A"/>
    <w:rsid w:val="63C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8</Pages>
  <Words>701</Words>
  <Characters>3998</Characters>
  <Lines>33</Lines>
  <Paragraphs>9</Paragraphs>
  <TotalTime>8</TotalTime>
  <ScaleCrop>false</ScaleCrop>
  <LinksUpToDate>false</LinksUpToDate>
  <CharactersWithSpaces>4690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2023-03-09T01:23:00Z</dcterms:created>
  <dc:creator>Windows 用户</dc:creator>
  <cp:lastModifiedBy>酸梅子</cp:lastModifiedBy>
  <dcterms:modified xsi:type="dcterms:W3CDTF">2023-07-12T08:52:56Z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