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富民县文化和旅游局2019年</w:t>
      </w: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hAnsi="黑体" w:eastAsia="方正小标宋简体"/>
          <w:spacing w:val="-20"/>
          <w:sz w:val="44"/>
          <w:szCs w:val="44"/>
          <w:lang w:val="en-US" w:eastAsia="zh-CN"/>
        </w:rPr>
        <w:t>美术馆、图书馆、文化馆（站）免费开放资金</w:t>
      </w:r>
      <w:r>
        <w:rPr>
          <w:rFonts w:hint="eastAsia" w:ascii="方正小标宋简体" w:eastAsia="方正小标宋简体"/>
          <w:sz w:val="44"/>
          <w:szCs w:val="44"/>
        </w:rPr>
        <w:t>项目支出绩效评价报告</w:t>
      </w:r>
    </w:p>
    <w:p>
      <w:pPr>
        <w:keepNext w:val="0"/>
        <w:keepLines w:val="0"/>
        <w:pageBreakBefore w:val="0"/>
        <w:kinsoku/>
        <w:wordWrap/>
        <w:overflowPunct/>
        <w:topLinePunct/>
        <w:autoSpaceDN/>
        <w:bidi w:val="0"/>
        <w:spacing w:line="560" w:lineRule="exact"/>
        <w:ind w:firstLine="800" w:firstLineChars="250"/>
        <w:textAlignment w:val="auto"/>
        <w:rPr>
          <w:rFonts w:ascii="黑体" w:eastAsia="黑体"/>
          <w:sz w:val="32"/>
          <w:szCs w:val="32"/>
        </w:rPr>
      </w:pPr>
    </w:p>
    <w:p>
      <w:pPr>
        <w:keepNext w:val="0"/>
        <w:keepLines w:val="0"/>
        <w:pageBreakBefore w:val="0"/>
        <w:kinsoku/>
        <w:wordWrap/>
        <w:overflowPunct/>
        <w:topLinePunct/>
        <w:autoSpaceDN/>
        <w:bidi w:val="0"/>
        <w:spacing w:line="560" w:lineRule="exact"/>
        <w:ind w:firstLine="640" w:firstLineChars="200"/>
        <w:textAlignment w:val="auto"/>
        <w:rPr>
          <w:rFonts w:ascii="黑体" w:eastAsia="黑体"/>
          <w:sz w:val="32"/>
          <w:szCs w:val="32"/>
        </w:rPr>
      </w:pPr>
      <w:r>
        <w:rPr>
          <w:rFonts w:hint="eastAsia" w:ascii="黑体" w:eastAsia="黑体"/>
          <w:sz w:val="32"/>
          <w:szCs w:val="32"/>
        </w:rPr>
        <w:t>一、项目基本情况</w:t>
      </w:r>
    </w:p>
    <w:p>
      <w:pPr>
        <w:keepNext w:val="0"/>
        <w:keepLines w:val="0"/>
        <w:pageBreakBefore w:val="0"/>
        <w:kinsoku/>
        <w:wordWrap/>
        <w:overflowPunct/>
        <w:topLinePunct/>
        <w:autoSpaceDN/>
        <w:bidi w:val="0"/>
        <w:spacing w:line="560" w:lineRule="exact"/>
        <w:ind w:firstLine="640" w:firstLineChars="200"/>
        <w:textAlignment w:val="auto"/>
        <w:rPr>
          <w:rFonts w:ascii="仿宋_GB2312" w:hAnsi="楷体"/>
          <w:sz w:val="32"/>
          <w:szCs w:val="32"/>
        </w:rPr>
      </w:pPr>
      <w:r>
        <w:rPr>
          <w:rFonts w:hint="eastAsia" w:ascii="仿宋_GB2312" w:hAnsi="楷体"/>
          <w:sz w:val="32"/>
          <w:szCs w:val="32"/>
        </w:rPr>
        <w:t>（一）项目概况。</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1.立项背景及目的</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为进一步推进我县基层公共文化服务运行机制建设，保障广大基层群众的基本文化权益，丰富广大农民群众文化生活，建立公共文化服务统筹协调机制，实现基本公共文化服务均等化，切实保障人民群众基本</w:t>
      </w:r>
      <w:bookmarkStart w:id="0" w:name="_GoBack"/>
      <w:bookmarkEnd w:id="0"/>
      <w:r>
        <w:rPr>
          <w:rFonts w:hint="eastAsia" w:ascii="仿宋_GB2312" w:hAnsi="楷体"/>
          <w:sz w:val="32"/>
          <w:szCs w:val="32"/>
        </w:rPr>
        <w:t>文化权益，准确把握人民群众的精神文化需求，提升公共文化服务品质，优化公共文化资源配置，全面提升公共文化服务水平。</w:t>
      </w:r>
    </w:p>
    <w:p>
      <w:pPr>
        <w:keepNext w:val="0"/>
        <w:keepLines w:val="0"/>
        <w:pageBreakBefore w:val="0"/>
        <w:numPr>
          <w:ilvl w:val="0"/>
          <w:numId w:val="0"/>
        </w:numPr>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lang w:val="en-US" w:eastAsia="zh-CN"/>
        </w:rPr>
        <w:t>2.</w:t>
      </w:r>
      <w:r>
        <w:rPr>
          <w:rFonts w:hint="eastAsia" w:ascii="仿宋_GB2312" w:hAnsi="楷体"/>
          <w:sz w:val="32"/>
          <w:szCs w:val="32"/>
        </w:rPr>
        <w:t>项目实施情况。</w:t>
      </w:r>
    </w:p>
    <w:p>
      <w:pPr>
        <w:keepNext w:val="0"/>
        <w:keepLines w:val="0"/>
        <w:pageBreakBefore w:val="0"/>
        <w:numPr>
          <w:ilvl w:val="0"/>
          <w:numId w:val="0"/>
        </w:numPr>
        <w:kinsoku/>
        <w:wordWrap/>
        <w:overflowPunct/>
        <w:topLinePunct/>
        <w:autoSpaceDN/>
        <w:bidi w:val="0"/>
        <w:spacing w:line="560" w:lineRule="exact"/>
        <w:ind w:firstLine="640" w:firstLineChars="200"/>
        <w:textAlignment w:val="auto"/>
        <w:rPr>
          <w:rFonts w:hint="default" w:ascii="仿宋_GB2312" w:hAnsi="楷体" w:eastAsia="仿宋_GB2312"/>
          <w:sz w:val="32"/>
          <w:szCs w:val="32"/>
          <w:lang w:val="en-US" w:eastAsia="zh-CN"/>
        </w:rPr>
      </w:pPr>
      <w:r>
        <w:rPr>
          <w:rFonts w:hint="eastAsia" w:ascii="仿宋_GB2312" w:hAnsi="楷体"/>
          <w:sz w:val="32"/>
          <w:szCs w:val="32"/>
        </w:rPr>
        <w:t>根据云南省财政厅云南省文化厅转发财政部文化部关于印发《中央补助地方美术馆 公共图书馆 文化馆（站）免费开放专项资金管理暂行办法》的通知（云财教〔2013〕180号）要求，我局结合富民县实际情况，联合县财政局制定了下发了《富民县基层公共文化服务专项资金管理暂行办法》的通知（富文体广旅联发〔2015〕7号），从而使专项资金管理使用的各个环节严格按照制度执行。</w:t>
      </w:r>
    </w:p>
    <w:p>
      <w:pPr>
        <w:keepNext w:val="0"/>
        <w:keepLines w:val="0"/>
        <w:pageBreakBefore w:val="0"/>
        <w:numPr>
          <w:ilvl w:val="0"/>
          <w:numId w:val="0"/>
        </w:numPr>
        <w:kinsoku/>
        <w:wordWrap/>
        <w:overflowPunct/>
        <w:topLinePunct/>
        <w:autoSpaceDN/>
        <w:bidi w:val="0"/>
        <w:spacing w:line="560" w:lineRule="exact"/>
        <w:ind w:leftChars="200"/>
        <w:textAlignment w:val="auto"/>
        <w:rPr>
          <w:rFonts w:hint="eastAsia" w:ascii="仿宋_GB2312" w:hAnsi="楷体"/>
          <w:sz w:val="32"/>
          <w:szCs w:val="32"/>
        </w:rPr>
      </w:pPr>
      <w:r>
        <w:rPr>
          <w:rFonts w:hint="eastAsia" w:ascii="仿宋_GB2312" w:hAnsi="楷体"/>
          <w:sz w:val="32"/>
          <w:szCs w:val="32"/>
          <w:lang w:val="en-US" w:eastAsia="zh-CN"/>
        </w:rPr>
        <w:t>3.</w:t>
      </w:r>
      <w:r>
        <w:rPr>
          <w:rFonts w:hint="eastAsia" w:ascii="仿宋_GB2312" w:hAnsi="楷体"/>
          <w:sz w:val="32"/>
          <w:szCs w:val="32"/>
        </w:rPr>
        <w:t>资金来源及使用情况。</w:t>
      </w:r>
    </w:p>
    <w:p>
      <w:pPr>
        <w:keepNext w:val="0"/>
        <w:keepLines w:val="0"/>
        <w:pageBreakBefore w:val="0"/>
        <w:numPr>
          <w:ilvl w:val="0"/>
          <w:numId w:val="0"/>
        </w:numPr>
        <w:kinsoku/>
        <w:wordWrap/>
        <w:overflowPunct/>
        <w:topLinePunct/>
        <w:autoSpaceDN/>
        <w:bidi w:val="0"/>
        <w:spacing w:line="560" w:lineRule="exact"/>
        <w:ind w:firstLine="640" w:firstLineChars="200"/>
        <w:textAlignment w:val="auto"/>
        <w:rPr>
          <w:rFonts w:hint="eastAsia" w:ascii="仿宋_GB2312" w:hAnsi="楷体"/>
          <w:sz w:val="32"/>
          <w:szCs w:val="32"/>
          <w:lang w:val="en-US" w:eastAsia="zh-CN"/>
        </w:rPr>
      </w:pPr>
      <w:r>
        <w:rPr>
          <w:rFonts w:hint="eastAsia" w:ascii="仿宋_GB2312" w:hAnsi="楷体"/>
          <w:sz w:val="32"/>
          <w:szCs w:val="32"/>
          <w:lang w:val="en-US" w:eastAsia="zh-CN"/>
        </w:rPr>
        <w:t>2019年美术馆、图书馆、文化馆免费开放市级补助资金15万（昆财教[2019]71号）；2019年美术馆、图书馆、文化馆免费开放经费60万（富财预[2019]13号）；2020年免费开放市级配套资金15万（昆财教[2019]305号）</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图书馆、文化馆免费开放中央资金均为16万元，两馆免费开放中央资金共计32万元，由富民县财政局拨付到富民县文旅局后再拨付到县图书馆、文化馆。</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5镇2街道文化站每站4万元，共计2</w:t>
      </w:r>
      <w:r>
        <w:rPr>
          <w:rFonts w:hint="eastAsia" w:ascii="仿宋_GB2312" w:hAnsi="楷体"/>
          <w:sz w:val="32"/>
          <w:szCs w:val="32"/>
          <w:lang w:val="en-US" w:eastAsia="zh-CN"/>
        </w:rPr>
        <w:t>8</w:t>
      </w:r>
      <w:r>
        <w:rPr>
          <w:rFonts w:hint="eastAsia" w:ascii="仿宋_GB2312" w:hAnsi="楷体"/>
          <w:sz w:val="32"/>
          <w:szCs w:val="32"/>
        </w:rPr>
        <w:t>万元。富民县201</w:t>
      </w:r>
      <w:r>
        <w:rPr>
          <w:rFonts w:hint="eastAsia" w:ascii="仿宋_GB2312" w:hAnsi="楷体"/>
          <w:sz w:val="32"/>
          <w:szCs w:val="32"/>
          <w:lang w:val="en-US" w:eastAsia="zh-CN"/>
        </w:rPr>
        <w:t>9</w:t>
      </w:r>
      <w:r>
        <w:rPr>
          <w:rFonts w:hint="eastAsia" w:ascii="仿宋_GB2312" w:hAnsi="楷体"/>
          <w:sz w:val="32"/>
          <w:szCs w:val="32"/>
        </w:rPr>
        <w:t>年文化站所有免费开放资金均用于免费开放项目支出，无截留、挪用、挤占的情况，并按照工作开展情况及时拨付到各镇（街道）文化站。文化站免费开放资金主要用于文化站日常运转、书报更新、文化</w:t>
      </w:r>
      <w:r>
        <w:rPr>
          <w:rFonts w:hint="eastAsia" w:ascii="仿宋_GB2312" w:hAnsi="楷体"/>
          <w:sz w:val="32"/>
          <w:szCs w:val="32"/>
          <w:lang w:val="en-US" w:eastAsia="zh-CN"/>
        </w:rPr>
        <w:t>演出</w:t>
      </w:r>
      <w:r>
        <w:rPr>
          <w:rFonts w:hint="eastAsia" w:ascii="仿宋_GB2312" w:hAnsi="楷体"/>
          <w:sz w:val="32"/>
          <w:szCs w:val="32"/>
        </w:rPr>
        <w:t>活动开展等。</w:t>
      </w:r>
    </w:p>
    <w:p>
      <w:pPr>
        <w:keepNext w:val="0"/>
        <w:keepLines w:val="0"/>
        <w:pageBreakBefore w:val="0"/>
        <w:numPr>
          <w:ilvl w:val="0"/>
          <w:numId w:val="0"/>
        </w:numPr>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lang w:val="en-US" w:eastAsia="zh-CN"/>
        </w:rPr>
        <w:t>4.</w:t>
      </w:r>
      <w:r>
        <w:rPr>
          <w:rFonts w:hint="eastAsia" w:ascii="仿宋_GB2312" w:hAnsi="楷体"/>
          <w:sz w:val="32"/>
          <w:szCs w:val="32"/>
        </w:rPr>
        <w:t>组织及管理情况。</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按照年初资金预算分解落实项目责任，各项日常性工作正常有效开展，对各项支出基本做到了有计划、有督促、有检查、有落实，从而保证了各项工作的完成，在费用支出中，依据</w:t>
      </w:r>
      <w:r>
        <w:rPr>
          <w:rFonts w:hint="eastAsia" w:ascii="仿宋_GB2312" w:hAnsi="楷体"/>
          <w:sz w:val="32"/>
          <w:szCs w:val="32"/>
          <w:lang w:eastAsia="zh-CN"/>
        </w:rPr>
        <w:t>中央八项规定</w:t>
      </w:r>
      <w:r>
        <w:rPr>
          <w:rFonts w:hint="eastAsia" w:ascii="仿宋_GB2312" w:hAnsi="楷体"/>
          <w:sz w:val="32"/>
          <w:szCs w:val="32"/>
        </w:rPr>
        <w:t>及《党政机关厉行节约反对浪费条例》等制度，在保障日常工作的正常有序开展的情况下，做到了资金的节约。</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富民县图书馆、文化馆及各镇（街道）文化站在资金到位后按照年前工作计划，以春节系列文化活动为主题，开展各类展览，培训，演出活动，资金使用率及使用进度达100%。项目资金实行专款专用，专项核算。富民县文旅局在各项资金到位后，均按照各项标准足额拨付到图书馆、文化馆及各镇（街道）文化站，开展公共文化服务相关工作。</w:t>
      </w:r>
    </w:p>
    <w:p>
      <w:pPr>
        <w:keepNext w:val="0"/>
        <w:keepLines w:val="0"/>
        <w:pageBreakBefore w:val="0"/>
        <w:kinsoku/>
        <w:wordWrap/>
        <w:overflowPunct/>
        <w:topLinePunct/>
        <w:autoSpaceDN/>
        <w:bidi w:val="0"/>
        <w:spacing w:line="560" w:lineRule="exact"/>
        <w:ind w:firstLine="640" w:firstLineChars="200"/>
        <w:textAlignment w:val="auto"/>
        <w:rPr>
          <w:rFonts w:ascii="仿宋_GB2312" w:hAnsi="楷体"/>
          <w:sz w:val="32"/>
          <w:szCs w:val="32"/>
        </w:rPr>
      </w:pPr>
      <w:r>
        <w:rPr>
          <w:rFonts w:hint="eastAsia" w:ascii="仿宋_GB2312" w:hAnsi="楷体"/>
          <w:sz w:val="32"/>
          <w:szCs w:val="32"/>
        </w:rPr>
        <w:t>（二）绩效目标。</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1.总目标。</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权益。</w:t>
      </w:r>
    </w:p>
    <w:p>
      <w:pPr>
        <w:keepNext w:val="0"/>
        <w:keepLines w:val="0"/>
        <w:pageBreakBefore w:val="0"/>
        <w:kinsoku/>
        <w:wordWrap/>
        <w:overflowPunct/>
        <w:topLinePunct/>
        <w:autoSpaceDN/>
        <w:bidi w:val="0"/>
        <w:spacing w:line="560" w:lineRule="exact"/>
        <w:ind w:firstLine="640" w:firstLineChars="200"/>
        <w:textAlignment w:val="auto"/>
        <w:rPr>
          <w:rFonts w:ascii="仿宋_GB2312" w:hAnsi="楷体"/>
          <w:sz w:val="32"/>
          <w:szCs w:val="32"/>
        </w:rPr>
      </w:pPr>
      <w:r>
        <w:rPr>
          <w:rFonts w:hint="eastAsia" w:ascii="仿宋_GB2312" w:hAnsi="楷体"/>
          <w:sz w:val="32"/>
          <w:szCs w:val="32"/>
        </w:rPr>
        <w:t>2.年度目标。</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（1）产出目标。</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项目完成数量。平均每村每月放映电影1场次，201</w:t>
      </w:r>
      <w:r>
        <w:rPr>
          <w:rFonts w:hint="eastAsia" w:ascii="仿宋_GB2312" w:hAnsi="楷体"/>
          <w:sz w:val="32"/>
          <w:szCs w:val="32"/>
          <w:lang w:val="en-US" w:eastAsia="zh-CN"/>
        </w:rPr>
        <w:t>9</w:t>
      </w:r>
      <w:r>
        <w:rPr>
          <w:rFonts w:hint="eastAsia" w:ascii="仿宋_GB2312" w:hAnsi="楷体"/>
          <w:sz w:val="32"/>
          <w:szCs w:val="32"/>
        </w:rPr>
        <w:t>年共放映900场，群众文化机构组织文艺活动450场次，镇均演出40场次，公共文化机构平均举办讲座6次，公共文化机构平均组织培训班6次，公共数字文化服务参与率85%，公共文化数字资源建设完成率95%，贫困地区村文化活动室基本文化服务设备使用率95%，对贫困地区乡镇送戏任务完成100%，贫困地区综合性文化服务中心示范项目设备配置符合标准，县级以上公共文化机构从业人员每年参加脱产培训时间平均20天，镇（街道）和村（社区）文化专兼职人员每年参加集中培训时间平均5天。</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项目完成质量。201</w:t>
      </w:r>
      <w:r>
        <w:rPr>
          <w:rFonts w:hint="eastAsia" w:ascii="仿宋_GB2312" w:hAnsi="楷体"/>
          <w:sz w:val="32"/>
          <w:szCs w:val="32"/>
          <w:lang w:val="en-US" w:eastAsia="zh-CN"/>
        </w:rPr>
        <w:t>9</w:t>
      </w:r>
      <w:r>
        <w:rPr>
          <w:rFonts w:hint="eastAsia" w:ascii="仿宋_GB2312" w:hAnsi="楷体"/>
          <w:sz w:val="32"/>
          <w:szCs w:val="32"/>
        </w:rPr>
        <w:t>年，昆明市文</w:t>
      </w:r>
      <w:r>
        <w:rPr>
          <w:rFonts w:hint="eastAsia" w:ascii="仿宋_GB2312" w:hAnsi="楷体"/>
          <w:sz w:val="32"/>
          <w:szCs w:val="32"/>
          <w:lang w:val="en-US" w:eastAsia="zh-CN"/>
        </w:rPr>
        <w:t>旅</w:t>
      </w:r>
      <w:r>
        <w:rPr>
          <w:rFonts w:hint="eastAsia" w:ascii="仿宋_GB2312" w:hAnsi="楷体"/>
          <w:sz w:val="32"/>
          <w:szCs w:val="32"/>
        </w:rPr>
        <w:t>局下达富民县公共文化服务项目指标完成率目标80%，经市文</w:t>
      </w:r>
      <w:r>
        <w:rPr>
          <w:rFonts w:hint="eastAsia" w:ascii="仿宋_GB2312" w:hAnsi="楷体"/>
          <w:sz w:val="32"/>
          <w:szCs w:val="32"/>
          <w:lang w:val="en-US" w:eastAsia="zh-CN"/>
        </w:rPr>
        <w:t>旅</w:t>
      </w:r>
      <w:r>
        <w:rPr>
          <w:rFonts w:hint="eastAsia" w:ascii="仿宋_GB2312" w:hAnsi="楷体"/>
          <w:sz w:val="32"/>
          <w:szCs w:val="32"/>
        </w:rPr>
        <w:t>局考核，201</w:t>
      </w:r>
      <w:r>
        <w:rPr>
          <w:rFonts w:hint="eastAsia" w:ascii="仿宋_GB2312" w:hAnsi="楷体"/>
          <w:sz w:val="32"/>
          <w:szCs w:val="32"/>
          <w:lang w:val="en-US" w:eastAsia="zh-CN"/>
        </w:rPr>
        <w:t>9</w:t>
      </w:r>
      <w:r>
        <w:rPr>
          <w:rFonts w:hint="eastAsia" w:ascii="仿宋_GB2312" w:hAnsi="楷体"/>
          <w:sz w:val="32"/>
          <w:szCs w:val="32"/>
        </w:rPr>
        <w:t>年度富民县公共文化服务项目指标完成率已达标。</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项目实施进度。201</w:t>
      </w:r>
      <w:r>
        <w:rPr>
          <w:rFonts w:hint="eastAsia" w:ascii="仿宋_GB2312" w:hAnsi="楷体"/>
          <w:sz w:val="32"/>
          <w:szCs w:val="32"/>
          <w:lang w:val="en-US" w:eastAsia="zh-CN"/>
        </w:rPr>
        <w:t>9</w:t>
      </w:r>
      <w:r>
        <w:rPr>
          <w:rFonts w:hint="eastAsia" w:ascii="仿宋_GB2312" w:hAnsi="楷体"/>
          <w:sz w:val="32"/>
          <w:szCs w:val="32"/>
        </w:rPr>
        <w:t>年，美术馆、图书馆、文化馆（站）免费开放资金到位率100%。</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项目成本节约情况。201</w:t>
      </w:r>
      <w:r>
        <w:rPr>
          <w:rFonts w:hint="eastAsia" w:ascii="仿宋_GB2312" w:hAnsi="楷体"/>
          <w:sz w:val="32"/>
          <w:szCs w:val="32"/>
          <w:lang w:val="en-US" w:eastAsia="zh-CN"/>
        </w:rPr>
        <w:t>9</w:t>
      </w:r>
      <w:r>
        <w:rPr>
          <w:rFonts w:hint="eastAsia" w:ascii="仿宋_GB2312" w:hAnsi="楷体"/>
          <w:sz w:val="32"/>
          <w:szCs w:val="32"/>
        </w:rPr>
        <w:t>年富民县文旅局按照年初资金预算分解落实项目责任，各项日常性工作正常有效开展，对各项支出基本做到了有计划、有督促、有检查、有落实，从而保证了各项工作的完成。在费用支出中，依据</w:t>
      </w:r>
      <w:r>
        <w:rPr>
          <w:rFonts w:hint="eastAsia" w:ascii="仿宋_GB2312" w:hAnsi="楷体"/>
          <w:sz w:val="32"/>
          <w:szCs w:val="32"/>
          <w:lang w:eastAsia="zh-CN"/>
        </w:rPr>
        <w:t>中央八项规定</w:t>
      </w:r>
      <w:r>
        <w:rPr>
          <w:rFonts w:hint="eastAsia" w:ascii="仿宋_GB2312" w:hAnsi="楷体"/>
          <w:sz w:val="32"/>
          <w:szCs w:val="32"/>
        </w:rPr>
        <w:t>及《党政机关厉行节约反对浪费条例》等制度，在保障日常工作的正常有序开展的情况下，做到了资金的节约。</w:t>
      </w:r>
    </w:p>
    <w:p>
      <w:pPr>
        <w:keepNext w:val="0"/>
        <w:keepLines w:val="0"/>
        <w:pageBreakBefore w:val="0"/>
        <w:kinsoku/>
        <w:wordWrap/>
        <w:overflowPunct/>
        <w:topLinePunct/>
        <w:autoSpaceDN/>
        <w:bidi w:val="0"/>
        <w:spacing w:line="560" w:lineRule="exact"/>
        <w:ind w:firstLine="640" w:firstLineChars="200"/>
        <w:textAlignment w:val="auto"/>
        <w:rPr>
          <w:rFonts w:ascii="仿宋_GB2312" w:hAnsi="楷体"/>
          <w:sz w:val="32"/>
          <w:szCs w:val="32"/>
        </w:rPr>
      </w:pPr>
      <w:r>
        <w:rPr>
          <w:rFonts w:hint="eastAsia" w:ascii="仿宋_GB2312" w:hAnsi="楷体"/>
          <w:sz w:val="32"/>
          <w:szCs w:val="32"/>
        </w:rPr>
        <w:t>（2）效果目标。</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楷体"/>
          <w:sz w:val="32"/>
          <w:szCs w:val="32"/>
        </w:rPr>
        <w:t>（一）</w:t>
      </w:r>
      <w:r>
        <w:rPr>
          <w:rFonts w:hint="eastAsia" w:ascii="仿宋_GB2312" w:hAnsi="仿宋_GB2312"/>
          <w:sz w:val="32"/>
          <w:szCs w:val="32"/>
        </w:rPr>
        <w:t>项目实施的社会效益分析。基层公共文化服务经费保障政策的落实，保障了农村基层群众基本公共文化权益，图书馆、文化馆、文化站（室）全部实现了免费开放，农村文化活动进一步活跃。极大地解决了农村群众看电视难、看电影难、读书读报难、开展活动无、资金、无场地等困难，全县农村业余文艺队300余支，传播着先进文化和交流，促进了民族团结和社会和谐稳定，基层公共文化服务经费不断解决农村文体基础设施薄弱的问题。解决了文化传承人的生活补助、树立了传承民族文化的自信心和自豪感。广播电视综合人口覆盖率达到99%，国民体质有效改善。</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项目实施的可持续影响分析。通过实施基层公共文化服务建设，坚持以政府为主导、以公共财政为支撑、以全民为服务对象、以基层为重点，通过完善我县基层公共文化服务体系，实施基本公共文化服务项目，建立健全基层公共文化服务运行机制，形成设施基本完善、布局基本合理、内容丰富、质量优质、保障充分的基层公共文化服务新格局。我县城乡公共文化服务水平差距明显缩小，文化建设协调发展，初步实现基本公共文化服务均等化。今后要与经济社会发展水平相适宜，进一步健全基层公共文化服务体系和运行机制，丰富服务内容，提高服务水平，更多更好地保障人民群众的基本文化权益。</w:t>
      </w:r>
    </w:p>
    <w:p>
      <w:pPr>
        <w:keepNext w:val="0"/>
        <w:keepLines w:val="0"/>
        <w:pageBreakBefore w:val="0"/>
        <w:kinsoku/>
        <w:wordWrap/>
        <w:overflowPunct/>
        <w:topLinePunct/>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二、绩效评价工作情况</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（一）阐述的主要内容</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项目实施的社会效益分析。基层公共文化服务经费保障政策的落实，保障了农村基层群众基本公共文化权益，图书馆、文化馆、文化站（室）全部实现了免费开放，农村文化活动进一步活跃。极大地解决了农村群众看电视难、看电影难、读书读报难、开展活动无、资金、无场地等困难，全县农村业余文艺队300余支，传播着先进文化和交流，促进了民族团结和社会和谐稳定，基层公共文化服务经费不断解决农村文体基础设施薄弱的问题。解决了文化传承人的生活补助、树立了传承民族文化的自信心和自豪感。</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项目实施的可持续影响分析。通过实施基层公共文化服务建设，坚持以政府为主导、以公共财政为支撑、以全民为服务对象、以基层为重点，通过完善我县基层公共文化服务体系，实施基本公共文化服务项目，建立健全基层公共文化服务运行机制，形成设施基本完善、布局基本合理、内容丰富、质量优质、保障充分的基层公共文化服务新格局。我县城乡公共文化服务水平差距明显缩小，文化建设协调发展，初步实现基本公共文化服务均等化。今后要与经济社会发展水平相适宜，进一步健全基层公共文化服务体系和运行机制，丰富服务内容，提高服务水平，更多更好地保障人民群众的基本文化权益。</w:t>
      </w:r>
    </w:p>
    <w:p>
      <w:pPr>
        <w:keepNext w:val="0"/>
        <w:keepLines w:val="0"/>
        <w:pageBreakBefore w:val="0"/>
        <w:kinsoku/>
        <w:wordWrap/>
        <w:overflowPunct/>
        <w:topLinePunct/>
        <w:autoSpaceDN/>
        <w:bidi w:val="0"/>
        <w:spacing w:line="560" w:lineRule="exact"/>
        <w:ind w:firstLine="640" w:firstLineChars="200"/>
        <w:textAlignment w:val="auto"/>
        <w:rPr>
          <w:rFonts w:ascii="仿宋_GB2312" w:hAnsi="楷体"/>
          <w:sz w:val="32"/>
          <w:szCs w:val="32"/>
        </w:rPr>
      </w:pPr>
      <w:r>
        <w:rPr>
          <w:rFonts w:hint="eastAsia" w:ascii="仿宋_GB2312" w:hAnsi="楷体"/>
          <w:sz w:val="32"/>
          <w:szCs w:val="32"/>
        </w:rPr>
        <w:t>（二）绩效评价原则、评价方法</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1.绩效评价原则。</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科学规范原则。绩效评价工作严格执行规定的程序，按照科学可行的要求，采用定量分析与定性分析相结合的方法对项目资金进行评价。</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公正公开原则。绩效评价符合真实、客观、公正的要求，依法公开并接受监督。</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分级分类原则。绩效评价由富民县财政局、富民县文旅局根据评价对象的特点分类组织实施相关工作。</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绩效相关原则。绩效评价针对201</w:t>
      </w:r>
      <w:r>
        <w:rPr>
          <w:rFonts w:hint="eastAsia" w:ascii="仿宋_GB2312" w:hAnsi="楷体"/>
          <w:sz w:val="32"/>
          <w:szCs w:val="32"/>
          <w:lang w:val="en-US" w:eastAsia="zh-CN"/>
        </w:rPr>
        <w:t>9</w:t>
      </w:r>
      <w:r>
        <w:rPr>
          <w:rFonts w:hint="eastAsia" w:ascii="仿宋_GB2312" w:hAnsi="楷体"/>
          <w:sz w:val="32"/>
          <w:szCs w:val="32"/>
        </w:rPr>
        <w:t>年图书馆、文化馆（站）的具体支出及其产出绩效进行，评价结果清晰反映支出和产出绩效之间的紧密对应关系。</w:t>
      </w:r>
    </w:p>
    <w:p>
      <w:pPr>
        <w:keepNext w:val="0"/>
        <w:keepLines w:val="0"/>
        <w:pageBreakBefore w:val="0"/>
        <w:numPr>
          <w:ilvl w:val="0"/>
          <w:numId w:val="0"/>
        </w:numPr>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lang w:val="en-US" w:eastAsia="zh-CN"/>
        </w:rPr>
        <w:t>2.</w:t>
      </w:r>
      <w:r>
        <w:rPr>
          <w:rFonts w:hint="eastAsia" w:ascii="仿宋_GB2312" w:hAnsi="楷体"/>
          <w:sz w:val="32"/>
          <w:szCs w:val="32"/>
        </w:rPr>
        <w:t>绩效评价方法。</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绩效评价工作严格执行规定的程序，按照科学可行的要求，采用定量分析与定性分析相结合的方法对免费开放资金进行评价。</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建立经费保障机制。县财政局将支持免费开放工作与建立公益性文化事业单位经费保障机制紧密结合，确保两馆一站免费开放正常运行并提供基本公共文化服务。</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加强督促考核、宣传引导。我局联合县财政局对照免费开放基本内容、目标和服务标准，对两馆一站进行了督促检查和考评，并结合考评结果，划拨免费开放专项资金。同时我局还利用各类媒体进行免费开放的宣传工作，利用两馆一站的橱窗、宣传栏进行宣传，切实提高了免费开放工作社会知晓率，为免费开放工作营造了良好的社会氛围。</w:t>
      </w:r>
    </w:p>
    <w:p>
      <w:pPr>
        <w:keepNext w:val="0"/>
        <w:keepLines w:val="0"/>
        <w:pageBreakBefore w:val="0"/>
        <w:kinsoku/>
        <w:wordWrap/>
        <w:overflowPunct/>
        <w:topLinePunct/>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三、评价结论</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
          <w:sz w:val="32"/>
          <w:szCs w:val="32"/>
        </w:rPr>
      </w:pPr>
      <w:r>
        <w:rPr>
          <w:rFonts w:hint="eastAsia" w:ascii="仿宋_GB2312" w:hAnsi="仿宋"/>
          <w:sz w:val="32"/>
          <w:szCs w:val="32"/>
        </w:rPr>
        <w:t>（一）评价结果。</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绩效评价工作严格执行规定的程序，按照科学可行的要求，采用定量分析与定性分析相结合的方法对免费开放资金进行评价。</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_GB2312"/>
          <w:sz w:val="32"/>
          <w:szCs w:val="32"/>
        </w:rPr>
      </w:pPr>
      <w:r>
        <w:rPr>
          <w:rFonts w:hint="eastAsia" w:ascii="仿宋_GB2312" w:hAnsi="仿宋_GB2312"/>
          <w:sz w:val="32"/>
          <w:szCs w:val="32"/>
        </w:rPr>
        <w:t>建立经费保障机制。县财政局将支持免费开放工作与建立公益性文化事业单位经费保障机制紧密结合，确保两馆一站免费开放正常运行并提供基本公共文化服务。</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仿宋"/>
          <w:sz w:val="32"/>
          <w:szCs w:val="32"/>
        </w:rPr>
      </w:pPr>
      <w:r>
        <w:rPr>
          <w:rFonts w:hint="eastAsia" w:ascii="仿宋_GB2312" w:hAnsi="仿宋_GB2312"/>
          <w:sz w:val="32"/>
          <w:szCs w:val="32"/>
        </w:rPr>
        <w:t>加强督促考核、宣传引导。我局联合县财政局对照免费开放基本内容、目标和服务标准，对两馆一站进行了督促检查和考评，并结合考评结果，划拨免费开放专项资金。同时我局还利用各类媒体进行免费开放的宣传工作，利用两馆一站的橱窗、宣传栏进行宣传，切实提高了免费开放工作社会知晓率，为免费开放工作营造了良好的社会氛围。</w:t>
      </w:r>
    </w:p>
    <w:p>
      <w:pPr>
        <w:keepNext w:val="0"/>
        <w:keepLines w:val="0"/>
        <w:pageBreakBefore w:val="0"/>
        <w:numPr>
          <w:ilvl w:val="0"/>
          <w:numId w:val="1"/>
        </w:numPr>
        <w:kinsoku/>
        <w:wordWrap/>
        <w:overflowPunct/>
        <w:topLinePunct/>
        <w:autoSpaceDN/>
        <w:bidi w:val="0"/>
        <w:spacing w:line="560" w:lineRule="exact"/>
        <w:ind w:left="480" w:leftChars="0" w:firstLine="160" w:firstLineChars="50"/>
        <w:textAlignment w:val="auto"/>
        <w:rPr>
          <w:rFonts w:hint="eastAsia" w:ascii="仿宋_GB2312" w:hAnsi="仿宋"/>
          <w:sz w:val="32"/>
          <w:szCs w:val="32"/>
        </w:rPr>
      </w:pPr>
      <w:r>
        <w:rPr>
          <w:rFonts w:hint="eastAsia" w:ascii="仿宋_GB2312" w:hAnsi="仿宋"/>
          <w:sz w:val="32"/>
          <w:szCs w:val="32"/>
        </w:rPr>
        <w:t>主要绩效。</w:t>
      </w:r>
    </w:p>
    <w:p>
      <w:pPr>
        <w:keepNext w:val="0"/>
        <w:keepLines w:val="0"/>
        <w:pageBreakBefore w:val="0"/>
        <w:kinsoku/>
        <w:wordWrap/>
        <w:overflowPunct/>
        <w:autoSpaceDN/>
        <w:bidi w:val="0"/>
        <w:adjustRightInd w:val="0"/>
        <w:snapToGrid w:val="0"/>
        <w:spacing w:line="560" w:lineRule="exact"/>
        <w:ind w:firstLine="640" w:firstLineChars="200"/>
        <w:textAlignment w:val="auto"/>
        <w:rPr>
          <w:rFonts w:hint="eastAsia" w:ascii="仿宋" w:hAnsi="仿宋" w:eastAsia="仿宋" w:cs="宋体"/>
          <w:color w:val="000000"/>
          <w:sz w:val="32"/>
          <w:szCs w:val="32"/>
        </w:rPr>
      </w:pPr>
      <w:r>
        <w:rPr>
          <w:rFonts w:hint="eastAsia" w:ascii="仿宋_GB2312" w:hAnsi="仿宋"/>
          <w:sz w:val="32"/>
          <w:szCs w:val="32"/>
          <w:lang w:val="en-US" w:eastAsia="zh-CN"/>
        </w:rPr>
        <w:t>1.</w:t>
      </w:r>
      <w:r>
        <w:rPr>
          <w:rFonts w:hint="eastAsia" w:cs="楷体_GB2312"/>
          <w:b w:val="0"/>
          <w:bCs w:val="0"/>
          <w:color w:val="000000"/>
          <w:sz w:val="32"/>
          <w:szCs w:val="32"/>
        </w:rPr>
        <w:t>扎实开展阵地服务工作。</w:t>
      </w:r>
      <w:r>
        <w:rPr>
          <w:rFonts w:hint="eastAsia" w:hAnsi="仿宋" w:cs="宋体"/>
          <w:color w:val="000000"/>
          <w:sz w:val="32"/>
          <w:szCs w:val="32"/>
        </w:rPr>
        <w:t>县图书馆和文化馆</w:t>
      </w:r>
      <w:r>
        <w:rPr>
          <w:rFonts w:hint="eastAsia"/>
          <w:color w:val="000000"/>
          <w:sz w:val="32"/>
          <w:szCs w:val="32"/>
        </w:rPr>
        <w:t>认真按照“以人为本”和公共文化服务均等化的要求</w:t>
      </w:r>
      <w:r>
        <w:rPr>
          <w:rFonts w:hint="eastAsia" w:hAnsi="仿宋" w:cs="宋体"/>
          <w:color w:val="000000"/>
          <w:sz w:val="32"/>
          <w:szCs w:val="32"/>
        </w:rPr>
        <w:t>，适时延长了开放时间，</w:t>
      </w:r>
      <w:r>
        <w:rPr>
          <w:rFonts w:hint="eastAsia"/>
          <w:color w:val="000000"/>
          <w:sz w:val="32"/>
          <w:szCs w:val="32"/>
        </w:rPr>
        <w:t>开展好阵地服务</w:t>
      </w:r>
      <w:r>
        <w:rPr>
          <w:rFonts w:hint="eastAsia" w:hAnsi="宋体" w:cs="宋体"/>
          <w:color w:val="000000"/>
          <w:sz w:val="32"/>
          <w:szCs w:val="32"/>
        </w:rPr>
        <w:t>。县图书馆共订购报208种，收集地方文献11种28册，整理装订过期报刊518余册，馆藏纸质文献达4.6万册，电子文献达6万余册，接待到馆读者53213人次，报刊阅览人数11392人次，电子阅览室人数9821人次，外借书刊19887册次，办理借书证61本，解答咨询1213条。</w:t>
      </w:r>
      <w:r>
        <w:rPr>
          <w:rFonts w:hint="eastAsia" w:ascii="仿宋" w:hAnsi="仿宋" w:eastAsia="仿宋" w:cs="楷体_GB2312"/>
          <w:color w:val="000000"/>
          <w:sz w:val="32"/>
          <w:szCs w:val="32"/>
        </w:rPr>
        <w:t>年内，</w:t>
      </w:r>
      <w:r>
        <w:rPr>
          <w:rFonts w:hint="eastAsia" w:ascii="仿宋" w:hAnsi="仿宋" w:eastAsia="仿宋" w:cs="宋体"/>
          <w:color w:val="000000"/>
          <w:sz w:val="32"/>
          <w:szCs w:val="32"/>
        </w:rPr>
        <w:t>全县各镇（街道）</w:t>
      </w:r>
      <w:r>
        <w:rPr>
          <w:rFonts w:hint="eastAsia" w:ascii="仿宋" w:hAnsi="仿宋" w:eastAsia="仿宋"/>
          <w:color w:val="000000"/>
          <w:sz w:val="32"/>
          <w:szCs w:val="32"/>
        </w:rPr>
        <w:t>文化站的功能设施和服务均实现免费开放，功能设置包括图书室、电子阅览室、多功能厅、展览室、排练室、娱乐室、室外场地、文化宣传栏等，开放时间每周不低于59小时。</w:t>
      </w:r>
    </w:p>
    <w:p>
      <w:pPr>
        <w:keepNext w:val="0"/>
        <w:keepLines w:val="0"/>
        <w:pageBreakBefore w:val="0"/>
        <w:kinsoku/>
        <w:wordWrap/>
        <w:overflowPunct/>
        <w:autoSpaceDN/>
        <w:bidi w:val="0"/>
        <w:adjustRightInd w:val="0"/>
        <w:snapToGrid w:val="0"/>
        <w:spacing w:line="560" w:lineRule="exact"/>
        <w:ind w:firstLine="640" w:firstLineChars="200"/>
        <w:jc w:val="left"/>
        <w:textAlignment w:val="auto"/>
        <w:rPr>
          <w:rFonts w:hint="eastAsia" w:hAnsi="Calibri" w:cs="黑体"/>
          <w:b/>
          <w:color w:val="000000"/>
          <w:sz w:val="32"/>
          <w:szCs w:val="32"/>
        </w:rPr>
      </w:pPr>
      <w:r>
        <w:rPr>
          <w:rFonts w:hint="eastAsia" w:cs="黑体"/>
          <w:b w:val="0"/>
          <w:bCs w:val="0"/>
          <w:color w:val="000000"/>
          <w:sz w:val="32"/>
          <w:szCs w:val="32"/>
          <w:lang w:val="en-US" w:eastAsia="zh-CN"/>
        </w:rPr>
        <w:t>2</w:t>
      </w:r>
      <w:r>
        <w:rPr>
          <w:rFonts w:hint="eastAsia" w:cs="黑体"/>
          <w:b w:val="0"/>
          <w:bCs w:val="0"/>
          <w:color w:val="000000"/>
          <w:sz w:val="32"/>
          <w:szCs w:val="32"/>
        </w:rPr>
        <w:t>.繁荣丰富群众文艺活动</w:t>
      </w:r>
      <w:r>
        <w:rPr>
          <w:rFonts w:hint="eastAsia"/>
          <w:b w:val="0"/>
          <w:bCs w:val="0"/>
          <w:color w:val="000000"/>
          <w:sz w:val="32"/>
          <w:szCs w:val="32"/>
        </w:rPr>
        <w:t>。</w:t>
      </w:r>
      <w:r>
        <w:rPr>
          <w:rFonts w:hint="eastAsia" w:hAnsi="Calibri"/>
          <w:color w:val="000000"/>
          <w:sz w:val="32"/>
          <w:szCs w:val="32"/>
        </w:rPr>
        <w:t>举办了元旦、春节、三下乡、元宵节、苗族农民歌手音乐会、“三八节”文艺演出、“阳光下成长”富民县第三十届学生艺术节 2019“我们的节日</w:t>
      </w:r>
      <w:r>
        <w:rPr>
          <w:rFonts w:hint="eastAsia" w:ascii="微软雅黑" w:hAnsi="微软雅黑" w:eastAsia="微软雅黑"/>
          <w:color w:val="000000"/>
          <w:sz w:val="32"/>
          <w:szCs w:val="32"/>
        </w:rPr>
        <w:t>·</w:t>
      </w:r>
      <w:r>
        <w:rPr>
          <w:rFonts w:hint="eastAsia" w:hAnsi="Calibri"/>
          <w:color w:val="000000"/>
          <w:sz w:val="32"/>
          <w:szCs w:val="32"/>
        </w:rPr>
        <w:t>花儿朵朵向太阳”少儿艺术比赛活动、2019中国·富民杨梅文化节系列文艺演出、“我们的节日”端午节文艺演出、云南省杂技团文化大篷车下乡惠民演出、以“传承文化根脉 共筑民族未来”富民县2019年”文化遗产日”展演活动、“庆祝中华人民共和国成立70周年群众合唱比赛”、举办富民县2019年舞韵欢悦新时代-暨丰收节舞动富民广场舞比赛初赛及决赛、传承弘扬中华优秀统文化“我们的节日  庆丰收·迎中秋”专场文艺演出活动；组织参加市总工会“中国梦 劳动美”文艺汇演、扫黑除恶法治宣传文艺巡演活动及传统文化（戏曲）进校园分别在我县各镇街道、学校、企业举办；</w:t>
      </w:r>
      <w:r>
        <w:rPr>
          <w:rFonts w:hint="eastAsia" w:cs="仿宋_GB2312"/>
          <w:sz w:val="32"/>
          <w:szCs w:val="32"/>
        </w:rPr>
        <w:t>组织参加富民县首届农民“丰收节”民俗表演活动、云南省歌舞剧院下乡惠民演出活动等</w:t>
      </w:r>
      <w:r>
        <w:rPr>
          <w:rFonts w:hint="eastAsia" w:hAnsi="Calibri"/>
          <w:color w:val="000000"/>
          <w:sz w:val="32"/>
          <w:szCs w:val="32"/>
        </w:rPr>
        <w:t>大型综合性群众文艺演出活动47场次。组织举办“富民县2019年迎新春美术书法摄影作品展”、联合县书法家协会举办富民文昌书院师生书画展览活动；举办“花儿朵朵向太阳”富民县第六届少儿美术作品展览；联合举办的“家和万事兴—家教家风主题展”、举办“庆祝新中国成立70周年原创歌曲散文诗歌征集活动及美术书法摄影作品展”等11场次作品展览。举办2019年公共数字文化工作及县级文化馆总分馆制建设及基层音响技术人员工作培训班、组织 ”中国梦”广场舞蹈培训班、暑假期间举办少儿书法、美术、素描、葫芦丝、舞蹈培训班、空中大讲堂坛、文化管理人员培训班等12场次免费培训。开展了内容丰富的“世界读书日”、“全民读书月”和图书馆服务宣传周活动，参观人数达3431人次，参与活动人数1249人次。</w:t>
      </w:r>
      <w:r>
        <w:rPr>
          <w:rFonts w:hint="eastAsia" w:hAnsi="Calibri"/>
          <w:sz w:val="32"/>
          <w:szCs w:val="32"/>
        </w:rPr>
        <w:t>完成900场农村电影放映任务和节假日慰问放映180场，受益群众19000人次</w:t>
      </w:r>
      <w:r>
        <w:rPr>
          <w:rFonts w:hint="eastAsia" w:hAnsi="Calibri"/>
          <w:color w:val="000000"/>
          <w:sz w:val="32"/>
          <w:szCs w:val="32"/>
        </w:rPr>
        <w:t>。全年全县各公共文化服务机构组织各类文化活动共计600余场次，完成文化惠民演出47场，保障了广大群众的基本文化权益需求，积极为富民建设营造了良好的文化氛围。</w:t>
      </w:r>
    </w:p>
    <w:p>
      <w:pPr>
        <w:keepNext w:val="0"/>
        <w:keepLines w:val="0"/>
        <w:pageBreakBefore w:val="0"/>
        <w:kinsoku/>
        <w:wordWrap/>
        <w:overflowPunct/>
        <w:autoSpaceDE w:val="0"/>
        <w:autoSpaceDN/>
        <w:bidi w:val="0"/>
        <w:spacing w:line="560" w:lineRule="exact"/>
        <w:ind w:firstLine="640" w:firstLineChars="200"/>
        <w:textAlignment w:val="auto"/>
        <w:rPr>
          <w:rFonts w:hint="eastAsia" w:cs="仿宋_GB2312"/>
          <w:color w:val="000000"/>
          <w:sz w:val="32"/>
          <w:szCs w:val="32"/>
        </w:rPr>
      </w:pPr>
      <w:r>
        <w:rPr>
          <w:rFonts w:hint="eastAsia" w:cs="楷体_GB2312"/>
          <w:b w:val="0"/>
          <w:bCs/>
          <w:color w:val="000000"/>
          <w:sz w:val="32"/>
          <w:szCs w:val="32"/>
          <w:lang w:val="en-US" w:eastAsia="zh-CN"/>
        </w:rPr>
        <w:t>3.</w:t>
      </w:r>
      <w:r>
        <w:rPr>
          <w:rFonts w:hint="eastAsia" w:cs="楷体_GB2312"/>
          <w:b w:val="0"/>
          <w:bCs/>
          <w:color w:val="000000"/>
          <w:sz w:val="32"/>
          <w:szCs w:val="32"/>
        </w:rPr>
        <w:t>文艺精品扶持工程硕果累累</w:t>
      </w:r>
      <w:r>
        <w:rPr>
          <w:rFonts w:hint="eastAsia" w:cs="楷体_GB2312"/>
          <w:b/>
          <w:color w:val="000000"/>
          <w:sz w:val="32"/>
          <w:szCs w:val="32"/>
        </w:rPr>
        <w:t>。</w:t>
      </w:r>
      <w:r>
        <w:rPr>
          <w:rFonts w:hint="eastAsia" w:cs="仿宋_GB2312"/>
          <w:color w:val="000000"/>
          <w:sz w:val="32"/>
          <w:szCs w:val="32"/>
        </w:rPr>
        <w:t>积极参加省、市安排的“春城文化节”活动、昆明市“我们的节日</w:t>
      </w:r>
      <w:r>
        <w:rPr>
          <w:rFonts w:hint="eastAsia" w:ascii="微软雅黑" w:hAnsi="微软雅黑" w:eastAsia="微软雅黑" w:cs="仿宋_GB2312"/>
          <w:color w:val="000000"/>
          <w:sz w:val="32"/>
          <w:szCs w:val="32"/>
        </w:rPr>
        <w:t>·</w:t>
      </w:r>
      <w:r>
        <w:rPr>
          <w:rFonts w:hint="eastAsia" w:cs="仿宋_GB2312"/>
          <w:color w:val="000000"/>
          <w:sz w:val="32"/>
          <w:szCs w:val="32"/>
        </w:rPr>
        <w:t>花儿朵朵向太阳”少儿艺术比赛，节目《秀》荣获“十佳节目”奖及优秀组织奖；组织12件美术作品参加“昆明市庆祝改革开放40周年暨迎接2019年元旦美术、书法、摄影优秀作品展”、组织20件美术作品、1件书法作品参加县纪委选送昆明市纪委书法美术作品展览、组织水彩画作品7件参加广西北海市文化馆和昆明市文化馆联合举办的“丝路北海·魅力春城”水彩画展览活动、组织美术作品5件参加云南省“劳动美”云南省职工美术书法摄影作品展览；</w:t>
      </w:r>
      <w:r>
        <w:rPr>
          <w:rFonts w:hint="eastAsia"/>
          <w:sz w:val="32"/>
          <w:szCs w:val="32"/>
        </w:rPr>
        <w:t>参加昆明市</w:t>
      </w:r>
      <w:r>
        <w:rPr>
          <w:rFonts w:hint="eastAsia" w:hAnsi="宋体"/>
          <w:sz w:val="32"/>
          <w:szCs w:val="32"/>
        </w:rPr>
        <w:t>“我和我的祖国”红色经典诵读比赛，节目《中国报告》荣获二等奖和优秀组织奖、参加昆明市总工会“中国梦 劳动美”文艺汇演荣获三等奖。</w:t>
      </w:r>
    </w:p>
    <w:p>
      <w:pPr>
        <w:keepNext w:val="0"/>
        <w:keepLines w:val="0"/>
        <w:pageBreakBefore w:val="0"/>
        <w:kinsoku/>
        <w:wordWrap/>
        <w:overflowPunct/>
        <w:autoSpaceDE w:val="0"/>
        <w:autoSpaceDN/>
        <w:bidi w:val="0"/>
        <w:spacing w:line="560" w:lineRule="exact"/>
        <w:ind w:firstLine="640" w:firstLineChars="200"/>
        <w:textAlignment w:val="auto"/>
        <w:rPr>
          <w:rFonts w:hint="eastAsia" w:cs="楷体_GB2312"/>
          <w:bCs/>
          <w:sz w:val="32"/>
          <w:szCs w:val="32"/>
        </w:rPr>
      </w:pPr>
      <w:r>
        <w:rPr>
          <w:rFonts w:hint="eastAsia" w:cs="楷体_GB2312"/>
          <w:b w:val="0"/>
          <w:bCs/>
          <w:sz w:val="32"/>
          <w:szCs w:val="32"/>
          <w:lang w:val="en-US" w:eastAsia="zh-CN"/>
        </w:rPr>
        <w:t>4</w:t>
      </w:r>
      <w:r>
        <w:rPr>
          <w:rFonts w:hint="eastAsia" w:cs="楷体_GB2312"/>
          <w:b w:val="0"/>
          <w:bCs/>
          <w:sz w:val="32"/>
          <w:szCs w:val="32"/>
        </w:rPr>
        <w:t>.文化资源保护与开发工作卓有成效。</w:t>
      </w:r>
      <w:r>
        <w:rPr>
          <w:rFonts w:hint="eastAsia" w:cs="楷体_GB2312"/>
          <w:bCs/>
          <w:sz w:val="32"/>
          <w:szCs w:val="32"/>
        </w:rPr>
        <w:t>一是非物质文化遗产保护亮点频现。2019年为加强非物质文化遗产保护工作，年内完成两次非遗进校园展览活动、全国非物质文化遗产日非遗演出及宣传展示活动、完成苗族叙事长诗《红昭和饶觉席那》书籍3次改稿及档案建设工作、完善申报市级非遗保护名录相关资料工作。</w:t>
      </w:r>
    </w:p>
    <w:p>
      <w:pPr>
        <w:keepNext w:val="0"/>
        <w:keepLines w:val="0"/>
        <w:pageBreakBefore w:val="0"/>
        <w:kinsoku/>
        <w:wordWrap/>
        <w:overflowPunct/>
        <w:autoSpaceDE w:val="0"/>
        <w:autoSpaceDN/>
        <w:bidi w:val="0"/>
        <w:spacing w:line="560" w:lineRule="exact"/>
        <w:ind w:firstLine="640" w:firstLineChars="200"/>
        <w:textAlignment w:val="auto"/>
        <w:rPr>
          <w:rFonts w:hint="eastAsia" w:cs="楷体_GB2312"/>
          <w:bCs/>
          <w:sz w:val="32"/>
          <w:szCs w:val="32"/>
        </w:rPr>
      </w:pPr>
      <w:r>
        <w:rPr>
          <w:rFonts w:hint="eastAsia" w:cs="楷体_GB2312"/>
          <w:bCs/>
          <w:sz w:val="32"/>
          <w:szCs w:val="32"/>
        </w:rPr>
        <w:t>二是根据国家《文物保护法》的有关规定，于2019年2月份公布为第八批省级文物保护单位，筹集资金100万对富民文庙大殿、左右厢房进行布展，作为富民县博物馆基本陈列展览室，宣传儒家文化；为切实做好2019年我县文物保护单位的保护利用工作，按照我县文物事业利用计划和“保护为主、抢救第一、合理利用、加强管理”的文物工作方针，昆明市财政局、昆明市文化和旅游局下拨了“2019年市级文物保护单位消防补助经费52630元，2019年文物巡查补助经费22440元”共计75070元用于文物工作；上报了滇川驿道三村段、束刻上村万寿庵、三村清真寺为昆明市第七批市级文物保护单位，待昆明市人民政府公布；在各大节日前后、每个月都安排专人对我县辖区内的44项文物保护单位进行了安防抽查和整治，每季度还联合消防队人员进行联合检查。通过巡查，对各级文物保护单位的生产生活用电、易燃易爆物品堆放储存、电器线路安装铺设、用电设备使用、吸烟燃香烧纸、燃放烟花炮竹、乱刻乱画等安全隐患进行细致排查。对发现问题的文物保护单位，都现场进行了整改，分别在富民文庙后殿、李资树魁阁、款庄白龙寺内建设消防水池，无条件建设消防水池并按要求放置储水缸；文物知识走进行知中学进行“5▪18国际博物馆日”宣传活动，发放资料5000份。</w:t>
      </w:r>
    </w:p>
    <w:p>
      <w:pPr>
        <w:keepNext w:val="0"/>
        <w:keepLines w:val="0"/>
        <w:pageBreakBefore w:val="0"/>
        <w:numPr>
          <w:ilvl w:val="0"/>
          <w:numId w:val="0"/>
        </w:numPr>
        <w:kinsoku/>
        <w:wordWrap/>
        <w:overflowPunct/>
        <w:topLinePunct/>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成本效益分析。</w:t>
      </w:r>
    </w:p>
    <w:p>
      <w:pPr>
        <w:pStyle w:val="8"/>
        <w:keepNext w:val="0"/>
        <w:keepLines w:val="0"/>
        <w:pageBreakBefore w:val="0"/>
        <w:widowControl/>
        <w:kinsoku/>
        <w:wordWrap/>
        <w:overflowPunct/>
        <w:autoSpaceDN/>
        <w:bidi w:val="0"/>
        <w:spacing w:line="560" w:lineRule="exact"/>
        <w:ind w:firstLine="640" w:firstLineChars="200"/>
        <w:textAlignment w:val="auto"/>
        <w:rPr>
          <w:rStyle w:val="9"/>
          <w:rFonts w:hAnsi="仿宋_GB2312"/>
          <w:sz w:val="32"/>
          <w:szCs w:val="32"/>
        </w:rPr>
      </w:pPr>
      <w:r>
        <w:rPr>
          <w:rStyle w:val="9"/>
          <w:rFonts w:hint="eastAsia" w:hAnsi="仿宋_GB2312"/>
          <w:sz w:val="32"/>
          <w:szCs w:val="32"/>
        </w:rPr>
        <w:t>（</w:t>
      </w:r>
      <w:r>
        <w:rPr>
          <w:rStyle w:val="9"/>
          <w:rFonts w:hAnsi="仿宋_GB2312"/>
          <w:sz w:val="32"/>
          <w:szCs w:val="32"/>
        </w:rPr>
        <w:t>1</w:t>
      </w:r>
      <w:r>
        <w:rPr>
          <w:rStyle w:val="9"/>
          <w:rFonts w:hint="eastAsia" w:hAnsi="仿宋_GB2312"/>
          <w:sz w:val="32"/>
          <w:szCs w:val="32"/>
        </w:rPr>
        <w:t>）项目完成数量。公共文化设施人均拥有藏书</w:t>
      </w:r>
      <w:r>
        <w:rPr>
          <w:rStyle w:val="9"/>
          <w:rFonts w:hAnsi="仿宋_GB2312"/>
          <w:sz w:val="32"/>
          <w:szCs w:val="32"/>
        </w:rPr>
        <w:tab/>
      </w:r>
      <w:r>
        <w:rPr>
          <w:rStyle w:val="9"/>
          <w:rFonts w:hint="eastAsia" w:hAnsi="仿宋_GB2312"/>
          <w:sz w:val="32"/>
          <w:szCs w:val="32"/>
        </w:rPr>
        <w:t>量为</w:t>
      </w:r>
      <w:r>
        <w:rPr>
          <w:rStyle w:val="9"/>
          <w:rFonts w:hAnsi="仿宋_GB2312"/>
          <w:sz w:val="32"/>
          <w:szCs w:val="32"/>
        </w:rPr>
        <w:t>0.</w:t>
      </w:r>
      <w:r>
        <w:rPr>
          <w:rStyle w:val="9"/>
          <w:rFonts w:hint="eastAsia" w:hAnsi="仿宋_GB2312"/>
          <w:sz w:val="32"/>
          <w:szCs w:val="32"/>
        </w:rPr>
        <w:t>5册，平均每村每月放映电影</w:t>
      </w:r>
      <w:r>
        <w:rPr>
          <w:rStyle w:val="9"/>
          <w:rFonts w:hAnsi="仿宋_GB2312"/>
          <w:sz w:val="32"/>
          <w:szCs w:val="32"/>
        </w:rPr>
        <w:t>1</w:t>
      </w:r>
      <w:r>
        <w:rPr>
          <w:rStyle w:val="9"/>
          <w:rFonts w:hint="eastAsia" w:hAnsi="仿宋_GB2312"/>
          <w:sz w:val="32"/>
          <w:szCs w:val="32"/>
        </w:rPr>
        <w:t>场次，完成900场农村电影放映任务和节假日慰问放映180场，受益群众19000人次。全年全县各公共文化服务机构组织各类文化活动共计600余场次，完成文化惠民演出47场，保障了广大群众的基本文化权益需求，积极为富民建设营造了良好的文化氛围。贫困地区村文化活动室基本文化服务设备使用率</w:t>
      </w:r>
      <w:r>
        <w:rPr>
          <w:rStyle w:val="9"/>
          <w:rFonts w:hAnsi="仿宋_GB2312"/>
          <w:sz w:val="32"/>
          <w:szCs w:val="32"/>
        </w:rPr>
        <w:t>95%</w:t>
      </w:r>
      <w:r>
        <w:rPr>
          <w:rStyle w:val="9"/>
          <w:rFonts w:hint="eastAsia" w:hAnsi="仿宋_GB2312"/>
          <w:sz w:val="32"/>
          <w:szCs w:val="32"/>
        </w:rPr>
        <w:t>，对贫困地区乡镇送戏任务完成</w:t>
      </w:r>
      <w:r>
        <w:rPr>
          <w:rStyle w:val="9"/>
          <w:rFonts w:hAnsi="仿宋_GB2312"/>
          <w:sz w:val="32"/>
          <w:szCs w:val="32"/>
        </w:rPr>
        <w:t>100%</w:t>
      </w:r>
      <w:r>
        <w:rPr>
          <w:rStyle w:val="9"/>
          <w:rFonts w:hint="eastAsia" w:hAnsi="仿宋_GB2312"/>
          <w:sz w:val="32"/>
          <w:szCs w:val="32"/>
        </w:rPr>
        <w:t>，贫困地区综合性文化服务中心示范项目设备配置符合标准，县级以上公共文化机构从业人员每年参加脱产培训时间平均</w:t>
      </w:r>
      <w:r>
        <w:rPr>
          <w:rStyle w:val="9"/>
          <w:rFonts w:hAnsi="仿宋_GB2312"/>
          <w:sz w:val="32"/>
          <w:szCs w:val="32"/>
        </w:rPr>
        <w:t>20</w:t>
      </w:r>
      <w:r>
        <w:rPr>
          <w:rStyle w:val="9"/>
          <w:rFonts w:hint="eastAsia" w:hAnsi="仿宋_GB2312"/>
          <w:sz w:val="32"/>
          <w:szCs w:val="32"/>
        </w:rPr>
        <w:t>天，乡镇（街道）和村（社区）文化专兼职人员每年参加集中培训时间平均5天。</w:t>
      </w:r>
    </w:p>
    <w:p>
      <w:pPr>
        <w:pStyle w:val="8"/>
        <w:keepNext w:val="0"/>
        <w:keepLines w:val="0"/>
        <w:pageBreakBefore w:val="0"/>
        <w:widowControl/>
        <w:kinsoku/>
        <w:wordWrap/>
        <w:overflowPunct/>
        <w:autoSpaceDN/>
        <w:bidi w:val="0"/>
        <w:spacing w:line="560" w:lineRule="exact"/>
        <w:ind w:firstLine="640" w:firstLineChars="200"/>
        <w:jc w:val="both"/>
        <w:textAlignment w:val="auto"/>
        <w:rPr>
          <w:rStyle w:val="9"/>
          <w:rFonts w:hAnsi="仿宋_GB2312"/>
          <w:sz w:val="32"/>
          <w:szCs w:val="32"/>
        </w:rPr>
      </w:pPr>
      <w:r>
        <w:rPr>
          <w:rStyle w:val="9"/>
          <w:rFonts w:hint="eastAsia" w:hAnsi="仿宋_GB2312"/>
          <w:sz w:val="32"/>
          <w:szCs w:val="32"/>
        </w:rPr>
        <w:t>（</w:t>
      </w:r>
      <w:r>
        <w:rPr>
          <w:rStyle w:val="9"/>
          <w:rFonts w:hAnsi="仿宋_GB2312"/>
          <w:sz w:val="32"/>
          <w:szCs w:val="32"/>
        </w:rPr>
        <w:t>2</w:t>
      </w:r>
      <w:r>
        <w:rPr>
          <w:rStyle w:val="9"/>
          <w:rFonts w:hint="eastAsia" w:hAnsi="仿宋_GB2312"/>
          <w:sz w:val="32"/>
          <w:szCs w:val="32"/>
        </w:rPr>
        <w:t>）项目完成质量。</w:t>
      </w:r>
      <w:r>
        <w:rPr>
          <w:rStyle w:val="9"/>
          <w:rFonts w:hAnsi="仿宋_GB2312"/>
          <w:sz w:val="32"/>
          <w:szCs w:val="32"/>
        </w:rPr>
        <w:t>201</w:t>
      </w:r>
      <w:r>
        <w:rPr>
          <w:rStyle w:val="9"/>
          <w:rFonts w:hint="eastAsia" w:hAnsi="仿宋_GB2312" w:eastAsia="仿宋_GB2312"/>
          <w:sz w:val="32"/>
          <w:szCs w:val="32"/>
          <w:lang w:val="en-US" w:eastAsia="zh-CN"/>
        </w:rPr>
        <w:t>9</w:t>
      </w:r>
      <w:r>
        <w:rPr>
          <w:rStyle w:val="9"/>
          <w:rFonts w:hint="eastAsia" w:hAnsi="仿宋_GB2312"/>
          <w:sz w:val="32"/>
          <w:szCs w:val="32"/>
        </w:rPr>
        <w:t>年，昆明市文旅局下达富民县公共文化服务项目指标完成率目标100</w:t>
      </w:r>
      <w:r>
        <w:rPr>
          <w:rStyle w:val="9"/>
          <w:rFonts w:hAnsi="仿宋_GB2312"/>
          <w:sz w:val="32"/>
          <w:szCs w:val="32"/>
        </w:rPr>
        <w:t>%</w:t>
      </w:r>
      <w:r>
        <w:rPr>
          <w:rStyle w:val="9"/>
          <w:rFonts w:hint="eastAsia" w:hAnsi="仿宋_GB2312"/>
          <w:sz w:val="32"/>
          <w:szCs w:val="32"/>
        </w:rPr>
        <w:t>，经市文</w:t>
      </w:r>
      <w:r>
        <w:rPr>
          <w:rStyle w:val="9"/>
          <w:rFonts w:hint="eastAsia" w:hAnsi="仿宋_GB2312" w:eastAsia="仿宋_GB2312"/>
          <w:sz w:val="32"/>
          <w:szCs w:val="32"/>
          <w:lang w:val="en-US" w:eastAsia="zh-CN"/>
        </w:rPr>
        <w:t>旅</w:t>
      </w:r>
      <w:r>
        <w:rPr>
          <w:rStyle w:val="9"/>
          <w:rFonts w:hint="eastAsia" w:hAnsi="仿宋_GB2312"/>
          <w:sz w:val="32"/>
          <w:szCs w:val="32"/>
        </w:rPr>
        <w:t>局考核，</w:t>
      </w:r>
      <w:r>
        <w:rPr>
          <w:rStyle w:val="9"/>
          <w:rFonts w:hAnsi="仿宋_GB2312"/>
          <w:sz w:val="32"/>
          <w:szCs w:val="32"/>
        </w:rPr>
        <w:t>201</w:t>
      </w:r>
      <w:r>
        <w:rPr>
          <w:rStyle w:val="9"/>
          <w:rFonts w:hint="eastAsia" w:hAnsi="仿宋_GB2312" w:eastAsia="仿宋_GB2312"/>
          <w:sz w:val="32"/>
          <w:szCs w:val="32"/>
          <w:lang w:val="en-US" w:eastAsia="zh-CN"/>
        </w:rPr>
        <w:t>9</w:t>
      </w:r>
      <w:r>
        <w:rPr>
          <w:rStyle w:val="9"/>
          <w:rFonts w:hint="eastAsia" w:hAnsi="仿宋_GB2312"/>
          <w:sz w:val="32"/>
          <w:szCs w:val="32"/>
        </w:rPr>
        <w:t>年度富民县公共文化服务项目指标完成率达100</w:t>
      </w:r>
      <w:r>
        <w:rPr>
          <w:rStyle w:val="9"/>
          <w:rFonts w:hAnsi="仿宋_GB2312"/>
          <w:sz w:val="32"/>
          <w:szCs w:val="32"/>
        </w:rPr>
        <w:t>%</w:t>
      </w:r>
      <w:r>
        <w:rPr>
          <w:rStyle w:val="9"/>
          <w:rFonts w:hint="eastAsia" w:hAnsi="仿宋_GB2312"/>
          <w:sz w:val="32"/>
          <w:szCs w:val="32"/>
        </w:rPr>
        <w:t>。</w:t>
      </w:r>
    </w:p>
    <w:p>
      <w:pPr>
        <w:pStyle w:val="8"/>
        <w:keepNext w:val="0"/>
        <w:keepLines w:val="0"/>
        <w:pageBreakBefore w:val="0"/>
        <w:widowControl/>
        <w:kinsoku/>
        <w:wordWrap/>
        <w:overflowPunct/>
        <w:autoSpaceDN/>
        <w:bidi w:val="0"/>
        <w:spacing w:line="560" w:lineRule="exact"/>
        <w:ind w:firstLine="640" w:firstLineChars="200"/>
        <w:jc w:val="both"/>
        <w:textAlignment w:val="auto"/>
        <w:rPr>
          <w:rStyle w:val="9"/>
          <w:rFonts w:hAnsi="仿宋_GB2312"/>
          <w:sz w:val="32"/>
          <w:szCs w:val="32"/>
        </w:rPr>
      </w:pPr>
      <w:r>
        <w:rPr>
          <w:rStyle w:val="9"/>
          <w:rFonts w:hint="eastAsia" w:hAnsi="仿宋_GB2312"/>
          <w:sz w:val="32"/>
          <w:szCs w:val="32"/>
        </w:rPr>
        <w:t>（</w:t>
      </w:r>
      <w:r>
        <w:rPr>
          <w:rStyle w:val="9"/>
          <w:rFonts w:hAnsi="仿宋_GB2312"/>
          <w:sz w:val="32"/>
          <w:szCs w:val="32"/>
        </w:rPr>
        <w:t>3</w:t>
      </w:r>
      <w:r>
        <w:rPr>
          <w:rStyle w:val="9"/>
          <w:rFonts w:hint="eastAsia" w:hAnsi="仿宋_GB2312"/>
          <w:sz w:val="32"/>
          <w:szCs w:val="32"/>
        </w:rPr>
        <w:t>）项目实施进度。</w:t>
      </w:r>
      <w:r>
        <w:rPr>
          <w:rStyle w:val="9"/>
          <w:rFonts w:hAnsi="仿宋_GB2312"/>
          <w:sz w:val="32"/>
          <w:szCs w:val="32"/>
        </w:rPr>
        <w:t>201</w:t>
      </w:r>
      <w:r>
        <w:rPr>
          <w:rStyle w:val="9"/>
          <w:rFonts w:hint="eastAsia" w:hAnsi="仿宋_GB2312" w:eastAsia="仿宋_GB2312"/>
          <w:sz w:val="32"/>
          <w:szCs w:val="32"/>
          <w:lang w:val="en-US" w:eastAsia="zh-CN"/>
        </w:rPr>
        <w:t>9</w:t>
      </w:r>
      <w:r>
        <w:rPr>
          <w:rStyle w:val="9"/>
          <w:rFonts w:hint="eastAsia" w:hAnsi="仿宋_GB2312"/>
          <w:sz w:val="32"/>
          <w:szCs w:val="32"/>
        </w:rPr>
        <w:t>年，富民县基层公共文化服务资金中央和县级资金到位率100</w:t>
      </w:r>
      <w:r>
        <w:rPr>
          <w:rStyle w:val="9"/>
          <w:rFonts w:hAnsi="仿宋_GB2312"/>
          <w:sz w:val="32"/>
          <w:szCs w:val="32"/>
        </w:rPr>
        <w:t>%</w:t>
      </w:r>
      <w:r>
        <w:rPr>
          <w:rStyle w:val="9"/>
          <w:rFonts w:hint="eastAsia" w:hAnsi="仿宋_GB2312"/>
          <w:sz w:val="32"/>
          <w:szCs w:val="32"/>
        </w:rPr>
        <w:t>。</w:t>
      </w:r>
    </w:p>
    <w:p>
      <w:pPr>
        <w:keepNext w:val="0"/>
        <w:keepLines w:val="0"/>
        <w:pageBreakBefore w:val="0"/>
        <w:kinsoku/>
        <w:wordWrap/>
        <w:overflowPunct/>
        <w:autoSpaceDN/>
        <w:bidi w:val="0"/>
        <w:spacing w:line="560" w:lineRule="exact"/>
        <w:ind w:firstLine="640" w:firstLineChars="200"/>
        <w:textAlignment w:val="auto"/>
        <w:rPr>
          <w:rFonts w:ascii="仿宋_GB2312" w:hAnsi="宋体" w:cs="宋体"/>
          <w:sz w:val="32"/>
          <w:szCs w:val="32"/>
        </w:rPr>
      </w:pPr>
      <w:r>
        <w:rPr>
          <w:rStyle w:val="9"/>
          <w:rFonts w:hint="eastAsia" w:hAnsi="仿宋_GB2312"/>
          <w:sz w:val="32"/>
          <w:szCs w:val="32"/>
        </w:rPr>
        <w:t>（</w:t>
      </w:r>
      <w:r>
        <w:rPr>
          <w:rStyle w:val="9"/>
          <w:rFonts w:hAnsi="仿宋_GB2312"/>
          <w:sz w:val="32"/>
          <w:szCs w:val="32"/>
        </w:rPr>
        <w:t>4</w:t>
      </w:r>
      <w:r>
        <w:rPr>
          <w:rStyle w:val="9"/>
          <w:rFonts w:hint="eastAsia" w:hAnsi="仿宋_GB2312"/>
          <w:sz w:val="32"/>
          <w:szCs w:val="32"/>
        </w:rPr>
        <w:t>）项目成本节约情况。</w:t>
      </w:r>
      <w:r>
        <w:rPr>
          <w:rFonts w:ascii="仿宋_GB2312" w:hAnsi="仿宋_GB2312" w:cs="仿宋_GB2312"/>
          <w:sz w:val="32"/>
          <w:szCs w:val="32"/>
        </w:rPr>
        <w:t>201</w:t>
      </w:r>
      <w:r>
        <w:rPr>
          <w:rFonts w:hint="eastAsia" w:ascii="仿宋_GB2312" w:hAnsi="仿宋_GB2312" w:cs="仿宋_GB2312"/>
          <w:sz w:val="32"/>
          <w:szCs w:val="32"/>
          <w:lang w:val="en-US" w:eastAsia="zh-CN"/>
        </w:rPr>
        <w:t>9</w:t>
      </w:r>
      <w:r>
        <w:rPr>
          <w:rFonts w:hint="eastAsia" w:ascii="仿宋_GB2312" w:hAnsi="仿宋_GB2312" w:cs="仿宋_GB2312"/>
          <w:sz w:val="32"/>
          <w:szCs w:val="32"/>
        </w:rPr>
        <w:t>年富民县文化和旅游局</w:t>
      </w:r>
      <w:r>
        <w:rPr>
          <w:rFonts w:hint="eastAsia" w:ascii="仿宋_GB2312" w:hAnsi="仿宋_GB2312"/>
          <w:bCs/>
          <w:sz w:val="32"/>
          <w:szCs w:val="32"/>
        </w:rPr>
        <w:t>按照年初资金预算分解落实项目责任，</w:t>
      </w:r>
      <w:r>
        <w:rPr>
          <w:rFonts w:hint="eastAsia" w:ascii="仿宋_GB2312" w:hAnsi="仿宋" w:cs="仿宋"/>
          <w:sz w:val="32"/>
          <w:szCs w:val="32"/>
        </w:rPr>
        <w:t>各项日常性工作正常有效开展，</w:t>
      </w:r>
      <w:r>
        <w:rPr>
          <w:rFonts w:hint="eastAsia" w:ascii="仿宋_GB2312" w:hAnsi="仿宋_GB2312"/>
          <w:bCs/>
          <w:sz w:val="32"/>
          <w:szCs w:val="32"/>
        </w:rPr>
        <w:t>对各项支出基本做到了有计划、有督促、有检查、有落实，从而保证了各项工作的完成，</w:t>
      </w:r>
      <w:r>
        <w:rPr>
          <w:rFonts w:hint="eastAsia" w:ascii="仿宋_GB2312" w:hAnsi="宋体" w:cs="宋体"/>
          <w:sz w:val="32"/>
          <w:szCs w:val="32"/>
        </w:rPr>
        <w:t>但部分项目还应进一步加强绩效跟踪的分析和总结。</w:t>
      </w:r>
      <w:r>
        <w:rPr>
          <w:rFonts w:hint="eastAsia" w:ascii="仿宋_GB2312" w:hAnsi="仿宋_GB2312" w:cs="仿宋_GB2312"/>
          <w:sz w:val="32"/>
          <w:szCs w:val="32"/>
        </w:rPr>
        <w:t>在费用性支出中，依据</w:t>
      </w:r>
      <w:r>
        <w:rPr>
          <w:rFonts w:hint="eastAsia" w:ascii="仿宋_GB2312" w:hAnsi="宋体" w:cs="宋体"/>
          <w:sz w:val="32"/>
          <w:szCs w:val="32"/>
          <w:lang w:eastAsia="zh-CN"/>
        </w:rPr>
        <w:t>中央八项规定</w:t>
      </w:r>
      <w:r>
        <w:rPr>
          <w:rFonts w:hint="eastAsia" w:ascii="仿宋_GB2312" w:hAnsi="宋体" w:cs="宋体"/>
          <w:sz w:val="32"/>
          <w:szCs w:val="32"/>
        </w:rPr>
        <w:t>及《党政机关厉行节约反对浪费条例》等制度，在保障日常工作的正常有序开展的情况下，做到了资金的节约。</w:t>
      </w:r>
    </w:p>
    <w:p>
      <w:pPr>
        <w:keepNext w:val="0"/>
        <w:keepLines w:val="0"/>
        <w:pageBreakBefore w:val="0"/>
        <w:numPr>
          <w:ilvl w:val="0"/>
          <w:numId w:val="0"/>
        </w:numPr>
        <w:kinsoku/>
        <w:wordWrap/>
        <w:overflowPunct/>
        <w:topLinePunct/>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五、主要经验及做法、存在的问题和建议</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（一）主要经验及做法</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绩效评价结果应用是加强财政支出管理，合理配置公共资源，优化财政支出结构，强化资金管理水平，提高资金使用效益的重要手段，也是绩效评价工作的生命线及落脚点。绩效评价结果采取“四个相结合”加以应用，即：与预算资金安排相结合，与完善制度规范管理相结合，与通报、报告和公开相结合，与责任追究相结合。</w:t>
      </w:r>
    </w:p>
    <w:p>
      <w:pPr>
        <w:keepNext w:val="0"/>
        <w:keepLines w:val="0"/>
        <w:pageBreakBefore w:val="0"/>
        <w:numPr>
          <w:ilvl w:val="0"/>
          <w:numId w:val="0"/>
        </w:numPr>
        <w:kinsoku/>
        <w:wordWrap/>
        <w:overflowPunct/>
        <w:topLinePunct/>
        <w:autoSpaceDN/>
        <w:bidi w:val="0"/>
        <w:spacing w:line="560" w:lineRule="exact"/>
        <w:ind w:leftChars="0" w:firstLine="640" w:firstLineChars="200"/>
        <w:textAlignment w:val="auto"/>
        <w:rPr>
          <w:rFonts w:hint="eastAsia" w:ascii="仿宋_GB2312" w:hAnsi="楷体"/>
          <w:sz w:val="32"/>
          <w:szCs w:val="32"/>
        </w:rPr>
      </w:pPr>
      <w:r>
        <w:rPr>
          <w:rFonts w:hint="eastAsia" w:ascii="仿宋_GB2312" w:hAnsi="楷体"/>
          <w:sz w:val="32"/>
          <w:szCs w:val="32"/>
          <w:lang w:val="en-US" w:eastAsia="zh-CN"/>
        </w:rPr>
        <w:t>（二）</w:t>
      </w:r>
      <w:r>
        <w:rPr>
          <w:rFonts w:hint="eastAsia" w:ascii="仿宋_GB2312" w:hAnsi="楷体"/>
          <w:sz w:val="32"/>
          <w:szCs w:val="32"/>
        </w:rPr>
        <w:t>存在的问题</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1.资金下达方面。各年免费开放资金有时存在资金到位时间较晚，从而导致资金的使用效率偏低，资金到位后，我局均按照资金额度全额拨付到县文化馆、图书馆及各镇（街道）文化站。</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2.影响资金使用进度的原因。各项资金到位时间前后不一，有时存在等待全部资金到位后统一拨付的情况，从而影响资金的使用进度。</w:t>
      </w:r>
    </w:p>
    <w:p>
      <w:pPr>
        <w:keepNext w:val="0"/>
        <w:keepLines w:val="0"/>
        <w:pageBreakBefore w:val="0"/>
        <w:kinsoku/>
        <w:wordWrap/>
        <w:overflowPunct/>
        <w:topLinePunct/>
        <w:autoSpaceDN/>
        <w:bidi w:val="0"/>
        <w:spacing w:line="560" w:lineRule="exact"/>
        <w:ind w:firstLine="640" w:firstLineChars="200"/>
        <w:textAlignment w:val="auto"/>
        <w:rPr>
          <w:rFonts w:hint="eastAsia" w:ascii="仿宋_GB2312" w:hAnsi="楷体"/>
          <w:sz w:val="32"/>
          <w:szCs w:val="32"/>
        </w:rPr>
      </w:pPr>
      <w:r>
        <w:rPr>
          <w:rFonts w:hint="eastAsia" w:ascii="仿宋_GB2312" w:hAnsi="楷体"/>
          <w:sz w:val="32"/>
          <w:szCs w:val="32"/>
        </w:rPr>
        <w:t>3.其他方面。我县多为农村人口，县级财力比较困难，县级配套资金实现难度极大，使文化活动开展在很大程度上受到约束，各镇（街道）人才、财政投入情况差异与广大群众迫切需求的文化生活还存在着很大差距。</w:t>
      </w:r>
    </w:p>
    <w:p>
      <w:pPr>
        <w:keepNext w:val="0"/>
        <w:keepLines w:val="0"/>
        <w:pageBreakBefore w:val="0"/>
        <w:kinsoku/>
        <w:wordWrap/>
        <w:overflowPunct/>
        <w:topLinePunct/>
        <w:autoSpaceDN/>
        <w:bidi w:val="0"/>
        <w:spacing w:line="560" w:lineRule="exact"/>
        <w:ind w:firstLine="640" w:firstLineChars="200"/>
        <w:textAlignment w:val="auto"/>
        <w:rPr>
          <w:rFonts w:ascii="仿宋_GB2312" w:hAnsi="楷体"/>
          <w:sz w:val="32"/>
          <w:szCs w:val="32"/>
        </w:rPr>
      </w:pPr>
      <w:r>
        <w:rPr>
          <w:rFonts w:hint="eastAsia" w:ascii="仿宋_GB2312" w:hAnsi="楷体"/>
          <w:sz w:val="32"/>
          <w:szCs w:val="32"/>
        </w:rPr>
        <w:t>（三）建议和改进措施。</w:t>
      </w:r>
    </w:p>
    <w:p>
      <w:pPr>
        <w:keepNext w:val="0"/>
        <w:keepLines w:val="0"/>
        <w:pageBreakBefore w:val="0"/>
        <w:kinsoku/>
        <w:wordWrap/>
        <w:overflowPunct/>
        <w:autoSpaceDN/>
        <w:bidi w:val="0"/>
        <w:spacing w:line="560" w:lineRule="exact"/>
        <w:ind w:firstLine="640" w:firstLineChars="200"/>
        <w:textAlignment w:val="auto"/>
        <w:rPr>
          <w:sz w:val="32"/>
          <w:szCs w:val="32"/>
        </w:rPr>
      </w:pPr>
      <w:r>
        <w:rPr>
          <w:rFonts w:hint="eastAsia"/>
          <w:sz w:val="32"/>
          <w:szCs w:val="32"/>
        </w:rPr>
        <w:t>1.</w:t>
      </w:r>
      <w:r>
        <w:rPr>
          <w:sz w:val="32"/>
          <w:szCs w:val="32"/>
        </w:rPr>
        <w:t>进一步加大基础设施建设力度。富民县的文化设施建设虽然有了很大进步，但不仅与广大市民日益增长的文化需求存在较大距离，与周边县市（区）也有很大差距，我们在积极争取上级项目资金的同时，也希望进一步加大对文化基础设施建设的投入，确保我县“两馆一站”的免费开放能实实在在的让广大群众感受到党和国家给人们带来的惠民政策的好处。     </w:t>
      </w:r>
    </w:p>
    <w:p>
      <w:pPr>
        <w:keepNext w:val="0"/>
        <w:keepLines w:val="0"/>
        <w:pageBreakBefore w:val="0"/>
        <w:kinsoku/>
        <w:wordWrap/>
        <w:overflowPunct/>
        <w:autoSpaceDN/>
        <w:bidi w:val="0"/>
        <w:spacing w:line="560" w:lineRule="exact"/>
        <w:ind w:firstLine="640" w:firstLineChars="200"/>
        <w:textAlignment w:val="auto"/>
        <w:rPr>
          <w:sz w:val="32"/>
          <w:szCs w:val="32"/>
        </w:rPr>
      </w:pPr>
      <w:r>
        <w:rPr>
          <w:rFonts w:hint="eastAsia"/>
          <w:sz w:val="32"/>
          <w:szCs w:val="32"/>
        </w:rPr>
        <w:t>2.</w:t>
      </w:r>
      <w:r>
        <w:rPr>
          <w:sz w:val="32"/>
          <w:szCs w:val="32"/>
        </w:rPr>
        <w:t>进一步加大宣传力度。加强对“两馆一站”的管理和指导。确保做到：“旗帜不倒，阵地不丢，财产不失，干部不离，活动不停”。</w:t>
      </w:r>
    </w:p>
    <w:p>
      <w:pPr>
        <w:keepNext w:val="0"/>
        <w:keepLines w:val="0"/>
        <w:pageBreakBefore w:val="0"/>
        <w:kinsoku/>
        <w:wordWrap/>
        <w:overflowPunct/>
        <w:autoSpaceDN/>
        <w:bidi w:val="0"/>
        <w:spacing w:line="560" w:lineRule="exact"/>
        <w:ind w:firstLine="640" w:firstLineChars="200"/>
        <w:textAlignment w:val="auto"/>
        <w:rPr>
          <w:sz w:val="32"/>
          <w:szCs w:val="32"/>
        </w:rPr>
      </w:pPr>
      <w:r>
        <w:rPr>
          <w:rFonts w:hint="eastAsia"/>
          <w:sz w:val="32"/>
          <w:szCs w:val="32"/>
        </w:rPr>
        <w:t>3.</w:t>
      </w:r>
      <w:r>
        <w:rPr>
          <w:sz w:val="32"/>
          <w:szCs w:val="32"/>
        </w:rPr>
        <w:t>两馆一站免费开放工作是一项功在当代利在千秋的大好事，我局在省市业务主管部门的指导下，在县委、县政府的高度重视下，此项工作开展的如火如荼，但是也存在一些问题，主要是两馆一站运转经费不足，水电、办公用品、设备损耗维修、网络通讯活动、流动服务、交通、管理人员补助等免费开放所需的经费捉襟见肘，基层文化工作举步维艰，建议加大免费开放经费投入力度，真正实现文化惠民。</w:t>
      </w:r>
    </w:p>
    <w:p/>
    <w:p/>
    <w:p/>
    <w:p/>
    <w:p/>
    <w:p/>
    <w:p/>
    <w:p/>
    <w:p/>
    <w:p/>
    <w:p>
      <w:pPr>
        <w:rPr>
          <w:sz w:val="15"/>
          <w:szCs w:val="15"/>
        </w:rPr>
      </w:pPr>
    </w:p>
    <w:p>
      <w:pPr>
        <w:rPr>
          <w:sz w:val="21"/>
          <w:szCs w:val="21"/>
        </w:rPr>
      </w:pPr>
    </w:p>
    <w:tbl>
      <w:tblPr>
        <w:tblStyle w:val="4"/>
        <w:tblW w:w="9174" w:type="dxa"/>
        <w:jc w:val="center"/>
        <w:tblInd w:w="0" w:type="dxa"/>
        <w:tblLayout w:type="fixed"/>
        <w:tblCellMar>
          <w:top w:w="0" w:type="dxa"/>
          <w:left w:w="28" w:type="dxa"/>
          <w:bottom w:w="0" w:type="dxa"/>
          <w:right w:w="28" w:type="dxa"/>
        </w:tblCellMar>
      </w:tblPr>
      <w:tblGrid>
        <w:gridCol w:w="476"/>
        <w:gridCol w:w="640"/>
        <w:gridCol w:w="1173"/>
        <w:gridCol w:w="570"/>
        <w:gridCol w:w="552"/>
        <w:gridCol w:w="2268"/>
        <w:gridCol w:w="2126"/>
        <w:gridCol w:w="1369"/>
      </w:tblGrid>
      <w:tr>
        <w:tblPrEx>
          <w:tblLayout w:type="fixed"/>
          <w:tblCellMar>
            <w:top w:w="0" w:type="dxa"/>
            <w:left w:w="28" w:type="dxa"/>
            <w:bottom w:w="0" w:type="dxa"/>
            <w:right w:w="28" w:type="dxa"/>
          </w:tblCellMar>
        </w:tblPrEx>
        <w:trPr>
          <w:tblHeader/>
          <w:jc w:val="center"/>
        </w:trPr>
        <w:tc>
          <w:tcPr>
            <w:tcW w:w="9174" w:type="dxa"/>
            <w:gridSpan w:val="8"/>
            <w:tcBorders>
              <w:bottom w:val="single" w:color="auto" w:sz="4" w:space="0"/>
            </w:tcBorders>
            <w:tcMar>
              <w:top w:w="10" w:type="dxa"/>
              <w:left w:w="10" w:type="dxa"/>
              <w:bottom w:w="0" w:type="dxa"/>
              <w:right w:w="10" w:type="dxa"/>
            </w:tcMar>
            <w:vAlign w:val="center"/>
          </w:tcPr>
          <w:p>
            <w:pPr>
              <w:spacing w:afterLines="50"/>
              <w:jc w:val="center"/>
              <w:rPr>
                <w:rFonts w:ascii="黑体" w:eastAsia="黑体"/>
                <w:b/>
                <w:bCs/>
                <w:sz w:val="18"/>
                <w:szCs w:val="18"/>
              </w:rPr>
            </w:pPr>
            <w:r>
              <w:rPr>
                <w:rFonts w:ascii="黑体" w:eastAsia="黑体"/>
                <w:bCs/>
                <w:sz w:val="36"/>
                <w:szCs w:val="36"/>
              </w:rPr>
              <w:t>201</w:t>
            </w:r>
            <w:r>
              <w:rPr>
                <w:rFonts w:hint="eastAsia" w:ascii="黑体" w:eastAsia="黑体"/>
                <w:bCs/>
                <w:sz w:val="36"/>
                <w:szCs w:val="36"/>
              </w:rPr>
              <w:t>9年项目支出绩效自评指标评分表</w:t>
            </w:r>
          </w:p>
        </w:tc>
      </w:tr>
      <w:tr>
        <w:tblPrEx>
          <w:tblLayout w:type="fixed"/>
          <w:tblCellMar>
            <w:top w:w="0" w:type="dxa"/>
            <w:left w:w="28" w:type="dxa"/>
            <w:bottom w:w="0" w:type="dxa"/>
            <w:right w:w="28" w:type="dxa"/>
          </w:tblCellMar>
        </w:tblPrEx>
        <w:trPr>
          <w:trHeight w:val="703" w:hRule="atLeast"/>
          <w:tblHeader/>
          <w:jc w:val="center"/>
        </w:trPr>
        <w:tc>
          <w:tcPr>
            <w:tcW w:w="47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一级</w:t>
            </w:r>
            <w:r>
              <w:rPr>
                <w:bCs/>
                <w:sz w:val="21"/>
                <w:szCs w:val="21"/>
              </w:rPr>
              <w:br w:type="textWrapping"/>
            </w:r>
            <w:r>
              <w:rPr>
                <w:rFonts w:hint="eastAsia"/>
                <w:bCs/>
                <w:sz w:val="21"/>
                <w:szCs w:val="21"/>
              </w:rPr>
              <w:t>指标</w:t>
            </w:r>
          </w:p>
        </w:tc>
        <w:tc>
          <w:tcPr>
            <w:tcW w:w="64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二级</w:t>
            </w:r>
          </w:p>
          <w:p>
            <w:pPr>
              <w:jc w:val="center"/>
              <w:rPr>
                <w:bCs/>
                <w:sz w:val="21"/>
                <w:szCs w:val="21"/>
              </w:rPr>
            </w:pPr>
            <w:r>
              <w:rPr>
                <w:rFonts w:hint="eastAsia"/>
                <w:bCs/>
                <w:sz w:val="21"/>
                <w:szCs w:val="21"/>
              </w:rPr>
              <w:t>指标</w:t>
            </w: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三级</w:t>
            </w:r>
          </w:p>
          <w:p>
            <w:pPr>
              <w:jc w:val="center"/>
              <w:rPr>
                <w:bCs/>
                <w:sz w:val="21"/>
                <w:szCs w:val="21"/>
              </w:rPr>
            </w:pPr>
            <w:r>
              <w:rPr>
                <w:rFonts w:hint="eastAsia"/>
                <w:bCs/>
                <w:sz w:val="21"/>
                <w:szCs w:val="21"/>
              </w:rPr>
              <w:t>指标</w:t>
            </w:r>
          </w:p>
        </w:tc>
        <w:tc>
          <w:tcPr>
            <w:tcW w:w="57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分值</w:t>
            </w:r>
          </w:p>
        </w:tc>
        <w:tc>
          <w:tcPr>
            <w:tcW w:w="55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得分</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Cs/>
                <w:sz w:val="21"/>
                <w:szCs w:val="21"/>
              </w:rPr>
            </w:pPr>
            <w:r>
              <w:rPr>
                <w:rFonts w:hint="eastAsia"/>
                <w:bCs/>
                <w:sz w:val="21"/>
                <w:szCs w:val="21"/>
              </w:rPr>
              <w:t>指标解释</w:t>
            </w:r>
          </w:p>
        </w:tc>
        <w:tc>
          <w:tcPr>
            <w:tcW w:w="212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bCs/>
                <w:sz w:val="21"/>
                <w:szCs w:val="21"/>
              </w:rPr>
            </w:pPr>
            <w:r>
              <w:rPr>
                <w:rFonts w:hint="eastAsia"/>
                <w:bCs/>
                <w:sz w:val="21"/>
                <w:szCs w:val="21"/>
              </w:rPr>
              <w:t>指标评分细则</w:t>
            </w:r>
          </w:p>
        </w:tc>
        <w:tc>
          <w:tcPr>
            <w:tcW w:w="1369" w:type="dxa"/>
            <w:tcBorders>
              <w:top w:val="single" w:color="auto" w:sz="4" w:space="0"/>
              <w:left w:val="nil"/>
              <w:bottom w:val="single" w:color="auto" w:sz="4" w:space="0"/>
              <w:right w:val="single" w:color="auto" w:sz="4" w:space="0"/>
            </w:tcBorders>
            <w:vAlign w:val="center"/>
          </w:tcPr>
          <w:p>
            <w:pPr>
              <w:jc w:val="center"/>
              <w:rPr>
                <w:bCs/>
                <w:sz w:val="21"/>
                <w:szCs w:val="21"/>
              </w:rPr>
            </w:pPr>
            <w:r>
              <w:rPr>
                <w:rFonts w:hint="eastAsia"/>
                <w:bCs/>
                <w:sz w:val="21"/>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476" w:type="dxa"/>
            <w:vMerge w:val="restart"/>
            <w:textDirection w:val="tbRlV"/>
            <w:vAlign w:val="bottom"/>
          </w:tcPr>
          <w:p>
            <w:pPr>
              <w:spacing w:line="240" w:lineRule="exact"/>
              <w:ind w:left="113" w:right="113"/>
              <w:jc w:val="center"/>
              <w:rPr>
                <w:rFonts w:ascii="仿宋_GB2312"/>
                <w:sz w:val="15"/>
                <w:szCs w:val="15"/>
              </w:rPr>
            </w:pPr>
            <w:r>
              <w:rPr>
                <w:rFonts w:hint="eastAsia" w:ascii="仿宋_GB2312"/>
                <w:sz w:val="15"/>
                <w:szCs w:val="15"/>
              </w:rPr>
              <w:t>一、项目决策（20分）</w:t>
            </w:r>
          </w:p>
        </w:tc>
        <w:tc>
          <w:tcPr>
            <w:tcW w:w="640" w:type="dxa"/>
            <w:vMerge w:val="restart"/>
            <w:vAlign w:val="center"/>
          </w:tcPr>
          <w:p>
            <w:pPr>
              <w:spacing w:line="240" w:lineRule="exact"/>
              <w:rPr>
                <w:rFonts w:ascii="仿宋_GB2312"/>
                <w:sz w:val="15"/>
                <w:szCs w:val="15"/>
              </w:rPr>
            </w:pPr>
            <w:r>
              <w:rPr>
                <w:rFonts w:hint="eastAsia" w:ascii="仿宋_GB2312"/>
                <w:sz w:val="15"/>
                <w:szCs w:val="15"/>
              </w:rPr>
              <w:t>1项目立项(10)</w:t>
            </w:r>
          </w:p>
        </w:tc>
        <w:tc>
          <w:tcPr>
            <w:tcW w:w="1173" w:type="dxa"/>
            <w:vAlign w:val="center"/>
          </w:tcPr>
          <w:p>
            <w:pPr>
              <w:spacing w:line="240" w:lineRule="exact"/>
              <w:rPr>
                <w:rFonts w:ascii="仿宋_GB2312"/>
                <w:sz w:val="15"/>
                <w:szCs w:val="15"/>
              </w:rPr>
            </w:pPr>
            <w:r>
              <w:rPr>
                <w:rFonts w:hint="eastAsia" w:ascii="仿宋_GB2312"/>
                <w:sz w:val="15"/>
                <w:szCs w:val="15"/>
              </w:rPr>
              <w:t>1.与部门中长期规划目标适应性。</w:t>
            </w:r>
          </w:p>
        </w:tc>
        <w:tc>
          <w:tcPr>
            <w:tcW w:w="570" w:type="dxa"/>
            <w:vAlign w:val="center"/>
          </w:tcPr>
          <w:p>
            <w:pPr>
              <w:spacing w:line="240" w:lineRule="exact"/>
              <w:jc w:val="center"/>
              <w:rPr>
                <w:rFonts w:ascii="仿宋_GB2312"/>
                <w:sz w:val="18"/>
                <w:szCs w:val="18"/>
              </w:rPr>
            </w:pPr>
            <w:r>
              <w:rPr>
                <w:rFonts w:hint="eastAsia" w:ascii="仿宋_GB2312"/>
                <w:sz w:val="18"/>
                <w:szCs w:val="18"/>
              </w:rPr>
              <w:t>4</w:t>
            </w:r>
          </w:p>
        </w:tc>
        <w:tc>
          <w:tcPr>
            <w:tcW w:w="552" w:type="dxa"/>
            <w:vAlign w:val="center"/>
          </w:tcPr>
          <w:p>
            <w:pPr>
              <w:spacing w:line="240" w:lineRule="exact"/>
              <w:rPr>
                <w:rFonts w:ascii="仿宋_GB2312"/>
                <w:sz w:val="18"/>
                <w:szCs w:val="18"/>
              </w:rPr>
            </w:pPr>
            <w:r>
              <w:rPr>
                <w:rFonts w:hint="eastAsia" w:ascii="仿宋_GB2312"/>
                <w:sz w:val="18"/>
                <w:szCs w:val="18"/>
              </w:rPr>
              <w:t>4</w:t>
            </w:r>
          </w:p>
        </w:tc>
        <w:tc>
          <w:tcPr>
            <w:tcW w:w="2268" w:type="dxa"/>
            <w:vAlign w:val="center"/>
          </w:tcPr>
          <w:p>
            <w:pPr>
              <w:spacing w:line="240" w:lineRule="exact"/>
              <w:rPr>
                <w:rFonts w:ascii="仿宋_GB2312"/>
                <w:sz w:val="15"/>
                <w:szCs w:val="15"/>
              </w:rPr>
            </w:pPr>
            <w:r>
              <w:rPr>
                <w:rFonts w:hint="eastAsia" w:ascii="仿宋_GB2312"/>
                <w:sz w:val="15"/>
                <w:szCs w:val="15"/>
              </w:rPr>
              <w:t>考察项目与部门中长期目标是否匹配。</w:t>
            </w:r>
          </w:p>
        </w:tc>
        <w:tc>
          <w:tcPr>
            <w:tcW w:w="2126" w:type="dxa"/>
            <w:vAlign w:val="center"/>
          </w:tcPr>
          <w:p>
            <w:pPr>
              <w:spacing w:line="240" w:lineRule="exact"/>
              <w:rPr>
                <w:rFonts w:ascii="仿宋_GB2312"/>
                <w:sz w:val="15"/>
                <w:szCs w:val="15"/>
              </w:rPr>
            </w:pPr>
            <w:r>
              <w:rPr>
                <w:rFonts w:hint="eastAsia" w:ascii="仿宋_GB2312"/>
                <w:sz w:val="15"/>
                <w:szCs w:val="15"/>
              </w:rPr>
              <w:t>①部门年度工作目标是否明确设定，得2分；②年度工作目标与部门中长期规划目标一致，得2分。</w:t>
            </w:r>
          </w:p>
        </w:tc>
        <w:tc>
          <w:tcPr>
            <w:tcW w:w="1369" w:type="dxa"/>
            <w:vAlign w:val="center"/>
          </w:tcPr>
          <w:p>
            <w:pPr>
              <w:spacing w:line="240" w:lineRule="exact"/>
              <w:rPr>
                <w:rFonts w:ascii="仿宋_GB2312"/>
                <w:sz w:val="15"/>
                <w:szCs w:val="15"/>
              </w:rPr>
            </w:pPr>
            <w:r>
              <w:rPr>
                <w:rFonts w:hint="eastAsia" w:ascii="仿宋_GB2312"/>
                <w:sz w:val="15"/>
                <w:szCs w:val="15"/>
              </w:rPr>
              <w:t>部门中长期规划目标。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2.立项依据充分性。</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考察项目是否符合政府相关发展规划和政府决策</w:t>
            </w:r>
          </w:p>
        </w:tc>
        <w:tc>
          <w:tcPr>
            <w:tcW w:w="2126" w:type="dxa"/>
            <w:vAlign w:val="center"/>
          </w:tcPr>
          <w:p>
            <w:pPr>
              <w:spacing w:line="240" w:lineRule="exact"/>
              <w:rPr>
                <w:rFonts w:ascii="仿宋_GB2312"/>
                <w:sz w:val="15"/>
                <w:szCs w:val="15"/>
              </w:rPr>
            </w:pPr>
            <w:r>
              <w:rPr>
                <w:rFonts w:hint="eastAsia" w:ascii="仿宋_GB2312"/>
                <w:sz w:val="15"/>
                <w:szCs w:val="15"/>
              </w:rPr>
              <w:t>符合，得满分；不符合，不得分。</w:t>
            </w:r>
          </w:p>
        </w:tc>
        <w:tc>
          <w:tcPr>
            <w:tcW w:w="1369" w:type="dxa"/>
            <w:vAlign w:val="center"/>
          </w:tcPr>
          <w:p>
            <w:pPr>
              <w:spacing w:line="240" w:lineRule="exact"/>
              <w:rPr>
                <w:rFonts w:ascii="仿宋_GB2312"/>
                <w:sz w:val="15"/>
                <w:szCs w:val="15"/>
              </w:rPr>
            </w:pPr>
            <w:r>
              <w:rPr>
                <w:rFonts w:hint="eastAsia" w:ascii="仿宋_GB2312"/>
                <w:sz w:val="15"/>
                <w:szCs w:val="15"/>
              </w:rPr>
              <w:t>政府相关规划、决策、批复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3.项目立项规范性。</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考察项目是否与部门职责密切相关。</w:t>
            </w:r>
          </w:p>
        </w:tc>
        <w:tc>
          <w:tcPr>
            <w:tcW w:w="2126" w:type="dxa"/>
            <w:vAlign w:val="center"/>
          </w:tcPr>
          <w:p>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pPr>
              <w:spacing w:line="240" w:lineRule="exact"/>
              <w:rPr>
                <w:rFonts w:ascii="仿宋_GB2312"/>
                <w:sz w:val="15"/>
                <w:szCs w:val="15"/>
              </w:rPr>
            </w:pPr>
            <w:r>
              <w:rPr>
                <w:rFonts w:hint="eastAsia" w:ascii="仿宋_GB2312"/>
                <w:sz w:val="15"/>
                <w:szCs w:val="15"/>
              </w:rPr>
              <w:t>部门职责文件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6" w:type="dxa"/>
            <w:vMerge w:val="continue"/>
          </w:tcPr>
          <w:p>
            <w:pPr>
              <w:spacing w:line="240" w:lineRule="exact"/>
              <w:jc w:val="left"/>
              <w:rPr>
                <w:rFonts w:ascii="仿宋_GB2312"/>
                <w:sz w:val="15"/>
                <w:szCs w:val="15"/>
              </w:rPr>
            </w:pPr>
          </w:p>
        </w:tc>
        <w:tc>
          <w:tcPr>
            <w:tcW w:w="640" w:type="dxa"/>
            <w:vMerge w:val="restart"/>
            <w:vAlign w:val="center"/>
          </w:tcPr>
          <w:p>
            <w:pPr>
              <w:spacing w:line="240" w:lineRule="exact"/>
              <w:rPr>
                <w:rFonts w:ascii="仿宋_GB2312"/>
                <w:sz w:val="15"/>
                <w:szCs w:val="15"/>
              </w:rPr>
            </w:pPr>
            <w:r>
              <w:rPr>
                <w:rFonts w:hint="eastAsia" w:ascii="仿宋_GB2312"/>
                <w:sz w:val="15"/>
                <w:szCs w:val="15"/>
              </w:rPr>
              <w:t>2项目目标(10)</w:t>
            </w:r>
          </w:p>
        </w:tc>
        <w:tc>
          <w:tcPr>
            <w:tcW w:w="1173" w:type="dxa"/>
            <w:vAlign w:val="center"/>
          </w:tcPr>
          <w:p>
            <w:pPr>
              <w:spacing w:line="240" w:lineRule="exact"/>
              <w:rPr>
                <w:rFonts w:ascii="仿宋_GB2312"/>
                <w:sz w:val="15"/>
                <w:szCs w:val="15"/>
              </w:rPr>
            </w:pPr>
            <w:r>
              <w:rPr>
                <w:rFonts w:hint="eastAsia" w:ascii="仿宋_GB2312"/>
                <w:sz w:val="15"/>
                <w:szCs w:val="15"/>
              </w:rPr>
              <w:t>1.绩效目标设定的合理性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5</w:t>
            </w:r>
          </w:p>
        </w:tc>
        <w:tc>
          <w:tcPr>
            <w:tcW w:w="2268" w:type="dxa"/>
            <w:vAlign w:val="center"/>
          </w:tcPr>
          <w:p>
            <w:pPr>
              <w:spacing w:line="240" w:lineRule="exact"/>
              <w:rPr>
                <w:rFonts w:ascii="仿宋_GB2312"/>
                <w:sz w:val="15"/>
                <w:szCs w:val="15"/>
              </w:rPr>
            </w:pPr>
            <w:r>
              <w:rPr>
                <w:rFonts w:hint="eastAsia" w:ascii="仿宋_GB2312"/>
                <w:sz w:val="15"/>
                <w:szCs w:val="15"/>
              </w:rPr>
              <w:t>考察设定的绩效目标是是否与事业发展规划相关；是否完整地反应预期产出和效果；是否与年度预算相匹配。</w:t>
            </w:r>
          </w:p>
        </w:tc>
        <w:tc>
          <w:tcPr>
            <w:tcW w:w="2126" w:type="dxa"/>
            <w:vAlign w:val="center"/>
          </w:tcPr>
          <w:p>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pPr>
              <w:spacing w:line="240" w:lineRule="exact"/>
              <w:rPr>
                <w:rFonts w:ascii="仿宋_GB2312"/>
                <w:sz w:val="15"/>
                <w:szCs w:val="15"/>
              </w:rPr>
            </w:pPr>
            <w:r>
              <w:rPr>
                <w:rFonts w:hint="eastAsia" w:ascii="仿宋_GB2312"/>
                <w:sz w:val="15"/>
                <w:szCs w:val="15"/>
              </w:rPr>
              <w:t>绩效目标申报表、立项申请、批复文件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2.绩效指标设定的明确性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5</w:t>
            </w:r>
          </w:p>
        </w:tc>
        <w:tc>
          <w:tcPr>
            <w:tcW w:w="2268" w:type="dxa"/>
            <w:vAlign w:val="center"/>
          </w:tcPr>
          <w:p>
            <w:pPr>
              <w:spacing w:line="240" w:lineRule="exact"/>
              <w:rPr>
                <w:rFonts w:ascii="仿宋_GB2312"/>
                <w:sz w:val="15"/>
                <w:szCs w:val="15"/>
              </w:rPr>
            </w:pPr>
            <w:r>
              <w:rPr>
                <w:rFonts w:hint="eastAsia" w:ascii="仿宋_GB2312"/>
                <w:sz w:val="15"/>
                <w:szCs w:val="15"/>
              </w:rPr>
              <w:t>考察是否将绩效目标细化分解为清晰、可衡量的绩效指标；是否与年度工作任务相对应。</w:t>
            </w:r>
          </w:p>
        </w:tc>
        <w:tc>
          <w:tcPr>
            <w:tcW w:w="2126" w:type="dxa"/>
            <w:vAlign w:val="center"/>
          </w:tcPr>
          <w:p>
            <w:pPr>
              <w:spacing w:line="240" w:lineRule="exact"/>
              <w:rPr>
                <w:rFonts w:ascii="仿宋_GB2312"/>
                <w:sz w:val="15"/>
                <w:szCs w:val="15"/>
              </w:rPr>
            </w:pPr>
            <w:r>
              <w:rPr>
                <w:rFonts w:hint="eastAsia" w:ascii="仿宋_GB2312"/>
                <w:sz w:val="15"/>
                <w:szCs w:val="15"/>
              </w:rPr>
              <w:t>是，得满分；否，不得分。</w:t>
            </w:r>
          </w:p>
        </w:tc>
        <w:tc>
          <w:tcPr>
            <w:tcW w:w="1369" w:type="dxa"/>
            <w:vAlign w:val="center"/>
          </w:tcPr>
          <w:p>
            <w:pPr>
              <w:spacing w:line="240" w:lineRule="exact"/>
              <w:rPr>
                <w:rFonts w:ascii="仿宋_GB2312"/>
                <w:sz w:val="15"/>
                <w:szCs w:val="15"/>
              </w:rPr>
            </w:pPr>
            <w:r>
              <w:rPr>
                <w:rFonts w:hint="eastAsia" w:ascii="仿宋_GB2312"/>
                <w:sz w:val="15"/>
                <w:szCs w:val="15"/>
              </w:rPr>
              <w:t>绩效目标申报表、立项申请、批复文件、年度工作任务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restart"/>
            <w:textDirection w:val="tbRlV"/>
          </w:tcPr>
          <w:p>
            <w:pPr>
              <w:spacing w:line="240" w:lineRule="exact"/>
              <w:ind w:left="113" w:right="113"/>
              <w:jc w:val="center"/>
              <w:rPr>
                <w:rFonts w:ascii="仿宋_GB2312"/>
                <w:sz w:val="18"/>
                <w:szCs w:val="18"/>
              </w:rPr>
            </w:pPr>
            <w:r>
              <w:rPr>
                <w:rFonts w:hint="eastAsia" w:ascii="仿宋_GB2312"/>
                <w:sz w:val="18"/>
                <w:szCs w:val="18"/>
              </w:rPr>
              <w:t>二、项目管理（20分）</w:t>
            </w:r>
          </w:p>
        </w:tc>
        <w:tc>
          <w:tcPr>
            <w:tcW w:w="640" w:type="dxa"/>
            <w:vMerge w:val="restart"/>
            <w:vAlign w:val="center"/>
          </w:tcPr>
          <w:p>
            <w:pPr>
              <w:spacing w:line="240" w:lineRule="exact"/>
              <w:rPr>
                <w:rFonts w:ascii="仿宋_GB2312"/>
                <w:sz w:val="18"/>
                <w:szCs w:val="18"/>
              </w:rPr>
            </w:pPr>
            <w:r>
              <w:rPr>
                <w:rFonts w:hint="eastAsia" w:ascii="仿宋_GB2312"/>
                <w:sz w:val="15"/>
                <w:szCs w:val="15"/>
              </w:rPr>
              <w:t>1投入管理（4）</w:t>
            </w:r>
          </w:p>
        </w:tc>
        <w:tc>
          <w:tcPr>
            <w:tcW w:w="1173" w:type="dxa"/>
            <w:vAlign w:val="center"/>
          </w:tcPr>
          <w:p>
            <w:pPr>
              <w:spacing w:line="240" w:lineRule="exact"/>
              <w:rPr>
                <w:rFonts w:ascii="仿宋_GB2312"/>
                <w:sz w:val="15"/>
                <w:szCs w:val="15"/>
              </w:rPr>
            </w:pPr>
            <w:r>
              <w:rPr>
                <w:rFonts w:hint="eastAsia" w:ascii="仿宋_GB2312"/>
                <w:sz w:val="15"/>
                <w:szCs w:val="15"/>
              </w:rPr>
              <w:t>1.预算编制合理性</w:t>
            </w:r>
          </w:p>
        </w:tc>
        <w:tc>
          <w:tcPr>
            <w:tcW w:w="570" w:type="dxa"/>
            <w:vAlign w:val="center"/>
          </w:tcPr>
          <w:p>
            <w:pPr>
              <w:spacing w:line="240" w:lineRule="exact"/>
              <w:jc w:val="center"/>
              <w:rPr>
                <w:rFonts w:ascii="仿宋_GB2312"/>
                <w:sz w:val="18"/>
                <w:szCs w:val="18"/>
              </w:rPr>
            </w:pPr>
            <w:r>
              <w:rPr>
                <w:rFonts w:hint="eastAsia" w:ascii="仿宋_GB2312"/>
                <w:sz w:val="18"/>
                <w:szCs w:val="18"/>
              </w:rPr>
              <w:t>2</w:t>
            </w:r>
          </w:p>
        </w:tc>
        <w:tc>
          <w:tcPr>
            <w:tcW w:w="552" w:type="dxa"/>
            <w:vAlign w:val="center"/>
          </w:tcPr>
          <w:p>
            <w:pPr>
              <w:spacing w:line="240" w:lineRule="exact"/>
              <w:rPr>
                <w:rFonts w:ascii="仿宋_GB2312"/>
                <w:sz w:val="18"/>
                <w:szCs w:val="18"/>
              </w:rPr>
            </w:pPr>
            <w:r>
              <w:rPr>
                <w:rFonts w:hint="eastAsia" w:ascii="仿宋_GB2312"/>
                <w:sz w:val="18"/>
                <w:szCs w:val="18"/>
              </w:rPr>
              <w:t>2</w:t>
            </w:r>
          </w:p>
        </w:tc>
        <w:tc>
          <w:tcPr>
            <w:tcW w:w="2268" w:type="dxa"/>
            <w:vAlign w:val="center"/>
          </w:tcPr>
          <w:p>
            <w:pPr>
              <w:spacing w:line="240" w:lineRule="exact"/>
              <w:rPr>
                <w:rFonts w:ascii="仿宋_GB2312"/>
                <w:sz w:val="15"/>
                <w:szCs w:val="15"/>
              </w:rPr>
            </w:pPr>
            <w:r>
              <w:rPr>
                <w:rFonts w:hint="eastAsia" w:ascii="仿宋_GB2312"/>
                <w:sz w:val="15"/>
                <w:szCs w:val="15"/>
              </w:rPr>
              <w:t>考察预算编制是否充分、合理，预计项目支出是否完整反应。</w:t>
            </w:r>
          </w:p>
        </w:tc>
        <w:tc>
          <w:tcPr>
            <w:tcW w:w="2126" w:type="dxa"/>
            <w:vAlign w:val="center"/>
          </w:tcPr>
          <w:p>
            <w:pPr>
              <w:spacing w:line="240" w:lineRule="exact"/>
              <w:rPr>
                <w:rFonts w:ascii="仿宋_GB2312"/>
                <w:sz w:val="15"/>
                <w:szCs w:val="15"/>
              </w:rPr>
            </w:pPr>
            <w:r>
              <w:rPr>
                <w:rFonts w:hint="eastAsia" w:ascii="仿宋_GB2312"/>
                <w:sz w:val="15"/>
                <w:szCs w:val="15"/>
              </w:rPr>
              <w:t>合理得满分；存在一项不合理，扣0.5分，扣完为止。</w:t>
            </w:r>
          </w:p>
        </w:tc>
        <w:tc>
          <w:tcPr>
            <w:tcW w:w="1369" w:type="dxa"/>
            <w:vAlign w:val="center"/>
          </w:tcPr>
          <w:p>
            <w:pPr>
              <w:spacing w:line="240" w:lineRule="exact"/>
              <w:rPr>
                <w:rFonts w:ascii="仿宋_GB2312"/>
                <w:sz w:val="15"/>
                <w:szCs w:val="15"/>
              </w:rPr>
            </w:pPr>
            <w:r>
              <w:rPr>
                <w:rFonts w:hint="eastAsia" w:ascii="仿宋_GB2312"/>
                <w:sz w:val="15"/>
                <w:szCs w:val="15"/>
              </w:rPr>
              <w:t>预算批复。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8"/>
                <w:szCs w:val="18"/>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2.预算执行率</w:t>
            </w:r>
          </w:p>
        </w:tc>
        <w:tc>
          <w:tcPr>
            <w:tcW w:w="570" w:type="dxa"/>
            <w:vAlign w:val="center"/>
          </w:tcPr>
          <w:p>
            <w:pPr>
              <w:spacing w:line="240" w:lineRule="exact"/>
              <w:jc w:val="center"/>
              <w:rPr>
                <w:rFonts w:ascii="仿宋_GB2312"/>
                <w:sz w:val="18"/>
                <w:szCs w:val="18"/>
              </w:rPr>
            </w:pPr>
            <w:r>
              <w:rPr>
                <w:rFonts w:hint="eastAsia" w:ascii="仿宋_GB2312"/>
                <w:sz w:val="18"/>
                <w:szCs w:val="18"/>
              </w:rPr>
              <w:t>2</w:t>
            </w:r>
          </w:p>
        </w:tc>
        <w:tc>
          <w:tcPr>
            <w:tcW w:w="552" w:type="dxa"/>
            <w:vAlign w:val="center"/>
          </w:tcPr>
          <w:p>
            <w:pPr>
              <w:spacing w:line="240" w:lineRule="exact"/>
              <w:rPr>
                <w:rFonts w:ascii="仿宋_GB2312"/>
                <w:sz w:val="18"/>
                <w:szCs w:val="18"/>
              </w:rPr>
            </w:pPr>
            <w:r>
              <w:rPr>
                <w:rFonts w:hint="eastAsia" w:ascii="仿宋_GB2312"/>
                <w:sz w:val="18"/>
                <w:szCs w:val="18"/>
              </w:rPr>
              <w:t>2</w:t>
            </w:r>
          </w:p>
        </w:tc>
        <w:tc>
          <w:tcPr>
            <w:tcW w:w="2268" w:type="dxa"/>
            <w:vAlign w:val="center"/>
          </w:tcPr>
          <w:p>
            <w:pPr>
              <w:spacing w:line="240" w:lineRule="exact"/>
              <w:rPr>
                <w:rFonts w:ascii="仿宋_GB2312"/>
                <w:sz w:val="15"/>
                <w:szCs w:val="15"/>
              </w:rPr>
            </w:pPr>
            <w:r>
              <w:rPr>
                <w:rFonts w:hint="eastAsia" w:ascii="仿宋_GB2312"/>
                <w:sz w:val="15"/>
                <w:szCs w:val="15"/>
              </w:rPr>
              <w:t>考察项目预算执行的进度。预算执行率=实际支出金额/项目预算金额×100%</w:t>
            </w:r>
          </w:p>
        </w:tc>
        <w:tc>
          <w:tcPr>
            <w:tcW w:w="2126" w:type="dxa"/>
            <w:vAlign w:val="center"/>
          </w:tcPr>
          <w:p>
            <w:pPr>
              <w:spacing w:line="240" w:lineRule="exact"/>
              <w:rPr>
                <w:rFonts w:ascii="仿宋_GB2312"/>
                <w:sz w:val="15"/>
                <w:szCs w:val="15"/>
              </w:rPr>
            </w:pPr>
            <w:r>
              <w:rPr>
                <w:rFonts w:hint="eastAsia" w:ascii="仿宋_GB2312"/>
                <w:sz w:val="15"/>
                <w:szCs w:val="15"/>
              </w:rPr>
              <w:t>预算执行率95%以上，得满分；低于95%，每下降1%扣权重的1%；预算执行率60%以下，不计分。</w:t>
            </w:r>
          </w:p>
        </w:tc>
        <w:tc>
          <w:tcPr>
            <w:tcW w:w="1369" w:type="dxa"/>
            <w:vAlign w:val="center"/>
          </w:tcPr>
          <w:p>
            <w:pPr>
              <w:spacing w:line="240" w:lineRule="exact"/>
              <w:rPr>
                <w:rFonts w:ascii="仿宋_GB2312"/>
                <w:sz w:val="15"/>
                <w:szCs w:val="15"/>
              </w:rPr>
            </w:pPr>
            <w:r>
              <w:rPr>
                <w:rFonts w:hint="eastAsia" w:ascii="仿宋_GB2312"/>
                <w:sz w:val="15"/>
                <w:szCs w:val="15"/>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476" w:type="dxa"/>
            <w:vMerge w:val="continue"/>
          </w:tcPr>
          <w:p>
            <w:pPr>
              <w:spacing w:line="240" w:lineRule="exact"/>
              <w:jc w:val="left"/>
              <w:rPr>
                <w:sz w:val="18"/>
                <w:szCs w:val="18"/>
              </w:rPr>
            </w:pPr>
          </w:p>
        </w:tc>
        <w:tc>
          <w:tcPr>
            <w:tcW w:w="640" w:type="dxa"/>
            <w:vMerge w:val="restart"/>
            <w:vAlign w:val="center"/>
          </w:tcPr>
          <w:p>
            <w:pPr>
              <w:spacing w:line="240" w:lineRule="exact"/>
              <w:rPr>
                <w:sz w:val="15"/>
                <w:szCs w:val="15"/>
              </w:rPr>
            </w:pPr>
            <w:r>
              <w:rPr>
                <w:rFonts w:hint="eastAsia" w:ascii="仿宋_GB2312"/>
                <w:sz w:val="15"/>
                <w:szCs w:val="15"/>
              </w:rPr>
              <w:t>2.财务管理（6）</w:t>
            </w:r>
          </w:p>
        </w:tc>
        <w:tc>
          <w:tcPr>
            <w:tcW w:w="1173" w:type="dxa"/>
            <w:vAlign w:val="center"/>
          </w:tcPr>
          <w:p>
            <w:pPr>
              <w:spacing w:line="240" w:lineRule="exact"/>
              <w:rPr>
                <w:rFonts w:ascii="仿宋_GB2312"/>
                <w:sz w:val="15"/>
                <w:szCs w:val="15"/>
              </w:rPr>
            </w:pPr>
            <w:r>
              <w:rPr>
                <w:rFonts w:hint="eastAsia" w:ascii="仿宋_GB2312"/>
                <w:sz w:val="15"/>
                <w:szCs w:val="15"/>
              </w:rPr>
              <w:t>1.资金使用情况</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考察项目资金使用是否符合预算批复的用途，是否存在截留、挤占、挪用、虚列支出等情况。</w:t>
            </w:r>
          </w:p>
        </w:tc>
        <w:tc>
          <w:tcPr>
            <w:tcW w:w="2126" w:type="dxa"/>
            <w:vAlign w:val="center"/>
          </w:tcPr>
          <w:p>
            <w:pPr>
              <w:spacing w:line="240" w:lineRule="exact"/>
              <w:rPr>
                <w:rFonts w:ascii="仿宋_GB2312"/>
                <w:sz w:val="15"/>
                <w:szCs w:val="15"/>
              </w:rPr>
            </w:pPr>
            <w:r>
              <w:rPr>
                <w:rFonts w:hint="eastAsia" w:ascii="仿宋_GB2312"/>
                <w:sz w:val="15"/>
                <w:szCs w:val="15"/>
              </w:rPr>
              <w:t>合规，得满分；存在一项不合规，扣1分，扣完为止。</w:t>
            </w:r>
          </w:p>
        </w:tc>
        <w:tc>
          <w:tcPr>
            <w:tcW w:w="1369" w:type="dxa"/>
            <w:vAlign w:val="center"/>
          </w:tcPr>
          <w:p>
            <w:pPr>
              <w:spacing w:line="240" w:lineRule="exact"/>
              <w:rPr>
                <w:rFonts w:ascii="仿宋_GB2312"/>
                <w:sz w:val="15"/>
                <w:szCs w:val="15"/>
              </w:rPr>
            </w:pPr>
            <w:r>
              <w:rPr>
                <w:rFonts w:hint="eastAsia" w:ascii="仿宋_GB2312"/>
                <w:sz w:val="15"/>
                <w:szCs w:val="15"/>
              </w:rPr>
              <w:t>绩效目标申报表、支付指令，合同、财务凭证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sz w:val="18"/>
                <w:szCs w:val="18"/>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2.财务管理制度健全性</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rPr>
                <w:rFonts w:ascii="仿宋_GB2312"/>
                <w:sz w:val="18"/>
                <w:szCs w:val="18"/>
              </w:rPr>
            </w:pPr>
            <w:r>
              <w:rPr>
                <w:rFonts w:hint="eastAsia" w:ascii="仿宋_GB2312"/>
                <w:sz w:val="18"/>
                <w:szCs w:val="18"/>
              </w:rPr>
              <w:t>3</w:t>
            </w:r>
          </w:p>
        </w:tc>
        <w:tc>
          <w:tcPr>
            <w:tcW w:w="2268" w:type="dxa"/>
            <w:vAlign w:val="center"/>
          </w:tcPr>
          <w:p>
            <w:pPr>
              <w:spacing w:line="240" w:lineRule="exact"/>
              <w:rPr>
                <w:rFonts w:ascii="仿宋_GB2312"/>
                <w:sz w:val="15"/>
                <w:szCs w:val="15"/>
              </w:rPr>
            </w:pPr>
            <w:r>
              <w:rPr>
                <w:rFonts w:hint="eastAsia" w:ascii="仿宋_GB2312"/>
                <w:sz w:val="15"/>
                <w:szCs w:val="15"/>
              </w:rPr>
              <w:t>考察项目的财务制度是否健全、完善、有效。</w:t>
            </w:r>
          </w:p>
        </w:tc>
        <w:tc>
          <w:tcPr>
            <w:tcW w:w="2126" w:type="dxa"/>
            <w:vAlign w:val="center"/>
          </w:tcPr>
          <w:p>
            <w:pPr>
              <w:spacing w:line="240" w:lineRule="exact"/>
              <w:rPr>
                <w:rFonts w:ascii="仿宋_GB2312"/>
                <w:sz w:val="15"/>
                <w:szCs w:val="15"/>
              </w:rPr>
            </w:pPr>
            <w:r>
              <w:rPr>
                <w:rFonts w:hint="eastAsia" w:ascii="仿宋_GB2312"/>
                <w:sz w:val="15"/>
                <w:szCs w:val="15"/>
              </w:rPr>
              <w:t xml:space="preserve">a.是否已制定相应的财务管理办法；b.项目财务管理办法是否符合相关财务会计制度的规定；符合所有条件，得满分； 一项不符合，扣1分，扣完为止。                                                                  </w:t>
            </w:r>
          </w:p>
        </w:tc>
        <w:tc>
          <w:tcPr>
            <w:tcW w:w="1369" w:type="dxa"/>
            <w:vAlign w:val="center"/>
          </w:tcPr>
          <w:p>
            <w:pPr>
              <w:spacing w:line="240" w:lineRule="exact"/>
              <w:rPr>
                <w:rFonts w:ascii="仿宋_GB2312"/>
                <w:sz w:val="15"/>
                <w:szCs w:val="15"/>
              </w:rPr>
            </w:pPr>
            <w:r>
              <w:rPr>
                <w:rFonts w:hint="eastAsia" w:ascii="仿宋_GB2312"/>
                <w:sz w:val="15"/>
                <w:szCs w:val="15"/>
              </w:rPr>
              <w:t>财务管理制度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sz w:val="18"/>
                <w:szCs w:val="18"/>
              </w:rPr>
            </w:pPr>
          </w:p>
        </w:tc>
        <w:tc>
          <w:tcPr>
            <w:tcW w:w="640" w:type="dxa"/>
            <w:vMerge w:val="restart"/>
            <w:vAlign w:val="center"/>
          </w:tcPr>
          <w:p>
            <w:pPr>
              <w:spacing w:line="240" w:lineRule="exact"/>
              <w:rPr>
                <w:rFonts w:ascii="仿宋_GB2312"/>
                <w:sz w:val="15"/>
                <w:szCs w:val="15"/>
              </w:rPr>
            </w:pPr>
            <w:r>
              <w:rPr>
                <w:rFonts w:hint="eastAsia" w:ascii="仿宋_GB2312"/>
                <w:sz w:val="15"/>
                <w:szCs w:val="15"/>
              </w:rPr>
              <w:t>3.项目实施（10）</w:t>
            </w:r>
          </w:p>
        </w:tc>
        <w:tc>
          <w:tcPr>
            <w:tcW w:w="1173" w:type="dxa"/>
            <w:vAlign w:val="center"/>
          </w:tcPr>
          <w:p>
            <w:pPr>
              <w:spacing w:line="240" w:lineRule="exact"/>
              <w:rPr>
                <w:rFonts w:ascii="仿宋_GB2312"/>
                <w:sz w:val="15"/>
                <w:szCs w:val="15"/>
              </w:rPr>
            </w:pPr>
            <w:r>
              <w:rPr>
                <w:rFonts w:hint="eastAsia" w:ascii="仿宋_GB2312"/>
                <w:sz w:val="15"/>
                <w:szCs w:val="15"/>
              </w:rPr>
              <w:t>1.项目管理制度健全性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4</w:t>
            </w:r>
          </w:p>
        </w:tc>
        <w:tc>
          <w:tcPr>
            <w:tcW w:w="2268" w:type="dxa"/>
            <w:vAlign w:val="center"/>
          </w:tcPr>
          <w:p>
            <w:pPr>
              <w:spacing w:line="240" w:lineRule="exact"/>
              <w:rPr>
                <w:rFonts w:ascii="仿宋_GB2312"/>
                <w:sz w:val="15"/>
                <w:szCs w:val="15"/>
              </w:rPr>
            </w:pPr>
            <w:r>
              <w:rPr>
                <w:rFonts w:hint="eastAsia" w:ascii="仿宋_GB2312"/>
                <w:sz w:val="15"/>
                <w:szCs w:val="15"/>
              </w:rPr>
              <w:t>项目实施单位为保障项目顺利实施制订的与项目直接相关的业务管理制度是否健全、完善和有效。</w:t>
            </w:r>
          </w:p>
        </w:tc>
        <w:tc>
          <w:tcPr>
            <w:tcW w:w="2126" w:type="dxa"/>
            <w:vAlign w:val="center"/>
          </w:tcPr>
          <w:p>
            <w:pPr>
              <w:spacing w:line="240" w:lineRule="exact"/>
              <w:rPr>
                <w:rFonts w:ascii="仿宋_GB2312"/>
                <w:sz w:val="15"/>
                <w:szCs w:val="15"/>
              </w:rPr>
            </w:pPr>
            <w:r>
              <w:rPr>
                <w:rFonts w:hint="eastAsia" w:ascii="仿宋_GB2312"/>
                <w:sz w:val="15"/>
                <w:szCs w:val="15"/>
              </w:rPr>
              <w:t>制订制度或采取措施，得满分；制度不完善或措施不明确，得权重的60%；没有相关制度或措施，不得分。</w:t>
            </w:r>
          </w:p>
        </w:tc>
        <w:tc>
          <w:tcPr>
            <w:tcW w:w="1369" w:type="dxa"/>
            <w:vAlign w:val="center"/>
          </w:tcPr>
          <w:p>
            <w:pPr>
              <w:spacing w:line="240" w:lineRule="exact"/>
              <w:rPr>
                <w:rFonts w:ascii="仿宋_GB2312"/>
                <w:sz w:val="15"/>
                <w:szCs w:val="15"/>
              </w:rPr>
            </w:pPr>
            <w:r>
              <w:rPr>
                <w:rFonts w:hint="eastAsia" w:ascii="仿宋_GB2312"/>
                <w:sz w:val="15"/>
                <w:szCs w:val="15"/>
              </w:rPr>
              <w:t>项目实施单位管理制度、访谈、现场调查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6" w:type="dxa"/>
            <w:vMerge w:val="continue"/>
          </w:tcPr>
          <w:p>
            <w:pPr>
              <w:spacing w:line="240" w:lineRule="exact"/>
              <w:jc w:val="left"/>
              <w:rPr>
                <w:sz w:val="18"/>
                <w:szCs w:val="18"/>
              </w:rPr>
            </w:pPr>
          </w:p>
        </w:tc>
        <w:tc>
          <w:tcPr>
            <w:tcW w:w="640" w:type="dxa"/>
            <w:vMerge w:val="continue"/>
          </w:tcPr>
          <w:p>
            <w:pPr>
              <w:spacing w:line="240" w:lineRule="exact"/>
              <w:jc w:val="lef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2.项目管理制度执行有效性</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rPr>
                <w:rFonts w:ascii="仿宋_GB2312"/>
                <w:sz w:val="18"/>
                <w:szCs w:val="18"/>
              </w:rPr>
            </w:pPr>
            <w:r>
              <w:rPr>
                <w:rFonts w:hint="eastAsia" w:ascii="仿宋_GB2312"/>
                <w:sz w:val="18"/>
                <w:szCs w:val="18"/>
              </w:rPr>
              <w:t>5</w:t>
            </w:r>
          </w:p>
        </w:tc>
        <w:tc>
          <w:tcPr>
            <w:tcW w:w="2268" w:type="dxa"/>
            <w:vAlign w:val="center"/>
          </w:tcPr>
          <w:p>
            <w:pPr>
              <w:spacing w:line="240" w:lineRule="exact"/>
              <w:rPr>
                <w:rFonts w:ascii="仿宋_GB2312"/>
                <w:sz w:val="15"/>
                <w:szCs w:val="15"/>
              </w:rPr>
            </w:pPr>
            <w:r>
              <w:rPr>
                <w:rFonts w:hint="eastAsia" w:ascii="仿宋_GB2312"/>
                <w:sz w:val="15"/>
                <w:szCs w:val="15"/>
              </w:rPr>
              <w:t>考察项目实施单位制订的管理制度是否有效执行。</w:t>
            </w:r>
          </w:p>
        </w:tc>
        <w:tc>
          <w:tcPr>
            <w:tcW w:w="2126" w:type="dxa"/>
            <w:vAlign w:val="center"/>
          </w:tcPr>
          <w:p>
            <w:pPr>
              <w:spacing w:line="240" w:lineRule="exact"/>
              <w:rPr>
                <w:rFonts w:ascii="仿宋_GB2312"/>
                <w:sz w:val="15"/>
                <w:szCs w:val="15"/>
              </w:rPr>
            </w:pPr>
            <w:r>
              <w:rPr>
                <w:rFonts w:hint="eastAsia" w:ascii="仿宋_GB2312"/>
                <w:sz w:val="15"/>
                <w:szCs w:val="15"/>
              </w:rPr>
              <w:t>有效执行，得满分；部分执行，得权重的60%；未执行，不得分。</w:t>
            </w:r>
          </w:p>
        </w:tc>
        <w:tc>
          <w:tcPr>
            <w:tcW w:w="1369" w:type="dxa"/>
            <w:vAlign w:val="center"/>
          </w:tcPr>
          <w:p>
            <w:pPr>
              <w:spacing w:line="240" w:lineRule="exact"/>
              <w:rPr>
                <w:rFonts w:ascii="仿宋_GB2312"/>
                <w:sz w:val="15"/>
                <w:szCs w:val="15"/>
              </w:rPr>
            </w:pPr>
            <w:r>
              <w:rPr>
                <w:rFonts w:hint="eastAsia" w:ascii="仿宋_GB2312"/>
                <w:sz w:val="15"/>
                <w:szCs w:val="15"/>
              </w:rPr>
              <w:t>项目实施单位管理制度、现场调查。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76" w:type="dxa"/>
            <w:vMerge w:val="restart"/>
            <w:textDirection w:val="tbRlV"/>
            <w:vAlign w:val="center"/>
          </w:tcPr>
          <w:p>
            <w:pPr>
              <w:spacing w:line="240" w:lineRule="exact"/>
              <w:ind w:left="113" w:right="113"/>
              <w:jc w:val="center"/>
              <w:rPr>
                <w:rFonts w:ascii="仿宋_GB2312"/>
                <w:sz w:val="18"/>
                <w:szCs w:val="18"/>
              </w:rPr>
            </w:pPr>
            <w:r>
              <w:rPr>
                <w:rFonts w:hint="eastAsia" w:ascii="仿宋_GB2312"/>
                <w:sz w:val="18"/>
                <w:szCs w:val="18"/>
              </w:rPr>
              <w:t>三、项目绩效（60分）</w:t>
            </w:r>
          </w:p>
        </w:tc>
        <w:tc>
          <w:tcPr>
            <w:tcW w:w="640" w:type="dxa"/>
            <w:vMerge w:val="restart"/>
            <w:vAlign w:val="center"/>
          </w:tcPr>
          <w:p>
            <w:pPr>
              <w:spacing w:line="240" w:lineRule="exact"/>
              <w:rPr>
                <w:rFonts w:ascii="仿宋_GB2312"/>
                <w:sz w:val="15"/>
                <w:szCs w:val="15"/>
              </w:rPr>
            </w:pPr>
            <w:r>
              <w:rPr>
                <w:rFonts w:hint="eastAsia" w:ascii="仿宋_GB2312"/>
                <w:sz w:val="15"/>
                <w:szCs w:val="15"/>
              </w:rPr>
              <w:t>1.项目产出（30分</w:t>
            </w:r>
          </w:p>
        </w:tc>
        <w:tc>
          <w:tcPr>
            <w:tcW w:w="1173" w:type="dxa"/>
            <w:vAlign w:val="center"/>
          </w:tcPr>
          <w:p>
            <w:pPr>
              <w:spacing w:line="240" w:lineRule="exact"/>
              <w:rPr>
                <w:rFonts w:ascii="仿宋_GB2312"/>
                <w:sz w:val="15"/>
                <w:szCs w:val="15"/>
              </w:rPr>
            </w:pPr>
            <w:r>
              <w:rPr>
                <w:rFonts w:hint="eastAsia" w:ascii="仿宋_GB2312"/>
                <w:sz w:val="15"/>
                <w:szCs w:val="15"/>
              </w:rPr>
              <w:t>1.数量指标</w:t>
            </w:r>
          </w:p>
        </w:tc>
        <w:tc>
          <w:tcPr>
            <w:tcW w:w="570" w:type="dxa"/>
            <w:vAlign w:val="center"/>
          </w:tcPr>
          <w:p>
            <w:pPr>
              <w:spacing w:line="240" w:lineRule="exact"/>
              <w:jc w:val="center"/>
              <w:rPr>
                <w:rFonts w:ascii="仿宋_GB2312"/>
                <w:sz w:val="18"/>
                <w:szCs w:val="18"/>
              </w:rPr>
            </w:pPr>
            <w:r>
              <w:rPr>
                <w:rFonts w:hint="eastAsia" w:ascii="仿宋_GB2312"/>
                <w:sz w:val="18"/>
                <w:szCs w:val="18"/>
              </w:rPr>
              <w:t>8</w:t>
            </w:r>
          </w:p>
        </w:tc>
        <w:tc>
          <w:tcPr>
            <w:tcW w:w="552" w:type="dxa"/>
            <w:vAlign w:val="center"/>
          </w:tcPr>
          <w:p>
            <w:pPr>
              <w:spacing w:line="240" w:lineRule="exact"/>
              <w:rPr>
                <w:rFonts w:ascii="仿宋_GB2312"/>
                <w:sz w:val="18"/>
                <w:szCs w:val="18"/>
              </w:rPr>
            </w:pPr>
            <w:r>
              <w:rPr>
                <w:rFonts w:hint="eastAsia" w:ascii="仿宋_GB2312"/>
                <w:sz w:val="18"/>
                <w:szCs w:val="18"/>
              </w:rPr>
              <w:t>7</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根据该项目实际，考察产出数量的实际完成情况。</w:t>
            </w:r>
          </w:p>
        </w:tc>
        <w:tc>
          <w:tcPr>
            <w:tcW w:w="2126" w:type="dxa"/>
            <w:vAlign w:val="center"/>
          </w:tcPr>
          <w:p>
            <w:pPr>
              <w:spacing w:line="240" w:lineRule="exact"/>
              <w:rPr>
                <w:rFonts w:ascii="仿宋_GB2312"/>
                <w:sz w:val="15"/>
                <w:szCs w:val="15"/>
              </w:rPr>
            </w:pPr>
            <w:r>
              <w:rPr>
                <w:rFonts w:hint="eastAsia" w:ascii="仿宋_GB2312"/>
                <w:sz w:val="15"/>
                <w:szCs w:val="15"/>
              </w:rPr>
              <w:t>对照绩效目标，按实际产出数量和计划产出数计算得分。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2.质量指标</w:t>
            </w:r>
          </w:p>
        </w:tc>
        <w:tc>
          <w:tcPr>
            <w:tcW w:w="570" w:type="dxa"/>
            <w:vAlign w:val="center"/>
          </w:tcPr>
          <w:p>
            <w:pPr>
              <w:spacing w:line="240" w:lineRule="exact"/>
              <w:jc w:val="center"/>
              <w:rPr>
                <w:rFonts w:ascii="仿宋_GB2312"/>
                <w:sz w:val="18"/>
                <w:szCs w:val="18"/>
              </w:rPr>
            </w:pPr>
            <w:r>
              <w:rPr>
                <w:rFonts w:hint="eastAsia" w:ascii="仿宋_GB2312"/>
                <w:sz w:val="18"/>
                <w:szCs w:val="18"/>
              </w:rPr>
              <w:t>8</w:t>
            </w:r>
          </w:p>
        </w:tc>
        <w:tc>
          <w:tcPr>
            <w:tcW w:w="552" w:type="dxa"/>
            <w:vAlign w:val="center"/>
          </w:tcPr>
          <w:p>
            <w:pPr>
              <w:spacing w:line="240" w:lineRule="exact"/>
              <w:rPr>
                <w:rFonts w:ascii="仿宋_GB2312"/>
                <w:sz w:val="18"/>
                <w:szCs w:val="18"/>
              </w:rPr>
            </w:pPr>
            <w:r>
              <w:rPr>
                <w:rFonts w:hint="eastAsia" w:ascii="仿宋_GB2312"/>
                <w:sz w:val="18"/>
                <w:szCs w:val="18"/>
              </w:rPr>
              <w:t>7</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根据该项目实际，考察项目质量应达到的行业标准。</w:t>
            </w:r>
          </w:p>
        </w:tc>
        <w:tc>
          <w:tcPr>
            <w:tcW w:w="2126" w:type="dxa"/>
            <w:vAlign w:val="center"/>
          </w:tcPr>
          <w:p>
            <w:pPr>
              <w:spacing w:line="240" w:lineRule="exact"/>
              <w:rPr>
                <w:rFonts w:ascii="仿宋_GB2312"/>
                <w:sz w:val="15"/>
                <w:szCs w:val="15"/>
              </w:rPr>
            </w:pPr>
            <w:r>
              <w:rPr>
                <w:rFonts w:hint="eastAsia" w:ascii="仿宋_GB2312"/>
                <w:sz w:val="15"/>
                <w:szCs w:val="15"/>
              </w:rPr>
              <w:t>对照绩效目标、行业标准计算得分。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3.时效指标</w:t>
            </w:r>
          </w:p>
        </w:tc>
        <w:tc>
          <w:tcPr>
            <w:tcW w:w="570" w:type="dxa"/>
            <w:vAlign w:val="center"/>
          </w:tcPr>
          <w:p>
            <w:pPr>
              <w:spacing w:line="240" w:lineRule="exact"/>
              <w:jc w:val="center"/>
              <w:rPr>
                <w:rFonts w:ascii="仿宋_GB2312"/>
                <w:sz w:val="18"/>
                <w:szCs w:val="18"/>
              </w:rPr>
            </w:pPr>
            <w:r>
              <w:rPr>
                <w:rFonts w:hint="eastAsia" w:ascii="仿宋_GB2312"/>
                <w:sz w:val="18"/>
                <w:szCs w:val="18"/>
              </w:rPr>
              <w:t>7</w:t>
            </w:r>
          </w:p>
        </w:tc>
        <w:tc>
          <w:tcPr>
            <w:tcW w:w="552" w:type="dxa"/>
            <w:vAlign w:val="center"/>
          </w:tcPr>
          <w:p>
            <w:pPr>
              <w:spacing w:line="240" w:lineRule="exact"/>
              <w:rPr>
                <w:rFonts w:ascii="仿宋_GB2312"/>
                <w:sz w:val="18"/>
                <w:szCs w:val="18"/>
              </w:rPr>
            </w:pPr>
            <w:r>
              <w:rPr>
                <w:rFonts w:hint="eastAsia" w:ascii="仿宋_GB2312"/>
                <w:sz w:val="18"/>
                <w:szCs w:val="18"/>
              </w:rPr>
              <w:t>6</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根据该项目实际，考察项目的实际完成时间。</w:t>
            </w:r>
          </w:p>
        </w:tc>
        <w:tc>
          <w:tcPr>
            <w:tcW w:w="2126" w:type="dxa"/>
            <w:vAlign w:val="center"/>
          </w:tcPr>
          <w:p>
            <w:pPr>
              <w:spacing w:line="240" w:lineRule="exact"/>
              <w:rPr>
                <w:rFonts w:ascii="仿宋_GB2312"/>
                <w:sz w:val="15"/>
                <w:szCs w:val="15"/>
              </w:rPr>
            </w:pPr>
            <w:r>
              <w:rPr>
                <w:rFonts w:hint="eastAsia" w:ascii="仿宋_GB2312"/>
                <w:sz w:val="15"/>
                <w:szCs w:val="15"/>
              </w:rPr>
              <w:t>对照绩效目标、按项目的实际完成时间和计划完成时间计算得分。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4.成本指标</w:t>
            </w:r>
          </w:p>
        </w:tc>
        <w:tc>
          <w:tcPr>
            <w:tcW w:w="570" w:type="dxa"/>
            <w:vAlign w:val="center"/>
          </w:tcPr>
          <w:p>
            <w:pPr>
              <w:spacing w:line="240" w:lineRule="exact"/>
              <w:jc w:val="center"/>
              <w:rPr>
                <w:rFonts w:ascii="仿宋_GB2312"/>
                <w:sz w:val="18"/>
                <w:szCs w:val="18"/>
              </w:rPr>
            </w:pPr>
            <w:r>
              <w:rPr>
                <w:rFonts w:hint="eastAsia" w:ascii="仿宋_GB2312"/>
                <w:sz w:val="18"/>
                <w:szCs w:val="18"/>
              </w:rPr>
              <w:t>7</w:t>
            </w:r>
          </w:p>
        </w:tc>
        <w:tc>
          <w:tcPr>
            <w:tcW w:w="552" w:type="dxa"/>
            <w:vAlign w:val="center"/>
          </w:tcPr>
          <w:p>
            <w:pPr>
              <w:spacing w:line="240" w:lineRule="exact"/>
              <w:rPr>
                <w:rFonts w:ascii="仿宋_GB2312"/>
                <w:sz w:val="18"/>
                <w:szCs w:val="18"/>
              </w:rPr>
            </w:pPr>
            <w:r>
              <w:rPr>
                <w:rFonts w:hint="eastAsia" w:ascii="仿宋_GB2312"/>
                <w:sz w:val="18"/>
                <w:szCs w:val="18"/>
              </w:rPr>
              <w:t>7</w:t>
            </w:r>
          </w:p>
        </w:tc>
        <w:tc>
          <w:tcPr>
            <w:tcW w:w="2268" w:type="dxa"/>
            <w:vAlign w:val="center"/>
          </w:tcPr>
          <w:p>
            <w:pPr>
              <w:spacing w:line="240" w:lineRule="exact"/>
              <w:rPr>
                <w:rFonts w:ascii="仿宋_GB2312"/>
                <w:sz w:val="15"/>
                <w:szCs w:val="15"/>
              </w:rPr>
            </w:pPr>
            <w:r>
              <w:rPr>
                <w:rFonts w:hint="eastAsia" w:ascii="仿宋_GB2312"/>
                <w:sz w:val="15"/>
                <w:szCs w:val="15"/>
              </w:rPr>
              <w:t>根据该项目实际，考察项目总成本和单项成本。</w:t>
            </w:r>
          </w:p>
        </w:tc>
        <w:tc>
          <w:tcPr>
            <w:tcW w:w="2126" w:type="dxa"/>
            <w:vAlign w:val="center"/>
          </w:tcPr>
          <w:p>
            <w:pPr>
              <w:spacing w:line="240" w:lineRule="exact"/>
              <w:rPr>
                <w:rFonts w:ascii="仿宋_GB2312"/>
                <w:sz w:val="15"/>
                <w:szCs w:val="15"/>
              </w:rPr>
            </w:pPr>
            <w:r>
              <w:rPr>
                <w:rFonts w:hint="eastAsia" w:ascii="仿宋_GB2312"/>
                <w:sz w:val="15"/>
                <w:szCs w:val="15"/>
              </w:rPr>
              <w:t>照绩效目标、按项目的实际成本和计划成本计算得分。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476" w:type="dxa"/>
            <w:vMerge w:val="continue"/>
          </w:tcPr>
          <w:p>
            <w:pPr>
              <w:spacing w:line="240" w:lineRule="exact"/>
              <w:jc w:val="left"/>
              <w:rPr>
                <w:rFonts w:ascii="仿宋_GB2312"/>
                <w:sz w:val="15"/>
                <w:szCs w:val="15"/>
              </w:rPr>
            </w:pPr>
          </w:p>
        </w:tc>
        <w:tc>
          <w:tcPr>
            <w:tcW w:w="640" w:type="dxa"/>
            <w:vMerge w:val="restart"/>
            <w:vAlign w:val="center"/>
          </w:tcPr>
          <w:p>
            <w:pPr>
              <w:spacing w:line="240" w:lineRule="exact"/>
              <w:rPr>
                <w:rFonts w:ascii="仿宋_GB2312"/>
                <w:sz w:val="15"/>
                <w:szCs w:val="15"/>
              </w:rPr>
            </w:pPr>
            <w:r>
              <w:rPr>
                <w:rFonts w:hint="eastAsia" w:ascii="仿宋_GB2312"/>
                <w:sz w:val="15"/>
                <w:szCs w:val="15"/>
              </w:rPr>
              <w:t>2.项目效益（30分）</w:t>
            </w:r>
          </w:p>
        </w:tc>
        <w:tc>
          <w:tcPr>
            <w:tcW w:w="1173" w:type="dxa"/>
            <w:vAlign w:val="center"/>
          </w:tcPr>
          <w:p>
            <w:pPr>
              <w:spacing w:line="240" w:lineRule="exact"/>
              <w:rPr>
                <w:rFonts w:ascii="仿宋_GB2312"/>
                <w:sz w:val="15"/>
                <w:szCs w:val="15"/>
              </w:rPr>
            </w:pPr>
            <w:r>
              <w:rPr>
                <w:rFonts w:hint="eastAsia" w:ascii="仿宋_GB2312"/>
                <w:sz w:val="15"/>
                <w:szCs w:val="15"/>
              </w:rPr>
              <w:t>1.经济效益</w:t>
            </w:r>
          </w:p>
        </w:tc>
        <w:tc>
          <w:tcPr>
            <w:tcW w:w="570" w:type="dxa"/>
            <w:vAlign w:val="center"/>
          </w:tcPr>
          <w:p>
            <w:pPr>
              <w:spacing w:line="240" w:lineRule="exact"/>
              <w:jc w:val="center"/>
              <w:rPr>
                <w:rFonts w:ascii="仿宋_GB2312"/>
                <w:sz w:val="18"/>
                <w:szCs w:val="18"/>
              </w:rPr>
            </w:pPr>
            <w:r>
              <w:rPr>
                <w:rFonts w:hint="eastAsia" w:ascii="仿宋_GB2312"/>
                <w:sz w:val="18"/>
                <w:szCs w:val="18"/>
              </w:rPr>
              <w:t>3</w:t>
            </w:r>
          </w:p>
        </w:tc>
        <w:tc>
          <w:tcPr>
            <w:tcW w:w="552" w:type="dxa"/>
            <w:vAlign w:val="center"/>
          </w:tcPr>
          <w:p>
            <w:pPr>
              <w:spacing w:line="240" w:lineRule="exact"/>
              <w:jc w:val="center"/>
              <w:rPr>
                <w:rFonts w:ascii="仿宋_GB2312"/>
                <w:sz w:val="18"/>
                <w:szCs w:val="18"/>
              </w:rPr>
            </w:pPr>
            <w:r>
              <w:rPr>
                <w:rFonts w:hint="eastAsia" w:ascii="仿宋_GB2312"/>
                <w:sz w:val="18"/>
                <w:szCs w:val="18"/>
              </w:rPr>
              <w:t>2</w:t>
            </w:r>
          </w:p>
        </w:tc>
        <w:tc>
          <w:tcPr>
            <w:tcW w:w="2268" w:type="dxa"/>
            <w:vAlign w:val="center"/>
          </w:tcPr>
          <w:p>
            <w:pPr>
              <w:spacing w:line="240" w:lineRule="exact"/>
              <w:rPr>
                <w:rFonts w:ascii="仿宋_GB2312"/>
                <w:sz w:val="15"/>
                <w:szCs w:val="15"/>
              </w:rPr>
            </w:pPr>
            <w:r>
              <w:rPr>
                <w:rFonts w:hint="eastAsia" w:ascii="仿宋_GB2312"/>
                <w:sz w:val="15"/>
                <w:szCs w:val="15"/>
              </w:rPr>
              <w:t>根据项目实际，考察项目所产生的直接或间接的经济效益。</w:t>
            </w:r>
          </w:p>
        </w:tc>
        <w:tc>
          <w:tcPr>
            <w:tcW w:w="2126" w:type="dxa"/>
            <w:vAlign w:val="center"/>
          </w:tcPr>
          <w:p>
            <w:pPr>
              <w:spacing w:line="240" w:lineRule="exact"/>
              <w:rPr>
                <w:rFonts w:ascii="仿宋_GB2312"/>
                <w:sz w:val="15"/>
                <w:szCs w:val="15"/>
              </w:rPr>
            </w:pPr>
            <w:r>
              <w:rPr>
                <w:rFonts w:hint="eastAsia" w:ascii="仿宋_GB2312"/>
                <w:sz w:val="15"/>
                <w:szCs w:val="15"/>
              </w:rPr>
              <w:t>对照绩效目标，按经济效益实现程度计算得分。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76" w:type="dxa"/>
            <w:vMerge w:val="continue"/>
          </w:tcPr>
          <w:p>
            <w:pPr>
              <w:spacing w:line="240" w:lineRule="exact"/>
              <w:jc w:val="left"/>
              <w:rPr>
                <w:rFonts w:ascii="仿宋_GB2312"/>
                <w:sz w:val="15"/>
                <w:szCs w:val="15"/>
              </w:rPr>
            </w:pPr>
          </w:p>
        </w:tc>
        <w:tc>
          <w:tcPr>
            <w:tcW w:w="640" w:type="dxa"/>
            <w:vMerge w:val="continue"/>
          </w:tcPr>
          <w:p>
            <w:pPr>
              <w:spacing w:line="240" w:lineRule="exact"/>
              <w:jc w:val="lef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2.社会效益</w:t>
            </w:r>
          </w:p>
        </w:tc>
        <w:tc>
          <w:tcPr>
            <w:tcW w:w="570" w:type="dxa"/>
            <w:vAlign w:val="center"/>
          </w:tcPr>
          <w:p>
            <w:pPr>
              <w:spacing w:line="240" w:lineRule="exact"/>
              <w:jc w:val="center"/>
              <w:rPr>
                <w:rFonts w:ascii="仿宋_GB2312"/>
                <w:sz w:val="18"/>
                <w:szCs w:val="18"/>
              </w:rPr>
            </w:pPr>
            <w:r>
              <w:rPr>
                <w:rFonts w:hint="eastAsia" w:ascii="仿宋_GB2312"/>
                <w:sz w:val="18"/>
                <w:szCs w:val="18"/>
              </w:rPr>
              <w:t>20</w:t>
            </w:r>
          </w:p>
        </w:tc>
        <w:tc>
          <w:tcPr>
            <w:tcW w:w="552" w:type="dxa"/>
            <w:vAlign w:val="center"/>
          </w:tcPr>
          <w:p>
            <w:pPr>
              <w:spacing w:line="240" w:lineRule="exact"/>
              <w:jc w:val="center"/>
              <w:rPr>
                <w:rFonts w:hint="eastAsia" w:ascii="仿宋_GB2312" w:eastAsia="仿宋_GB2312"/>
                <w:sz w:val="18"/>
                <w:szCs w:val="18"/>
                <w:lang w:val="en-US" w:eastAsia="zh-CN"/>
              </w:rPr>
            </w:pPr>
            <w:r>
              <w:rPr>
                <w:rFonts w:hint="eastAsia" w:ascii="仿宋_GB2312"/>
                <w:sz w:val="18"/>
                <w:szCs w:val="18"/>
              </w:rPr>
              <w:t>1</w:t>
            </w:r>
            <w:r>
              <w:rPr>
                <w:rFonts w:hint="eastAsia" w:ascii="仿宋_GB2312"/>
                <w:sz w:val="18"/>
                <w:szCs w:val="18"/>
                <w:lang w:val="en-US" w:eastAsia="zh-CN"/>
              </w:rPr>
              <w:t>8</w:t>
            </w:r>
          </w:p>
        </w:tc>
        <w:tc>
          <w:tcPr>
            <w:tcW w:w="2268" w:type="dxa"/>
            <w:vAlign w:val="center"/>
          </w:tcPr>
          <w:p>
            <w:pPr>
              <w:spacing w:line="240" w:lineRule="exact"/>
              <w:rPr>
                <w:rFonts w:ascii="仿宋_GB2312"/>
                <w:sz w:val="15"/>
                <w:szCs w:val="15"/>
              </w:rPr>
            </w:pPr>
            <w:r>
              <w:rPr>
                <w:rFonts w:hint="eastAsia" w:ascii="仿宋_GB2312"/>
                <w:sz w:val="15"/>
                <w:szCs w:val="15"/>
              </w:rPr>
              <w:t>根据项目实际，考察项目所产生的社会效益效益。</w:t>
            </w:r>
          </w:p>
        </w:tc>
        <w:tc>
          <w:tcPr>
            <w:tcW w:w="2126" w:type="dxa"/>
            <w:vAlign w:val="center"/>
          </w:tcPr>
          <w:p>
            <w:pPr>
              <w:spacing w:line="240" w:lineRule="exact"/>
              <w:rPr>
                <w:rFonts w:ascii="仿宋_GB2312"/>
                <w:sz w:val="15"/>
                <w:szCs w:val="15"/>
              </w:rPr>
            </w:pPr>
            <w:r>
              <w:rPr>
                <w:rFonts w:hint="eastAsia" w:ascii="仿宋_GB2312"/>
                <w:sz w:val="15"/>
                <w:szCs w:val="15"/>
              </w:rPr>
              <w:t>对照绩效目标，按社会效益实现程度计算得分。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5"/>
                <w:szCs w:val="15"/>
              </w:rPr>
            </w:pPr>
          </w:p>
        </w:tc>
        <w:tc>
          <w:tcPr>
            <w:tcW w:w="640" w:type="dxa"/>
            <w:vMerge w:val="continue"/>
          </w:tcPr>
          <w:p>
            <w:pPr>
              <w:spacing w:line="240" w:lineRule="exact"/>
              <w:jc w:val="lef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3.生态效益</w:t>
            </w:r>
          </w:p>
        </w:tc>
        <w:tc>
          <w:tcPr>
            <w:tcW w:w="570" w:type="dxa"/>
            <w:vAlign w:val="center"/>
          </w:tcPr>
          <w:p>
            <w:pPr>
              <w:spacing w:line="240" w:lineRule="exact"/>
              <w:jc w:val="center"/>
              <w:rPr>
                <w:rFonts w:ascii="仿宋_GB2312"/>
                <w:sz w:val="18"/>
                <w:szCs w:val="18"/>
              </w:rPr>
            </w:pPr>
            <w:r>
              <w:rPr>
                <w:rFonts w:hint="eastAsia" w:ascii="仿宋_GB2312"/>
                <w:sz w:val="18"/>
                <w:szCs w:val="18"/>
              </w:rPr>
              <w:t>2</w:t>
            </w:r>
          </w:p>
        </w:tc>
        <w:tc>
          <w:tcPr>
            <w:tcW w:w="552" w:type="dxa"/>
            <w:vAlign w:val="center"/>
          </w:tcPr>
          <w:p>
            <w:pPr>
              <w:spacing w:line="240" w:lineRule="exact"/>
              <w:jc w:val="center"/>
              <w:rPr>
                <w:rFonts w:ascii="仿宋_GB2312"/>
                <w:sz w:val="18"/>
                <w:szCs w:val="18"/>
              </w:rPr>
            </w:pPr>
            <w:r>
              <w:rPr>
                <w:rFonts w:hint="eastAsia" w:ascii="仿宋_GB2312"/>
                <w:sz w:val="18"/>
                <w:szCs w:val="18"/>
              </w:rPr>
              <w:t>2</w:t>
            </w:r>
          </w:p>
        </w:tc>
        <w:tc>
          <w:tcPr>
            <w:tcW w:w="2268" w:type="dxa"/>
            <w:vAlign w:val="center"/>
          </w:tcPr>
          <w:p>
            <w:pPr>
              <w:spacing w:line="240" w:lineRule="exact"/>
              <w:rPr>
                <w:rFonts w:ascii="仿宋_GB2312"/>
                <w:sz w:val="15"/>
                <w:szCs w:val="15"/>
              </w:rPr>
            </w:pPr>
            <w:r>
              <w:rPr>
                <w:rFonts w:hint="eastAsia" w:ascii="仿宋_GB2312"/>
                <w:sz w:val="15"/>
                <w:szCs w:val="15"/>
              </w:rPr>
              <w:t>根据项目实际，考察项目所产生的直接或间接的生态效益。</w:t>
            </w:r>
          </w:p>
        </w:tc>
        <w:tc>
          <w:tcPr>
            <w:tcW w:w="2126" w:type="dxa"/>
            <w:vAlign w:val="center"/>
          </w:tcPr>
          <w:p>
            <w:pPr>
              <w:spacing w:line="240" w:lineRule="exact"/>
              <w:rPr>
                <w:rFonts w:ascii="仿宋_GB2312"/>
                <w:sz w:val="15"/>
                <w:szCs w:val="15"/>
              </w:rPr>
            </w:pPr>
            <w:r>
              <w:rPr>
                <w:rFonts w:hint="eastAsia" w:ascii="仿宋_GB2312"/>
                <w:sz w:val="15"/>
                <w:szCs w:val="15"/>
              </w:rPr>
              <w:t>对照绩效目标，按生态效益实现程度计算得分。</w:t>
            </w:r>
          </w:p>
        </w:tc>
        <w:tc>
          <w:tcPr>
            <w:tcW w:w="1369" w:type="dxa"/>
            <w:vAlign w:val="center"/>
          </w:tcPr>
          <w:p>
            <w:pPr>
              <w:spacing w:line="240" w:lineRule="exact"/>
              <w:rPr>
                <w:rFonts w:ascii="仿宋_GB2312"/>
                <w:sz w:val="15"/>
                <w:szCs w:val="15"/>
              </w:rPr>
            </w:pPr>
            <w:r>
              <w:rPr>
                <w:rFonts w:hint="eastAsia" w:ascii="仿宋_GB2312"/>
                <w:sz w:val="15"/>
                <w:szCs w:val="15"/>
              </w:rPr>
              <w:t>根据绩效目标及相关资料。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76" w:type="dxa"/>
            <w:vMerge w:val="continue"/>
          </w:tcPr>
          <w:p>
            <w:pPr>
              <w:spacing w:line="240" w:lineRule="exact"/>
              <w:jc w:val="left"/>
              <w:rPr>
                <w:rFonts w:ascii="仿宋_GB2312"/>
                <w:sz w:val="15"/>
                <w:szCs w:val="15"/>
              </w:rPr>
            </w:pPr>
          </w:p>
        </w:tc>
        <w:tc>
          <w:tcPr>
            <w:tcW w:w="640" w:type="dxa"/>
            <w:vMerge w:val="continue"/>
            <w:vAlign w:val="center"/>
          </w:tcPr>
          <w:p>
            <w:pPr>
              <w:spacing w:line="240" w:lineRule="exact"/>
              <w:rPr>
                <w:rFonts w:ascii="仿宋_GB2312"/>
                <w:sz w:val="15"/>
                <w:szCs w:val="15"/>
              </w:rPr>
            </w:pPr>
          </w:p>
        </w:tc>
        <w:tc>
          <w:tcPr>
            <w:tcW w:w="1173" w:type="dxa"/>
            <w:vAlign w:val="center"/>
          </w:tcPr>
          <w:p>
            <w:pPr>
              <w:spacing w:line="240" w:lineRule="exact"/>
              <w:rPr>
                <w:rFonts w:ascii="仿宋_GB2312"/>
                <w:sz w:val="15"/>
                <w:szCs w:val="15"/>
              </w:rPr>
            </w:pPr>
            <w:r>
              <w:rPr>
                <w:rFonts w:hint="eastAsia" w:ascii="仿宋_GB2312"/>
                <w:sz w:val="15"/>
                <w:szCs w:val="15"/>
              </w:rPr>
              <w:t>4.服务对象满意度</w:t>
            </w:r>
          </w:p>
        </w:tc>
        <w:tc>
          <w:tcPr>
            <w:tcW w:w="570" w:type="dxa"/>
            <w:vAlign w:val="center"/>
          </w:tcPr>
          <w:p>
            <w:pPr>
              <w:spacing w:line="240" w:lineRule="exact"/>
              <w:jc w:val="center"/>
              <w:rPr>
                <w:rFonts w:ascii="仿宋_GB2312"/>
                <w:sz w:val="18"/>
                <w:szCs w:val="18"/>
              </w:rPr>
            </w:pPr>
            <w:r>
              <w:rPr>
                <w:rFonts w:hint="eastAsia" w:ascii="仿宋_GB2312"/>
                <w:sz w:val="18"/>
                <w:szCs w:val="18"/>
              </w:rPr>
              <w:t>5</w:t>
            </w:r>
          </w:p>
        </w:tc>
        <w:tc>
          <w:tcPr>
            <w:tcW w:w="552" w:type="dxa"/>
            <w:vAlign w:val="center"/>
          </w:tcPr>
          <w:p>
            <w:pPr>
              <w:spacing w:line="240" w:lineRule="exact"/>
              <w:jc w:val="center"/>
              <w:rPr>
                <w:rFonts w:hint="eastAsia" w:ascii="仿宋_GB2312" w:eastAsia="仿宋_GB2312"/>
                <w:sz w:val="18"/>
                <w:szCs w:val="18"/>
                <w:lang w:val="en-US" w:eastAsia="zh-CN"/>
              </w:rPr>
            </w:pPr>
            <w:r>
              <w:rPr>
                <w:rFonts w:hint="eastAsia" w:ascii="仿宋_GB2312"/>
                <w:sz w:val="18"/>
                <w:szCs w:val="18"/>
                <w:lang w:val="en-US" w:eastAsia="zh-CN"/>
              </w:rPr>
              <w:t>5</w:t>
            </w:r>
          </w:p>
        </w:tc>
        <w:tc>
          <w:tcPr>
            <w:tcW w:w="2268" w:type="dxa"/>
            <w:vAlign w:val="center"/>
          </w:tcPr>
          <w:p>
            <w:pPr>
              <w:tabs>
                <w:tab w:val="left" w:pos="2604"/>
              </w:tabs>
              <w:spacing w:line="240" w:lineRule="exact"/>
              <w:rPr>
                <w:rFonts w:ascii="仿宋_GB2312"/>
                <w:sz w:val="15"/>
                <w:szCs w:val="15"/>
              </w:rPr>
            </w:pPr>
            <w:r>
              <w:rPr>
                <w:rFonts w:hint="eastAsia" w:ascii="仿宋_GB2312"/>
                <w:sz w:val="15"/>
                <w:szCs w:val="15"/>
              </w:rPr>
              <w:t>服务对象对项目实施的满意程度。</w:t>
            </w:r>
          </w:p>
        </w:tc>
        <w:tc>
          <w:tcPr>
            <w:tcW w:w="2126" w:type="dxa"/>
            <w:vAlign w:val="center"/>
          </w:tcPr>
          <w:p>
            <w:pPr>
              <w:spacing w:line="240" w:lineRule="exact"/>
              <w:rPr>
                <w:rFonts w:ascii="仿宋_GB2312"/>
                <w:sz w:val="15"/>
                <w:szCs w:val="15"/>
              </w:rPr>
            </w:pPr>
            <w:r>
              <w:rPr>
                <w:rFonts w:hint="eastAsia" w:ascii="仿宋_GB2312" w:hAnsi="宋体" w:cs="宋体"/>
                <w:kern w:val="0"/>
                <w:sz w:val="15"/>
                <w:szCs w:val="15"/>
              </w:rPr>
              <w:t>按收集到的服务对象的满意率计算得分。</w:t>
            </w:r>
          </w:p>
        </w:tc>
        <w:tc>
          <w:tcPr>
            <w:tcW w:w="1369" w:type="dxa"/>
            <w:vAlign w:val="center"/>
          </w:tcPr>
          <w:p>
            <w:pPr>
              <w:spacing w:line="240" w:lineRule="exact"/>
              <w:rPr>
                <w:rFonts w:ascii="仿宋_GB2312"/>
                <w:sz w:val="15"/>
                <w:szCs w:val="15"/>
              </w:rPr>
            </w:pPr>
            <w:r>
              <w:rPr>
                <w:rFonts w:hint="eastAsia" w:ascii="仿宋_GB2312"/>
                <w:sz w:val="15"/>
                <w:szCs w:val="15"/>
              </w:rPr>
              <w:t>问卷调查、访谈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289" w:type="dxa"/>
            <w:gridSpan w:val="3"/>
            <w:vAlign w:val="center"/>
          </w:tcPr>
          <w:p>
            <w:pPr>
              <w:spacing w:line="240" w:lineRule="exact"/>
              <w:jc w:val="center"/>
              <w:rPr>
                <w:rFonts w:ascii="仿宋_GB2312"/>
                <w:b/>
                <w:sz w:val="18"/>
                <w:szCs w:val="18"/>
              </w:rPr>
            </w:pPr>
            <w:r>
              <w:rPr>
                <w:rFonts w:hint="eastAsia" w:ascii="仿宋_GB2312"/>
                <w:b/>
                <w:sz w:val="18"/>
                <w:szCs w:val="18"/>
              </w:rPr>
              <w:t>合  计</w:t>
            </w:r>
          </w:p>
        </w:tc>
        <w:tc>
          <w:tcPr>
            <w:tcW w:w="570" w:type="dxa"/>
            <w:vAlign w:val="center"/>
          </w:tcPr>
          <w:p>
            <w:pPr>
              <w:spacing w:line="240" w:lineRule="exact"/>
              <w:jc w:val="center"/>
              <w:rPr>
                <w:rFonts w:ascii="仿宋_GB2312"/>
                <w:sz w:val="18"/>
                <w:szCs w:val="18"/>
              </w:rPr>
            </w:pPr>
            <w:r>
              <w:rPr>
                <w:rFonts w:hint="eastAsia" w:ascii="仿宋_GB2312"/>
                <w:sz w:val="18"/>
                <w:szCs w:val="18"/>
              </w:rPr>
              <w:t>100</w:t>
            </w:r>
          </w:p>
        </w:tc>
        <w:tc>
          <w:tcPr>
            <w:tcW w:w="552" w:type="dxa"/>
            <w:vAlign w:val="center"/>
          </w:tcPr>
          <w:p>
            <w:pPr>
              <w:spacing w:line="240" w:lineRule="exact"/>
              <w:jc w:val="center"/>
              <w:rPr>
                <w:rFonts w:hint="eastAsia" w:ascii="仿宋_GB2312" w:eastAsia="仿宋_GB2312"/>
                <w:sz w:val="18"/>
                <w:szCs w:val="18"/>
                <w:lang w:val="en-US" w:eastAsia="zh-CN"/>
              </w:rPr>
            </w:pPr>
            <w:r>
              <w:rPr>
                <w:rFonts w:hint="eastAsia" w:ascii="仿宋_GB2312"/>
                <w:sz w:val="18"/>
                <w:szCs w:val="18"/>
              </w:rPr>
              <w:t>9</w:t>
            </w:r>
            <w:r>
              <w:rPr>
                <w:rFonts w:hint="eastAsia" w:ascii="仿宋_GB2312"/>
                <w:sz w:val="18"/>
                <w:szCs w:val="18"/>
                <w:lang w:val="en-US" w:eastAsia="zh-CN"/>
              </w:rPr>
              <w:t>3</w:t>
            </w:r>
          </w:p>
        </w:tc>
        <w:tc>
          <w:tcPr>
            <w:tcW w:w="5763" w:type="dxa"/>
            <w:gridSpan w:val="3"/>
            <w:vAlign w:val="center"/>
          </w:tcPr>
          <w:p>
            <w:pPr>
              <w:spacing w:line="240" w:lineRule="exact"/>
              <w:jc w:val="left"/>
              <w:rPr>
                <w:sz w:val="18"/>
                <w:szCs w:val="18"/>
              </w:rPr>
            </w:pPr>
            <w:r>
              <w:rPr>
                <w:rFonts w:hint="eastAsia" w:ascii="仿宋_GB2312"/>
                <w:sz w:val="18"/>
                <w:szCs w:val="18"/>
              </w:rPr>
              <w:t>评价等次：实际得分（S）≥90,优秀；90＞S≥80,良好；80＞S≥60,合格；S＜60，不合格。</w:t>
            </w:r>
          </w:p>
        </w:tc>
      </w:tr>
    </w:tbl>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p>
      <w:pPr>
        <w:jc w:val="center"/>
        <w:rPr>
          <w:rFonts w:ascii="黑体" w:eastAsia="黑体"/>
          <w:bCs/>
          <w:sz w:val="36"/>
          <w:szCs w:val="36"/>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黑体">
    <w:altName w:val="黑体"/>
    <w:panose1 w:val="02010600040101010101"/>
    <w:charset w:val="86"/>
    <w:family w:val="auto"/>
    <w:pitch w:val="default"/>
    <w:sig w:usb0="00000000" w:usb1="00000000" w:usb2="00020017" w:usb3="00000000" w:csb0="6016009F" w:csb1="9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209"/>
    <w:multiLevelType w:val="singleLevel"/>
    <w:tmpl w:val="18A81209"/>
    <w:lvl w:ilvl="0" w:tentative="0">
      <w:start w:val="2"/>
      <w:numFmt w:val="chineseCounting"/>
      <w:suff w:val="nothing"/>
      <w:lvlText w:val="（%1）"/>
      <w:lvlJc w:val="left"/>
      <w:pPr>
        <w:ind w:left="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657"/>
    <w:rsid w:val="00076B47"/>
    <w:rsid w:val="000A2E4C"/>
    <w:rsid w:val="000D37FE"/>
    <w:rsid w:val="000F16B4"/>
    <w:rsid w:val="001104B7"/>
    <w:rsid w:val="00110577"/>
    <w:rsid w:val="00127A2F"/>
    <w:rsid w:val="00175AAC"/>
    <w:rsid w:val="00197507"/>
    <w:rsid w:val="001C5DCB"/>
    <w:rsid w:val="00246DAD"/>
    <w:rsid w:val="0025715A"/>
    <w:rsid w:val="002C1657"/>
    <w:rsid w:val="002E3518"/>
    <w:rsid w:val="003033E4"/>
    <w:rsid w:val="00341940"/>
    <w:rsid w:val="00364740"/>
    <w:rsid w:val="003777D5"/>
    <w:rsid w:val="003C2470"/>
    <w:rsid w:val="003D7DDC"/>
    <w:rsid w:val="003E1CE8"/>
    <w:rsid w:val="004404E8"/>
    <w:rsid w:val="004E1CFF"/>
    <w:rsid w:val="0059730F"/>
    <w:rsid w:val="005B6DCE"/>
    <w:rsid w:val="005C4EBC"/>
    <w:rsid w:val="0068776A"/>
    <w:rsid w:val="006B646E"/>
    <w:rsid w:val="006C69CD"/>
    <w:rsid w:val="006E11EF"/>
    <w:rsid w:val="007A2AEE"/>
    <w:rsid w:val="007B15FD"/>
    <w:rsid w:val="008200F2"/>
    <w:rsid w:val="00825412"/>
    <w:rsid w:val="008429E3"/>
    <w:rsid w:val="008C67AB"/>
    <w:rsid w:val="008D1B0B"/>
    <w:rsid w:val="00907C08"/>
    <w:rsid w:val="00971170"/>
    <w:rsid w:val="00991C6C"/>
    <w:rsid w:val="00993DEC"/>
    <w:rsid w:val="009A7C71"/>
    <w:rsid w:val="009D4A58"/>
    <w:rsid w:val="009E55C2"/>
    <w:rsid w:val="00A3508F"/>
    <w:rsid w:val="00A4158F"/>
    <w:rsid w:val="00A70BC2"/>
    <w:rsid w:val="00A7249B"/>
    <w:rsid w:val="00A730D7"/>
    <w:rsid w:val="00A9345F"/>
    <w:rsid w:val="00B27C69"/>
    <w:rsid w:val="00B540B6"/>
    <w:rsid w:val="00B7368C"/>
    <w:rsid w:val="00CA7DE8"/>
    <w:rsid w:val="00CC0BDC"/>
    <w:rsid w:val="00CF6D07"/>
    <w:rsid w:val="00D263E1"/>
    <w:rsid w:val="00D96A1D"/>
    <w:rsid w:val="00D96B8D"/>
    <w:rsid w:val="00DA414F"/>
    <w:rsid w:val="00DF5C8E"/>
    <w:rsid w:val="00E07C05"/>
    <w:rsid w:val="00E30C53"/>
    <w:rsid w:val="00E36750"/>
    <w:rsid w:val="00E560DB"/>
    <w:rsid w:val="00EA0572"/>
    <w:rsid w:val="00EA3D4A"/>
    <w:rsid w:val="00EF279E"/>
    <w:rsid w:val="00FA1C86"/>
    <w:rsid w:val="00FA1DD3"/>
    <w:rsid w:val="00FF23ED"/>
    <w:rsid w:val="00FF7E55"/>
    <w:rsid w:val="0A773D8F"/>
    <w:rsid w:val="306444B2"/>
    <w:rsid w:val="566C1272"/>
    <w:rsid w:val="62400622"/>
    <w:rsid w:val="675B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 w:type="paragraph" w:customStyle="1" w:styleId="8">
    <w:name w:val="Normal (Web)"/>
    <w:basedOn w:val="1"/>
    <w:uiPriority w:val="0"/>
    <w:pPr>
      <w:spacing w:line="360" w:lineRule="atLeast"/>
      <w:jc w:val="left"/>
    </w:pPr>
    <w:rPr>
      <w:rFonts w:ascii="华文黑体" w:hAnsi="华文黑体" w:eastAsia="宋体"/>
      <w:kern w:val="0"/>
      <w:sz w:val="21"/>
      <w:szCs w:val="21"/>
    </w:rPr>
  </w:style>
  <w:style w:type="character" w:customStyle="1" w:styleId="9">
    <w:name w:val="公文正文"/>
    <w:basedOn w:val="5"/>
    <w:qFormat/>
    <w:uiPriority w:val="0"/>
    <w:rPr>
      <w:rFonts w:ascii="仿宋_GB2312"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960E8-9153-453B-B4A2-B72646F1E5D9}">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1</Pages>
  <Words>410</Words>
  <Characters>2341</Characters>
  <Lines>19</Lines>
  <Paragraphs>5</Paragraphs>
  <TotalTime>5</TotalTime>
  <ScaleCrop>false</ScaleCrop>
  <LinksUpToDate>false</LinksUpToDate>
  <CharactersWithSpaces>2746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2019-04-25T06:15:00Z</dcterms:created>
  <dc:creator>张子明</dc:creator>
  <cp:lastModifiedBy>Lenovo</cp:lastModifiedBy>
  <dcterms:modified xsi:type="dcterms:W3CDTF">2023-07-19T08:12:45Z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