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eastAsia="仿宋_GB2312"/>
          <w:spacing w:val="-4"/>
          <w:sz w:val="32"/>
          <w:szCs w:val="32"/>
        </w:rPr>
      </w:pPr>
    </w:p>
    <w:p>
      <w:pPr>
        <w:spacing w:line="560" w:lineRule="exact"/>
        <w:rPr>
          <w:rFonts w:ascii="仿宋_GB2312" w:eastAsia="仿宋_GB2312"/>
          <w:spacing w:val="-4"/>
          <w:sz w:val="32"/>
          <w:szCs w:val="32"/>
        </w:rPr>
      </w:pPr>
    </w:p>
    <w:p>
      <w:pPr>
        <w:rPr>
          <w:rFonts w:ascii="仿宋_GB2312" w:eastAsia="仿宋_GB2312"/>
          <w:spacing w:val="-4"/>
          <w:sz w:val="32"/>
          <w:szCs w:val="32"/>
        </w:rPr>
      </w:pPr>
    </w:p>
    <w:p>
      <w:pPr>
        <w:rPr>
          <w:rFonts w:ascii="仿宋_GB2312" w:eastAsia="仿宋_GB2312"/>
          <w:spacing w:val="-4"/>
          <w:sz w:val="32"/>
          <w:szCs w:val="32"/>
        </w:rPr>
      </w:pPr>
      <w:r>
        <w:rPr>
          <w:rFonts w:hint="eastAsia" w:ascii="仿宋_GB2312" w:eastAsia="仿宋_GB2312"/>
          <w:spacing w:val="-4"/>
          <w:sz w:val="32"/>
          <w:szCs w:val="32"/>
        </w:rPr>
        <w:drawing>
          <wp:inline distT="0" distB="0" distL="0" distR="0">
            <wp:extent cx="5600700" cy="1009650"/>
            <wp:effectExtent l="19050" t="0" r="0" b="0"/>
            <wp:docPr id="1" name="图片 1" descr="未标题-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标题-32"/>
                    <pic:cNvPicPr>
                      <a:picLocks noChangeAspect="1" noChangeArrowheads="1"/>
                    </pic:cNvPicPr>
                  </pic:nvPicPr>
                  <pic:blipFill>
                    <a:blip r:embed="rId7"/>
                    <a:srcRect/>
                    <a:stretch>
                      <a:fillRect/>
                    </a:stretch>
                  </pic:blipFill>
                  <pic:spPr>
                    <a:xfrm>
                      <a:off x="0" y="0"/>
                      <a:ext cx="5600700" cy="1009650"/>
                    </a:xfrm>
                    <a:prstGeom prst="rect">
                      <a:avLst/>
                    </a:prstGeom>
                    <a:noFill/>
                    <a:ln w="9525">
                      <a:noFill/>
                      <a:miter lim="800000"/>
                      <a:headEnd/>
                      <a:tailEnd/>
                    </a:ln>
                  </pic:spPr>
                </pic:pic>
              </a:graphicData>
            </a:graphic>
          </wp:inline>
        </w:drawing>
      </w:r>
    </w:p>
    <w:p>
      <w:pPr>
        <w:spacing w:line="576" w:lineRule="exact"/>
        <w:jc w:val="center"/>
        <w:rPr>
          <w:rFonts w:ascii="仿宋_GB2312" w:eastAsia="仿宋_GB2312"/>
          <w:sz w:val="32"/>
          <w:szCs w:val="32"/>
        </w:rPr>
      </w:pPr>
    </w:p>
    <w:p>
      <w:pPr>
        <w:spacing w:line="576" w:lineRule="exact"/>
        <w:jc w:val="center"/>
        <w:rPr>
          <w:rFonts w:ascii="仿宋_GB2312" w:eastAsia="仿宋_GB2312"/>
          <w:sz w:val="32"/>
          <w:szCs w:val="32"/>
        </w:rPr>
      </w:pPr>
    </w:p>
    <w:p>
      <w:pPr>
        <w:spacing w:line="576" w:lineRule="exact"/>
        <w:rPr>
          <w:rFonts w:ascii="仿宋_GB2312" w:eastAsia="仿宋_GB2312"/>
          <w:sz w:val="32"/>
          <w:szCs w:val="32"/>
        </w:rPr>
      </w:pPr>
      <w:r>
        <w:rPr>
          <w:rFonts w:hint="eastAsia" w:ascii="仿宋_GB2312" w:eastAsia="仿宋_GB2312"/>
          <w:sz w:val="32"/>
          <w:szCs w:val="32"/>
        </w:rPr>
        <w:t>富财农〔</w:t>
      </w:r>
      <w:r>
        <w:rPr>
          <w:rFonts w:eastAsia="仿宋_GB2312"/>
          <w:sz w:val="32"/>
          <w:szCs w:val="32"/>
        </w:rPr>
        <w:t>2</w:t>
      </w:r>
      <w:r>
        <w:rPr>
          <w:rFonts w:hint="eastAsia" w:eastAsia="仿宋_GB2312"/>
          <w:sz w:val="32"/>
          <w:szCs w:val="32"/>
        </w:rPr>
        <w:t>023</w:t>
      </w:r>
      <w:r>
        <w:rPr>
          <w:rFonts w:hint="eastAsia" w:ascii="仿宋_GB2312" w:eastAsia="仿宋_GB2312"/>
          <w:sz w:val="32"/>
          <w:szCs w:val="32"/>
        </w:rPr>
        <w:t>〕</w:t>
      </w:r>
      <w:r>
        <w:rPr>
          <w:rFonts w:hint="eastAsia" w:eastAsia="仿宋_GB2312"/>
          <w:sz w:val="32"/>
          <w:szCs w:val="32"/>
        </w:rPr>
        <w:t xml:space="preserve"> 19</w:t>
      </w:r>
      <w:r>
        <w:rPr>
          <w:rFonts w:hint="eastAsia" w:ascii="仿宋_GB2312" w:eastAsia="仿宋_GB2312"/>
          <w:sz w:val="32"/>
          <w:szCs w:val="32"/>
        </w:rPr>
        <w:t>号             签发人：金春荣</w:t>
      </w:r>
    </w:p>
    <w:p>
      <w:pPr>
        <w:spacing w:line="560" w:lineRule="exact"/>
        <w:rPr>
          <w:rFonts w:ascii="仿宋_GB2312" w:eastAsia="仿宋_GB2312"/>
          <w:spacing w:val="-4"/>
          <w:sz w:val="32"/>
          <w:szCs w:val="32"/>
        </w:rPr>
      </w:pPr>
      <w:r>
        <w:rPr>
          <w:rFonts w:ascii="仿宋_GB2312" w:eastAsia="仿宋_GB2312"/>
          <w:sz w:val="32"/>
          <w:szCs w:val="32"/>
        </w:rPr>
        <w:pict>
          <v:line id="_x0000_s1026" o:spid="_x0000_s1026" o:spt="20" style="position:absolute;left:0pt;margin-left:0.2pt;margin-top:10.75pt;height:0pt;width:442.2pt;z-index:251659264;mso-width-relative:page;mso-height-relative:page;" stroked="t" coordsize="21600,21600">
            <v:path arrowok="t"/>
            <v:fill focussize="0,0"/>
            <v:stroke weight="2.75pt" color="#FF0000"/>
            <v:imagedata o:title=""/>
            <o:lock v:ext="edit"/>
          </v:line>
        </w:pict>
      </w:r>
    </w:p>
    <w:p>
      <w:pPr>
        <w:spacing w:line="360" w:lineRule="exact"/>
        <w:rPr>
          <w:rFonts w:ascii="仿宋_GB2312" w:eastAsia="仿宋_GB2312"/>
          <w:sz w:val="32"/>
          <w:szCs w:val="32"/>
        </w:rPr>
      </w:pPr>
    </w:p>
    <w:p>
      <w:pPr>
        <w:spacing w:line="56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w w:val="90"/>
          <w:kern w:val="0"/>
          <w:sz w:val="44"/>
          <w:szCs w:val="44"/>
        </w:rPr>
        <w:t>富民县财政局</w:t>
      </w:r>
      <w:r>
        <w:rPr>
          <w:rFonts w:hint="eastAsia" w:ascii="方正小标宋简体" w:hAnsi="方正小标宋简体" w:eastAsia="方正小标宋简体" w:cs="方正小标宋简体"/>
          <w:kern w:val="0"/>
          <w:sz w:val="44"/>
          <w:szCs w:val="44"/>
        </w:rPr>
        <w:t>关于下达2023年度财政专项衔接项目资金的通知</w:t>
      </w:r>
    </w:p>
    <w:p>
      <w:pPr>
        <w:spacing w:line="360" w:lineRule="exact"/>
        <w:jc w:val="center"/>
        <w:rPr>
          <w:rFonts w:ascii="仿宋_GB2312" w:eastAsia="仿宋_GB2312"/>
          <w:sz w:val="32"/>
          <w:szCs w:val="32"/>
        </w:rPr>
      </w:pPr>
    </w:p>
    <w:p>
      <w:pPr>
        <w:spacing w:line="590" w:lineRule="exact"/>
        <w:rPr>
          <w:rFonts w:ascii="仿宋_GB2312" w:eastAsia="仿宋_GB2312"/>
          <w:sz w:val="32"/>
          <w:szCs w:val="32"/>
        </w:rPr>
      </w:pPr>
      <w:r>
        <w:rPr>
          <w:rFonts w:hint="eastAsia" w:ascii="仿宋_GB2312" w:eastAsia="仿宋_GB2312"/>
          <w:sz w:val="32"/>
          <w:szCs w:val="32"/>
        </w:rPr>
        <w:t>各预算单位、各镇（街道）人民政府（办事处）：</w:t>
      </w:r>
    </w:p>
    <w:p>
      <w:pPr>
        <w:spacing w:line="540" w:lineRule="exact"/>
        <w:ind w:firstLine="640" w:firstLineChars="200"/>
        <w:rPr>
          <w:rFonts w:eastAsia="仿宋_GB2312"/>
          <w:sz w:val="32"/>
          <w:szCs w:val="32"/>
        </w:rPr>
      </w:pPr>
      <w:r>
        <w:rPr>
          <w:rFonts w:hint="eastAsia" w:eastAsia="仿宋_GB2312"/>
          <w:sz w:val="32"/>
          <w:szCs w:val="32"/>
        </w:rPr>
        <w:t>根据《云南省财政衔接推进乡村振兴补助资金管理办法》（云财农〔2021〕140号）及《昆明市财政局关于提前下达2023年中央财政衔接推进乡村振兴补助资金的通知》（昆财农〔2022〕220号）、《昆明市财政局关于下达2023年驻村第一书记省级安排工作经费的通知》（昆财农〔2023〕4号）、《昆明市财政局关于下达2023年省级财政衔接推进乡村振兴补助资金的通知》（昆财农〔2023〕5号、《昆明市财政局 昆明市乡村振兴局关于下达2023年市级财政衔接推进乡村振兴补助资金的通知》（昆财农〔2023〕47号）、《昆明市财政局关于下达2023年中央财政衔接推进乡村振兴补助资金的通知》（昆财农〔2023〕71号）、《昆明市财政局关于下达2023年省级财政衔接推进乡村振兴补助（巩固拓展脱贫攻坚成果和乡村振兴任务）的通知》（昆财农〔2023〕85号）、《昆明市财政局关于下达2023年财政衔接推进乡村振兴补助资金正向激励调整资金的通知》（昆财农〔2023〕146号）和涉及资金项目牵头部门相关通知文件要求，为进一步加强财政专项衔接资金管理，提高资金使用效益，现将</w:t>
      </w:r>
      <w:r>
        <w:rPr>
          <w:rFonts w:eastAsia="仿宋_GB2312"/>
          <w:sz w:val="32"/>
          <w:szCs w:val="32"/>
        </w:rPr>
        <w:t>202</w:t>
      </w:r>
      <w:r>
        <w:rPr>
          <w:rFonts w:hint="eastAsia" w:eastAsia="仿宋_GB2312"/>
          <w:sz w:val="32"/>
          <w:szCs w:val="32"/>
        </w:rPr>
        <w:t>3年度中央、省、市级财政衔接推进乡村振兴补助资金及项目管理费分配情况归类。并通知如下：</w:t>
      </w:r>
    </w:p>
    <w:p>
      <w:pPr>
        <w:spacing w:line="540" w:lineRule="exact"/>
        <w:ind w:firstLine="640" w:firstLineChars="200"/>
        <w:rPr>
          <w:rFonts w:eastAsia="黑体"/>
          <w:sz w:val="32"/>
          <w:szCs w:val="32"/>
        </w:rPr>
      </w:pPr>
      <w:r>
        <w:rPr>
          <w:rFonts w:hint="eastAsia" w:eastAsia="黑体"/>
          <w:sz w:val="32"/>
          <w:szCs w:val="32"/>
        </w:rPr>
        <w:t>一、资金来源</w:t>
      </w:r>
    </w:p>
    <w:p>
      <w:pPr>
        <w:ind w:firstLine="640" w:firstLineChars="200"/>
        <w:rPr>
          <w:rFonts w:ascii="仿宋_GB2312" w:hAnsi="宋体" w:eastAsia="仿宋_GB2312"/>
          <w:sz w:val="32"/>
          <w:szCs w:val="32"/>
        </w:rPr>
      </w:pPr>
      <w:r>
        <w:rPr>
          <w:rFonts w:eastAsia="仿宋_GB2312"/>
          <w:sz w:val="32"/>
          <w:szCs w:val="32"/>
        </w:rPr>
        <w:t>202</w:t>
      </w:r>
      <w:r>
        <w:rPr>
          <w:rFonts w:hint="eastAsia" w:eastAsia="仿宋_GB2312"/>
          <w:sz w:val="32"/>
          <w:szCs w:val="32"/>
        </w:rPr>
        <w:t>3</w:t>
      </w:r>
      <w:r>
        <w:rPr>
          <w:rFonts w:eastAsia="仿宋_GB2312"/>
          <w:sz w:val="32"/>
          <w:szCs w:val="32"/>
        </w:rPr>
        <w:t>年中央财政</w:t>
      </w:r>
      <w:r>
        <w:rPr>
          <w:rFonts w:hint="eastAsia" w:eastAsia="仿宋_GB2312"/>
          <w:sz w:val="32"/>
          <w:szCs w:val="32"/>
        </w:rPr>
        <w:t>专项衔接</w:t>
      </w:r>
      <w:r>
        <w:rPr>
          <w:rFonts w:eastAsia="仿宋_GB2312"/>
          <w:sz w:val="32"/>
          <w:szCs w:val="32"/>
        </w:rPr>
        <w:t>资金</w:t>
      </w:r>
      <w:r>
        <w:rPr>
          <w:rFonts w:hint="eastAsia" w:eastAsia="仿宋_GB2312"/>
          <w:sz w:val="32"/>
          <w:szCs w:val="32"/>
        </w:rPr>
        <w:t>2,219</w:t>
      </w:r>
      <w:r>
        <w:rPr>
          <w:rFonts w:eastAsia="仿宋_GB2312"/>
          <w:sz w:val="32"/>
          <w:szCs w:val="32"/>
        </w:rPr>
        <w:t>万元</w:t>
      </w:r>
      <w:r>
        <w:rPr>
          <w:rFonts w:hint="eastAsia" w:eastAsia="仿宋_GB2312"/>
          <w:sz w:val="32"/>
          <w:szCs w:val="32"/>
        </w:rPr>
        <w:t>（昆财农〔2022〕220号）；2023年驻村第一书记省级安排工作经费3</w:t>
      </w:r>
      <w:r>
        <w:rPr>
          <w:rFonts w:eastAsia="仿宋_GB2312"/>
          <w:sz w:val="32"/>
          <w:szCs w:val="32"/>
        </w:rPr>
        <w:t>万元</w:t>
      </w:r>
      <w:r>
        <w:rPr>
          <w:rFonts w:hint="eastAsia" w:eastAsia="仿宋_GB2312"/>
          <w:sz w:val="32"/>
          <w:szCs w:val="32"/>
        </w:rPr>
        <w:t>（昆财农〔2023〕4号）；2023年省级财政衔接推进乡村振兴补助资金886万元（昆财农〔2023〕5号）；2023年市级财政衔接推进乡村振兴补助资金587万元（昆财农〔2023〕47号）；2023年中央财政衔接推进乡村振兴补助资金472万元（昆财农〔2022〕71号）；2023年省级财政推进乡村振兴补助资金（巩固拓展</w:t>
      </w:r>
      <w:bookmarkStart w:id="0" w:name="_GoBack"/>
      <w:bookmarkEnd w:id="0"/>
      <w:r>
        <w:rPr>
          <w:rFonts w:hint="eastAsia" w:eastAsia="仿宋_GB2312"/>
          <w:sz w:val="32"/>
          <w:szCs w:val="32"/>
        </w:rPr>
        <w:t>脱贫攻坚成果和乡村振兴任务）资金277万元（昆财农〔2023〕47号）；2023年财政衔接推进乡村振兴补助资金正向激励调整资金富民被调减（昆财农〔2023〕5号）30万元。以上</w:t>
      </w:r>
      <w:r>
        <w:rPr>
          <w:rFonts w:eastAsia="仿宋_GB2312"/>
          <w:sz w:val="32"/>
          <w:szCs w:val="32"/>
        </w:rPr>
        <w:t>共计</w:t>
      </w:r>
      <w:r>
        <w:rPr>
          <w:rFonts w:hint="eastAsia" w:eastAsia="仿宋_GB2312"/>
          <w:sz w:val="32"/>
          <w:szCs w:val="32"/>
        </w:rPr>
        <w:t>资金4,414</w:t>
      </w:r>
      <w:r>
        <w:rPr>
          <w:rFonts w:eastAsia="仿宋_GB2312"/>
          <w:sz w:val="32"/>
          <w:szCs w:val="32"/>
        </w:rPr>
        <w:t>万元</w:t>
      </w:r>
      <w:r>
        <w:rPr>
          <w:rFonts w:hint="eastAsia" w:eastAsia="仿宋_GB2312"/>
          <w:sz w:val="32"/>
          <w:szCs w:val="32"/>
        </w:rPr>
        <w:t>，其中：中央资金2,691万元、省级资金1,136万元、市级资金587万元。</w:t>
      </w:r>
    </w:p>
    <w:p>
      <w:pPr>
        <w:spacing w:line="540" w:lineRule="exact"/>
        <w:ind w:firstLine="640" w:firstLineChars="200"/>
        <w:rPr>
          <w:rFonts w:eastAsia="黑体"/>
          <w:sz w:val="32"/>
          <w:szCs w:val="32"/>
        </w:rPr>
      </w:pPr>
      <w:r>
        <w:rPr>
          <w:rFonts w:hint="eastAsia" w:eastAsia="黑体"/>
          <w:sz w:val="32"/>
          <w:szCs w:val="32"/>
        </w:rPr>
        <w:t>二、资金分配</w:t>
      </w:r>
    </w:p>
    <w:p>
      <w:pPr>
        <w:spacing w:line="540" w:lineRule="exact"/>
        <w:ind w:firstLine="640" w:firstLineChars="200"/>
        <w:rPr>
          <w:rFonts w:eastAsia="仿宋_GB2312"/>
          <w:sz w:val="32"/>
          <w:szCs w:val="32"/>
        </w:rPr>
      </w:pPr>
      <w:r>
        <w:rPr>
          <w:rFonts w:hint="eastAsia" w:eastAsia="仿宋_GB2312"/>
          <w:sz w:val="32"/>
          <w:szCs w:val="32"/>
        </w:rPr>
        <w:t>根据项目牵头部门县委组织部、县委统战部（民宗局）、县农业农村局（乡村振兴局）相关通知，结合目前到位资金情况，为精准使用资金，促进巩固拓展脱贫攻坚成果，全面推进乡村振兴。现将2023年度到位财政专项衔接资金分配情况下达涉及的单位部门、各镇（街道）。（详见附件）</w:t>
      </w:r>
    </w:p>
    <w:p>
      <w:pPr>
        <w:spacing w:line="540" w:lineRule="exact"/>
        <w:ind w:firstLine="640" w:firstLineChars="200"/>
        <w:rPr>
          <w:rFonts w:eastAsia="黑体"/>
          <w:sz w:val="32"/>
          <w:szCs w:val="32"/>
        </w:rPr>
      </w:pPr>
      <w:r>
        <w:rPr>
          <w:rFonts w:hint="eastAsia" w:eastAsia="黑体"/>
          <w:sz w:val="32"/>
          <w:szCs w:val="32"/>
        </w:rPr>
        <w:t>三、工作要求</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 xml:space="preserve">（一）严格遵循财政预算资金指标分配“谁使用、谁管理、谁负责”的原则，认真落实资金跟踪监管、项目建设指导和督促工作。 </w:t>
      </w:r>
    </w:p>
    <w:p>
      <w:pPr>
        <w:spacing w:line="540" w:lineRule="exact"/>
        <w:ind w:firstLine="640" w:firstLineChars="200"/>
        <w:rPr>
          <w:rFonts w:eastAsia="仿宋_GB2312"/>
          <w:sz w:val="32"/>
          <w:szCs w:val="32"/>
        </w:rPr>
      </w:pPr>
      <w:r>
        <w:rPr>
          <w:rFonts w:hint="eastAsia" w:ascii="仿宋_GB2312" w:eastAsia="仿宋_GB2312"/>
          <w:sz w:val="32"/>
          <w:szCs w:val="32"/>
        </w:rPr>
        <w:t>（二）涉及的项目名称、资金级次、金额，请按附件：</w:t>
      </w:r>
      <w:r>
        <w:rPr>
          <w:rFonts w:hint="eastAsia" w:eastAsia="仿宋_GB2312"/>
          <w:sz w:val="32"/>
          <w:szCs w:val="32"/>
        </w:rPr>
        <w:t>富民县2023年中央、省级、市级专项（衔接）项目资金分配表</w:t>
      </w:r>
      <w:r>
        <w:rPr>
          <w:rFonts w:hint="eastAsia" w:ascii="仿宋_GB2312" w:eastAsia="仿宋_GB2312"/>
          <w:sz w:val="32"/>
          <w:szCs w:val="32"/>
        </w:rPr>
        <w:t>的内容列支。</w:t>
      </w:r>
    </w:p>
    <w:p>
      <w:pPr>
        <w:spacing w:line="540" w:lineRule="exact"/>
        <w:ind w:firstLine="640" w:firstLineChars="200"/>
        <w:rPr>
          <w:rFonts w:eastAsia="仿宋_GB2312"/>
          <w:sz w:val="32"/>
          <w:szCs w:val="32"/>
        </w:rPr>
      </w:pPr>
      <w:r>
        <w:rPr>
          <w:rFonts w:hint="eastAsia" w:eastAsia="仿宋_GB2312"/>
          <w:sz w:val="32"/>
          <w:szCs w:val="32"/>
        </w:rPr>
        <w:t>（三）全面加强资金和项目管理。做到资金到项目、管理到项目、核算到项目、责任到项目，明确一名项目负责人，负责对项目建设中的安全、质量、工程进度、资金监管、绩效评价、相关的数据资料公示公开等工作（项目负责人及联系方式报县巩固脱贫攻坚推进乡村振兴领导小组办公室、县财政局农业农村科备案）。</w:t>
      </w:r>
    </w:p>
    <w:p>
      <w:pPr>
        <w:spacing w:line="540" w:lineRule="exact"/>
        <w:ind w:firstLine="640" w:firstLineChars="200"/>
        <w:jc w:val="left"/>
        <w:rPr>
          <w:rFonts w:eastAsia="仿宋_GB2312"/>
          <w:sz w:val="32"/>
          <w:szCs w:val="32"/>
        </w:rPr>
      </w:pPr>
      <w:r>
        <w:rPr>
          <w:rFonts w:hint="eastAsia" w:eastAsia="仿宋_GB2312"/>
          <w:sz w:val="32"/>
          <w:szCs w:val="32"/>
        </w:rPr>
        <w:t>（四）全面推行公告公示制度。根据《昆明市扶贫资金项目公示公告制度实施办法》要求，严格按照</w:t>
      </w:r>
      <w:r>
        <w:rPr>
          <w:rFonts w:eastAsia="仿宋_GB2312"/>
          <w:sz w:val="32"/>
          <w:szCs w:val="32"/>
        </w:rPr>
        <w:t>“</w:t>
      </w:r>
      <w:r>
        <w:rPr>
          <w:rFonts w:hint="eastAsia" w:eastAsia="仿宋_GB2312"/>
          <w:sz w:val="32"/>
          <w:szCs w:val="32"/>
        </w:rPr>
        <w:t>谁分配、谁公开、谁使用、谁公开、分配到哪里、公开到哪里</w:t>
      </w:r>
      <w:r>
        <w:rPr>
          <w:rFonts w:eastAsia="仿宋_GB2312"/>
          <w:sz w:val="32"/>
          <w:szCs w:val="32"/>
        </w:rPr>
        <w:t>”</w:t>
      </w:r>
      <w:r>
        <w:rPr>
          <w:rFonts w:hint="eastAsia" w:eastAsia="仿宋_GB2312"/>
          <w:sz w:val="32"/>
          <w:szCs w:val="32"/>
        </w:rPr>
        <w:t>的原则，采取分级分类的形式，做到事前公示、事后公告，把涉及到财政专项衔接资金的政策文件、管理制度、资金到账、资金分配、使用结果等信息，及时向社会公开，公示公开要与项目建设管理公示同步进行，让群众清楚明白，接受群众和社会的监督。</w:t>
      </w:r>
    </w:p>
    <w:p>
      <w:pPr>
        <w:spacing w:line="560" w:lineRule="exact"/>
        <w:ind w:firstLine="640" w:firstLineChars="200"/>
        <w:jc w:val="left"/>
        <w:rPr>
          <w:rFonts w:eastAsia="仿宋_GB2312"/>
          <w:sz w:val="32"/>
          <w:szCs w:val="32"/>
        </w:rPr>
      </w:pPr>
      <w:r>
        <w:rPr>
          <w:rFonts w:hint="eastAsia" w:ascii="仿宋_GB2312" w:eastAsia="仿宋_GB2312"/>
          <w:sz w:val="32"/>
          <w:szCs w:val="32"/>
        </w:rPr>
        <w:t>（五）强化项目建设全过程绩效管理。</w:t>
      </w:r>
      <w:r>
        <w:rPr>
          <w:rFonts w:hint="eastAsia" w:eastAsia="仿宋_GB2312"/>
          <w:sz w:val="32"/>
          <w:szCs w:val="32"/>
        </w:rPr>
        <w:t>项目实施单位要认真做好财政专项衔接资金全过程绩效管理，切实将预算绩效管理贯穿于绩效目标编制、绩效跟踪、绩效评价等各环节。项目实施过程中，围绕项目绩效目标，对项目的组织实施进展情况进行动态跟踪，及时发现并纠正项目实施过程中存在的问题，项目实施完成后，应对照事先确定的绩效目标开展部门绩效自评工作。年度执行中将视各单位资金支出进度进行调整。</w:t>
      </w:r>
      <w:r>
        <w:rPr>
          <w:rFonts w:hint="eastAsia"/>
        </w:rPr>
        <w:t xml:space="preserve">   </w:t>
      </w:r>
    </w:p>
    <w:p>
      <w:pPr>
        <w:spacing w:line="560" w:lineRule="exact"/>
        <w:ind w:firstLine="640" w:firstLineChars="200"/>
        <w:jc w:val="left"/>
        <w:rPr>
          <w:rFonts w:eastAsia="仿宋_GB2312"/>
          <w:sz w:val="32"/>
          <w:szCs w:val="32"/>
        </w:rPr>
      </w:pPr>
      <w:r>
        <w:rPr>
          <w:rFonts w:hint="eastAsia" w:ascii="仿宋_GB2312" w:eastAsia="仿宋_GB2312"/>
          <w:sz w:val="32"/>
          <w:szCs w:val="32"/>
        </w:rPr>
        <w:t>（六）</w:t>
      </w:r>
      <w:r>
        <w:rPr>
          <w:rFonts w:eastAsia="仿宋_GB2312"/>
          <w:sz w:val="32"/>
          <w:szCs w:val="32"/>
        </w:rPr>
        <w:t>强化项目建设</w:t>
      </w:r>
      <w:r>
        <w:rPr>
          <w:rFonts w:hint="eastAsia" w:eastAsia="仿宋_GB2312"/>
          <w:sz w:val="32"/>
          <w:szCs w:val="32"/>
        </w:rPr>
        <w:t>相关资料台账管理。资料台账是项目建设实绩考评支撑的主要依据，项目建设资金出支凭证、收款方开据的收据、上级部门下发的相关文件等（将涉及到的每一笔资金支付凭证复印件留存于台账内），预备随时提供于所需部门。</w:t>
      </w:r>
    </w:p>
    <w:p>
      <w:pPr>
        <w:spacing w:line="540" w:lineRule="exact"/>
        <w:ind w:firstLine="640" w:firstLineChars="200"/>
        <w:rPr>
          <w:rFonts w:eastAsia="仿宋_GB2312"/>
          <w:sz w:val="32"/>
          <w:szCs w:val="32"/>
        </w:rPr>
      </w:pPr>
    </w:p>
    <w:p>
      <w:pPr>
        <w:spacing w:line="590" w:lineRule="exact"/>
        <w:rPr>
          <w:rFonts w:ascii="仿宋_GB2312" w:hAnsi="Calibri" w:eastAsia="仿宋_GB2312"/>
          <w:sz w:val="32"/>
          <w:szCs w:val="32"/>
        </w:rPr>
      </w:pPr>
    </w:p>
    <w:p>
      <w:pPr>
        <w:spacing w:line="540" w:lineRule="exact"/>
        <w:ind w:firstLine="624" w:firstLineChars="200"/>
        <w:rPr>
          <w:rFonts w:ascii="仿宋_GB2312" w:eastAsia="仿宋_GB2312"/>
          <w:spacing w:val="-4"/>
          <w:sz w:val="32"/>
          <w:szCs w:val="32"/>
        </w:rPr>
      </w:pPr>
      <w:r>
        <w:rPr>
          <w:rFonts w:hint="eastAsia" w:ascii="仿宋_GB2312" w:eastAsia="仿宋_GB2312"/>
          <w:spacing w:val="-4"/>
          <w:sz w:val="32"/>
          <w:szCs w:val="32"/>
        </w:rPr>
        <w:t>附件：</w:t>
      </w:r>
      <w:r>
        <w:rPr>
          <w:rFonts w:hint="eastAsia" w:eastAsia="仿宋_GB2312"/>
          <w:sz w:val="32"/>
          <w:szCs w:val="32"/>
        </w:rPr>
        <w:t>富民县2023年中央、省级、市级专项（衔接）项目资金分配情况统计表</w:t>
      </w:r>
    </w:p>
    <w:p>
      <w:pPr>
        <w:spacing w:line="560" w:lineRule="exact"/>
        <w:rPr>
          <w:rFonts w:ascii="仿宋_GB2312" w:eastAsia="仿宋_GB2312"/>
          <w:spacing w:val="-4"/>
          <w:sz w:val="32"/>
          <w:szCs w:val="32"/>
        </w:rPr>
      </w:pPr>
    </w:p>
    <w:p>
      <w:pPr>
        <w:spacing w:line="560" w:lineRule="exact"/>
        <w:rPr>
          <w:rFonts w:ascii="仿宋_GB2312" w:eastAsia="仿宋_GB2312"/>
          <w:spacing w:val="-4"/>
          <w:sz w:val="32"/>
          <w:szCs w:val="32"/>
        </w:rPr>
      </w:pPr>
    </w:p>
    <w:p>
      <w:pPr>
        <w:spacing w:line="560" w:lineRule="exact"/>
        <w:rPr>
          <w:rFonts w:ascii="仿宋_GB2312" w:eastAsia="仿宋_GB2312"/>
          <w:spacing w:val="-4"/>
          <w:sz w:val="32"/>
          <w:szCs w:val="32"/>
        </w:rPr>
      </w:pPr>
    </w:p>
    <w:sectPr>
      <w:headerReference r:id="rId3" w:type="default"/>
      <w:footerReference r:id="rId4" w:type="default"/>
      <w:footerReference r:id="rId5" w:type="even"/>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sz w:val="28"/>
        <w:szCs w:val="28"/>
      </w:rPr>
    </w:pPr>
    <w:r>
      <w:rPr>
        <w:rStyle w:val="7"/>
        <w:sz w:val="28"/>
        <w:szCs w:val="28"/>
      </w:rPr>
      <w:t xml:space="preserve">— </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2</w:t>
    </w:r>
    <w:r>
      <w:rPr>
        <w:rStyle w:val="7"/>
        <w:sz w:val="28"/>
        <w:szCs w:val="28"/>
      </w:rPr>
      <w:fldChar w:fldCharType="end"/>
    </w:r>
    <w:r>
      <w:rPr>
        <w:rStyle w:val="7"/>
        <w:sz w:val="28"/>
        <w:szCs w:val="28"/>
      </w:rPr>
      <w:t xml:space="preserve"> —</w:t>
    </w:r>
  </w:p>
  <w:p>
    <w:pPr>
      <w:pStyle w:val="3"/>
      <w:ind w:right="36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IwNjU4NzE1MDQ2MGY5NDFmOWE1MjYxODJmZjA5MGUifQ=="/>
  </w:docVars>
  <w:rsids>
    <w:rsidRoot w:val="005932CB"/>
    <w:rsid w:val="0000425A"/>
    <w:rsid w:val="0001446E"/>
    <w:rsid w:val="00043F5E"/>
    <w:rsid w:val="0006083F"/>
    <w:rsid w:val="00093145"/>
    <w:rsid w:val="000A6104"/>
    <w:rsid w:val="000B3681"/>
    <w:rsid w:val="000B4394"/>
    <w:rsid w:val="000C1B9F"/>
    <w:rsid w:val="000C59BB"/>
    <w:rsid w:val="000D2F78"/>
    <w:rsid w:val="000E54B6"/>
    <w:rsid w:val="000E5F31"/>
    <w:rsid w:val="000F2274"/>
    <w:rsid w:val="00175754"/>
    <w:rsid w:val="00197BAD"/>
    <w:rsid w:val="001A31CA"/>
    <w:rsid w:val="001C0E26"/>
    <w:rsid w:val="001C7A0E"/>
    <w:rsid w:val="001D4B79"/>
    <w:rsid w:val="001F2128"/>
    <w:rsid w:val="002800A8"/>
    <w:rsid w:val="002A241D"/>
    <w:rsid w:val="002B4597"/>
    <w:rsid w:val="002C51F0"/>
    <w:rsid w:val="002D78F9"/>
    <w:rsid w:val="002E7262"/>
    <w:rsid w:val="0030276B"/>
    <w:rsid w:val="00321EB5"/>
    <w:rsid w:val="00350443"/>
    <w:rsid w:val="003521EA"/>
    <w:rsid w:val="00366685"/>
    <w:rsid w:val="00387C56"/>
    <w:rsid w:val="003B7C47"/>
    <w:rsid w:val="003E4920"/>
    <w:rsid w:val="00410C83"/>
    <w:rsid w:val="00412388"/>
    <w:rsid w:val="00416926"/>
    <w:rsid w:val="00417F06"/>
    <w:rsid w:val="00440C58"/>
    <w:rsid w:val="00460F90"/>
    <w:rsid w:val="00461C84"/>
    <w:rsid w:val="00476E08"/>
    <w:rsid w:val="004F099A"/>
    <w:rsid w:val="00514D6F"/>
    <w:rsid w:val="005932CB"/>
    <w:rsid w:val="005A2C7D"/>
    <w:rsid w:val="005A30B8"/>
    <w:rsid w:val="005C454E"/>
    <w:rsid w:val="005D232F"/>
    <w:rsid w:val="005F5EC6"/>
    <w:rsid w:val="006269DC"/>
    <w:rsid w:val="00635E05"/>
    <w:rsid w:val="006820E5"/>
    <w:rsid w:val="006A0241"/>
    <w:rsid w:val="006B49E7"/>
    <w:rsid w:val="006E4EA7"/>
    <w:rsid w:val="006E50A6"/>
    <w:rsid w:val="006F3B84"/>
    <w:rsid w:val="006F4393"/>
    <w:rsid w:val="0071008B"/>
    <w:rsid w:val="00715042"/>
    <w:rsid w:val="007248A5"/>
    <w:rsid w:val="00737F36"/>
    <w:rsid w:val="00747D64"/>
    <w:rsid w:val="00775FF1"/>
    <w:rsid w:val="00781577"/>
    <w:rsid w:val="007F7977"/>
    <w:rsid w:val="0080315F"/>
    <w:rsid w:val="008115EB"/>
    <w:rsid w:val="00855810"/>
    <w:rsid w:val="00874975"/>
    <w:rsid w:val="008B2ACD"/>
    <w:rsid w:val="008C6504"/>
    <w:rsid w:val="00902BD4"/>
    <w:rsid w:val="0097792B"/>
    <w:rsid w:val="009B17E4"/>
    <w:rsid w:val="009D7693"/>
    <w:rsid w:val="009E57AC"/>
    <w:rsid w:val="00A07CB8"/>
    <w:rsid w:val="00A47631"/>
    <w:rsid w:val="00A54CCA"/>
    <w:rsid w:val="00A758ED"/>
    <w:rsid w:val="00AA7E6B"/>
    <w:rsid w:val="00B05185"/>
    <w:rsid w:val="00B11389"/>
    <w:rsid w:val="00B208D5"/>
    <w:rsid w:val="00B22FFA"/>
    <w:rsid w:val="00B627D7"/>
    <w:rsid w:val="00B6286A"/>
    <w:rsid w:val="00B649D7"/>
    <w:rsid w:val="00B677DA"/>
    <w:rsid w:val="00B8308F"/>
    <w:rsid w:val="00B86655"/>
    <w:rsid w:val="00BB3328"/>
    <w:rsid w:val="00BC4D96"/>
    <w:rsid w:val="00BD2DFF"/>
    <w:rsid w:val="00BE3CA9"/>
    <w:rsid w:val="00C23C4D"/>
    <w:rsid w:val="00C47853"/>
    <w:rsid w:val="00C85EFA"/>
    <w:rsid w:val="00CB15BB"/>
    <w:rsid w:val="00CB48E6"/>
    <w:rsid w:val="00CD0D78"/>
    <w:rsid w:val="00CF33E2"/>
    <w:rsid w:val="00CF3DCB"/>
    <w:rsid w:val="00D0463D"/>
    <w:rsid w:val="00D7686E"/>
    <w:rsid w:val="00D95B47"/>
    <w:rsid w:val="00DC2A33"/>
    <w:rsid w:val="00E056AF"/>
    <w:rsid w:val="00E30F9B"/>
    <w:rsid w:val="00E41BA5"/>
    <w:rsid w:val="00E91DAA"/>
    <w:rsid w:val="00EC0838"/>
    <w:rsid w:val="00EF6337"/>
    <w:rsid w:val="00F10A8C"/>
    <w:rsid w:val="00F27BDB"/>
    <w:rsid w:val="00F33B8B"/>
    <w:rsid w:val="00F81C5C"/>
    <w:rsid w:val="00FB1948"/>
    <w:rsid w:val="00FE30C6"/>
    <w:rsid w:val="7E6C7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customStyle="1" w:styleId="8">
    <w:name w:val="批注框文本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s\Desktop\&#20844;&#25991;&#20889;&#20316;&#26684;&#24335;\&#23500;&#36130;%20&#25991;&#20214;&#34900;&#22836;&#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富财 文件衔头模板</Template>
  <Company>fmczj</Company>
  <Pages>4</Pages>
  <Words>286</Words>
  <Characters>1635</Characters>
  <Lines>13</Lines>
  <Paragraphs>3</Paragraphs>
  <TotalTime>276</TotalTime>
  <ScaleCrop>false</ScaleCrop>
  <LinksUpToDate>false</LinksUpToDate>
  <CharactersWithSpaces>1918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2022-05-17T03:52:00Z</dcterms:created>
  <dc:creator>sds</dc:creator>
  <cp:lastModifiedBy>老夫聊发少年狂啊</cp:lastModifiedBy>
  <dcterms:modified xsi:type="dcterms:W3CDTF">2023-12-01T03:46:10Z</dcterms:modified>
  <cp:revision>494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0B83EDB3E10649678F271246FF518B98_12</vt:lpwstr>
  </property>
</Properties>
</file>