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8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富民县政协提案答复清单</w:t>
      </w:r>
    </w:p>
    <w:tbl>
      <w:tblPr>
        <w:tblStyle w:val="9"/>
        <w:tblpPr w:leftFromText="180" w:rightFromText="180" w:vertAnchor="text" w:horzAnchor="page" w:tblpXSpec="center" w:tblpY="240"/>
        <w:tblOverlap w:val="never"/>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820"/>
        <w:gridCol w:w="1810"/>
        <w:gridCol w:w="636"/>
        <w:gridCol w:w="2445"/>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r>
              <w:rPr>
                <w:rFonts w:hint="eastAsia" w:ascii="Times New Roman" w:hAnsi="Times New Roman" w:cs="Times New Roman"/>
                <w:kern w:val="0"/>
                <w:sz w:val="28"/>
                <w:szCs w:val="28"/>
                <w:lang w:eastAsia="zh-CN"/>
              </w:rPr>
              <w:t>富民县文化和旅游局</w:t>
            </w:r>
            <w:r>
              <w:rPr>
                <w:rFonts w:hint="default" w:ascii="Times New Roman" w:hAnsi="Times New Roman" w:eastAsia="仿宋_GB2312" w:cs="Times New Roman"/>
                <w:kern w:val="0"/>
                <w:sz w:val="28"/>
                <w:szCs w:val="28"/>
              </w:rPr>
              <w:t>）</w:t>
            </w:r>
          </w:p>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关于对富民县政协十届</w:t>
            </w: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0"/>
                <w:sz w:val="28"/>
                <w:szCs w:val="28"/>
                <w:u w:val="single"/>
                <w:lang w:eastAsia="zh-CN"/>
              </w:rPr>
              <w:t>二</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次会议第</w:t>
            </w: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0"/>
                <w:sz w:val="28"/>
                <w:szCs w:val="28"/>
                <w:u w:val="single"/>
                <w:lang w:val="en-US" w:eastAsia="zh-CN"/>
              </w:rPr>
              <w:t>53</w:t>
            </w:r>
            <w:r>
              <w:rPr>
                <w:rFonts w:hint="default" w:ascii="Times New Roman" w:hAnsi="Times New Roman" w:eastAsia="仿宋_GB2312" w:cs="Times New Roman"/>
                <w:kern w:val="0"/>
                <w:sz w:val="28"/>
                <w:szCs w:val="28"/>
              </w:rPr>
              <w:t>号提案的答复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2"/>
                <w:sz w:val="32"/>
                <w:szCs w:val="32"/>
                <w:lang w:val="en-US" w:eastAsia="zh-CN" w:bidi="ar-SA"/>
              </w:rPr>
              <w:t>杜艳红</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（委员/集体）：</w:t>
            </w:r>
          </w:p>
          <w:p>
            <w:pPr>
              <w:autoSpaceDE w:val="0"/>
              <w:autoSpaceDN w:val="0"/>
              <w:spacing w:line="440" w:lineRule="exact"/>
              <w:ind w:firstLine="280" w:firstLineChars="1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关于</w:t>
            </w:r>
            <w:r>
              <w:rPr>
                <w:rFonts w:hint="eastAsia" w:ascii="Times New Roman" w:hAnsi="Times New Roman" w:cs="Times New Roman"/>
                <w:kern w:val="2"/>
                <w:sz w:val="32"/>
                <w:szCs w:val="32"/>
                <w:lang w:val="en-US" w:eastAsia="zh-CN" w:bidi="ar-SA"/>
              </w:rPr>
              <w:t>加大文化惠民工作力度</w:t>
            </w:r>
            <w:r>
              <w:rPr>
                <w:rFonts w:hint="default" w:ascii="Times New Roman" w:hAnsi="Times New Roman" w:eastAsia="仿宋_GB2312" w:cs="Times New Roman"/>
                <w:kern w:val="2"/>
                <w:sz w:val="32"/>
                <w:szCs w:val="32"/>
                <w:lang w:val="en-US" w:eastAsia="zh-CN" w:bidi="ar-SA"/>
              </w:rPr>
              <w:t>的建议的</w:t>
            </w:r>
            <w:r>
              <w:rPr>
                <w:rFonts w:hint="eastAsia" w:ascii="Times New Roman" w:hAnsi="Times New Roman" w:cs="Times New Roman"/>
                <w:kern w:val="2"/>
                <w:sz w:val="32"/>
                <w:szCs w:val="32"/>
                <w:lang w:val="en-US" w:eastAsia="zh-CN" w:bidi="ar-SA"/>
              </w:rPr>
              <w:t>提案已</w:t>
            </w:r>
            <w:r>
              <w:rPr>
                <w:rFonts w:hint="default" w:ascii="Times New Roman" w:hAnsi="Times New Roman" w:eastAsia="仿宋_GB2312" w:cs="Times New Roman"/>
                <w:kern w:val="0"/>
                <w:sz w:val="28"/>
                <w:szCs w:val="28"/>
              </w:rPr>
              <w:t>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25" w:type="dxa"/>
            <w:vMerge w:val="restart"/>
            <w:tcBorders>
              <w:top w:val="nil"/>
              <w:left w:val="single" w:color="auto" w:sz="4" w:space="0"/>
              <w:bottom w:val="single" w:color="auto" w:sz="4" w:space="0"/>
              <w:right w:val="single" w:color="auto" w:sz="4" w:space="0"/>
            </w:tcBorders>
            <w:noWrap w:val="0"/>
            <w:vAlign w:val="center"/>
          </w:tcPr>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办</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理</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结</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果</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清</w:t>
            </w:r>
          </w:p>
          <w:p>
            <w:pPr>
              <w:autoSpaceDE w:val="0"/>
              <w:autoSpaceDN w:val="0"/>
              <w:spacing w:line="58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单</w:t>
            </w: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建议一</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提案中关于“完善管理制度，加大投入，提高基层文化设施利用率”的建议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2"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lang w:val="en-US" w:eastAsia="zh-CN"/>
              </w:rPr>
              <w:t>一是</w:t>
            </w:r>
            <w:r>
              <w:rPr>
                <w:rFonts w:hint="default" w:ascii="Times New Roman" w:hAnsi="Times New Roman" w:eastAsia="仿宋_GB2312" w:cs="Times New Roman"/>
                <w:kern w:val="0"/>
                <w:sz w:val="28"/>
                <w:szCs w:val="28"/>
                <w:lang w:val="en-US" w:eastAsia="zh-CN"/>
              </w:rPr>
              <w:t>制定了《富民县关于加快构建现代公共文化服务体系的实施意见》、《富民县公共文化设施、服务规范标准》、《富民县业余文艺团队管理办法》。</w:t>
            </w:r>
            <w:r>
              <w:rPr>
                <w:rFonts w:hint="default" w:ascii="Times New Roman" w:hAnsi="Times New Roman" w:eastAsia="仿宋_GB2312" w:cs="Times New Roman"/>
                <w:b/>
                <w:bCs/>
                <w:kern w:val="0"/>
                <w:sz w:val="28"/>
                <w:szCs w:val="28"/>
                <w:lang w:val="en-US" w:eastAsia="zh-CN"/>
              </w:rPr>
              <w:t>二是</w:t>
            </w:r>
            <w:r>
              <w:rPr>
                <w:rFonts w:hint="default" w:ascii="Times New Roman" w:hAnsi="Times New Roman" w:eastAsia="仿宋_GB2312" w:cs="Times New Roman"/>
                <w:kern w:val="0"/>
                <w:sz w:val="28"/>
                <w:szCs w:val="28"/>
                <w:lang w:val="en-US" w:eastAsia="zh-CN"/>
              </w:rPr>
              <w:t>充分利用和盘活现有文化资源完成县图书馆、文化馆为总馆、7家镇（街道）文化站分馆、75家农家书屋为基层服务点的富民县图书馆、文化馆总分馆体系建设。采用LIAS图书馆自动化管理系统完成了90921册书目数据录入。完成了公共图书馆、文化馆法人治理结构建设工作，组成11位理事的法人治理结构理事会，形成了县、镇、村（社区）覆盖城乡的三级文化服务网络,场馆及各功能室使用率达100%。积极开展文化文艺活动、培训，提高公共文化设施利用率，实现公共文化服务均等化。</w:t>
            </w:r>
            <w:r>
              <w:rPr>
                <w:rFonts w:hint="default" w:ascii="Times New Roman" w:hAnsi="Times New Roman" w:eastAsia="仿宋_GB2312" w:cs="Times New Roman"/>
                <w:b/>
                <w:bCs/>
                <w:kern w:val="0"/>
                <w:sz w:val="28"/>
                <w:szCs w:val="28"/>
                <w:lang w:val="en-US" w:eastAsia="zh-CN"/>
              </w:rPr>
              <w:t>三是</w:t>
            </w:r>
            <w:r>
              <w:rPr>
                <w:rFonts w:hint="default" w:ascii="Times New Roman" w:hAnsi="Times New Roman" w:eastAsia="仿宋_GB2312" w:cs="Times New Roman"/>
                <w:kern w:val="0"/>
                <w:sz w:val="28"/>
                <w:szCs w:val="28"/>
                <w:lang w:val="en-US" w:eastAsia="zh-CN"/>
              </w:rPr>
              <w:t>打造了</w:t>
            </w:r>
            <w:r>
              <w:rPr>
                <w:rFonts w:hint="eastAsia" w:ascii="Times New Roman" w:hAnsi="Times New Roman" w:eastAsia="仿宋_GB2312" w:cs="Times New Roman"/>
                <w:kern w:val="0"/>
                <w:sz w:val="28"/>
                <w:szCs w:val="28"/>
                <w:lang w:val="en-US" w:eastAsia="zh-CN"/>
              </w:rPr>
              <w:t>11个新型文化空间，其中7个得到市文旅局认定</w:t>
            </w:r>
            <w:r>
              <w:rPr>
                <w:rFonts w:hint="eastAsia" w:ascii="Times New Roman" w:hAnsi="Times New Roman" w:cs="Times New Roman"/>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深入开展文化进景区工程，强化文物保护、非遗传承人的利用及红色文化、非遗文化、农耕文化的挖掘打造，引进艺术人才结合乡村文化振兴，开展研学、展览、阅读、演出等文化活动，聚集文化人气，提升文化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建议二</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提案中关于“推进文化惠民建设城乡均衡，共享文化惠民成果”的建议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1120" w:firstLineChars="4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left="-110" w:leftChars="0" w:firstLine="430" w:firstLineChars="0"/>
              <w:jc w:val="left"/>
              <w:textAlignment w:val="auto"/>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全面推进公共文化服务体系建设。一是</w:t>
            </w:r>
            <w:r>
              <w:rPr>
                <w:rFonts w:hint="default" w:ascii="Times New Roman" w:hAnsi="Times New Roman" w:eastAsia="仿宋_GB2312" w:cs="Times New Roman"/>
                <w:kern w:val="0"/>
                <w:sz w:val="28"/>
                <w:szCs w:val="28"/>
                <w:lang w:val="en-US" w:eastAsia="zh-CN" w:bidi="ar-SA"/>
              </w:rPr>
              <w:t>为推动全县公共文化服务运行机制建设，不断提升公共文化服务设施效能，确保顺利通过文旅部、财政部对国家公共文化服务体系示范区的复审复核工作，</w:t>
            </w:r>
            <w:r>
              <w:rPr>
                <w:rFonts w:hint="eastAsia" w:ascii="Times New Roman" w:hAnsi="Times New Roman" w:eastAsia="仿宋_GB2312" w:cs="Times New Roman"/>
                <w:kern w:val="0"/>
                <w:sz w:val="28"/>
                <w:szCs w:val="28"/>
                <w:lang w:val="en-US" w:eastAsia="zh-CN" w:bidi="ar-SA"/>
              </w:rPr>
              <w:t>对标对表认真梳理第四批国家公共文化服务体系示范区创建内容及文化馆、图书馆总分馆制建设。在基层人员进行多次培训的基础上，对县图书馆、文化馆为总馆、7家镇（街道）文化站为分馆、75家综合文化服务中心为基层服务点的富民县图书馆、文化馆总分馆体系建设进行夯实。二是巩固图书馆、文化馆法人治理结构建设工作。三是巩固完善县、镇、村（社区）覆盖城乡的三级文化服务网络,场馆及各功能室使用率达100%。</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bidi="ar-SA"/>
              </w:rPr>
              <w:t>（二）阵地服务工作扎实开展。县文化馆、图书馆、博物馆、红军长征过富民纪念馆认真按照“以人为本”和公共文化服务均等化的要求，适时延长了开放时间，开展好阵地服务。</w:t>
            </w:r>
            <w:r>
              <w:rPr>
                <w:rFonts w:hint="eastAsia" w:ascii="Times New Roman" w:hAnsi="Times New Roman" w:eastAsia="仿宋_GB2312" w:cs="Times New Roman"/>
                <w:b/>
                <w:bCs/>
                <w:kern w:val="0"/>
                <w:sz w:val="28"/>
                <w:szCs w:val="28"/>
                <w:lang w:val="en-US" w:eastAsia="zh-CN" w:bidi="ar-SA"/>
              </w:rPr>
              <w:t>一是</w:t>
            </w:r>
            <w:r>
              <w:rPr>
                <w:rFonts w:hint="eastAsia" w:ascii="Times New Roman" w:hAnsi="Times New Roman" w:eastAsia="仿宋_GB2312" w:cs="Times New Roman"/>
                <w:kern w:val="0"/>
                <w:sz w:val="28"/>
                <w:szCs w:val="28"/>
                <w:lang w:val="en-US" w:eastAsia="zh-CN" w:bidi="ar-SA"/>
              </w:rPr>
              <w:t>引进富民春韵文化艺术培训学校，</w:t>
            </w:r>
            <w:r>
              <w:rPr>
                <w:rFonts w:hint="default" w:ascii="Times New Roman" w:hAnsi="Times New Roman" w:eastAsia="仿宋_GB2312" w:cs="Times New Roman"/>
                <w:kern w:val="0"/>
                <w:sz w:val="28"/>
                <w:szCs w:val="28"/>
                <w:lang w:val="en-US" w:eastAsia="zh-CN" w:bidi="ar-SA"/>
              </w:rPr>
              <w:t>通过</w:t>
            </w:r>
            <w:r>
              <w:rPr>
                <w:rFonts w:hint="default" w:ascii="Times New Roman" w:hAnsi="Times New Roman" w:eastAsia="仿宋_GB2312" w:cs="Times New Roman"/>
                <w:kern w:val="0"/>
                <w:sz w:val="28"/>
                <w:szCs w:val="28"/>
                <w:lang w:val="zh-CN" w:eastAsia="zh-CN" w:bidi="ar-SA"/>
              </w:rPr>
              <w:t>师资及配套设施共</w:t>
            </w:r>
            <w:r>
              <w:rPr>
                <w:rFonts w:hint="default" w:ascii="Times New Roman" w:hAnsi="Times New Roman" w:eastAsia="仿宋_GB2312" w:cs="Times New Roman"/>
                <w:kern w:val="0"/>
                <w:sz w:val="28"/>
                <w:szCs w:val="28"/>
                <w:lang w:val="en-US" w:eastAsia="zh-CN" w:bidi="ar-SA"/>
              </w:rPr>
              <w:t>建</w:t>
            </w:r>
            <w:r>
              <w:rPr>
                <w:rFonts w:hint="default" w:ascii="Times New Roman" w:hAnsi="Times New Roman" w:eastAsia="仿宋_GB2312" w:cs="Times New Roman"/>
                <w:kern w:val="0"/>
                <w:sz w:val="28"/>
                <w:szCs w:val="28"/>
                <w:lang w:val="zh-CN" w:eastAsia="zh-CN" w:bidi="ar-SA"/>
              </w:rPr>
              <w:t>互补，配</w:t>
            </w:r>
            <w:r>
              <w:rPr>
                <w:rFonts w:hint="default" w:ascii="Times New Roman" w:hAnsi="Times New Roman" w:eastAsia="仿宋_GB2312" w:cs="Times New Roman"/>
                <w:kern w:val="0"/>
                <w:sz w:val="28"/>
                <w:szCs w:val="28"/>
                <w:lang w:val="en-US" w:eastAsia="zh-CN" w:bidi="ar-SA"/>
              </w:rPr>
              <w:t>套建设演出厅、培训室、排练厅、扫码视听文化墙、电子阅读机、上网设备以及民族、艺术、非遗文化空间。</w:t>
            </w:r>
            <w:r>
              <w:rPr>
                <w:rFonts w:hint="eastAsia" w:ascii="Times New Roman" w:hAnsi="Times New Roman" w:eastAsia="仿宋_GB2312" w:cs="Times New Roman"/>
                <w:kern w:val="0"/>
                <w:sz w:val="28"/>
                <w:szCs w:val="28"/>
                <w:lang w:val="en-US" w:eastAsia="zh-CN" w:bidi="ar-SA"/>
              </w:rPr>
              <w:t>每周延时错时开放时间59小时以上。建立了“昆明市富民县文化馆”官方网站，包含文化资讯、文化活动、党建空间、文化场馆、志愿服务、数字资源、文化直播、文化点单、展览展示等内容，具备信息发布、艺术欣赏、网上培训、活动开展、咨询指导等5项功能，便于群众方便快捷了解富民县文化馆及其分馆和基层服务点的相关文化信息。</w:t>
            </w:r>
            <w:r>
              <w:rPr>
                <w:rFonts w:hint="eastAsia" w:ascii="Times New Roman" w:hAnsi="Times New Roman" w:eastAsia="仿宋_GB2312" w:cs="Times New Roman"/>
                <w:b/>
                <w:bCs/>
                <w:kern w:val="0"/>
                <w:sz w:val="28"/>
                <w:szCs w:val="28"/>
                <w:lang w:val="en-US" w:eastAsia="zh-CN" w:bidi="ar-SA"/>
              </w:rPr>
              <w:t>二是</w:t>
            </w:r>
            <w:r>
              <w:rPr>
                <w:rFonts w:hint="eastAsia" w:ascii="Times New Roman" w:hAnsi="Times New Roman" w:eastAsia="仿宋_GB2312" w:cs="Times New Roman"/>
                <w:kern w:val="0"/>
                <w:sz w:val="28"/>
                <w:szCs w:val="28"/>
                <w:lang w:val="en-US" w:eastAsia="zh-CN" w:bidi="ar-SA"/>
              </w:rPr>
              <w:t>引入昆明春晓图书，在馆内配置咖啡及饮品等相关配套设施，打造设施完善、时尚亲民、服务更优的读书阅读空间，进一步发挥公益文化服务功能，完善服务网络体系建设、开展多种读者服务活动，为广大读者提供便捷、优质的免费服务，为全县人民群众提供更高质量的公共文化服务。为满足不同人群的需求，设置阅览区、外借区、自修室、少儿阅览室、新书展示区等12个对外服务窗口，所有对外服务窗口统一服务时间，实行全年开馆，节假日不休，周一至周五晚间正常开放，每周服务时间达66小时（其中错时延时开放达10小时）。</w:t>
            </w:r>
            <w:r>
              <w:rPr>
                <w:rFonts w:hint="eastAsia" w:ascii="Times New Roman" w:hAnsi="Times New Roman" w:eastAsia="仿宋_GB2312" w:cs="Times New Roman"/>
                <w:b/>
                <w:bCs/>
                <w:kern w:val="0"/>
                <w:sz w:val="28"/>
                <w:szCs w:val="28"/>
                <w:lang w:val="en-US" w:eastAsia="zh-CN" w:bidi="ar-SA"/>
              </w:rPr>
              <w:t>三是</w:t>
            </w:r>
            <w:r>
              <w:rPr>
                <w:rFonts w:hint="eastAsia" w:ascii="Times New Roman" w:hAnsi="Times New Roman" w:eastAsia="仿宋_GB2312" w:cs="Times New Roman"/>
                <w:kern w:val="0"/>
                <w:sz w:val="28"/>
                <w:szCs w:val="28"/>
                <w:lang w:val="en-US" w:eastAsia="zh-CN" w:bidi="ar-SA"/>
              </w:rPr>
              <w:t>全县各镇（街道）文化站的功能设施和服务均实现延时错时免费开放，功能设置包括图书室、电子阅览室、多功能厅、展览室、排练室、娱乐室、室外场地、文化宣传栏等，延时错时开放时间每周不低于42小时。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eastAsia" w:ascii="Times New Roman" w:hAnsi="Times New Roman" w:eastAsia="仿宋_GB2312" w:cs="Times New Roman"/>
                <w:kern w:val="0"/>
                <w:sz w:val="28"/>
                <w:szCs w:val="28"/>
                <w:lang w:val="en-US" w:eastAsia="zh-CN"/>
              </w:rPr>
            </w:pPr>
            <w:r>
              <w:rPr>
                <w:rFonts w:hint="eastAsia" w:ascii="Times New Roman" w:hAnsi="Times New Roman" w:cs="Times New Roman"/>
                <w:kern w:val="0"/>
                <w:sz w:val="28"/>
                <w:szCs w:val="28"/>
                <w:lang w:val="en-US" w:eastAsia="zh-CN"/>
              </w:rPr>
              <w:t>继续</w:t>
            </w:r>
            <w:r>
              <w:rPr>
                <w:rFonts w:hint="eastAsia" w:ascii="Times New Roman" w:hAnsi="Times New Roman" w:eastAsia="仿宋_GB2312" w:cs="Times New Roman"/>
                <w:kern w:val="0"/>
                <w:sz w:val="28"/>
                <w:szCs w:val="28"/>
                <w:lang w:val="en-US" w:eastAsia="zh-CN"/>
              </w:rPr>
              <w:t>推进文化惠民建设城乡均衡，共享文化惠民成果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cs="Times New Roman"/>
                <w:kern w:val="0"/>
                <w:sz w:val="28"/>
                <w:szCs w:val="28"/>
                <w:lang w:val="en-US" w:eastAsia="zh-CN"/>
              </w:rPr>
              <w:t>继续</w:t>
            </w:r>
            <w:r>
              <w:rPr>
                <w:rFonts w:hint="eastAsia" w:ascii="Times New Roman" w:hAnsi="Times New Roman" w:eastAsia="仿宋_GB2312" w:cs="Times New Roman"/>
                <w:kern w:val="0"/>
                <w:sz w:val="28"/>
                <w:szCs w:val="28"/>
                <w:lang w:val="en-US" w:eastAsia="zh-CN"/>
              </w:rPr>
              <w:t>推进文化惠民建设城乡均衡，共享文化惠民成果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建议三</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提案中关于“完善机制，增加或补齐编制，加强人才队伍建设”的建议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restart"/>
            <w:tcBorders>
              <w:top w:val="nil"/>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p>
            <w:pPr>
              <w:widowControl/>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560" w:lineRule="exact"/>
              <w:ind w:left="0" w:firstLine="430"/>
              <w:jc w:val="left"/>
              <w:textAlignment w:val="auto"/>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优化职能配置，培养文化人才。</w:t>
            </w:r>
            <w:r>
              <w:rPr>
                <w:rFonts w:hint="default" w:ascii="Times New Roman" w:hAnsi="Times New Roman" w:eastAsia="仿宋_GB2312" w:cs="Times New Roman"/>
                <w:kern w:val="0"/>
                <w:sz w:val="28"/>
                <w:szCs w:val="28"/>
                <w:lang w:val="en-US" w:eastAsia="zh-CN" w:bidi="ar-SA"/>
              </w:rPr>
              <w:t>一是县图书馆核定编制数5人，实有5人；县文化馆核定编制数10人，实有8人；县博物馆核定编制数5人，实有5人；电影公司实有4人（已撤销，并入文化馆）。</w:t>
            </w:r>
            <w:r>
              <w:rPr>
                <w:rFonts w:hint="eastAsia" w:ascii="Times New Roman" w:hAnsi="Times New Roman" w:eastAsia="仿宋_GB2312" w:cs="Times New Roman"/>
                <w:kern w:val="0"/>
                <w:sz w:val="28"/>
                <w:szCs w:val="28"/>
                <w:lang w:val="en-US" w:eastAsia="zh-CN" w:bidi="ar-SA"/>
              </w:rPr>
              <w:t>二是</w:t>
            </w:r>
            <w:r>
              <w:rPr>
                <w:rFonts w:hint="default" w:ascii="Times New Roman" w:hAnsi="Times New Roman" w:eastAsia="仿宋_GB2312" w:cs="Times New Roman"/>
                <w:kern w:val="0"/>
                <w:sz w:val="28"/>
                <w:szCs w:val="28"/>
                <w:lang w:val="en-US" w:eastAsia="zh-CN" w:bidi="ar-SA"/>
              </w:rPr>
              <w:t>镇（街道）、村（社区）配备文化专干，主要负责提供读书、看报、听广播、看电视、上互联网，党员教育、道德讲堂、法制教育、科学技术普及、健身教育等内容。街道文化站集宣传文化、党员教育、科技普及、普法教育、体育健身等多功能于一体，有效保障基层公共文化服务水平。</w:t>
            </w:r>
            <w:r>
              <w:rPr>
                <w:rFonts w:hint="eastAsia" w:ascii="Times New Roman" w:hAnsi="Times New Roman" w:eastAsia="仿宋_GB2312" w:cs="Times New Roman"/>
                <w:kern w:val="0"/>
                <w:sz w:val="28"/>
                <w:szCs w:val="28"/>
                <w:lang w:val="en-US" w:eastAsia="zh-CN" w:bidi="ar-SA"/>
              </w:rPr>
              <w:t>三</w:t>
            </w:r>
            <w:r>
              <w:rPr>
                <w:rFonts w:hint="default" w:ascii="Times New Roman" w:hAnsi="Times New Roman" w:eastAsia="仿宋_GB2312" w:cs="Times New Roman"/>
                <w:kern w:val="0"/>
                <w:sz w:val="28"/>
                <w:szCs w:val="28"/>
                <w:lang w:val="en-US" w:eastAsia="zh-CN" w:bidi="ar-SA"/>
              </w:rPr>
              <w:t>是镇（街道）综合文化站工作人员在编总人数共21名，综合文化站均已达到在编工作人员3名，每个行政村（社区）均配置1名以上享受公共财政补贴的文化专干。</w:t>
            </w:r>
            <w:r>
              <w:rPr>
                <w:rFonts w:hint="eastAsia" w:ascii="Times New Roman" w:hAnsi="Times New Roman" w:eastAsia="仿宋_GB2312" w:cs="Times New Roman"/>
                <w:kern w:val="0"/>
                <w:sz w:val="28"/>
                <w:szCs w:val="28"/>
                <w:lang w:val="en-US" w:eastAsia="zh-CN" w:bidi="ar-SA"/>
              </w:rPr>
              <w:t>四是实施文化人才培养工程，为建设“文化富民”，推动我县文化事业和文化产业繁荣发展提供有力的人才保证和智力支持，目前培育“黎阳文化名家”12名。通过强化组织保障、落实培养措施、定期考核等方式加强文化人才培养，通过个性化扶持、集成式培养，让一批文化名家和优秀文化人才成为富民县的“文化名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0"/>
              <w:rPr>
                <w:rFonts w:hint="eastAsia" w:ascii="Times New Roman" w:hAnsi="Times New Roman" w:eastAsia="仿宋_GB2312" w:cs="Times New Roman"/>
                <w:b w:val="0"/>
                <w:bCs w:val="0"/>
                <w:kern w:val="0"/>
                <w:sz w:val="28"/>
                <w:szCs w:val="28"/>
                <w:lang w:val="en-US" w:eastAsia="zh-CN" w:bidi="ar-SA"/>
              </w:rPr>
            </w:pPr>
            <w:r>
              <w:rPr>
                <w:rFonts w:hint="eastAsia" w:ascii="Times New Roman" w:hAnsi="Times New Roman" w:eastAsia="仿宋_GB2312" w:cs="Times New Roman"/>
                <w:b w:val="0"/>
                <w:bCs w:val="0"/>
                <w:kern w:val="0"/>
                <w:sz w:val="28"/>
                <w:szCs w:val="28"/>
                <w:lang w:val="en-US" w:eastAsia="zh-CN" w:bidi="ar-SA"/>
              </w:rPr>
              <w:t>（二）加强培训，整合社会力量。</w:t>
            </w:r>
            <w:r>
              <w:rPr>
                <w:rFonts w:hint="default" w:ascii="Times New Roman" w:hAnsi="Times New Roman" w:eastAsia="仿宋_GB2312" w:cs="Times New Roman"/>
                <w:b w:val="0"/>
                <w:bCs w:val="0"/>
                <w:kern w:val="0"/>
                <w:sz w:val="28"/>
                <w:szCs w:val="28"/>
                <w:lang w:val="en-US" w:eastAsia="zh-CN" w:bidi="ar-SA"/>
              </w:rPr>
              <w:t>富民县有75个村（社区）综合文化服务中心，共有225支业余文艺团队，平均一个村（社区）共有3支业余团队。开展农村文艺骨干培训班，提高业余文艺团队文化服务水平，丰富人民群众的文化生活。</w:t>
            </w:r>
            <w:r>
              <w:rPr>
                <w:rFonts w:hint="eastAsia" w:ascii="Times New Roman" w:hAnsi="Times New Roman" w:eastAsia="仿宋_GB2312" w:cs="Times New Roman"/>
                <w:b w:val="0"/>
                <w:bCs w:val="0"/>
                <w:kern w:val="0"/>
                <w:sz w:val="28"/>
                <w:szCs w:val="28"/>
                <w:lang w:val="en-US" w:eastAsia="zh-CN" w:bidi="ar-SA"/>
              </w:rPr>
              <w:t>长期开展中老年培训班、少儿艺术培训、寒、暑假少儿艺术培训、非遗传承人培训、农村文艺骨干培训。文化文艺志愿服务注册志愿者超过80余名，与云南水利水电职业学院建立志愿服务平台，每周五组织学生志愿者参加文化文艺志愿服务活动。</w:t>
            </w:r>
          </w:p>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cs="Times New Roman"/>
                <w:b w:val="0"/>
                <w:bCs w:val="0"/>
                <w:kern w:val="0"/>
                <w:sz w:val="28"/>
                <w:szCs w:val="28"/>
                <w:lang w:val="en-US" w:eastAsia="zh-CN" w:bidi="ar-SA"/>
              </w:rPr>
              <w:t>进一步</w:t>
            </w:r>
            <w:r>
              <w:rPr>
                <w:rFonts w:hint="eastAsia" w:ascii="Times New Roman" w:hAnsi="Times New Roman" w:eastAsia="仿宋_GB2312" w:cs="Times New Roman"/>
                <w:b w:val="0"/>
                <w:bCs w:val="0"/>
                <w:kern w:val="0"/>
                <w:sz w:val="28"/>
                <w:szCs w:val="28"/>
                <w:lang w:val="en-US" w:eastAsia="zh-CN" w:bidi="ar-SA"/>
              </w:rPr>
              <w:t>完善机制，增加或补齐编制，加强人才队伍建设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cs="Times New Roman"/>
                <w:b w:val="0"/>
                <w:bCs w:val="0"/>
                <w:kern w:val="0"/>
                <w:sz w:val="28"/>
                <w:szCs w:val="28"/>
                <w:lang w:val="en-US" w:eastAsia="zh-CN" w:bidi="ar-SA"/>
              </w:rPr>
              <w:t>进一步</w:t>
            </w:r>
            <w:r>
              <w:rPr>
                <w:rFonts w:hint="eastAsia" w:ascii="Times New Roman" w:hAnsi="Times New Roman" w:eastAsia="仿宋_GB2312" w:cs="Times New Roman"/>
                <w:b w:val="0"/>
                <w:bCs w:val="0"/>
                <w:kern w:val="0"/>
                <w:sz w:val="28"/>
                <w:szCs w:val="28"/>
                <w:lang w:val="en-US" w:eastAsia="zh-CN" w:bidi="ar-SA"/>
              </w:rPr>
              <w:t>完善机制，增加或补齐编制，加强人才队伍建设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eastAsia" w:ascii="Times New Roman" w:hAnsi="Times New Roman" w:eastAsia="仿宋_GB2312" w:cs="Times New Roman"/>
                <w:b/>
                <w:bCs/>
                <w:kern w:val="0"/>
                <w:sz w:val="28"/>
                <w:szCs w:val="28"/>
                <w:lang w:eastAsia="zh-CN"/>
              </w:rPr>
            </w:pPr>
            <w:r>
              <w:rPr>
                <w:rFonts w:hint="default" w:ascii="Times New Roman" w:hAnsi="Times New Roman" w:eastAsia="仿宋_GB2312" w:cs="Times New Roman"/>
                <w:b/>
                <w:bCs/>
                <w:kern w:val="0"/>
                <w:sz w:val="28"/>
                <w:szCs w:val="28"/>
              </w:rPr>
              <w:t>建议</w:t>
            </w:r>
            <w:r>
              <w:rPr>
                <w:rFonts w:hint="eastAsia" w:ascii="Times New Roman" w:hAnsi="Times New Roman" w:cs="Times New Roman"/>
                <w:b/>
                <w:bCs/>
                <w:kern w:val="0"/>
                <w:sz w:val="28"/>
                <w:szCs w:val="28"/>
                <w:lang w:eastAsia="zh-CN"/>
              </w:rPr>
              <w:t>四</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提案中关于“加大文化惠民工作宣传力度”的建议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2"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lang w:val="en-US" w:eastAsia="zh-CN"/>
              </w:rPr>
              <w:t>一是</w:t>
            </w:r>
            <w:r>
              <w:rPr>
                <w:rFonts w:hint="eastAsia" w:ascii="Times New Roman" w:hAnsi="Times New Roman" w:eastAsia="仿宋_GB2312" w:cs="Times New Roman"/>
                <w:kern w:val="0"/>
                <w:sz w:val="28"/>
                <w:szCs w:val="28"/>
                <w:lang w:val="en-US" w:eastAsia="zh-CN"/>
              </w:rPr>
              <w:t>建立了“昆明市富民县文化馆”官方网站，包含文化资讯、文化活动、党建空间、文化场馆、志愿服务、数字资源、文化直播、文化点单、展览展示等内容，具备信息发布、艺术欣赏、网上培训、活动开展、咨询指导等5项功能，便于群众方便快捷了解富民县文化馆及其分馆和基层服务点的相关文化信息。</w:t>
            </w:r>
            <w:r>
              <w:rPr>
                <w:rFonts w:hint="eastAsia" w:ascii="Times New Roman" w:hAnsi="Times New Roman" w:eastAsia="仿宋_GB2312" w:cs="Times New Roman"/>
                <w:b/>
                <w:bCs/>
                <w:kern w:val="0"/>
                <w:sz w:val="28"/>
                <w:szCs w:val="28"/>
                <w:lang w:val="en-US" w:eastAsia="zh-CN"/>
              </w:rPr>
              <w:t>二是</w:t>
            </w:r>
            <w:r>
              <w:rPr>
                <w:rFonts w:hint="eastAsia" w:ascii="Times New Roman" w:hAnsi="Times New Roman" w:eastAsia="仿宋_GB2312" w:cs="Times New Roman"/>
                <w:kern w:val="0"/>
                <w:sz w:val="28"/>
                <w:szCs w:val="28"/>
                <w:lang w:val="en-US" w:eastAsia="zh-CN"/>
              </w:rPr>
              <w:t>建成以图书馆、文化馆为总馆、7家镇（街道）文化站为分馆、75家综合文化服务中心为基层服务点的富民县图书馆、文化馆总分馆体系。</w:t>
            </w:r>
            <w:r>
              <w:rPr>
                <w:rFonts w:hint="eastAsia" w:ascii="Times New Roman" w:hAnsi="Times New Roman" w:eastAsia="仿宋_GB2312" w:cs="Times New Roman"/>
                <w:b/>
                <w:bCs/>
                <w:kern w:val="0"/>
                <w:sz w:val="28"/>
                <w:szCs w:val="28"/>
                <w:lang w:val="en-US" w:eastAsia="zh-CN"/>
              </w:rPr>
              <w:t>三是</w:t>
            </w:r>
            <w:r>
              <w:rPr>
                <w:rFonts w:hint="eastAsia" w:ascii="Times New Roman" w:hAnsi="Times New Roman" w:eastAsia="仿宋_GB2312" w:cs="Times New Roman"/>
                <w:kern w:val="0"/>
                <w:sz w:val="28"/>
                <w:szCs w:val="28"/>
                <w:lang w:val="en-US" w:eastAsia="zh-CN"/>
              </w:rPr>
              <w:t>开通富民文旅、富民县图书馆、富民县文化馆微信公众号，让群众在家就能参与文化活动，真正做到打通公共文化服务最后一公里。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cs="Times New Roman"/>
                <w:kern w:val="0"/>
                <w:sz w:val="28"/>
                <w:szCs w:val="28"/>
                <w:lang w:val="en-US" w:eastAsia="zh-CN"/>
              </w:rPr>
              <w:t>进一步</w:t>
            </w:r>
            <w:r>
              <w:rPr>
                <w:rFonts w:hint="eastAsia" w:ascii="Times New Roman" w:hAnsi="Times New Roman" w:eastAsia="仿宋_GB2312" w:cs="Times New Roman"/>
                <w:kern w:val="0"/>
                <w:sz w:val="28"/>
                <w:szCs w:val="28"/>
                <w:lang w:val="en-US" w:eastAsia="zh-CN"/>
              </w:rPr>
              <w:t>加大文化惠民工作宣传力度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cs="Times New Roman"/>
                <w:kern w:val="0"/>
                <w:sz w:val="28"/>
                <w:szCs w:val="28"/>
                <w:lang w:val="en-US" w:eastAsia="zh-CN"/>
              </w:rPr>
              <w:t>进一步</w:t>
            </w:r>
            <w:r>
              <w:rPr>
                <w:rFonts w:hint="eastAsia" w:ascii="Times New Roman" w:hAnsi="Times New Roman" w:eastAsia="仿宋_GB2312" w:cs="Times New Roman"/>
                <w:kern w:val="0"/>
                <w:sz w:val="28"/>
                <w:szCs w:val="28"/>
                <w:lang w:val="en-US" w:eastAsia="zh-CN"/>
              </w:rPr>
              <w:t>加大文化惠民工作宣传力度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附件清单：（现场协商照片、相关答复文件等）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0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补充说明：（办理过程及其他需要说明的情况）</w:t>
            </w:r>
          </w:p>
          <w:p>
            <w:pPr>
              <w:autoSpaceDE w:val="0"/>
              <w:autoSpaceDN w:val="0"/>
              <w:spacing w:line="400" w:lineRule="exact"/>
              <w:ind w:firstLine="560" w:firstLineChars="200"/>
              <w:jc w:val="center"/>
              <w:rPr>
                <w:rFonts w:hint="default" w:ascii="Times New Roman" w:hAnsi="Times New Roman" w:eastAsia="仿宋_GB2312" w:cs="Times New Roman"/>
                <w:kern w:val="0"/>
                <w:sz w:val="28"/>
                <w:szCs w:val="28"/>
              </w:rPr>
            </w:pPr>
            <w:r>
              <w:rPr>
                <w:rFonts w:hint="eastAsia" w:ascii="Times New Roman" w:hAnsi="Times New Roman" w:cs="Times New Roman"/>
                <w:kern w:val="0"/>
                <w:sz w:val="28"/>
                <w:szCs w:val="28"/>
                <w:lang w:eastAsia="zh-CN"/>
              </w:rPr>
              <w:t>无</w:t>
            </w:r>
            <w:r>
              <w:rPr>
                <w:rFonts w:hint="default" w:ascii="Times New Roman" w:hAnsi="Times New Roman" w:eastAsia="仿宋_GB2312" w:cs="Times New Roman"/>
                <w:kern w:val="0"/>
                <w:sz w:val="28"/>
                <w:szCs w:val="28"/>
              </w:rPr>
              <w:t xml:space="preserve">                                 </w:t>
            </w:r>
          </w:p>
          <w:p>
            <w:pPr>
              <w:autoSpaceDE w:val="0"/>
              <w:autoSpaceDN w:val="0"/>
              <w:spacing w:line="400" w:lineRule="exact"/>
              <w:ind w:firstLine="560" w:firstLineChars="20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 xml:space="preserve">          </w:t>
            </w:r>
            <w:r>
              <w:rPr>
                <w:rFonts w:hint="eastAsia" w:ascii="Times New Roman" w:hAnsi="Times New Roman" w:cs="Times New Roman"/>
                <w:kern w:val="0"/>
                <w:sz w:val="28"/>
                <w:szCs w:val="28"/>
                <w:lang w:eastAsia="zh-CN"/>
              </w:rPr>
              <w:t>富民县文化和旅游局</w:t>
            </w:r>
          </w:p>
          <w:p>
            <w:pPr>
              <w:autoSpaceDE w:val="0"/>
              <w:autoSpaceDN w:val="0"/>
              <w:spacing w:line="400" w:lineRule="exac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 xml:space="preserve">                                日期：</w:t>
            </w:r>
            <w:r>
              <w:rPr>
                <w:rFonts w:hint="eastAsia" w:ascii="Times New Roman" w:hAnsi="Times New Roman" w:cs="Times New Roman"/>
                <w:kern w:val="0"/>
                <w:sz w:val="28"/>
                <w:szCs w:val="28"/>
                <w:lang w:val="en-US" w:eastAsia="zh-CN"/>
              </w:rPr>
              <w:t>2023年7月12日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0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提案办理结果：</w:t>
            </w: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0"/>
                <w:sz w:val="28"/>
                <w:szCs w:val="28"/>
                <w:u w:val="single"/>
                <w:lang w:val="en-US" w:eastAsia="zh-CN"/>
              </w:rPr>
              <w:t>A</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类</w:t>
            </w:r>
          </w:p>
          <w:p>
            <w:pPr>
              <w:autoSpaceDE w:val="0"/>
              <w:autoSpaceDN w:val="0"/>
              <w:spacing w:line="4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（A类为提案所提问题已经解决或部分解决；B类为提案所提问题列入计划逐步解决；C类为提案所提问题目前无法解决或留作参考。）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联系人</w:t>
            </w:r>
          </w:p>
        </w:tc>
        <w:tc>
          <w:tcPr>
            <w:tcW w:w="244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cs="Times New Roman"/>
                <w:kern w:val="0"/>
                <w:sz w:val="28"/>
                <w:szCs w:val="28"/>
                <w:lang w:val="en-US" w:eastAsia="zh-CN"/>
              </w:rPr>
              <w:t>韩晓娟</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联系电话</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rPr>
                <w:rFonts w:hint="default" w:ascii="Times New Roman" w:hAnsi="Times New Roman" w:eastAsia="仿宋_GB2312" w:cs="Times New Roman"/>
                <w:kern w:val="0"/>
                <w:sz w:val="28"/>
                <w:szCs w:val="28"/>
                <w:lang w:val="en-US"/>
              </w:rPr>
            </w:pPr>
            <w:r>
              <w:rPr>
                <w:rFonts w:hint="eastAsia" w:ascii="Times New Roman" w:hAnsi="Times New Roman" w:cs="Times New Roman"/>
                <w:kern w:val="0"/>
                <w:sz w:val="28"/>
                <w:szCs w:val="28"/>
                <w:lang w:val="en-US" w:eastAsia="zh-CN"/>
              </w:rPr>
              <w:t>18*********</w:t>
            </w:r>
            <w:bookmarkStart w:id="0" w:name="_GoBack"/>
            <w:bookmarkEnd w:id="0"/>
          </w:p>
        </w:tc>
      </w:tr>
    </w:tbl>
    <w:p/>
    <w:p>
      <w:pPr>
        <w:pStyle w:val="2"/>
      </w:pPr>
    </w:p>
    <w:p>
      <w:pPr>
        <w:pStyle w:val="3"/>
      </w:pPr>
    </w:p>
    <w:p/>
    <w:p>
      <w:pPr>
        <w:pStyle w:val="2"/>
      </w:pPr>
    </w:p>
    <w:p/>
    <w:p>
      <w:pPr>
        <w:pStyle w:val="2"/>
      </w:pPr>
    </w:p>
    <w:p>
      <w:pPr>
        <w:pStyle w:val="3"/>
      </w:pPr>
    </w:p>
    <w:p>
      <w:pPr>
        <w:pStyle w:val="7"/>
      </w:pPr>
    </w:p>
    <w:p>
      <w:pPr>
        <w:pStyle w:val="7"/>
      </w:pPr>
    </w:p>
    <w:p>
      <w:pPr>
        <w:pStyle w:val="7"/>
      </w:pPr>
    </w:p>
    <w:p>
      <w:pPr>
        <w:pStyle w:val="7"/>
      </w:pPr>
    </w:p>
    <w:p>
      <w:pPr>
        <w:pStyle w:val="7"/>
      </w:pPr>
    </w:p>
    <w:p>
      <w:pPr>
        <w:pStyle w:val="7"/>
      </w:pPr>
    </w:p>
    <w:p>
      <w:pPr>
        <w:pStyle w:val="7"/>
      </w:pPr>
    </w:p>
    <w:p>
      <w:pPr>
        <w:pStyle w:val="7"/>
      </w:pPr>
    </w:p>
    <w:p>
      <w:pPr>
        <w:suppressAutoHyphens/>
        <w:autoSpaceDE w:val="0"/>
        <w:autoSpaceDN w:val="0"/>
        <w:bidi w:val="0"/>
        <w:spacing w:line="580" w:lineRule="exact"/>
        <w:ind w:firstLine="440" w:firstLineChars="100"/>
        <w:jc w:val="center"/>
        <w:rPr>
          <w:rFonts w:hint="eastAsia" w:ascii="Times New Roman" w:hAnsi="Times New Roman" w:eastAsia="方正小标宋_GBK" w:cs="方正小标宋_GBK"/>
          <w:kern w:val="0"/>
          <w:sz w:val="44"/>
          <w:szCs w:val="44"/>
          <w:lang w:val="zh-CN" w:bidi="zh-CN"/>
        </w:rPr>
      </w:pPr>
      <w:r>
        <w:rPr>
          <w:rFonts w:hint="eastAsia" w:ascii="Times New Roman" w:hAnsi="Times New Roman" w:eastAsia="方正小标宋_GBK" w:cs="方正小标宋_GBK"/>
          <w:kern w:val="0"/>
          <w:sz w:val="44"/>
          <w:szCs w:val="44"/>
          <w:lang w:bidi="zh-CN"/>
        </w:rPr>
        <w:t>政协富民县委员会</w:t>
      </w:r>
      <w:r>
        <w:rPr>
          <w:rFonts w:hint="eastAsia" w:ascii="Times New Roman" w:hAnsi="Times New Roman" w:eastAsia="方正小标宋_GBK" w:cs="方正小标宋_GBK"/>
          <w:kern w:val="0"/>
          <w:sz w:val="44"/>
          <w:szCs w:val="44"/>
          <w:lang w:val="zh-CN" w:bidi="zh-CN"/>
        </w:rPr>
        <w:t>提案质量评议清单</w:t>
      </w:r>
    </w:p>
    <w:tbl>
      <w:tblPr>
        <w:tblStyle w:val="8"/>
        <w:tblpPr w:leftFromText="180" w:rightFromText="180" w:vertAnchor="page" w:horzAnchor="page" w:tblpX="1662" w:tblpY="2621"/>
        <w:tblOverlap w:val="never"/>
        <w:tblW w:w="8875" w:type="dxa"/>
        <w:tblInd w:w="0" w:type="dxa"/>
        <w:tblLayout w:type="fixed"/>
        <w:tblCellMar>
          <w:top w:w="15" w:type="dxa"/>
          <w:left w:w="15" w:type="dxa"/>
          <w:bottom w:w="15" w:type="dxa"/>
          <w:right w:w="15" w:type="dxa"/>
        </w:tblCellMar>
      </w:tblPr>
      <w:tblGrid>
        <w:gridCol w:w="2325"/>
        <w:gridCol w:w="1339"/>
        <w:gridCol w:w="727"/>
        <w:gridCol w:w="1962"/>
        <w:gridCol w:w="885"/>
        <w:gridCol w:w="1637"/>
      </w:tblGrid>
      <w:tr>
        <w:tblPrEx>
          <w:tblLayout w:type="fixed"/>
          <w:tblCellMar>
            <w:top w:w="15" w:type="dxa"/>
            <w:left w:w="15" w:type="dxa"/>
            <w:bottom w:w="15" w:type="dxa"/>
            <w:right w:w="15" w:type="dxa"/>
          </w:tblCellMar>
        </w:tblPrEx>
        <w:trPr>
          <w:trHeight w:val="851" w:hRule="atLeast"/>
        </w:trPr>
        <w:tc>
          <w:tcPr>
            <w:tcW w:w="635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ind w:firstLine="280" w:firstLineChars="100"/>
              <w:rPr>
                <w:rFonts w:hint="default" w:ascii="Times New Roman" w:hAnsi="Times New Roman" w:eastAsia="仿宋_GB2312" w:cs="仿宋_GB2312"/>
                <w:kern w:val="0"/>
                <w:sz w:val="28"/>
                <w:szCs w:val="28"/>
                <w:lang w:val="en-US" w:bidi="zh-CN"/>
              </w:rPr>
            </w:pPr>
            <w:r>
              <w:rPr>
                <w:rFonts w:hint="eastAsia" w:ascii="Times New Roman" w:hAnsi="Times New Roman" w:eastAsia="仿宋_GB2312" w:cs="仿宋_GB2312"/>
                <w:kern w:val="0"/>
                <w:sz w:val="28"/>
                <w:szCs w:val="28"/>
                <w:lang w:val="zh-CN" w:bidi="zh-CN"/>
              </w:rPr>
              <w:t>评议单位（主办单位）：</w:t>
            </w:r>
            <w:r>
              <w:rPr>
                <w:rFonts w:hint="eastAsia" w:ascii="Times New Roman" w:hAnsi="Times New Roman" w:cs="仿宋_GB2312"/>
                <w:kern w:val="0"/>
                <w:sz w:val="28"/>
                <w:szCs w:val="28"/>
                <w:lang w:val="zh-CN" w:bidi="zh-CN"/>
              </w:rPr>
              <w:t>富民县文化和旅游局</w:t>
            </w:r>
          </w:p>
        </w:tc>
        <w:tc>
          <w:tcPr>
            <w:tcW w:w="25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rPr>
                <w:rFonts w:hint="default" w:ascii="Times New Roman" w:hAnsi="Times New Roman" w:eastAsia="仿宋_GB2312" w:cs="仿宋_GB2312"/>
                <w:kern w:val="0"/>
                <w:sz w:val="28"/>
                <w:szCs w:val="28"/>
                <w:lang w:val="en-US" w:bidi="zh-CN"/>
              </w:rPr>
            </w:pPr>
            <w:r>
              <w:rPr>
                <w:rFonts w:hint="eastAsia" w:ascii="Times New Roman" w:hAnsi="Times New Roman" w:eastAsia="仿宋_GB2312" w:cs="仿宋_GB2312"/>
                <w:kern w:val="0"/>
                <w:sz w:val="28"/>
                <w:szCs w:val="28"/>
                <w:lang w:val="zh-CN" w:bidi="zh-CN"/>
              </w:rPr>
              <w:t>日期：</w:t>
            </w:r>
            <w:r>
              <w:rPr>
                <w:rFonts w:hint="eastAsia" w:ascii="Times New Roman" w:hAnsi="Times New Roman" w:cs="仿宋_GB2312"/>
                <w:kern w:val="0"/>
                <w:sz w:val="28"/>
                <w:szCs w:val="28"/>
                <w:lang w:val="en-US" w:bidi="zh-CN"/>
              </w:rPr>
              <w:t>2023.7.12</w:t>
            </w:r>
          </w:p>
        </w:tc>
      </w:tr>
      <w:tr>
        <w:tblPrEx>
          <w:tblLayout w:type="fixed"/>
          <w:tblCellMar>
            <w:top w:w="15" w:type="dxa"/>
            <w:left w:w="15" w:type="dxa"/>
            <w:bottom w:w="15" w:type="dxa"/>
            <w:right w:w="15" w:type="dxa"/>
          </w:tblCellMar>
        </w:tblPrEx>
        <w:trPr>
          <w:trHeight w:val="567"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提案号</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ind w:firstLine="560" w:firstLineChars="200"/>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53号</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案由</w:t>
            </w:r>
          </w:p>
        </w:tc>
        <w:tc>
          <w:tcPr>
            <w:tcW w:w="448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rPr>
                <w:rFonts w:hint="eastAsia" w:ascii="Times New Roman" w:hAnsi="Times New Roman" w:cs="仿宋_GB2312"/>
                <w:kern w:val="0"/>
                <w:sz w:val="28"/>
                <w:szCs w:val="28"/>
                <w:lang w:val="zh-CN" w:bidi="zh-CN"/>
              </w:rPr>
            </w:pPr>
            <w:r>
              <w:rPr>
                <w:rFonts w:hint="default" w:ascii="Times New Roman" w:hAnsi="Times New Roman" w:cs="仿宋_GB2312"/>
                <w:kern w:val="0"/>
                <w:sz w:val="28"/>
                <w:szCs w:val="28"/>
                <w:lang w:val="zh-CN" w:bidi="zh-CN"/>
              </w:rPr>
              <w:t>关于</w:t>
            </w:r>
            <w:r>
              <w:rPr>
                <w:rFonts w:hint="eastAsia" w:ascii="Times New Roman" w:hAnsi="Times New Roman" w:cs="仿宋_GB2312"/>
                <w:kern w:val="0"/>
                <w:sz w:val="28"/>
                <w:szCs w:val="28"/>
                <w:lang w:val="en-US" w:eastAsia="zh-CN" w:bidi="zh-CN"/>
              </w:rPr>
              <w:t>加大文化惠民工作力度</w:t>
            </w:r>
            <w:r>
              <w:rPr>
                <w:rFonts w:hint="default" w:ascii="Times New Roman" w:hAnsi="Times New Roman" w:cs="仿宋_GB2312"/>
                <w:kern w:val="0"/>
                <w:sz w:val="28"/>
                <w:szCs w:val="28"/>
                <w:lang w:val="en-US" w:eastAsia="zh-CN" w:bidi="zh-CN"/>
              </w:rPr>
              <w:t>的</w:t>
            </w:r>
            <w:r>
              <w:rPr>
                <w:rFonts w:hint="eastAsia" w:ascii="Times New Roman" w:hAnsi="Times New Roman" w:cs="仿宋_GB2312"/>
                <w:kern w:val="0"/>
                <w:sz w:val="28"/>
                <w:szCs w:val="28"/>
                <w:lang w:val="en-US" w:eastAsia="zh-CN" w:bidi="zh-CN"/>
              </w:rPr>
              <w:t>建</w:t>
            </w:r>
            <w:r>
              <w:rPr>
                <w:rFonts w:hint="default" w:ascii="Times New Roman" w:hAnsi="Times New Roman" w:cs="仿宋_GB2312"/>
                <w:kern w:val="0"/>
                <w:sz w:val="28"/>
                <w:szCs w:val="28"/>
                <w:lang w:val="en-US" w:eastAsia="zh-CN" w:bidi="zh-CN"/>
              </w:rPr>
              <w:t>议</w:t>
            </w:r>
          </w:p>
          <w:p>
            <w:pPr>
              <w:pStyle w:val="2"/>
              <w:rPr>
                <w:rFonts w:hint="eastAsia"/>
                <w:lang w:val="zh-CN"/>
              </w:rPr>
            </w:pPr>
          </w:p>
        </w:tc>
      </w:tr>
      <w:tr>
        <w:tblPrEx>
          <w:tblLayout w:type="fixed"/>
          <w:tblCellMar>
            <w:top w:w="15" w:type="dxa"/>
            <w:left w:w="15" w:type="dxa"/>
            <w:bottom w:w="15" w:type="dxa"/>
            <w:right w:w="15" w:type="dxa"/>
          </w:tblCellMar>
        </w:tblPrEx>
        <w:trPr>
          <w:trHeight w:val="567"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办复情况</w:t>
            </w:r>
          </w:p>
        </w:tc>
        <w:tc>
          <w:tcPr>
            <w:tcW w:w="6550" w:type="dxa"/>
            <w:gridSpan w:val="5"/>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已办理答复</w:t>
            </w:r>
          </w:p>
        </w:tc>
      </w:tr>
      <w:tr>
        <w:tblPrEx>
          <w:tblLayout w:type="fixed"/>
          <w:tblCellMar>
            <w:top w:w="15" w:type="dxa"/>
            <w:left w:w="15" w:type="dxa"/>
            <w:bottom w:w="15" w:type="dxa"/>
            <w:right w:w="15" w:type="dxa"/>
          </w:tblCellMar>
        </w:tblPrEx>
        <w:trPr>
          <w:trHeight w:val="567"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评议内容</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评议减分原因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百分制评议</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提出问题是否聚焦（40分）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40</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反映情况是否准确（15分）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分析问题是否深入（15分）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提出建议是否具体（15分）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提案撰写是否规范(15分)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303" w:hRule="atLeast"/>
        </w:trPr>
        <w:tc>
          <w:tcPr>
            <w:tcW w:w="635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400" w:lineRule="exact"/>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说明：此表</w:t>
            </w:r>
            <w:r>
              <w:rPr>
                <w:rFonts w:hint="eastAsia" w:ascii="Times New Roman" w:hAnsi="Times New Roman" w:cs="仿宋_GB2312"/>
                <w:kern w:val="0"/>
                <w:sz w:val="28"/>
                <w:szCs w:val="28"/>
                <w:lang w:val="zh-CN" w:bidi="zh-CN"/>
              </w:rPr>
              <w:t>由主办单位填写。</w:t>
            </w:r>
            <w:r>
              <w:rPr>
                <w:rFonts w:hint="eastAsia" w:ascii="Times New Roman" w:hAnsi="Times New Roman" w:eastAsia="仿宋_GB2312" w:cs="仿宋_GB2312"/>
                <w:kern w:val="0"/>
                <w:sz w:val="28"/>
                <w:szCs w:val="28"/>
                <w:lang w:val="zh-CN" w:bidi="zh-CN"/>
              </w:rPr>
              <w:t>90分及以上为年度好提案（按主办提案的</w:t>
            </w:r>
            <w:r>
              <w:rPr>
                <w:rFonts w:hint="eastAsia" w:ascii="Times New Roman" w:hAnsi="Times New Roman" w:eastAsia="仿宋_GB2312" w:cs="仿宋_GB2312"/>
                <w:kern w:val="0"/>
                <w:sz w:val="28"/>
                <w:szCs w:val="28"/>
                <w:lang w:val="en-US" w:bidi="zh-CN"/>
              </w:rPr>
              <w:t>20%</w:t>
            </w:r>
            <w:r>
              <w:rPr>
                <w:rFonts w:hint="eastAsia" w:ascii="Times New Roman" w:hAnsi="Times New Roman" w:eastAsia="仿宋_GB2312" w:cs="仿宋_GB2312"/>
                <w:kern w:val="0"/>
                <w:sz w:val="28"/>
                <w:szCs w:val="28"/>
                <w:lang w:val="zh-CN" w:bidi="zh-CN"/>
              </w:rPr>
              <w:t>评价）；60</w:t>
            </w:r>
            <w:r>
              <w:rPr>
                <w:rFonts w:hint="eastAsia" w:ascii="Times New Roman" w:hAnsi="Times New Roman" w:eastAsia="仿宋_GB2312" w:cs="仿宋_GB2312"/>
                <w:kern w:val="0"/>
                <w:sz w:val="28"/>
                <w:szCs w:val="28"/>
                <w:lang w:bidi="zh-CN"/>
              </w:rPr>
              <w:t>-</w:t>
            </w:r>
            <w:r>
              <w:rPr>
                <w:rFonts w:hint="eastAsia" w:ascii="Times New Roman" w:hAnsi="Times New Roman" w:eastAsia="仿宋_GB2312" w:cs="仿宋_GB2312"/>
                <w:kern w:val="0"/>
                <w:sz w:val="28"/>
                <w:szCs w:val="28"/>
                <w:lang w:val="zh-CN" w:bidi="zh-CN"/>
              </w:rPr>
              <w:t>89分为年度一般提案；60分以下为年度差提案</w:t>
            </w:r>
            <w:r>
              <w:rPr>
                <w:rFonts w:hint="eastAsia" w:ascii="Times New Roman" w:hAnsi="Times New Roman" w:cs="仿宋_GB2312"/>
                <w:kern w:val="0"/>
                <w:sz w:val="28"/>
                <w:szCs w:val="28"/>
                <w:lang w:val="zh-CN" w:bidi="zh-CN"/>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合计</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100</w:t>
            </w:r>
          </w:p>
        </w:tc>
      </w:tr>
    </w:tbl>
    <w:p>
      <w:pPr>
        <w:pStyle w:val="7"/>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B0241"/>
    <w:multiLevelType w:val="singleLevel"/>
    <w:tmpl w:val="A33B0241"/>
    <w:lvl w:ilvl="0" w:tentative="0">
      <w:start w:val="1"/>
      <w:numFmt w:val="chineseCounting"/>
      <w:suff w:val="nothing"/>
      <w:lvlText w:val="（%1）"/>
      <w:lvlJc w:val="left"/>
      <w:rPr>
        <w:rFonts w:hint="eastAsia"/>
      </w:rPr>
    </w:lvl>
  </w:abstractNum>
  <w:abstractNum w:abstractNumId="1">
    <w:nsid w:val="AB41837B"/>
    <w:multiLevelType w:val="singleLevel"/>
    <w:tmpl w:val="AB41837B"/>
    <w:lvl w:ilvl="0" w:tentative="0">
      <w:start w:val="1"/>
      <w:numFmt w:val="chineseCounting"/>
      <w:suff w:val="nothing"/>
      <w:lvlText w:val="（%1）"/>
      <w:lvlJc w:val="left"/>
      <w:pPr>
        <w:ind w:left="-1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759A1"/>
    <w:rsid w:val="0F102862"/>
    <w:rsid w:val="191B0C9B"/>
    <w:rsid w:val="224664D9"/>
    <w:rsid w:val="34D615B7"/>
    <w:rsid w:val="389E19FD"/>
    <w:rsid w:val="44A759A1"/>
    <w:rsid w:val="45DA2ADD"/>
    <w:rsid w:val="53C7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BodyText"/>
    <w:basedOn w:val="1"/>
    <w:next w:val="3"/>
    <w:qFormat/>
    <w:uiPriority w:val="0"/>
    <w:pPr>
      <w:ind w:left="420"/>
      <w:textAlignment w:val="baseline"/>
    </w:pPr>
    <w:rPr>
      <w:rFonts w:ascii="宋体" w:hAnsi="宋体" w:eastAsia="宋体"/>
      <w:sz w:val="28"/>
      <w:szCs w:val="28"/>
      <w:lang w:val="zh-CN" w:eastAsia="zh-CN" w:bidi="zh-CN"/>
    </w:rPr>
  </w:style>
  <w:style w:type="paragraph" w:customStyle="1" w:styleId="3">
    <w:name w:val="TOC5"/>
    <w:basedOn w:val="1"/>
    <w:next w:val="1"/>
    <w:qFormat/>
    <w:uiPriority w:val="0"/>
    <w:pPr>
      <w:widowControl/>
      <w:ind w:left="1680"/>
      <w:jc w:val="both"/>
      <w:textAlignment w:val="baseline"/>
    </w:pPr>
  </w:style>
  <w:style w:type="paragraph" w:styleId="5">
    <w:name w:val="Body Text Indent"/>
    <w:basedOn w:val="1"/>
    <w:qFormat/>
    <w:uiPriority w:val="0"/>
    <w:pPr>
      <w:ind w:left="42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5"/>
    <w:qFormat/>
    <w:uiPriority w:val="0"/>
    <w:pPr>
      <w:ind w:left="0" w:firstLine="420"/>
    </w:pPr>
    <w:rPr>
      <w:rFonts w:eastAsia="仿宋_GB231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2023-07-12T00:36:00Z</dcterms:created>
  <dc:creator>Administrator</dc:creator>
  <cp:lastModifiedBy>虎视丹丹</cp:lastModifiedBy>
  <dcterms:modified xsi:type="dcterms:W3CDTF">2023-12-06T08:56:23Z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