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14-07</w:t>
      </w:r>
      <w:r>
        <w:rPr>
          <w:rFonts w:hint="eastAsia" w:ascii="宋体" w:hAnsi="宋体" w:cs="宋体"/>
          <w:b/>
          <w:bCs/>
          <w:spacing w:val="8"/>
          <w:kern w:val="0"/>
          <w:sz w:val="24"/>
          <w:szCs w:val="24"/>
          <w:highlight w:val="none"/>
        </w:rPr>
        <w:t>号</w:t>
      </w:r>
    </w:p>
    <w:p>
      <w:pPr>
        <w:widowControl/>
        <w:spacing w:line="360" w:lineRule="auto"/>
        <w:rPr>
          <w:rFonts w:ascii="??_GB2312" w:hAnsi="??_GB2312" w:cs="??_GB2312"/>
          <w:sz w:val="32"/>
          <w:szCs w:val="32"/>
          <w:highlight w:val="red"/>
        </w:rPr>
      </w:pPr>
    </w:p>
    <w:p>
      <w:pPr>
        <w:keepNext w:val="0"/>
        <w:keepLines w:val="0"/>
        <w:pageBreakBefore w:val="0"/>
        <w:widowControl/>
        <w:kinsoku/>
        <w:wordWrap w:val="0"/>
        <w:overflowPunct/>
        <w:topLinePunct w:val="0"/>
        <w:autoSpaceDE/>
        <w:autoSpaceDN/>
        <w:bidi w:val="0"/>
        <w:adjustRightInd/>
        <w:snapToGrid/>
        <w:spacing w:line="520" w:lineRule="exact"/>
        <w:textAlignment w:val="auto"/>
        <w:rPr>
          <w:rFonts w:hint="eastAsia" w:ascii="仿宋_GB2312" w:hAnsi="仿宋_GB2312" w:eastAsia="仿宋_GB2312"/>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sz w:val="32"/>
          <w:szCs w:val="32"/>
          <w:lang w:eastAsia="zh-CN"/>
        </w:rPr>
        <w:t>富民景欣农家乐</w:t>
      </w:r>
    </w:p>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宋体" w:eastAsia="仿宋_GB2312"/>
          <w:sz w:val="32"/>
          <w:szCs w:val="32"/>
        </w:rPr>
        <w:t>92530124MA6NR0CJ8E</w:t>
      </w:r>
    </w:p>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eastAsia="仿宋_GB2312"/>
          <w:color w:val="000000"/>
          <w:sz w:val="32"/>
          <w:szCs w:val="32"/>
        </w:rPr>
        <w:t>任萍</w:t>
      </w:r>
      <w:bookmarkStart w:id="0" w:name="_GoBack"/>
      <w:bookmarkEnd w:id="0"/>
      <w:r>
        <w:rPr>
          <w:rFonts w:hint="eastAsia" w:ascii="仿宋_GB2312" w:hAnsi="Times New Roman" w:eastAsia="仿宋_GB2312" w:cs="Times New Roman"/>
          <w:color w:val="000000"/>
          <w:sz w:val="32"/>
          <w:szCs w:val="32"/>
          <w:lang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kinsoku/>
        <w:overflowPunct/>
        <w:topLinePunct w:val="0"/>
        <w:autoSpaceDE/>
        <w:autoSpaceDN/>
        <w:bidi w:val="0"/>
        <w:adjustRightInd/>
        <w:snapToGrid/>
        <w:spacing w:line="520" w:lineRule="exac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 xml:space="preserve">  </w:t>
      </w:r>
      <w:r>
        <w:rPr>
          <w:rFonts w:hint="eastAsia" w:ascii="仿宋_GB2312" w:hAnsi="Times New Roman" w:eastAsia="仿宋_GB2312" w:cs="Times New Roman"/>
          <w:color w:val="000000"/>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富民景欣农家乐</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pPr>
        <w:keepNext w:val="0"/>
        <w:keepLines w:val="0"/>
        <w:pageBreakBefore w:val="0"/>
        <w:widowControl/>
        <w:kinsoku/>
        <w:wordWrap w:val="0"/>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pPr>
        <w:keepNext w:val="0"/>
        <w:keepLines w:val="0"/>
        <w:pageBreakBefore w:val="0"/>
        <w:widowControl/>
        <w:kinsoku/>
        <w:overflowPunct/>
        <w:topLinePunct w:val="0"/>
        <w:autoSpaceDE/>
        <w:autoSpaceDN/>
        <w:bidi w:val="0"/>
        <w:adjustRightInd/>
        <w:snapToGrid/>
        <w:spacing w:line="52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日，昆明市生态环境局富民分局执法人员对位于</w:t>
      </w:r>
      <w:r>
        <w:rPr>
          <w:rFonts w:hint="eastAsia" w:ascii="仿宋_GB2312" w:hAnsi="宋体" w:eastAsia="仿宋_GB2312"/>
          <w:color w:val="000000"/>
          <w:sz w:val="32"/>
          <w:szCs w:val="32"/>
        </w:rPr>
        <w:t>云南省昆明市富民县永定街道办事处北邑村委会黄家营村39号</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富民景欣农家乐</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lang w:eastAsia="zh-CN"/>
        </w:rPr>
        <w:t>农家乐</w:t>
      </w:r>
      <w:r>
        <w:rPr>
          <w:rFonts w:hint="eastAsia" w:ascii="仿宋_GB2312" w:hAnsi="Times New Roman" w:eastAsia="仿宋_GB2312" w:cs="仿宋_GB2312"/>
          <w:color w:val="000000"/>
          <w:sz w:val="32"/>
          <w:szCs w:val="32"/>
          <w:lang w:val="en-US" w:eastAsia="zh-CN"/>
        </w:rPr>
        <w:t>自2019年4月经营至今，</w:t>
      </w:r>
      <w:r>
        <w:rPr>
          <w:rFonts w:hint="eastAsia" w:ascii="仿宋_GB2312" w:eastAsia="仿宋_GB2312" w:cs="仿宋_GB2312"/>
          <w:color w:val="000000"/>
          <w:sz w:val="32"/>
          <w:szCs w:val="32"/>
        </w:rPr>
        <w:t>未按规定安装油烟净化装置。</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日《现场检查（勘察）笔录》、</w:t>
      </w:r>
      <w:r>
        <w:rPr>
          <w:rFonts w:hint="eastAsia" w:ascii="仿宋_GB2312" w:eastAsia="仿宋_GB2312" w:cs="仿宋_GB2312"/>
          <w:color w:val="000000"/>
          <w:sz w:val="32"/>
          <w:szCs w:val="32"/>
          <w:lang w:val="en-US" w:eastAsia="zh-CN"/>
        </w:rPr>
        <w:t>2023年10月12日</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lang w:eastAsia="zh-CN"/>
        </w:rPr>
        <w:t>农家乐</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14-01</w:t>
      </w:r>
      <w:r>
        <w:rPr>
          <w:rFonts w:hint="eastAsia" w:ascii="仿宋_GB2312" w:eastAsia="仿宋_GB2312" w:cs="仿宋_GB2312"/>
          <w:sz w:val="32"/>
          <w:szCs w:val="32"/>
        </w:rPr>
        <w:t>），责令你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日前完成油烟净化器的安装并正常使用。</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24</w:t>
      </w:r>
      <w:r>
        <w:rPr>
          <w:rFonts w:hint="eastAsia" w:ascii="仿宋_GB2312" w:eastAsia="仿宋_GB2312" w:cs="仿宋_GB2312"/>
          <w:color w:val="auto"/>
          <w:sz w:val="32"/>
          <w:szCs w:val="32"/>
        </w:rPr>
        <w:t>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富民景欣农家乐</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按照《责令改正违法行为决定书》时限要求，完成了油烟净化器的安装并正常使用。</w:t>
      </w:r>
    </w:p>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并正常使用。根据《中华人民共和国行政处罚法》第三十三条第一款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违反大气污染防治法的环境违法行为作出以下决定：</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农家乐</w:t>
      </w:r>
      <w:r>
        <w:rPr>
          <w:rFonts w:hint="eastAsia" w:ascii="仿宋_GB2312" w:eastAsia="仿宋_GB2312" w:cs="仿宋_GB2312"/>
          <w:sz w:val="32"/>
          <w:szCs w:val="32"/>
        </w:rPr>
        <w:t>教育如下：</w:t>
      </w:r>
    </w:p>
    <w:p>
      <w:pPr>
        <w:keepNext w:val="0"/>
        <w:keepLines w:val="0"/>
        <w:pageBreakBefore w:val="0"/>
        <w:kinsoku/>
        <w:overflowPunct/>
        <w:topLinePunct w:val="0"/>
        <w:autoSpaceDE/>
        <w:autoSpaceDN/>
        <w:bidi w:val="0"/>
        <w:adjustRightInd/>
        <w:snapToGrid/>
        <w:spacing w:line="52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农家乐</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pPr>
        <w:keepNext w:val="0"/>
        <w:keepLines w:val="0"/>
        <w:pageBreakBefore w:val="0"/>
        <w:kinsoku/>
        <w:overflowPunct/>
        <w:topLinePunct w:val="0"/>
        <w:autoSpaceDE/>
        <w:autoSpaceDN/>
        <w:bidi w:val="0"/>
        <w:adjustRightInd/>
        <w:snapToGrid/>
        <w:spacing w:line="52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联系人：何玉萍</w:t>
      </w:r>
    </w:p>
    <w:p>
      <w:pPr>
        <w:keepNext w:val="0"/>
        <w:keepLines w:val="0"/>
        <w:pageBreakBefore w:val="0"/>
        <w:widowControl/>
        <w:kinsoku/>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联系电话：68810036</w:t>
      </w:r>
    </w:p>
    <w:p>
      <w:pPr>
        <w:keepNext w:val="0"/>
        <w:keepLines w:val="0"/>
        <w:pageBreakBefore w:val="0"/>
        <w:widowControl/>
        <w:kinsoku/>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地址：富民县环城南路358号</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520" w:lineRule="exact"/>
        <w:ind w:firstLine="4160" w:firstLineChars="1300"/>
        <w:textAlignment w:val="auto"/>
        <w:rPr>
          <w:rFonts w:ascii="仿宋_GB2312" w:hAnsi="仿宋_GB2312" w:eastAsia="仿宋_GB2312" w:cs="Times New Roman"/>
          <w:kern w:val="21"/>
          <w:sz w:val="32"/>
          <w:szCs w:val="32"/>
        </w:rPr>
      </w:pPr>
    </w:p>
    <w:p>
      <w:pPr>
        <w:keepNext w:val="0"/>
        <w:keepLines w:val="0"/>
        <w:pageBreakBefore w:val="0"/>
        <w:kinsoku/>
        <w:overflowPunct/>
        <w:topLinePunct w:val="0"/>
        <w:autoSpaceDE/>
        <w:autoSpaceDN/>
        <w:bidi w:val="0"/>
        <w:adjustRightInd/>
        <w:snapToGrid/>
        <w:spacing w:line="52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pPr>
        <w:keepNext w:val="0"/>
        <w:keepLines w:val="0"/>
        <w:pageBreakBefore w:val="0"/>
        <w:widowControl/>
        <w:kinsoku/>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FF0000"/>
          <w:kern w:val="21"/>
          <w:sz w:val="32"/>
          <w:szCs w:val="32"/>
        </w:rPr>
        <w:t xml:space="preserve"> </w:t>
      </w:r>
      <w:r>
        <w:rPr>
          <w:rFonts w:hint="eastAsia" w:ascii="仿宋_GB2312" w:hAnsi="仿宋_GB2312" w:eastAsia="仿宋_GB2312" w:cs="仿宋_GB2312"/>
          <w:color w:val="auto"/>
          <w:kern w:val="21"/>
          <w:sz w:val="32"/>
          <w:szCs w:val="32"/>
        </w:rPr>
        <w:t>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p>
    <w:p>
      <w:pPr>
        <w:keepNext w:val="0"/>
        <w:keepLines w:val="0"/>
        <w:pageBreakBefore w:val="0"/>
        <w:tabs>
          <w:tab w:val="left" w:pos="300"/>
          <w:tab w:val="center" w:pos="4365"/>
          <w:tab w:val="left" w:pos="6345"/>
        </w:tabs>
        <w:kinsoku/>
        <w:overflowPunct/>
        <w:topLinePunct w:val="0"/>
        <w:autoSpaceDE/>
        <w:autoSpaceDN/>
        <w:bidi w:val="0"/>
        <w:adjustRightInd/>
        <w:snapToGrid/>
        <w:spacing w:line="560" w:lineRule="exact"/>
        <w:jc w:val="center"/>
        <w:textAlignment w:val="auto"/>
        <w:rPr>
          <w:rFonts w:ascii="宋体" w:cs="Times New Roman"/>
          <w:sz w:val="44"/>
          <w:szCs w:val="44"/>
        </w:rPr>
      </w:pP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Ind w:w="0" w:type="dxa"/>
        <w:tblLayout w:type="fixed"/>
        <w:tblCellMar>
          <w:top w:w="0" w:type="dxa"/>
          <w:left w:w="108" w:type="dxa"/>
          <w:bottom w:w="0" w:type="dxa"/>
          <w:right w:w="108" w:type="dxa"/>
        </w:tblCellMar>
      </w:tblPr>
      <w:tblGrid>
        <w:gridCol w:w="2551"/>
        <w:gridCol w:w="6169"/>
      </w:tblGrid>
      <w:tr>
        <w:tblPrEx>
          <w:tblLayout w:type="fixed"/>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pPr>
              <w:keepNext w:val="0"/>
              <w:keepLines w:val="0"/>
              <w:widowControl/>
              <w:suppressLineNumbers w:val="0"/>
              <w:tabs>
                <w:tab w:val="left" w:pos="0"/>
              </w:tabs>
              <w:snapToGrid w:val="0"/>
              <w:spacing w:before="0" w:beforeAutospacing="0" w:after="0" w:afterAutospacing="0" w:line="400" w:lineRule="exact"/>
              <w:ind w:left="0" w:right="0"/>
              <w:rPr>
                <w:rFonts w:hint="eastAsia" w:ascii="??_GB2312" w:eastAsia="宋体" w:cs="Times New Roman"/>
                <w:sz w:val="24"/>
                <w:szCs w:val="24"/>
                <w:lang w:val="en-US" w:eastAsia="zh-CN"/>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spacing w:val="8"/>
                <w:kern w:val="0"/>
                <w:sz w:val="24"/>
                <w:szCs w:val="24"/>
                <w:highlight w:val="none"/>
                <w:lang w:val="en-US" w:eastAsia="zh-CN"/>
              </w:rPr>
              <w:t>14-07号</w:t>
            </w: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富民景欣农家乐</w:t>
            </w:r>
            <w:r>
              <w:rPr>
                <w:rFonts w:hint="default" w:ascii="??_GB2312" w:hAnsi="Times New Roman" w:cs="??_GB2312"/>
                <w:color w:val="000000"/>
                <w:sz w:val="28"/>
                <w:szCs w:val="28"/>
              </w:rPr>
              <w:t xml:space="preserve"> </w:t>
            </w:r>
          </w:p>
        </w:tc>
      </w:tr>
      <w:tr>
        <w:tblPrEx>
          <w:tblLayout w:type="fixed"/>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rPr>
            </w:pPr>
          </w:p>
          <w:p>
            <w:pPr>
              <w:keepNext w:val="0"/>
              <w:keepLines w:val="0"/>
              <w:suppressLineNumbers w:val="0"/>
              <w:spacing w:before="0" w:beforeAutospacing="0" w:after="0" w:afterAutospacing="0" w:line="300" w:lineRule="exact"/>
              <w:ind w:left="0" w:right="0"/>
              <w:jc w:val="center"/>
              <w:rPr>
                <w:rFonts w:hint="default" w:ascii="宋体" w:cs="Times New Roman"/>
              </w:rPr>
            </w:pP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tblPrEx>
          <w:tblLayout w:type="fixed"/>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pPr>
              <w:keepNext w:val="0"/>
              <w:keepLines w:val="0"/>
              <w:suppressLineNumbers w:val="0"/>
              <w:spacing w:before="0" w:beforeAutospacing="0" w:after="0" w:afterAutospacing="0" w:line="300" w:lineRule="exact"/>
              <w:ind w:left="0" w:right="0"/>
              <w:rPr>
                <w:rFonts w:hint="default" w:ascii="宋体" w:cs="Times New Roman"/>
                <w:sz w:val="30"/>
                <w:szCs w:val="30"/>
              </w:rPr>
            </w:pPr>
          </w:p>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tblPrEx>
          <w:tblLayout w:type="fixed"/>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tblPrEx>
          <w:tblLayout w:type="fixed"/>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sz w:val="28"/>
                <w:szCs w:val="28"/>
                <w:highlight w:val="none"/>
                <w:lang w:val="en-US" w:eastAsia="zh-CN"/>
              </w:rPr>
              <w:t>12月25日</w:t>
            </w:r>
          </w:p>
        </w:tc>
      </w:tr>
      <w:tr>
        <w:tblPrEx>
          <w:tblLayout w:type="fixed"/>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pPr>
        <w:rPr>
          <w:rFonts w:cs="Times New Roman"/>
        </w:rPr>
      </w:pPr>
    </w:p>
    <w:p>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MS Mincho"/>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liNmY1YjI4NDA0ZDM2MWJlMmQwNzI3OGM5NzUwZGY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73786"/>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3E0238"/>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953A2"/>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5A240F"/>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3532"/>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1105A3"/>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B82E74"/>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6E4081"/>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DFBBFD30"/>
    <w:rsid w:val="F9774F5A"/>
    <w:rsid w:val="FCDE6B9D"/>
    <w:rsid w:val="FCFE27D8"/>
    <w:rsid w:val="FEEF746D"/>
    <w:rsid w:val="FFFBCF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265</Words>
  <Characters>1512</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2020-09-18T10:57:00Z</dcterms:created>
  <dc:creator>李文举</dc:creator>
  <cp:lastModifiedBy>Administrator</cp:lastModifiedBy>
  <cp:lastPrinted>2023-12-25T02:52:00Z</cp:lastPrinted>
  <dcterms:modified xsi:type="dcterms:W3CDTF">2023-12-25T09:04:44Z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FE1CEE00CFD64D528DEC4CE8FF5587D0</vt:lpwstr>
  </property>
</Properties>
</file>