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extAlignment w:val="center"/>
        <w:rPr>
          <w:rFonts w:ascii="仿宋_GB2312" w:hAnsi="等线 Light" w:eastAsia="仿宋_GB2312" w:cs="Cambria Math"/>
          <w:bCs/>
          <w:sz w:val="28"/>
          <w:szCs w:val="28"/>
        </w:rPr>
      </w:pPr>
      <w:bookmarkStart w:id="2" w:name="_GoBack"/>
      <w:bookmarkEnd w:id="2"/>
      <w:r>
        <w:rPr>
          <w:rFonts w:hint="eastAsia" w:ascii="仿宋_GB2312" w:hAnsi="等线 Light" w:eastAsia="仿宋_GB2312" w:cs="Cambria Math"/>
          <w:bCs/>
          <w:sz w:val="28"/>
          <w:szCs w:val="28"/>
        </w:rPr>
        <w:t>附件1</w:t>
      </w:r>
    </w:p>
    <w:p>
      <w:pPr>
        <w:pStyle w:val="2"/>
        <w:widowControl w:val="0"/>
        <w:overflowPunct/>
        <w:autoSpaceDE/>
        <w:autoSpaceDN/>
        <w:adjustRightInd/>
        <w:spacing w:before="120" w:after="120" w:line="415" w:lineRule="auto"/>
        <w:jc w:val="center"/>
        <w:rPr>
          <w:rFonts w:ascii="仿宋_GB2312" w:hAnsi="等线 Light" w:eastAsia="仿宋_GB2312"/>
          <w:kern w:val="2"/>
        </w:rPr>
      </w:pPr>
      <w:bookmarkStart w:id="0" w:name="_Toc72920347"/>
      <w:bookmarkStart w:id="1" w:name="_Toc72920232"/>
      <w:r>
        <w:rPr>
          <w:rFonts w:hint="eastAsia" w:ascii="仿宋_GB2312" w:hAnsi="黑体" w:eastAsia="仿宋_GB2312"/>
          <w:spacing w:val="-20"/>
        </w:rPr>
        <w:t>富民县财政局</w:t>
      </w:r>
      <w:r>
        <w:rPr>
          <w:rFonts w:hint="eastAsia" w:ascii="仿宋_GB2312" w:eastAsia="仿宋_GB2312" w:cs="仿宋_GB2312"/>
        </w:rPr>
        <w:t>202</w:t>
      </w:r>
      <w:r>
        <w:rPr>
          <w:rFonts w:hint="eastAsia" w:ascii="仿宋_GB2312" w:eastAsia="仿宋_GB2312" w:cs="仿宋_GB2312"/>
          <w:lang w:val="en-US" w:eastAsia="zh-CN"/>
        </w:rPr>
        <w:t>3</w:t>
      </w:r>
      <w:r>
        <w:rPr>
          <w:rFonts w:hint="eastAsia" w:ascii="仿宋_GB2312" w:eastAsia="仿宋_GB2312" w:cs="仿宋_GB2312"/>
        </w:rPr>
        <w:t>年度</w:t>
      </w:r>
      <w:r>
        <w:rPr>
          <w:rFonts w:hint="eastAsia" w:ascii="仿宋_GB2312" w:eastAsia="仿宋_GB2312"/>
          <w:kern w:val="2"/>
        </w:rPr>
        <w:t>部门整体支出绩效评价指标体系及打分表</w:t>
      </w:r>
      <w:bookmarkEnd w:id="0"/>
      <w:bookmarkEnd w:id="1"/>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8"/>
        <w:gridCol w:w="952"/>
        <w:gridCol w:w="1494"/>
        <w:gridCol w:w="680"/>
        <w:gridCol w:w="1902"/>
        <w:gridCol w:w="2180"/>
        <w:gridCol w:w="1497"/>
        <w:gridCol w:w="712"/>
        <w:gridCol w:w="712"/>
        <w:gridCol w:w="3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blHeader/>
          <w:jc w:val="center"/>
        </w:trPr>
        <w:tc>
          <w:tcPr>
            <w:tcW w:w="324" w:type="pct"/>
            <w:shd w:val="clear" w:color="auto" w:fill="auto"/>
            <w:vAlign w:val="center"/>
          </w:tcPr>
          <w:p>
            <w:pPr>
              <w:overflowPunct/>
              <w:autoSpaceDE/>
              <w:autoSpaceDN/>
              <w:adjustRightInd/>
              <w:jc w:val="center"/>
              <w:rPr>
                <w:rFonts w:ascii="宋体" w:hAnsi="宋体" w:eastAsia="宋体" w:cs="Calibri"/>
                <w:b/>
                <w:bCs/>
                <w:sz w:val="15"/>
                <w:szCs w:val="15"/>
              </w:rPr>
            </w:pPr>
            <w:r>
              <w:rPr>
                <w:rFonts w:hint="eastAsia" w:ascii="宋体" w:hAnsi="宋体" w:eastAsia="宋体" w:cs="Calibri"/>
                <w:b/>
                <w:bCs/>
                <w:sz w:val="15"/>
                <w:szCs w:val="15"/>
              </w:rPr>
              <w:t>一级指标</w:t>
            </w:r>
          </w:p>
        </w:tc>
        <w:tc>
          <w:tcPr>
            <w:tcW w:w="336" w:type="pct"/>
            <w:shd w:val="clear" w:color="auto" w:fill="auto"/>
            <w:vAlign w:val="center"/>
          </w:tcPr>
          <w:p>
            <w:pPr>
              <w:overflowPunct/>
              <w:autoSpaceDE/>
              <w:autoSpaceDN/>
              <w:adjustRightInd/>
              <w:jc w:val="center"/>
              <w:rPr>
                <w:rFonts w:ascii="宋体" w:hAnsi="宋体" w:eastAsia="宋体" w:cs="Calibri"/>
                <w:b/>
                <w:bCs/>
                <w:sz w:val="15"/>
                <w:szCs w:val="15"/>
              </w:rPr>
            </w:pPr>
            <w:r>
              <w:rPr>
                <w:rFonts w:hint="eastAsia" w:ascii="宋体" w:hAnsi="宋体" w:eastAsia="宋体" w:cs="Calibri"/>
                <w:b/>
                <w:bCs/>
                <w:sz w:val="15"/>
                <w:szCs w:val="15"/>
              </w:rPr>
              <w:t>二级指标</w:t>
            </w:r>
          </w:p>
        </w:tc>
        <w:tc>
          <w:tcPr>
            <w:tcW w:w="527" w:type="pct"/>
            <w:shd w:val="clear" w:color="auto" w:fill="auto"/>
            <w:vAlign w:val="center"/>
          </w:tcPr>
          <w:p>
            <w:pPr>
              <w:overflowPunct/>
              <w:autoSpaceDE/>
              <w:autoSpaceDN/>
              <w:adjustRightInd/>
              <w:jc w:val="center"/>
              <w:rPr>
                <w:rFonts w:ascii="宋体" w:hAnsi="宋体" w:eastAsia="宋体" w:cs="Calibri"/>
                <w:b/>
                <w:bCs/>
                <w:sz w:val="15"/>
                <w:szCs w:val="15"/>
              </w:rPr>
            </w:pPr>
            <w:r>
              <w:rPr>
                <w:rFonts w:hint="eastAsia" w:ascii="宋体" w:hAnsi="宋体" w:eastAsia="宋体" w:cs="Calibri"/>
                <w:b/>
                <w:bCs/>
                <w:sz w:val="15"/>
                <w:szCs w:val="15"/>
              </w:rPr>
              <w:t>三级指标</w:t>
            </w:r>
          </w:p>
        </w:tc>
        <w:tc>
          <w:tcPr>
            <w:tcW w:w="240" w:type="pct"/>
            <w:shd w:val="clear" w:color="auto" w:fill="auto"/>
            <w:vAlign w:val="center"/>
          </w:tcPr>
          <w:p>
            <w:pPr>
              <w:overflowPunct/>
              <w:autoSpaceDE/>
              <w:autoSpaceDN/>
              <w:adjustRightInd/>
              <w:jc w:val="center"/>
              <w:rPr>
                <w:rFonts w:ascii="宋体" w:hAnsi="宋体" w:eastAsia="宋体" w:cs="Calibri"/>
                <w:b/>
                <w:bCs/>
                <w:sz w:val="15"/>
                <w:szCs w:val="15"/>
              </w:rPr>
            </w:pPr>
            <w:r>
              <w:rPr>
                <w:rFonts w:hint="eastAsia" w:ascii="宋体" w:hAnsi="宋体" w:eastAsia="宋体" w:cs="Calibri"/>
                <w:b/>
                <w:bCs/>
                <w:sz w:val="15"/>
                <w:szCs w:val="15"/>
              </w:rPr>
              <w:t>分值</w:t>
            </w:r>
          </w:p>
        </w:tc>
        <w:tc>
          <w:tcPr>
            <w:tcW w:w="671" w:type="pct"/>
            <w:shd w:val="clear" w:color="auto" w:fill="auto"/>
            <w:vAlign w:val="center"/>
          </w:tcPr>
          <w:p>
            <w:pPr>
              <w:overflowPunct/>
              <w:autoSpaceDE/>
              <w:autoSpaceDN/>
              <w:adjustRightInd/>
              <w:jc w:val="center"/>
              <w:rPr>
                <w:rFonts w:ascii="宋体" w:hAnsi="宋体" w:eastAsia="宋体" w:cs="Calibri"/>
                <w:b/>
                <w:bCs/>
                <w:sz w:val="15"/>
                <w:szCs w:val="15"/>
              </w:rPr>
            </w:pPr>
            <w:r>
              <w:rPr>
                <w:rFonts w:hint="eastAsia" w:ascii="宋体" w:hAnsi="宋体" w:eastAsia="宋体" w:cs="Calibri"/>
                <w:b/>
                <w:bCs/>
                <w:sz w:val="15"/>
                <w:szCs w:val="15"/>
              </w:rPr>
              <w:t>指标解释</w:t>
            </w:r>
          </w:p>
        </w:tc>
        <w:tc>
          <w:tcPr>
            <w:tcW w:w="769" w:type="pct"/>
            <w:shd w:val="clear" w:color="auto" w:fill="auto"/>
            <w:vAlign w:val="center"/>
          </w:tcPr>
          <w:p>
            <w:pPr>
              <w:overflowPunct/>
              <w:autoSpaceDE/>
              <w:autoSpaceDN/>
              <w:adjustRightInd/>
              <w:jc w:val="center"/>
              <w:rPr>
                <w:rFonts w:ascii="宋体" w:hAnsi="宋体" w:eastAsia="宋体" w:cs="Calibri"/>
                <w:b/>
                <w:bCs/>
                <w:sz w:val="15"/>
                <w:szCs w:val="15"/>
              </w:rPr>
            </w:pPr>
            <w:r>
              <w:rPr>
                <w:rFonts w:hint="eastAsia" w:ascii="宋体" w:hAnsi="宋体" w:eastAsia="宋体" w:cs="Calibri"/>
                <w:b/>
                <w:bCs/>
                <w:sz w:val="15"/>
                <w:szCs w:val="15"/>
              </w:rPr>
              <w:t>指标评分细则</w:t>
            </w:r>
          </w:p>
        </w:tc>
        <w:tc>
          <w:tcPr>
            <w:tcW w:w="528" w:type="pct"/>
            <w:shd w:val="clear" w:color="auto" w:fill="auto"/>
            <w:vAlign w:val="center"/>
          </w:tcPr>
          <w:p>
            <w:pPr>
              <w:overflowPunct/>
              <w:autoSpaceDE/>
              <w:autoSpaceDN/>
              <w:adjustRightInd/>
              <w:jc w:val="center"/>
              <w:rPr>
                <w:rFonts w:ascii="宋体" w:hAnsi="宋体" w:eastAsia="宋体" w:cs="Calibri"/>
                <w:b/>
                <w:bCs/>
                <w:sz w:val="15"/>
                <w:szCs w:val="15"/>
              </w:rPr>
            </w:pPr>
            <w:r>
              <w:rPr>
                <w:rFonts w:hint="eastAsia" w:ascii="宋体" w:hAnsi="宋体" w:eastAsia="宋体" w:cs="Calibri"/>
                <w:b/>
                <w:bCs/>
                <w:sz w:val="15"/>
                <w:szCs w:val="15"/>
              </w:rPr>
              <w:t>数据来源</w:t>
            </w:r>
          </w:p>
        </w:tc>
        <w:tc>
          <w:tcPr>
            <w:tcW w:w="251" w:type="pct"/>
            <w:shd w:val="clear" w:color="auto" w:fill="auto"/>
            <w:vAlign w:val="center"/>
          </w:tcPr>
          <w:p>
            <w:pPr>
              <w:overflowPunct/>
              <w:autoSpaceDE/>
              <w:autoSpaceDN/>
              <w:adjustRightInd/>
              <w:jc w:val="center"/>
              <w:rPr>
                <w:rFonts w:ascii="宋体" w:hAnsi="宋体" w:eastAsia="宋体" w:cs="Calibri"/>
                <w:b/>
                <w:bCs/>
                <w:sz w:val="15"/>
                <w:szCs w:val="15"/>
              </w:rPr>
            </w:pPr>
            <w:r>
              <w:rPr>
                <w:rFonts w:hint="eastAsia" w:ascii="宋体" w:hAnsi="宋体" w:eastAsia="宋体" w:cs="Calibri"/>
                <w:b/>
                <w:bCs/>
                <w:sz w:val="15"/>
                <w:szCs w:val="15"/>
              </w:rPr>
              <w:t>评价得分</w:t>
            </w:r>
          </w:p>
        </w:tc>
        <w:tc>
          <w:tcPr>
            <w:tcW w:w="251" w:type="pct"/>
            <w:shd w:val="clear" w:color="auto" w:fill="auto"/>
            <w:vAlign w:val="center"/>
          </w:tcPr>
          <w:p>
            <w:pPr>
              <w:overflowPunct/>
              <w:autoSpaceDE/>
              <w:autoSpaceDN/>
              <w:adjustRightInd/>
              <w:jc w:val="center"/>
              <w:rPr>
                <w:rFonts w:ascii="宋体" w:hAnsi="宋体" w:eastAsia="宋体" w:cs="Calibri"/>
                <w:b/>
                <w:bCs/>
                <w:sz w:val="15"/>
                <w:szCs w:val="15"/>
              </w:rPr>
            </w:pPr>
            <w:r>
              <w:rPr>
                <w:rFonts w:hint="eastAsia" w:ascii="宋体" w:hAnsi="宋体" w:eastAsia="宋体" w:cs="Calibri"/>
                <w:b/>
                <w:bCs/>
                <w:sz w:val="15"/>
                <w:szCs w:val="15"/>
              </w:rPr>
              <w:t>扣分情况</w:t>
            </w:r>
          </w:p>
        </w:tc>
        <w:tc>
          <w:tcPr>
            <w:tcW w:w="1103" w:type="pct"/>
            <w:shd w:val="clear" w:color="auto" w:fill="auto"/>
            <w:vAlign w:val="center"/>
          </w:tcPr>
          <w:p>
            <w:pPr>
              <w:overflowPunct/>
              <w:autoSpaceDE/>
              <w:autoSpaceDN/>
              <w:adjustRightInd/>
              <w:jc w:val="center"/>
              <w:rPr>
                <w:rFonts w:ascii="宋体" w:hAnsi="宋体" w:eastAsia="宋体" w:cs="Calibri"/>
                <w:b/>
                <w:bCs/>
                <w:sz w:val="15"/>
                <w:szCs w:val="15"/>
              </w:rPr>
            </w:pPr>
            <w:r>
              <w:rPr>
                <w:rFonts w:hint="eastAsia" w:ascii="宋体" w:hAnsi="宋体" w:eastAsia="宋体" w:cs="Calibri"/>
                <w:b/>
                <w:bCs/>
                <w:sz w:val="15"/>
                <w:szCs w:val="15"/>
              </w:rPr>
              <w:t>扣分原因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324" w:type="pct"/>
            <w:vMerge w:val="restart"/>
            <w:shd w:val="clear" w:color="auto" w:fill="auto"/>
            <w:vAlign w:val="center"/>
          </w:tcPr>
          <w:p>
            <w:pPr>
              <w:overflowPunct/>
              <w:autoSpaceDE/>
              <w:autoSpaceDN/>
              <w:adjustRightInd/>
              <w:jc w:val="left"/>
              <w:rPr>
                <w:rFonts w:ascii="宋体" w:hAnsi="宋体" w:eastAsia="宋体" w:cs="Calibri"/>
                <w:sz w:val="15"/>
                <w:szCs w:val="15"/>
              </w:rPr>
            </w:pPr>
            <w:r>
              <w:rPr>
                <w:rFonts w:hint="eastAsia" w:ascii="宋体" w:hAnsi="宋体" w:eastAsia="宋体" w:cs="Calibri"/>
                <w:sz w:val="15"/>
                <w:szCs w:val="15"/>
              </w:rPr>
              <w:t>一、部门决策（35分）</w:t>
            </w:r>
          </w:p>
        </w:tc>
        <w:tc>
          <w:tcPr>
            <w:tcW w:w="336" w:type="pct"/>
            <w:vMerge w:val="restart"/>
            <w:shd w:val="clear" w:color="auto" w:fill="auto"/>
            <w:vAlign w:val="center"/>
          </w:tcPr>
          <w:p>
            <w:pPr>
              <w:overflowPunct/>
              <w:autoSpaceDE/>
              <w:autoSpaceDN/>
              <w:adjustRightInd/>
              <w:jc w:val="left"/>
              <w:rPr>
                <w:rFonts w:ascii="宋体" w:hAnsi="宋体" w:eastAsia="宋体" w:cs="Calibri"/>
                <w:sz w:val="15"/>
                <w:szCs w:val="15"/>
              </w:rPr>
            </w:pPr>
            <w:r>
              <w:rPr>
                <w:rFonts w:hint="eastAsia" w:ascii="宋体" w:hAnsi="宋体" w:eastAsia="宋体" w:cs="Calibri"/>
                <w:sz w:val="15"/>
                <w:szCs w:val="15"/>
              </w:rPr>
              <w:t>1.部门目标（20分）</w:t>
            </w:r>
          </w:p>
        </w:tc>
        <w:tc>
          <w:tcPr>
            <w:tcW w:w="527" w:type="pct"/>
            <w:shd w:val="clear" w:color="auto" w:fill="auto"/>
            <w:vAlign w:val="center"/>
          </w:tcPr>
          <w:p>
            <w:pPr>
              <w:overflowPunct/>
              <w:autoSpaceDE/>
              <w:autoSpaceDN/>
              <w:adjustRightInd/>
              <w:rPr>
                <w:rFonts w:ascii="宋体" w:hAnsi="宋体" w:eastAsia="宋体" w:cs="Calibri"/>
                <w:sz w:val="15"/>
                <w:szCs w:val="15"/>
              </w:rPr>
            </w:pPr>
            <w:r>
              <w:rPr>
                <w:rFonts w:hint="eastAsia" w:ascii="宋体" w:hAnsi="宋体" w:eastAsia="宋体" w:cs="Calibri"/>
                <w:sz w:val="15"/>
                <w:szCs w:val="15"/>
              </w:rPr>
              <w:t>1.年度工作目标的明确性与合理性（6分）</w:t>
            </w:r>
          </w:p>
        </w:tc>
        <w:tc>
          <w:tcPr>
            <w:tcW w:w="240" w:type="pct"/>
            <w:shd w:val="clear" w:color="auto" w:fill="auto"/>
            <w:vAlign w:val="center"/>
          </w:tcPr>
          <w:p>
            <w:pPr>
              <w:overflowPunct/>
              <w:autoSpaceDE/>
              <w:autoSpaceDN/>
              <w:adjustRightInd/>
              <w:jc w:val="center"/>
              <w:rPr>
                <w:rFonts w:ascii="宋体" w:hAnsi="宋体" w:eastAsia="宋体" w:cs="Calibri"/>
                <w:sz w:val="18"/>
                <w:szCs w:val="18"/>
              </w:rPr>
            </w:pPr>
            <w:r>
              <w:rPr>
                <w:rFonts w:hint="eastAsia" w:ascii="宋体" w:hAnsi="宋体" w:eastAsia="宋体" w:cs="Calibri"/>
                <w:sz w:val="18"/>
                <w:szCs w:val="18"/>
              </w:rPr>
              <w:t>6</w:t>
            </w:r>
          </w:p>
        </w:tc>
        <w:tc>
          <w:tcPr>
            <w:tcW w:w="671" w:type="pct"/>
            <w:shd w:val="clear" w:color="auto" w:fill="auto"/>
            <w:vAlign w:val="center"/>
          </w:tcPr>
          <w:p>
            <w:pPr>
              <w:overflowPunct/>
              <w:autoSpaceDE/>
              <w:autoSpaceDN/>
              <w:adjustRightInd/>
              <w:rPr>
                <w:rFonts w:ascii="宋体" w:hAnsi="宋体" w:eastAsia="宋体" w:cs="Calibri"/>
                <w:sz w:val="15"/>
                <w:szCs w:val="15"/>
              </w:rPr>
            </w:pPr>
            <w:r>
              <w:rPr>
                <w:rFonts w:hint="eastAsia" w:ascii="宋体" w:hAnsi="宋体" w:eastAsia="宋体" w:cs="Calibri"/>
                <w:sz w:val="15"/>
                <w:szCs w:val="15"/>
              </w:rPr>
              <w:t>部门年度工作目标的设定是否明确合理</w:t>
            </w:r>
          </w:p>
        </w:tc>
        <w:tc>
          <w:tcPr>
            <w:tcW w:w="769" w:type="pct"/>
            <w:shd w:val="clear" w:color="auto" w:fill="auto"/>
            <w:vAlign w:val="center"/>
          </w:tcPr>
          <w:p>
            <w:pPr>
              <w:overflowPunct/>
              <w:autoSpaceDE/>
              <w:autoSpaceDN/>
              <w:adjustRightInd/>
              <w:rPr>
                <w:rFonts w:ascii="宋体" w:hAnsi="宋体" w:eastAsia="宋体" w:cs="Calibri"/>
                <w:sz w:val="15"/>
                <w:szCs w:val="15"/>
              </w:rPr>
            </w:pPr>
            <w:r>
              <w:rPr>
                <w:rFonts w:hint="eastAsia" w:ascii="宋体" w:hAnsi="宋体" w:eastAsia="宋体" w:cs="Calibri"/>
                <w:sz w:val="15"/>
                <w:szCs w:val="15"/>
              </w:rPr>
              <w:t>①部门年度工作目标是否明确设定，得3分；②年度工作目标与部门中长期规划目标一致，得3分。</w:t>
            </w:r>
          </w:p>
        </w:tc>
        <w:tc>
          <w:tcPr>
            <w:tcW w:w="528" w:type="pct"/>
            <w:shd w:val="clear" w:color="auto" w:fill="auto"/>
            <w:vAlign w:val="center"/>
          </w:tcPr>
          <w:p>
            <w:pPr>
              <w:overflowPunct/>
              <w:autoSpaceDE/>
              <w:autoSpaceDN/>
              <w:adjustRightInd/>
              <w:rPr>
                <w:rFonts w:ascii="宋体" w:hAnsi="宋体" w:eastAsia="宋体" w:cs="Calibri"/>
                <w:sz w:val="15"/>
                <w:szCs w:val="15"/>
              </w:rPr>
            </w:pPr>
            <w:r>
              <w:rPr>
                <w:rFonts w:hint="eastAsia" w:ascii="宋体" w:hAnsi="宋体" w:eastAsia="宋体" w:cs="Calibri"/>
                <w:sz w:val="15"/>
                <w:szCs w:val="15"/>
              </w:rPr>
              <w:t>年度工作目标与部门中长期规划文件</w:t>
            </w:r>
          </w:p>
        </w:tc>
        <w:tc>
          <w:tcPr>
            <w:tcW w:w="251" w:type="pct"/>
            <w:shd w:val="clear" w:color="auto" w:fill="auto"/>
            <w:vAlign w:val="center"/>
          </w:tcPr>
          <w:p>
            <w:pPr>
              <w:overflowPunct/>
              <w:autoSpaceDE/>
              <w:autoSpaceDN/>
              <w:adjustRightInd/>
              <w:jc w:val="center"/>
              <w:rPr>
                <w:rFonts w:ascii="宋体" w:hAnsi="宋体" w:eastAsia="宋体" w:cs="Calibri"/>
                <w:sz w:val="15"/>
                <w:szCs w:val="15"/>
              </w:rPr>
            </w:pPr>
            <w:r>
              <w:rPr>
                <w:rFonts w:hint="eastAsia" w:ascii="宋体" w:hAnsi="宋体" w:eastAsia="宋体" w:cs="Calibri"/>
                <w:sz w:val="15"/>
                <w:szCs w:val="15"/>
              </w:rPr>
              <w:t>6</w:t>
            </w:r>
          </w:p>
        </w:tc>
        <w:tc>
          <w:tcPr>
            <w:tcW w:w="251" w:type="pct"/>
            <w:shd w:val="clear" w:color="auto" w:fill="auto"/>
            <w:vAlign w:val="center"/>
          </w:tcPr>
          <w:p>
            <w:pPr>
              <w:overflowPunct/>
              <w:autoSpaceDE/>
              <w:autoSpaceDN/>
              <w:adjustRightInd/>
              <w:jc w:val="center"/>
              <w:rPr>
                <w:rFonts w:ascii="宋体" w:hAnsi="宋体" w:eastAsia="宋体" w:cs="Calibri"/>
                <w:sz w:val="15"/>
                <w:szCs w:val="15"/>
              </w:rPr>
            </w:pPr>
          </w:p>
        </w:tc>
        <w:tc>
          <w:tcPr>
            <w:tcW w:w="1103" w:type="pct"/>
            <w:shd w:val="clear" w:color="auto" w:fill="auto"/>
            <w:vAlign w:val="center"/>
          </w:tcPr>
          <w:p>
            <w:pPr>
              <w:overflowPunct/>
              <w:autoSpaceDE/>
              <w:autoSpaceDN/>
              <w:adjustRightInd/>
              <w:jc w:val="left"/>
              <w:rPr>
                <w:rFonts w:ascii="宋体" w:hAnsi="宋体" w:eastAsia="宋体" w:cs="Calibri"/>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324" w:type="pct"/>
            <w:vMerge w:val="continue"/>
            <w:vAlign w:val="center"/>
          </w:tcPr>
          <w:p>
            <w:pPr>
              <w:overflowPunct/>
              <w:autoSpaceDE/>
              <w:autoSpaceDN/>
              <w:adjustRightInd/>
              <w:jc w:val="left"/>
              <w:rPr>
                <w:rFonts w:ascii="宋体" w:hAnsi="宋体" w:eastAsia="宋体" w:cs="Calibri"/>
                <w:sz w:val="15"/>
                <w:szCs w:val="15"/>
              </w:rPr>
            </w:pPr>
          </w:p>
        </w:tc>
        <w:tc>
          <w:tcPr>
            <w:tcW w:w="336" w:type="pct"/>
            <w:vMerge w:val="continue"/>
            <w:vAlign w:val="center"/>
          </w:tcPr>
          <w:p>
            <w:pPr>
              <w:overflowPunct/>
              <w:autoSpaceDE/>
              <w:autoSpaceDN/>
              <w:adjustRightInd/>
              <w:jc w:val="left"/>
              <w:rPr>
                <w:rFonts w:ascii="宋体" w:hAnsi="宋体" w:eastAsia="宋体" w:cs="Calibri"/>
                <w:sz w:val="15"/>
                <w:szCs w:val="15"/>
              </w:rPr>
            </w:pPr>
          </w:p>
        </w:tc>
        <w:tc>
          <w:tcPr>
            <w:tcW w:w="527" w:type="pct"/>
            <w:shd w:val="clear" w:color="auto" w:fill="auto"/>
            <w:vAlign w:val="center"/>
          </w:tcPr>
          <w:p>
            <w:pPr>
              <w:overflowPunct/>
              <w:autoSpaceDE/>
              <w:autoSpaceDN/>
              <w:adjustRightInd/>
              <w:rPr>
                <w:rFonts w:ascii="宋体" w:hAnsi="宋体" w:eastAsia="宋体" w:cs="Calibri"/>
                <w:sz w:val="15"/>
                <w:szCs w:val="15"/>
              </w:rPr>
            </w:pPr>
            <w:r>
              <w:rPr>
                <w:rFonts w:hint="eastAsia" w:ascii="宋体" w:hAnsi="宋体" w:eastAsia="宋体" w:cs="Calibri"/>
                <w:sz w:val="15"/>
                <w:szCs w:val="15"/>
              </w:rPr>
              <w:t>2.绩效目标合理性（6分）</w:t>
            </w:r>
          </w:p>
        </w:tc>
        <w:tc>
          <w:tcPr>
            <w:tcW w:w="240" w:type="pct"/>
            <w:shd w:val="clear" w:color="auto" w:fill="auto"/>
            <w:vAlign w:val="center"/>
          </w:tcPr>
          <w:p>
            <w:pPr>
              <w:overflowPunct/>
              <w:autoSpaceDE/>
              <w:autoSpaceDN/>
              <w:adjustRightInd/>
              <w:jc w:val="center"/>
              <w:rPr>
                <w:rFonts w:ascii="宋体" w:hAnsi="宋体" w:eastAsia="宋体" w:cs="Calibri"/>
                <w:sz w:val="18"/>
                <w:szCs w:val="18"/>
              </w:rPr>
            </w:pPr>
            <w:r>
              <w:rPr>
                <w:rFonts w:hint="eastAsia" w:ascii="宋体" w:hAnsi="宋体" w:eastAsia="宋体" w:cs="Calibri"/>
                <w:sz w:val="18"/>
                <w:szCs w:val="18"/>
              </w:rPr>
              <w:t>6</w:t>
            </w:r>
          </w:p>
        </w:tc>
        <w:tc>
          <w:tcPr>
            <w:tcW w:w="671" w:type="pct"/>
            <w:shd w:val="clear" w:color="auto" w:fill="auto"/>
            <w:vAlign w:val="center"/>
          </w:tcPr>
          <w:p>
            <w:pPr>
              <w:overflowPunct/>
              <w:autoSpaceDE/>
              <w:autoSpaceDN/>
              <w:adjustRightInd/>
              <w:rPr>
                <w:rFonts w:ascii="宋体" w:hAnsi="宋体" w:eastAsia="宋体" w:cs="Calibri"/>
                <w:sz w:val="15"/>
                <w:szCs w:val="15"/>
              </w:rPr>
            </w:pPr>
            <w:r>
              <w:rPr>
                <w:rFonts w:hint="eastAsia" w:ascii="宋体" w:hAnsi="宋体" w:eastAsia="宋体" w:cs="Calibri"/>
                <w:sz w:val="15"/>
                <w:szCs w:val="15"/>
              </w:rPr>
              <w:t>用以反映和考核部门整体绩效目标与部门职能、年度工作目标的一致性。</w:t>
            </w:r>
          </w:p>
        </w:tc>
        <w:tc>
          <w:tcPr>
            <w:tcW w:w="769" w:type="pct"/>
            <w:shd w:val="clear" w:color="auto" w:fill="auto"/>
            <w:vAlign w:val="center"/>
          </w:tcPr>
          <w:p>
            <w:pPr>
              <w:overflowPunct/>
              <w:autoSpaceDE/>
              <w:autoSpaceDN/>
              <w:adjustRightInd/>
              <w:rPr>
                <w:rFonts w:ascii="宋体" w:hAnsi="宋体" w:eastAsia="宋体" w:cs="Calibri"/>
                <w:sz w:val="15"/>
                <w:szCs w:val="15"/>
              </w:rPr>
            </w:pPr>
            <w:r>
              <w:rPr>
                <w:rFonts w:hint="eastAsia" w:ascii="宋体" w:hAnsi="宋体" w:eastAsia="宋体" w:cs="Calibri"/>
                <w:sz w:val="15"/>
                <w:szCs w:val="15"/>
              </w:rPr>
              <w:t>①符合部门制定的中长期实施规划计2分；②符合部门“三定”方案确定的职责计2分；③与部门年度工作目标、任务相一致计2分。</w:t>
            </w:r>
          </w:p>
        </w:tc>
        <w:tc>
          <w:tcPr>
            <w:tcW w:w="528" w:type="pct"/>
            <w:shd w:val="clear" w:color="auto" w:fill="auto"/>
            <w:vAlign w:val="center"/>
          </w:tcPr>
          <w:p>
            <w:pPr>
              <w:overflowPunct/>
              <w:autoSpaceDE/>
              <w:autoSpaceDN/>
              <w:adjustRightInd/>
              <w:rPr>
                <w:rFonts w:ascii="宋体" w:hAnsi="宋体" w:eastAsia="宋体" w:cs="Calibri"/>
                <w:sz w:val="15"/>
                <w:szCs w:val="15"/>
              </w:rPr>
            </w:pPr>
            <w:r>
              <w:rPr>
                <w:rFonts w:hint="eastAsia" w:ascii="宋体" w:hAnsi="宋体" w:eastAsia="宋体" w:cs="Calibri"/>
                <w:sz w:val="15"/>
                <w:szCs w:val="15"/>
              </w:rPr>
              <w:t>部门中长期规划、部门“三定”方案、年度重点工作任务与工作计划</w:t>
            </w:r>
          </w:p>
        </w:tc>
        <w:tc>
          <w:tcPr>
            <w:tcW w:w="251" w:type="pct"/>
            <w:shd w:val="clear" w:color="auto" w:fill="auto"/>
            <w:vAlign w:val="center"/>
          </w:tcPr>
          <w:p>
            <w:pPr>
              <w:overflowPunct/>
              <w:autoSpaceDE/>
              <w:autoSpaceDN/>
              <w:adjustRightInd/>
              <w:jc w:val="center"/>
              <w:rPr>
                <w:rFonts w:ascii="宋体" w:hAnsi="宋体" w:eastAsia="宋体" w:cs="Calibri"/>
                <w:sz w:val="15"/>
                <w:szCs w:val="15"/>
              </w:rPr>
            </w:pPr>
            <w:r>
              <w:rPr>
                <w:rFonts w:hint="eastAsia" w:ascii="宋体" w:hAnsi="宋体" w:eastAsia="宋体" w:cs="Calibri"/>
                <w:sz w:val="15"/>
                <w:szCs w:val="15"/>
              </w:rPr>
              <w:t>6</w:t>
            </w:r>
          </w:p>
        </w:tc>
        <w:tc>
          <w:tcPr>
            <w:tcW w:w="251" w:type="pct"/>
            <w:shd w:val="clear" w:color="auto" w:fill="auto"/>
            <w:vAlign w:val="center"/>
          </w:tcPr>
          <w:p>
            <w:pPr>
              <w:overflowPunct/>
              <w:autoSpaceDE/>
              <w:autoSpaceDN/>
              <w:adjustRightInd/>
              <w:jc w:val="center"/>
              <w:rPr>
                <w:rFonts w:ascii="宋体" w:hAnsi="宋体" w:eastAsia="宋体" w:cs="Calibri"/>
                <w:sz w:val="15"/>
                <w:szCs w:val="15"/>
              </w:rPr>
            </w:pPr>
          </w:p>
        </w:tc>
        <w:tc>
          <w:tcPr>
            <w:tcW w:w="1103" w:type="pct"/>
            <w:shd w:val="clear" w:color="auto" w:fill="auto"/>
            <w:vAlign w:val="center"/>
          </w:tcPr>
          <w:p>
            <w:pPr>
              <w:overflowPunct/>
              <w:autoSpaceDE/>
              <w:autoSpaceDN/>
              <w:adjustRightInd/>
              <w:jc w:val="left"/>
              <w:rPr>
                <w:rFonts w:ascii="宋体" w:hAnsi="宋体" w:eastAsia="宋体" w:cs="Calibri"/>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324" w:type="pct"/>
            <w:vMerge w:val="continue"/>
            <w:vAlign w:val="center"/>
          </w:tcPr>
          <w:p>
            <w:pPr>
              <w:overflowPunct/>
              <w:autoSpaceDE/>
              <w:autoSpaceDN/>
              <w:adjustRightInd/>
              <w:jc w:val="left"/>
              <w:rPr>
                <w:rFonts w:ascii="宋体" w:hAnsi="宋体" w:eastAsia="宋体" w:cs="Calibri"/>
                <w:sz w:val="15"/>
                <w:szCs w:val="15"/>
              </w:rPr>
            </w:pPr>
          </w:p>
        </w:tc>
        <w:tc>
          <w:tcPr>
            <w:tcW w:w="336" w:type="pct"/>
            <w:vMerge w:val="continue"/>
            <w:vAlign w:val="center"/>
          </w:tcPr>
          <w:p>
            <w:pPr>
              <w:overflowPunct/>
              <w:autoSpaceDE/>
              <w:autoSpaceDN/>
              <w:adjustRightInd/>
              <w:jc w:val="left"/>
              <w:rPr>
                <w:rFonts w:ascii="宋体" w:hAnsi="宋体" w:eastAsia="宋体" w:cs="Calibri"/>
                <w:sz w:val="15"/>
                <w:szCs w:val="15"/>
              </w:rPr>
            </w:pPr>
          </w:p>
        </w:tc>
        <w:tc>
          <w:tcPr>
            <w:tcW w:w="527" w:type="pct"/>
            <w:shd w:val="clear" w:color="auto" w:fill="auto"/>
            <w:vAlign w:val="center"/>
          </w:tcPr>
          <w:p>
            <w:pPr>
              <w:overflowPunct/>
              <w:autoSpaceDE/>
              <w:autoSpaceDN/>
              <w:adjustRightInd/>
              <w:rPr>
                <w:rFonts w:ascii="宋体" w:hAnsi="宋体" w:eastAsia="宋体" w:cs="Calibri"/>
                <w:sz w:val="15"/>
                <w:szCs w:val="15"/>
              </w:rPr>
            </w:pPr>
            <w:r>
              <w:rPr>
                <w:rFonts w:hint="eastAsia" w:ascii="宋体" w:hAnsi="宋体" w:eastAsia="宋体" w:cs="Calibri"/>
                <w:sz w:val="15"/>
                <w:szCs w:val="15"/>
              </w:rPr>
              <w:t>3.绩效指标明确性（8分）</w:t>
            </w:r>
          </w:p>
        </w:tc>
        <w:tc>
          <w:tcPr>
            <w:tcW w:w="240" w:type="pct"/>
            <w:shd w:val="clear" w:color="auto" w:fill="auto"/>
            <w:vAlign w:val="center"/>
          </w:tcPr>
          <w:p>
            <w:pPr>
              <w:overflowPunct/>
              <w:autoSpaceDE/>
              <w:autoSpaceDN/>
              <w:adjustRightInd/>
              <w:jc w:val="center"/>
              <w:rPr>
                <w:rFonts w:ascii="宋体" w:hAnsi="宋体" w:eastAsia="宋体" w:cs="Calibri"/>
                <w:sz w:val="18"/>
                <w:szCs w:val="18"/>
              </w:rPr>
            </w:pPr>
            <w:r>
              <w:rPr>
                <w:rFonts w:hint="eastAsia" w:ascii="宋体" w:hAnsi="宋体" w:eastAsia="宋体" w:cs="Calibri"/>
                <w:sz w:val="18"/>
                <w:szCs w:val="18"/>
              </w:rPr>
              <w:t>8</w:t>
            </w:r>
          </w:p>
        </w:tc>
        <w:tc>
          <w:tcPr>
            <w:tcW w:w="671" w:type="pct"/>
            <w:shd w:val="clear" w:color="auto" w:fill="auto"/>
            <w:vAlign w:val="center"/>
          </w:tcPr>
          <w:p>
            <w:pPr>
              <w:overflowPunct/>
              <w:autoSpaceDE/>
              <w:autoSpaceDN/>
              <w:adjustRightInd/>
              <w:rPr>
                <w:rFonts w:ascii="宋体" w:hAnsi="宋体" w:eastAsia="宋体" w:cs="Calibri"/>
                <w:sz w:val="15"/>
                <w:szCs w:val="15"/>
              </w:rPr>
            </w:pPr>
            <w:r>
              <w:rPr>
                <w:rFonts w:hint="eastAsia" w:ascii="宋体" w:hAnsi="宋体" w:eastAsia="宋体" w:cs="Calibri"/>
                <w:sz w:val="15"/>
                <w:szCs w:val="15"/>
              </w:rPr>
              <w:t>整体绩效目标所设定的绩效指标是否依据部门工作目标和工作任务进行细化、量化，绩效指标是否可衡量。</w:t>
            </w:r>
          </w:p>
        </w:tc>
        <w:tc>
          <w:tcPr>
            <w:tcW w:w="769" w:type="pct"/>
            <w:shd w:val="clear" w:color="auto" w:fill="auto"/>
            <w:vAlign w:val="center"/>
          </w:tcPr>
          <w:p>
            <w:pPr>
              <w:overflowPunct/>
              <w:autoSpaceDE/>
              <w:autoSpaceDN/>
              <w:adjustRightInd/>
              <w:rPr>
                <w:rFonts w:ascii="宋体" w:hAnsi="宋体" w:eastAsia="宋体" w:cs="Calibri"/>
                <w:sz w:val="15"/>
                <w:szCs w:val="15"/>
              </w:rPr>
            </w:pPr>
            <w:r>
              <w:rPr>
                <w:rFonts w:hint="eastAsia" w:ascii="宋体" w:hAnsi="宋体" w:eastAsia="宋体" w:cs="Calibri"/>
                <w:sz w:val="15"/>
                <w:szCs w:val="15"/>
              </w:rPr>
              <w:t>①将部门整体的绩效目标细化分解为具体的工作任务计2分；②通过清晰、可衡量的指标值予以体现计2分。③与部门年度的任务数或计划数相对应计2分；④与本年度部门预算资金相匹配计2分。</w:t>
            </w:r>
          </w:p>
        </w:tc>
        <w:tc>
          <w:tcPr>
            <w:tcW w:w="528" w:type="pct"/>
            <w:shd w:val="clear" w:color="auto" w:fill="auto"/>
            <w:vAlign w:val="center"/>
          </w:tcPr>
          <w:p>
            <w:pPr>
              <w:overflowPunct/>
              <w:autoSpaceDE/>
              <w:autoSpaceDN/>
              <w:adjustRightInd/>
              <w:rPr>
                <w:rFonts w:ascii="宋体" w:hAnsi="宋体" w:eastAsia="宋体" w:cs="Calibri"/>
                <w:sz w:val="15"/>
                <w:szCs w:val="15"/>
              </w:rPr>
            </w:pPr>
            <w:r>
              <w:rPr>
                <w:rFonts w:hint="eastAsia" w:ascii="宋体" w:hAnsi="宋体" w:eastAsia="宋体" w:cs="Calibri"/>
                <w:sz w:val="15"/>
                <w:szCs w:val="15"/>
              </w:rPr>
              <w:t>部门年度重点工作任务与工作计划。</w:t>
            </w:r>
          </w:p>
        </w:tc>
        <w:tc>
          <w:tcPr>
            <w:tcW w:w="251" w:type="pct"/>
            <w:shd w:val="clear" w:color="auto" w:fill="auto"/>
            <w:vAlign w:val="center"/>
          </w:tcPr>
          <w:p>
            <w:pPr>
              <w:overflowPunct/>
              <w:autoSpaceDE/>
              <w:autoSpaceDN/>
              <w:adjustRightInd/>
              <w:jc w:val="center"/>
              <w:rPr>
                <w:rFonts w:ascii="宋体" w:hAnsi="宋体" w:eastAsia="宋体" w:cs="Calibri"/>
                <w:sz w:val="15"/>
                <w:szCs w:val="15"/>
              </w:rPr>
            </w:pPr>
            <w:r>
              <w:rPr>
                <w:rFonts w:hint="eastAsia" w:ascii="宋体" w:hAnsi="宋体" w:eastAsia="宋体" w:cs="Calibri"/>
                <w:sz w:val="15"/>
                <w:szCs w:val="15"/>
              </w:rPr>
              <w:t>7</w:t>
            </w:r>
          </w:p>
        </w:tc>
        <w:tc>
          <w:tcPr>
            <w:tcW w:w="251" w:type="pct"/>
            <w:shd w:val="clear" w:color="auto" w:fill="auto"/>
            <w:vAlign w:val="center"/>
          </w:tcPr>
          <w:p>
            <w:pPr>
              <w:overflowPunct/>
              <w:autoSpaceDE/>
              <w:autoSpaceDN/>
              <w:adjustRightInd/>
              <w:jc w:val="center"/>
              <w:rPr>
                <w:rFonts w:ascii="宋体" w:hAnsi="宋体" w:eastAsia="宋体" w:cs="Calibri"/>
                <w:sz w:val="15"/>
                <w:szCs w:val="15"/>
              </w:rPr>
            </w:pPr>
            <w:r>
              <w:rPr>
                <w:rFonts w:hint="eastAsia" w:ascii="宋体" w:hAnsi="宋体" w:eastAsia="宋体" w:cs="Calibri"/>
                <w:sz w:val="15"/>
                <w:szCs w:val="15"/>
              </w:rPr>
              <w:t>1</w:t>
            </w:r>
          </w:p>
        </w:tc>
        <w:tc>
          <w:tcPr>
            <w:tcW w:w="1103" w:type="pct"/>
            <w:shd w:val="clear" w:color="auto" w:fill="auto"/>
            <w:vAlign w:val="center"/>
          </w:tcPr>
          <w:p>
            <w:pPr>
              <w:overflowPunct/>
              <w:autoSpaceDE/>
              <w:autoSpaceDN/>
              <w:adjustRightInd/>
              <w:jc w:val="left"/>
              <w:rPr>
                <w:rFonts w:ascii="宋体" w:hAnsi="宋体" w:eastAsia="宋体" w:cs="Calibri"/>
                <w:sz w:val="15"/>
                <w:szCs w:val="15"/>
              </w:rPr>
            </w:pPr>
            <w:r>
              <w:rPr>
                <w:rFonts w:hint="eastAsia" w:ascii="宋体" w:hAnsi="宋体" w:eastAsia="宋体" w:cs="Calibri"/>
                <w:sz w:val="15"/>
                <w:szCs w:val="15"/>
              </w:rPr>
              <w:t>没有通过清晰、可衡量的指标值予以体现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324" w:type="pct"/>
            <w:vMerge w:val="continue"/>
            <w:vAlign w:val="center"/>
          </w:tcPr>
          <w:p>
            <w:pPr>
              <w:overflowPunct/>
              <w:autoSpaceDE/>
              <w:autoSpaceDN/>
              <w:adjustRightInd/>
              <w:jc w:val="left"/>
              <w:rPr>
                <w:rFonts w:ascii="宋体" w:hAnsi="宋体" w:eastAsia="宋体" w:cs="Calibri"/>
                <w:sz w:val="15"/>
                <w:szCs w:val="15"/>
              </w:rPr>
            </w:pPr>
          </w:p>
        </w:tc>
        <w:tc>
          <w:tcPr>
            <w:tcW w:w="336" w:type="pct"/>
            <w:vMerge w:val="restart"/>
            <w:shd w:val="clear" w:color="auto" w:fill="auto"/>
            <w:vAlign w:val="center"/>
          </w:tcPr>
          <w:p>
            <w:pPr>
              <w:overflowPunct/>
              <w:autoSpaceDE/>
              <w:autoSpaceDN/>
              <w:adjustRightInd/>
              <w:jc w:val="left"/>
              <w:rPr>
                <w:rFonts w:ascii="宋体" w:hAnsi="宋体" w:eastAsia="宋体" w:cs="Calibri"/>
                <w:sz w:val="15"/>
                <w:szCs w:val="15"/>
              </w:rPr>
            </w:pPr>
            <w:r>
              <w:rPr>
                <w:rFonts w:hint="eastAsia" w:ascii="宋体" w:hAnsi="宋体" w:eastAsia="宋体" w:cs="Calibri"/>
                <w:sz w:val="15"/>
                <w:szCs w:val="15"/>
              </w:rPr>
              <w:t>2.部门职能（15分）</w:t>
            </w:r>
          </w:p>
        </w:tc>
        <w:tc>
          <w:tcPr>
            <w:tcW w:w="527" w:type="pct"/>
            <w:shd w:val="clear" w:color="auto" w:fill="auto"/>
            <w:vAlign w:val="center"/>
          </w:tcPr>
          <w:p>
            <w:pPr>
              <w:overflowPunct/>
              <w:autoSpaceDE/>
              <w:autoSpaceDN/>
              <w:adjustRightInd/>
              <w:jc w:val="left"/>
              <w:rPr>
                <w:rFonts w:ascii="宋体" w:hAnsi="宋体" w:eastAsia="宋体" w:cs="Calibri"/>
                <w:sz w:val="15"/>
                <w:szCs w:val="15"/>
              </w:rPr>
            </w:pPr>
            <w:r>
              <w:rPr>
                <w:rFonts w:hint="eastAsia" w:ascii="宋体" w:hAnsi="宋体" w:eastAsia="宋体" w:cs="Calibri"/>
                <w:sz w:val="15"/>
                <w:szCs w:val="15"/>
              </w:rPr>
              <w:t>1.部门职能的明确性与科学性（5分）</w:t>
            </w:r>
          </w:p>
        </w:tc>
        <w:tc>
          <w:tcPr>
            <w:tcW w:w="240" w:type="pct"/>
            <w:shd w:val="clear" w:color="auto" w:fill="auto"/>
            <w:vAlign w:val="center"/>
          </w:tcPr>
          <w:p>
            <w:pPr>
              <w:overflowPunct/>
              <w:autoSpaceDE/>
              <w:autoSpaceDN/>
              <w:adjustRightInd/>
              <w:jc w:val="center"/>
              <w:rPr>
                <w:rFonts w:ascii="宋体" w:hAnsi="宋体" w:eastAsia="宋体" w:cs="Calibri"/>
                <w:sz w:val="18"/>
                <w:szCs w:val="18"/>
              </w:rPr>
            </w:pPr>
            <w:r>
              <w:rPr>
                <w:rFonts w:hint="eastAsia" w:ascii="宋体" w:hAnsi="宋体" w:eastAsia="宋体" w:cs="Calibri"/>
                <w:sz w:val="18"/>
                <w:szCs w:val="18"/>
              </w:rPr>
              <w:t>5</w:t>
            </w:r>
          </w:p>
        </w:tc>
        <w:tc>
          <w:tcPr>
            <w:tcW w:w="671" w:type="pct"/>
            <w:shd w:val="clear" w:color="auto" w:fill="auto"/>
            <w:vAlign w:val="center"/>
          </w:tcPr>
          <w:p>
            <w:pPr>
              <w:overflowPunct/>
              <w:autoSpaceDE/>
              <w:autoSpaceDN/>
              <w:adjustRightInd/>
              <w:jc w:val="left"/>
              <w:rPr>
                <w:rFonts w:ascii="宋体" w:hAnsi="宋体" w:eastAsia="宋体" w:cs="Calibri"/>
                <w:sz w:val="15"/>
                <w:szCs w:val="15"/>
              </w:rPr>
            </w:pPr>
            <w:r>
              <w:rPr>
                <w:rFonts w:hint="eastAsia" w:ascii="宋体" w:hAnsi="宋体" w:eastAsia="宋体" w:cs="Calibri"/>
                <w:sz w:val="15"/>
                <w:szCs w:val="15"/>
              </w:rPr>
              <w:t>考察部门职能界定是否明确、科学，是否有相关文件。</w:t>
            </w:r>
          </w:p>
        </w:tc>
        <w:tc>
          <w:tcPr>
            <w:tcW w:w="769" w:type="pct"/>
            <w:shd w:val="clear" w:color="auto" w:fill="auto"/>
            <w:vAlign w:val="center"/>
          </w:tcPr>
          <w:p>
            <w:pPr>
              <w:overflowPunct/>
              <w:autoSpaceDE/>
              <w:autoSpaceDN/>
              <w:adjustRightInd/>
              <w:jc w:val="left"/>
              <w:rPr>
                <w:rFonts w:ascii="宋体" w:hAnsi="宋体" w:eastAsia="宋体" w:cs="Calibri"/>
                <w:sz w:val="15"/>
                <w:szCs w:val="15"/>
              </w:rPr>
            </w:pPr>
            <w:r>
              <w:rPr>
                <w:rFonts w:hint="eastAsia" w:ascii="宋体" w:hAnsi="宋体" w:eastAsia="宋体" w:cs="Calibri"/>
                <w:sz w:val="15"/>
                <w:szCs w:val="15"/>
              </w:rPr>
              <w:t>①职能明确、设定依据充分，得5分；②有“三定”文件，但职能描述不明确，扣2分;③没有职能设定的文件依据且职能不清，扣3分</w:t>
            </w:r>
          </w:p>
        </w:tc>
        <w:tc>
          <w:tcPr>
            <w:tcW w:w="528" w:type="pct"/>
            <w:shd w:val="clear" w:color="auto" w:fill="auto"/>
            <w:vAlign w:val="center"/>
          </w:tcPr>
          <w:p>
            <w:pPr>
              <w:overflowPunct/>
              <w:autoSpaceDE/>
              <w:autoSpaceDN/>
              <w:adjustRightInd/>
              <w:jc w:val="left"/>
              <w:rPr>
                <w:rFonts w:ascii="宋体" w:hAnsi="宋体" w:eastAsia="宋体" w:cs="Calibri"/>
                <w:sz w:val="15"/>
                <w:szCs w:val="15"/>
              </w:rPr>
            </w:pPr>
            <w:r>
              <w:rPr>
                <w:rFonts w:hint="eastAsia" w:ascii="宋体" w:hAnsi="宋体" w:eastAsia="宋体" w:cs="Calibri"/>
                <w:sz w:val="15"/>
                <w:szCs w:val="15"/>
              </w:rPr>
              <w:t>部门职能描述、“三定”文件</w:t>
            </w:r>
          </w:p>
        </w:tc>
        <w:tc>
          <w:tcPr>
            <w:tcW w:w="251" w:type="pct"/>
            <w:shd w:val="clear" w:color="auto" w:fill="auto"/>
            <w:vAlign w:val="center"/>
          </w:tcPr>
          <w:p>
            <w:pPr>
              <w:overflowPunct/>
              <w:autoSpaceDE/>
              <w:autoSpaceDN/>
              <w:adjustRightInd/>
              <w:jc w:val="center"/>
              <w:rPr>
                <w:rFonts w:ascii="宋体" w:hAnsi="宋体" w:eastAsia="宋体" w:cs="Calibri"/>
                <w:sz w:val="15"/>
                <w:szCs w:val="15"/>
              </w:rPr>
            </w:pPr>
            <w:r>
              <w:rPr>
                <w:rFonts w:hint="eastAsia" w:ascii="宋体" w:hAnsi="宋体" w:eastAsia="宋体" w:cs="Calibri"/>
                <w:sz w:val="15"/>
                <w:szCs w:val="15"/>
              </w:rPr>
              <w:t>5</w:t>
            </w:r>
          </w:p>
        </w:tc>
        <w:tc>
          <w:tcPr>
            <w:tcW w:w="251" w:type="pct"/>
            <w:shd w:val="clear" w:color="auto" w:fill="auto"/>
            <w:vAlign w:val="center"/>
          </w:tcPr>
          <w:p>
            <w:pPr>
              <w:overflowPunct/>
              <w:autoSpaceDE/>
              <w:autoSpaceDN/>
              <w:adjustRightInd/>
              <w:jc w:val="center"/>
              <w:rPr>
                <w:rFonts w:ascii="宋体" w:hAnsi="宋体" w:eastAsia="宋体" w:cs="Calibri"/>
                <w:sz w:val="15"/>
                <w:szCs w:val="15"/>
              </w:rPr>
            </w:pPr>
          </w:p>
        </w:tc>
        <w:tc>
          <w:tcPr>
            <w:tcW w:w="1103" w:type="pct"/>
            <w:shd w:val="clear" w:color="auto" w:fill="auto"/>
            <w:vAlign w:val="center"/>
          </w:tcPr>
          <w:p>
            <w:pPr>
              <w:overflowPunct/>
              <w:autoSpaceDE/>
              <w:autoSpaceDN/>
              <w:adjustRightInd/>
              <w:jc w:val="left"/>
              <w:rPr>
                <w:rFonts w:ascii="宋体" w:hAnsi="宋体" w:eastAsia="宋体" w:cs="Calibri"/>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324" w:type="pct"/>
            <w:vMerge w:val="continue"/>
            <w:vAlign w:val="center"/>
          </w:tcPr>
          <w:p>
            <w:pPr>
              <w:overflowPunct/>
              <w:autoSpaceDE/>
              <w:autoSpaceDN/>
              <w:adjustRightInd/>
              <w:jc w:val="left"/>
              <w:rPr>
                <w:rFonts w:ascii="宋体" w:hAnsi="宋体" w:eastAsia="宋体" w:cs="Calibri"/>
                <w:sz w:val="15"/>
                <w:szCs w:val="15"/>
              </w:rPr>
            </w:pPr>
          </w:p>
        </w:tc>
        <w:tc>
          <w:tcPr>
            <w:tcW w:w="336" w:type="pct"/>
            <w:vMerge w:val="continue"/>
            <w:vAlign w:val="center"/>
          </w:tcPr>
          <w:p>
            <w:pPr>
              <w:overflowPunct/>
              <w:autoSpaceDE/>
              <w:autoSpaceDN/>
              <w:adjustRightInd/>
              <w:jc w:val="left"/>
              <w:rPr>
                <w:rFonts w:ascii="宋体" w:hAnsi="宋体" w:eastAsia="宋体" w:cs="Calibri"/>
                <w:sz w:val="15"/>
                <w:szCs w:val="15"/>
              </w:rPr>
            </w:pPr>
          </w:p>
        </w:tc>
        <w:tc>
          <w:tcPr>
            <w:tcW w:w="527" w:type="pct"/>
            <w:shd w:val="clear" w:color="auto" w:fill="auto"/>
            <w:vAlign w:val="center"/>
          </w:tcPr>
          <w:p>
            <w:pPr>
              <w:overflowPunct/>
              <w:autoSpaceDE/>
              <w:autoSpaceDN/>
              <w:adjustRightInd/>
              <w:rPr>
                <w:rFonts w:ascii="宋体" w:hAnsi="宋体" w:eastAsia="宋体" w:cs="Calibri"/>
                <w:sz w:val="15"/>
                <w:szCs w:val="15"/>
              </w:rPr>
            </w:pPr>
            <w:r>
              <w:rPr>
                <w:rFonts w:hint="eastAsia" w:ascii="宋体" w:hAnsi="宋体" w:eastAsia="宋体" w:cs="Calibri"/>
                <w:sz w:val="15"/>
                <w:szCs w:val="15"/>
              </w:rPr>
              <w:t>2.年度具体工作与部门职能的匹配性（5分）</w:t>
            </w:r>
          </w:p>
        </w:tc>
        <w:tc>
          <w:tcPr>
            <w:tcW w:w="240" w:type="pct"/>
            <w:shd w:val="clear" w:color="auto" w:fill="auto"/>
            <w:vAlign w:val="center"/>
          </w:tcPr>
          <w:p>
            <w:pPr>
              <w:overflowPunct/>
              <w:autoSpaceDE/>
              <w:autoSpaceDN/>
              <w:adjustRightInd/>
              <w:jc w:val="center"/>
              <w:rPr>
                <w:rFonts w:ascii="宋体" w:hAnsi="宋体" w:eastAsia="宋体" w:cs="Calibri"/>
                <w:sz w:val="18"/>
                <w:szCs w:val="18"/>
              </w:rPr>
            </w:pPr>
            <w:r>
              <w:rPr>
                <w:rFonts w:hint="eastAsia" w:ascii="宋体" w:hAnsi="宋体" w:eastAsia="宋体" w:cs="Calibri"/>
                <w:sz w:val="18"/>
                <w:szCs w:val="18"/>
              </w:rPr>
              <w:t>5</w:t>
            </w:r>
          </w:p>
        </w:tc>
        <w:tc>
          <w:tcPr>
            <w:tcW w:w="671" w:type="pct"/>
            <w:shd w:val="clear" w:color="auto" w:fill="auto"/>
            <w:vAlign w:val="center"/>
          </w:tcPr>
          <w:p>
            <w:pPr>
              <w:overflowPunct/>
              <w:autoSpaceDE/>
              <w:autoSpaceDN/>
              <w:adjustRightInd/>
              <w:rPr>
                <w:rFonts w:ascii="宋体" w:hAnsi="宋体" w:eastAsia="宋体" w:cs="Calibri"/>
                <w:sz w:val="15"/>
                <w:szCs w:val="15"/>
              </w:rPr>
            </w:pPr>
            <w:r>
              <w:rPr>
                <w:rFonts w:hint="eastAsia" w:ascii="宋体" w:hAnsi="宋体" w:eastAsia="宋体" w:cs="Calibri"/>
                <w:sz w:val="15"/>
                <w:szCs w:val="15"/>
              </w:rPr>
              <w:t>部门年度各类具体工作是否与部门职能相匹配。</w:t>
            </w:r>
          </w:p>
        </w:tc>
        <w:tc>
          <w:tcPr>
            <w:tcW w:w="769" w:type="pct"/>
            <w:shd w:val="clear" w:color="auto" w:fill="auto"/>
            <w:vAlign w:val="center"/>
          </w:tcPr>
          <w:p>
            <w:pPr>
              <w:overflowPunct/>
              <w:autoSpaceDE/>
              <w:autoSpaceDN/>
              <w:adjustRightInd/>
              <w:rPr>
                <w:rFonts w:ascii="宋体" w:hAnsi="宋体" w:eastAsia="宋体" w:cs="Calibri"/>
                <w:sz w:val="15"/>
                <w:szCs w:val="15"/>
              </w:rPr>
            </w:pPr>
            <w:r>
              <w:rPr>
                <w:rFonts w:hint="eastAsia" w:ascii="宋体" w:hAnsi="宋体" w:eastAsia="宋体" w:cs="Calibri"/>
                <w:sz w:val="15"/>
                <w:szCs w:val="15"/>
              </w:rPr>
              <w:t>将部门年度具体工作与部门职能对应匹配，视匹配情况酌情得0-5分。</w:t>
            </w:r>
          </w:p>
        </w:tc>
        <w:tc>
          <w:tcPr>
            <w:tcW w:w="528" w:type="pct"/>
            <w:shd w:val="clear" w:color="auto" w:fill="auto"/>
            <w:vAlign w:val="center"/>
          </w:tcPr>
          <w:p>
            <w:pPr>
              <w:overflowPunct/>
              <w:autoSpaceDE/>
              <w:autoSpaceDN/>
              <w:adjustRightInd/>
              <w:rPr>
                <w:rFonts w:ascii="宋体" w:hAnsi="宋体" w:eastAsia="宋体" w:cs="Calibri"/>
                <w:sz w:val="15"/>
                <w:szCs w:val="15"/>
              </w:rPr>
            </w:pPr>
            <w:r>
              <w:rPr>
                <w:rFonts w:hint="eastAsia" w:ascii="宋体" w:hAnsi="宋体" w:eastAsia="宋体" w:cs="Calibri"/>
                <w:sz w:val="15"/>
                <w:szCs w:val="15"/>
              </w:rPr>
              <w:t>部门年度各项具体工作，部门职能</w:t>
            </w:r>
          </w:p>
        </w:tc>
        <w:tc>
          <w:tcPr>
            <w:tcW w:w="251" w:type="pct"/>
            <w:shd w:val="clear" w:color="auto" w:fill="auto"/>
            <w:vAlign w:val="center"/>
          </w:tcPr>
          <w:p>
            <w:pPr>
              <w:overflowPunct/>
              <w:autoSpaceDE/>
              <w:autoSpaceDN/>
              <w:adjustRightInd/>
              <w:jc w:val="center"/>
              <w:rPr>
                <w:rFonts w:ascii="宋体" w:hAnsi="宋体" w:eastAsia="宋体" w:cs="Calibri"/>
                <w:sz w:val="15"/>
                <w:szCs w:val="15"/>
              </w:rPr>
            </w:pPr>
            <w:r>
              <w:rPr>
                <w:rFonts w:hint="eastAsia" w:ascii="宋体" w:hAnsi="宋体" w:eastAsia="宋体" w:cs="Calibri"/>
                <w:sz w:val="15"/>
                <w:szCs w:val="15"/>
              </w:rPr>
              <w:t>5</w:t>
            </w:r>
          </w:p>
        </w:tc>
        <w:tc>
          <w:tcPr>
            <w:tcW w:w="251" w:type="pct"/>
            <w:shd w:val="clear" w:color="auto" w:fill="auto"/>
            <w:vAlign w:val="center"/>
          </w:tcPr>
          <w:p>
            <w:pPr>
              <w:overflowPunct/>
              <w:autoSpaceDE/>
              <w:autoSpaceDN/>
              <w:adjustRightInd/>
              <w:jc w:val="center"/>
              <w:rPr>
                <w:rFonts w:ascii="宋体" w:hAnsi="宋体" w:eastAsia="宋体" w:cs="Calibri"/>
                <w:sz w:val="15"/>
                <w:szCs w:val="15"/>
              </w:rPr>
            </w:pPr>
          </w:p>
        </w:tc>
        <w:tc>
          <w:tcPr>
            <w:tcW w:w="1103" w:type="pct"/>
            <w:shd w:val="clear" w:color="auto" w:fill="auto"/>
            <w:vAlign w:val="center"/>
          </w:tcPr>
          <w:p>
            <w:pPr>
              <w:overflowPunct/>
              <w:autoSpaceDE/>
              <w:autoSpaceDN/>
              <w:adjustRightInd/>
              <w:jc w:val="left"/>
              <w:rPr>
                <w:rFonts w:ascii="宋体" w:hAnsi="宋体" w:eastAsia="宋体" w:cs="Calibri"/>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324" w:type="pct"/>
            <w:vMerge w:val="continue"/>
            <w:vAlign w:val="center"/>
          </w:tcPr>
          <w:p>
            <w:pPr>
              <w:overflowPunct/>
              <w:autoSpaceDE/>
              <w:autoSpaceDN/>
              <w:adjustRightInd/>
              <w:jc w:val="left"/>
              <w:rPr>
                <w:rFonts w:ascii="宋体" w:hAnsi="宋体" w:eastAsia="宋体" w:cs="Calibri"/>
                <w:sz w:val="15"/>
                <w:szCs w:val="15"/>
              </w:rPr>
            </w:pPr>
          </w:p>
        </w:tc>
        <w:tc>
          <w:tcPr>
            <w:tcW w:w="336" w:type="pct"/>
            <w:vMerge w:val="continue"/>
            <w:vAlign w:val="center"/>
          </w:tcPr>
          <w:p>
            <w:pPr>
              <w:overflowPunct/>
              <w:autoSpaceDE/>
              <w:autoSpaceDN/>
              <w:adjustRightInd/>
              <w:jc w:val="left"/>
              <w:rPr>
                <w:rFonts w:ascii="宋体" w:hAnsi="宋体" w:eastAsia="宋体" w:cs="Calibri"/>
                <w:sz w:val="15"/>
                <w:szCs w:val="15"/>
              </w:rPr>
            </w:pPr>
          </w:p>
        </w:tc>
        <w:tc>
          <w:tcPr>
            <w:tcW w:w="527" w:type="pct"/>
            <w:shd w:val="clear" w:color="auto" w:fill="auto"/>
            <w:vAlign w:val="center"/>
          </w:tcPr>
          <w:p>
            <w:pPr>
              <w:overflowPunct/>
              <w:autoSpaceDE/>
              <w:autoSpaceDN/>
              <w:adjustRightInd/>
              <w:jc w:val="left"/>
              <w:rPr>
                <w:rFonts w:ascii="宋体" w:hAnsi="宋体" w:eastAsia="宋体" w:cs="Calibri"/>
                <w:sz w:val="15"/>
                <w:szCs w:val="15"/>
              </w:rPr>
            </w:pPr>
            <w:r>
              <w:rPr>
                <w:rFonts w:hint="eastAsia" w:ascii="宋体" w:hAnsi="宋体" w:eastAsia="宋体" w:cs="Calibri"/>
                <w:sz w:val="15"/>
                <w:szCs w:val="15"/>
              </w:rPr>
              <w:t>3.部门内设科室及下属单位职责的明确性（5分）</w:t>
            </w:r>
          </w:p>
        </w:tc>
        <w:tc>
          <w:tcPr>
            <w:tcW w:w="240" w:type="pct"/>
            <w:shd w:val="clear" w:color="auto" w:fill="auto"/>
            <w:vAlign w:val="center"/>
          </w:tcPr>
          <w:p>
            <w:pPr>
              <w:overflowPunct/>
              <w:autoSpaceDE/>
              <w:autoSpaceDN/>
              <w:adjustRightInd/>
              <w:jc w:val="center"/>
              <w:rPr>
                <w:rFonts w:ascii="宋体" w:hAnsi="宋体" w:eastAsia="宋体" w:cs="Calibri"/>
                <w:sz w:val="18"/>
                <w:szCs w:val="18"/>
              </w:rPr>
            </w:pPr>
            <w:r>
              <w:rPr>
                <w:rFonts w:hint="eastAsia" w:ascii="宋体" w:hAnsi="宋体" w:eastAsia="宋体" w:cs="Calibri"/>
                <w:sz w:val="18"/>
                <w:szCs w:val="18"/>
              </w:rPr>
              <w:t>5</w:t>
            </w:r>
          </w:p>
        </w:tc>
        <w:tc>
          <w:tcPr>
            <w:tcW w:w="671" w:type="pct"/>
            <w:shd w:val="clear" w:color="auto" w:fill="auto"/>
            <w:vAlign w:val="center"/>
          </w:tcPr>
          <w:p>
            <w:pPr>
              <w:overflowPunct/>
              <w:autoSpaceDE/>
              <w:autoSpaceDN/>
              <w:adjustRightInd/>
              <w:jc w:val="left"/>
              <w:rPr>
                <w:rFonts w:ascii="宋体" w:hAnsi="宋体" w:eastAsia="宋体" w:cs="Calibri"/>
                <w:sz w:val="15"/>
                <w:szCs w:val="15"/>
              </w:rPr>
            </w:pPr>
            <w:r>
              <w:rPr>
                <w:rFonts w:hint="eastAsia" w:ascii="宋体" w:hAnsi="宋体" w:eastAsia="宋体" w:cs="Calibri"/>
                <w:sz w:val="15"/>
                <w:szCs w:val="15"/>
              </w:rPr>
              <w:t>部门内设科室及下属单位具体职责是否明确</w:t>
            </w:r>
          </w:p>
        </w:tc>
        <w:tc>
          <w:tcPr>
            <w:tcW w:w="769" w:type="pct"/>
            <w:shd w:val="clear" w:color="auto" w:fill="auto"/>
            <w:vAlign w:val="center"/>
          </w:tcPr>
          <w:p>
            <w:pPr>
              <w:overflowPunct/>
              <w:autoSpaceDE/>
              <w:autoSpaceDN/>
              <w:adjustRightInd/>
              <w:jc w:val="left"/>
              <w:rPr>
                <w:rFonts w:ascii="宋体" w:hAnsi="宋体" w:eastAsia="宋体" w:cs="Calibri"/>
                <w:sz w:val="15"/>
                <w:szCs w:val="15"/>
              </w:rPr>
            </w:pPr>
            <w:r>
              <w:rPr>
                <w:rFonts w:hint="eastAsia" w:ascii="宋体" w:hAnsi="宋体" w:eastAsia="宋体" w:cs="Calibri"/>
                <w:sz w:val="15"/>
                <w:szCs w:val="15"/>
              </w:rPr>
              <w:t>①有职责文件制度规定部门各科室及下属单位具体职责，得3分；②具体职责明确，得2分</w:t>
            </w:r>
          </w:p>
        </w:tc>
        <w:tc>
          <w:tcPr>
            <w:tcW w:w="528" w:type="pct"/>
            <w:shd w:val="clear" w:color="auto" w:fill="auto"/>
            <w:vAlign w:val="center"/>
          </w:tcPr>
          <w:p>
            <w:pPr>
              <w:overflowPunct/>
              <w:autoSpaceDE/>
              <w:autoSpaceDN/>
              <w:adjustRightInd/>
              <w:jc w:val="left"/>
              <w:rPr>
                <w:rFonts w:ascii="宋体" w:hAnsi="宋体" w:eastAsia="宋体" w:cs="Calibri"/>
                <w:sz w:val="15"/>
                <w:szCs w:val="15"/>
              </w:rPr>
            </w:pPr>
            <w:r>
              <w:rPr>
                <w:rFonts w:hint="eastAsia" w:ascii="宋体" w:hAnsi="宋体" w:eastAsia="宋体" w:cs="Calibri"/>
                <w:sz w:val="15"/>
                <w:szCs w:val="15"/>
              </w:rPr>
              <w:t>内设科室及下属单位职责文件</w:t>
            </w:r>
          </w:p>
        </w:tc>
        <w:tc>
          <w:tcPr>
            <w:tcW w:w="251" w:type="pct"/>
            <w:shd w:val="clear" w:color="auto" w:fill="auto"/>
            <w:vAlign w:val="center"/>
          </w:tcPr>
          <w:p>
            <w:pPr>
              <w:overflowPunct/>
              <w:autoSpaceDE/>
              <w:autoSpaceDN/>
              <w:adjustRightInd/>
              <w:jc w:val="center"/>
              <w:rPr>
                <w:rFonts w:ascii="宋体" w:hAnsi="宋体" w:eastAsia="宋体" w:cs="Calibri"/>
                <w:sz w:val="15"/>
                <w:szCs w:val="15"/>
              </w:rPr>
            </w:pPr>
            <w:r>
              <w:rPr>
                <w:rFonts w:hint="eastAsia" w:ascii="宋体" w:hAnsi="宋体" w:eastAsia="宋体" w:cs="Calibri"/>
                <w:sz w:val="15"/>
                <w:szCs w:val="15"/>
              </w:rPr>
              <w:t>5</w:t>
            </w:r>
          </w:p>
        </w:tc>
        <w:tc>
          <w:tcPr>
            <w:tcW w:w="251" w:type="pct"/>
            <w:shd w:val="clear" w:color="auto" w:fill="auto"/>
            <w:vAlign w:val="center"/>
          </w:tcPr>
          <w:p>
            <w:pPr>
              <w:overflowPunct/>
              <w:autoSpaceDE/>
              <w:autoSpaceDN/>
              <w:adjustRightInd/>
              <w:jc w:val="center"/>
              <w:rPr>
                <w:rFonts w:ascii="宋体" w:hAnsi="宋体" w:eastAsia="宋体" w:cs="Calibri"/>
                <w:sz w:val="15"/>
                <w:szCs w:val="15"/>
              </w:rPr>
            </w:pPr>
          </w:p>
        </w:tc>
        <w:tc>
          <w:tcPr>
            <w:tcW w:w="1103" w:type="pct"/>
            <w:shd w:val="clear" w:color="auto" w:fill="auto"/>
            <w:vAlign w:val="center"/>
          </w:tcPr>
          <w:p>
            <w:pPr>
              <w:overflowPunct/>
              <w:autoSpaceDE/>
              <w:autoSpaceDN/>
              <w:adjustRightInd/>
              <w:jc w:val="left"/>
              <w:rPr>
                <w:rFonts w:ascii="宋体" w:hAnsi="宋体" w:eastAsia="宋体" w:cs="Calibri"/>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324" w:type="pct"/>
            <w:vMerge w:val="restart"/>
            <w:shd w:val="clear" w:color="auto" w:fill="auto"/>
            <w:vAlign w:val="center"/>
          </w:tcPr>
          <w:p>
            <w:pPr>
              <w:overflowPunct/>
              <w:autoSpaceDE/>
              <w:autoSpaceDN/>
              <w:adjustRightInd/>
              <w:jc w:val="left"/>
              <w:rPr>
                <w:rFonts w:ascii="宋体" w:hAnsi="宋体" w:eastAsia="宋体" w:cs="Calibri"/>
                <w:sz w:val="15"/>
                <w:szCs w:val="15"/>
              </w:rPr>
            </w:pPr>
            <w:r>
              <w:rPr>
                <w:rFonts w:hint="eastAsia" w:ascii="宋体" w:hAnsi="宋体" w:eastAsia="宋体" w:cs="Calibri"/>
                <w:sz w:val="15"/>
                <w:szCs w:val="15"/>
              </w:rPr>
              <w:t>二、部门管理（20分）</w:t>
            </w:r>
          </w:p>
        </w:tc>
        <w:tc>
          <w:tcPr>
            <w:tcW w:w="336" w:type="pct"/>
            <w:vMerge w:val="restart"/>
            <w:shd w:val="clear" w:color="auto" w:fill="auto"/>
            <w:vAlign w:val="center"/>
          </w:tcPr>
          <w:p>
            <w:pPr>
              <w:overflowPunct/>
              <w:autoSpaceDE/>
              <w:autoSpaceDN/>
              <w:adjustRightInd/>
              <w:jc w:val="left"/>
              <w:rPr>
                <w:rFonts w:ascii="宋体" w:hAnsi="宋体" w:eastAsia="宋体" w:cs="Calibri"/>
                <w:sz w:val="15"/>
                <w:szCs w:val="15"/>
              </w:rPr>
            </w:pPr>
            <w:r>
              <w:rPr>
                <w:rFonts w:hint="eastAsia" w:ascii="宋体" w:hAnsi="宋体" w:eastAsia="宋体" w:cs="Calibri"/>
                <w:sz w:val="15"/>
                <w:szCs w:val="15"/>
              </w:rPr>
              <w:t>1.预算管理（5分）</w:t>
            </w:r>
          </w:p>
        </w:tc>
        <w:tc>
          <w:tcPr>
            <w:tcW w:w="527" w:type="pct"/>
            <w:shd w:val="clear" w:color="auto" w:fill="auto"/>
            <w:vAlign w:val="center"/>
          </w:tcPr>
          <w:p>
            <w:pPr>
              <w:overflowPunct/>
              <w:autoSpaceDE/>
              <w:autoSpaceDN/>
              <w:adjustRightInd/>
              <w:jc w:val="center"/>
              <w:rPr>
                <w:rFonts w:ascii="宋体" w:hAnsi="宋体" w:eastAsia="宋体" w:cs="Calibri"/>
                <w:sz w:val="15"/>
                <w:szCs w:val="15"/>
              </w:rPr>
            </w:pPr>
            <w:r>
              <w:rPr>
                <w:rFonts w:hint="eastAsia" w:ascii="宋体" w:hAnsi="宋体" w:eastAsia="宋体" w:cs="Calibri"/>
                <w:sz w:val="15"/>
                <w:szCs w:val="15"/>
              </w:rPr>
              <w:t>1.基本支出预算执行率（2分）</w:t>
            </w:r>
          </w:p>
        </w:tc>
        <w:tc>
          <w:tcPr>
            <w:tcW w:w="240" w:type="pct"/>
            <w:shd w:val="clear" w:color="auto" w:fill="auto"/>
            <w:vAlign w:val="center"/>
          </w:tcPr>
          <w:p>
            <w:pPr>
              <w:overflowPunct/>
              <w:autoSpaceDE/>
              <w:autoSpaceDN/>
              <w:adjustRightInd/>
              <w:jc w:val="center"/>
              <w:rPr>
                <w:rFonts w:ascii="宋体" w:hAnsi="宋体" w:eastAsia="宋体" w:cs="Calibri"/>
                <w:sz w:val="18"/>
                <w:szCs w:val="18"/>
              </w:rPr>
            </w:pPr>
            <w:r>
              <w:rPr>
                <w:rFonts w:hint="eastAsia" w:ascii="宋体" w:hAnsi="宋体" w:eastAsia="宋体" w:cs="Calibri"/>
                <w:sz w:val="18"/>
                <w:szCs w:val="18"/>
              </w:rPr>
              <w:t>2</w:t>
            </w:r>
          </w:p>
        </w:tc>
        <w:tc>
          <w:tcPr>
            <w:tcW w:w="671" w:type="pct"/>
            <w:shd w:val="clear" w:color="auto" w:fill="auto"/>
            <w:vAlign w:val="center"/>
          </w:tcPr>
          <w:p>
            <w:pPr>
              <w:overflowPunct/>
              <w:autoSpaceDE/>
              <w:autoSpaceDN/>
              <w:adjustRightInd/>
              <w:rPr>
                <w:rFonts w:ascii="宋体" w:hAnsi="宋体" w:eastAsia="宋体" w:cs="Calibri"/>
                <w:sz w:val="15"/>
                <w:szCs w:val="15"/>
              </w:rPr>
            </w:pPr>
            <w:r>
              <w:rPr>
                <w:rFonts w:hint="eastAsia" w:ascii="宋体" w:hAnsi="宋体" w:eastAsia="宋体" w:cs="Calibri"/>
                <w:sz w:val="15"/>
                <w:szCs w:val="15"/>
              </w:rPr>
              <w:t>部门基本支出本年度决算数与预算数的比率，用以反映和考核部门（单位）基本支出预算执行程度。</w:t>
            </w:r>
          </w:p>
        </w:tc>
        <w:tc>
          <w:tcPr>
            <w:tcW w:w="769" w:type="pct"/>
            <w:shd w:val="clear" w:color="auto" w:fill="auto"/>
            <w:vAlign w:val="center"/>
          </w:tcPr>
          <w:p>
            <w:pPr>
              <w:overflowPunct/>
              <w:autoSpaceDE/>
              <w:autoSpaceDN/>
              <w:adjustRightInd/>
              <w:rPr>
                <w:rFonts w:ascii="宋体" w:hAnsi="宋体" w:eastAsia="宋体" w:cs="Calibri"/>
                <w:sz w:val="15"/>
                <w:szCs w:val="15"/>
              </w:rPr>
            </w:pPr>
            <w:r>
              <w:rPr>
                <w:rFonts w:hint="eastAsia" w:ascii="宋体" w:hAnsi="宋体" w:eastAsia="宋体" w:cs="Calibri"/>
                <w:sz w:val="15"/>
                <w:szCs w:val="15"/>
              </w:rPr>
              <w:t>预算执行率=部门基本支出决算/部门基本支出预算×100%。预算执行率≥95%得满分，未达到的按权重进行扣分。</w:t>
            </w:r>
          </w:p>
        </w:tc>
        <w:tc>
          <w:tcPr>
            <w:tcW w:w="528" w:type="pct"/>
            <w:shd w:val="clear" w:color="auto" w:fill="auto"/>
            <w:vAlign w:val="center"/>
          </w:tcPr>
          <w:p>
            <w:pPr>
              <w:overflowPunct/>
              <w:autoSpaceDE/>
              <w:autoSpaceDN/>
              <w:adjustRightInd/>
              <w:rPr>
                <w:rFonts w:ascii="宋体" w:hAnsi="宋体" w:eastAsia="宋体" w:cs="Calibri"/>
                <w:sz w:val="15"/>
                <w:szCs w:val="15"/>
              </w:rPr>
            </w:pPr>
            <w:r>
              <w:rPr>
                <w:rFonts w:hint="eastAsia" w:ascii="宋体" w:hAnsi="宋体" w:eastAsia="宋体" w:cs="Calibri"/>
                <w:sz w:val="15"/>
                <w:szCs w:val="15"/>
              </w:rPr>
              <w:t>基本支出预算批复，预算调整批复、预算编制等其他资料</w:t>
            </w:r>
          </w:p>
        </w:tc>
        <w:tc>
          <w:tcPr>
            <w:tcW w:w="251" w:type="pct"/>
            <w:shd w:val="clear" w:color="auto" w:fill="auto"/>
            <w:vAlign w:val="center"/>
          </w:tcPr>
          <w:p>
            <w:pPr>
              <w:overflowPunct/>
              <w:autoSpaceDE/>
              <w:autoSpaceDN/>
              <w:adjustRightInd/>
              <w:jc w:val="center"/>
              <w:rPr>
                <w:rFonts w:ascii="宋体" w:hAnsi="宋体" w:eastAsia="宋体" w:cs="Calibri"/>
                <w:sz w:val="15"/>
                <w:szCs w:val="15"/>
              </w:rPr>
            </w:pPr>
            <w:r>
              <w:rPr>
                <w:rFonts w:hint="eastAsia" w:ascii="宋体" w:hAnsi="宋体" w:eastAsia="宋体" w:cs="Calibri"/>
                <w:sz w:val="15"/>
                <w:szCs w:val="15"/>
              </w:rPr>
              <w:t>2</w:t>
            </w:r>
          </w:p>
        </w:tc>
        <w:tc>
          <w:tcPr>
            <w:tcW w:w="251" w:type="pct"/>
            <w:shd w:val="clear" w:color="auto" w:fill="auto"/>
            <w:vAlign w:val="center"/>
          </w:tcPr>
          <w:p>
            <w:pPr>
              <w:overflowPunct/>
              <w:autoSpaceDE/>
              <w:autoSpaceDN/>
              <w:adjustRightInd/>
              <w:jc w:val="center"/>
              <w:rPr>
                <w:rFonts w:ascii="宋体" w:hAnsi="宋体" w:eastAsia="宋体" w:cs="Calibri"/>
                <w:sz w:val="15"/>
                <w:szCs w:val="15"/>
              </w:rPr>
            </w:pPr>
          </w:p>
        </w:tc>
        <w:tc>
          <w:tcPr>
            <w:tcW w:w="1103" w:type="pct"/>
            <w:shd w:val="clear" w:color="auto" w:fill="auto"/>
            <w:vAlign w:val="center"/>
          </w:tcPr>
          <w:p>
            <w:pPr>
              <w:overflowPunct/>
              <w:autoSpaceDE/>
              <w:autoSpaceDN/>
              <w:adjustRightInd/>
              <w:jc w:val="left"/>
              <w:rPr>
                <w:rFonts w:ascii="宋体" w:hAnsi="宋体" w:eastAsia="宋体" w:cs="Calibri"/>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324" w:type="pct"/>
            <w:vMerge w:val="continue"/>
            <w:vAlign w:val="center"/>
          </w:tcPr>
          <w:p>
            <w:pPr>
              <w:overflowPunct/>
              <w:autoSpaceDE/>
              <w:autoSpaceDN/>
              <w:adjustRightInd/>
              <w:jc w:val="left"/>
              <w:rPr>
                <w:rFonts w:ascii="宋体" w:hAnsi="宋体" w:eastAsia="宋体" w:cs="Calibri"/>
                <w:sz w:val="15"/>
                <w:szCs w:val="15"/>
              </w:rPr>
            </w:pPr>
          </w:p>
        </w:tc>
        <w:tc>
          <w:tcPr>
            <w:tcW w:w="336" w:type="pct"/>
            <w:vMerge w:val="continue"/>
            <w:vAlign w:val="center"/>
          </w:tcPr>
          <w:p>
            <w:pPr>
              <w:overflowPunct/>
              <w:autoSpaceDE/>
              <w:autoSpaceDN/>
              <w:adjustRightInd/>
              <w:jc w:val="left"/>
              <w:rPr>
                <w:rFonts w:ascii="宋体" w:hAnsi="宋体" w:eastAsia="宋体" w:cs="Calibri"/>
                <w:sz w:val="15"/>
                <w:szCs w:val="15"/>
              </w:rPr>
            </w:pPr>
          </w:p>
        </w:tc>
        <w:tc>
          <w:tcPr>
            <w:tcW w:w="527" w:type="pct"/>
            <w:shd w:val="clear" w:color="auto" w:fill="auto"/>
            <w:vAlign w:val="center"/>
          </w:tcPr>
          <w:p>
            <w:pPr>
              <w:overflowPunct/>
              <w:autoSpaceDE/>
              <w:autoSpaceDN/>
              <w:adjustRightInd/>
              <w:jc w:val="center"/>
              <w:rPr>
                <w:rFonts w:ascii="宋体" w:hAnsi="宋体" w:eastAsia="宋体" w:cs="Calibri"/>
                <w:sz w:val="15"/>
                <w:szCs w:val="15"/>
              </w:rPr>
            </w:pPr>
            <w:r>
              <w:rPr>
                <w:rFonts w:hint="eastAsia" w:ascii="宋体" w:hAnsi="宋体" w:eastAsia="宋体" w:cs="Calibri"/>
                <w:sz w:val="15"/>
                <w:szCs w:val="15"/>
              </w:rPr>
              <w:t>2.项目支出预算执行率（1分）分）</w:t>
            </w:r>
          </w:p>
        </w:tc>
        <w:tc>
          <w:tcPr>
            <w:tcW w:w="240" w:type="pct"/>
            <w:shd w:val="clear" w:color="auto" w:fill="auto"/>
            <w:vAlign w:val="center"/>
          </w:tcPr>
          <w:p>
            <w:pPr>
              <w:overflowPunct/>
              <w:autoSpaceDE/>
              <w:autoSpaceDN/>
              <w:adjustRightInd/>
              <w:jc w:val="center"/>
              <w:rPr>
                <w:rFonts w:ascii="宋体" w:hAnsi="宋体" w:eastAsia="宋体" w:cs="Calibri"/>
                <w:sz w:val="18"/>
                <w:szCs w:val="18"/>
              </w:rPr>
            </w:pPr>
            <w:r>
              <w:rPr>
                <w:rFonts w:hint="eastAsia" w:ascii="宋体" w:hAnsi="宋体" w:eastAsia="宋体" w:cs="Calibri"/>
                <w:sz w:val="18"/>
                <w:szCs w:val="18"/>
              </w:rPr>
              <w:t>1</w:t>
            </w:r>
          </w:p>
        </w:tc>
        <w:tc>
          <w:tcPr>
            <w:tcW w:w="671" w:type="pct"/>
            <w:shd w:val="clear" w:color="auto" w:fill="auto"/>
            <w:vAlign w:val="center"/>
          </w:tcPr>
          <w:p>
            <w:pPr>
              <w:overflowPunct/>
              <w:autoSpaceDE/>
              <w:autoSpaceDN/>
              <w:adjustRightInd/>
              <w:rPr>
                <w:rFonts w:ascii="宋体" w:hAnsi="宋体" w:eastAsia="宋体" w:cs="Calibri"/>
                <w:sz w:val="15"/>
                <w:szCs w:val="15"/>
              </w:rPr>
            </w:pPr>
            <w:r>
              <w:rPr>
                <w:rFonts w:hint="eastAsia" w:ascii="宋体" w:hAnsi="宋体" w:eastAsia="宋体" w:cs="Calibri"/>
                <w:sz w:val="15"/>
                <w:szCs w:val="15"/>
              </w:rPr>
              <w:t>部门项目支出本年度决算数与预算数的比率，用以反映和考核部门项目支出预算执行程度。</w:t>
            </w:r>
          </w:p>
        </w:tc>
        <w:tc>
          <w:tcPr>
            <w:tcW w:w="769" w:type="pct"/>
            <w:shd w:val="clear" w:color="auto" w:fill="auto"/>
            <w:vAlign w:val="center"/>
          </w:tcPr>
          <w:p>
            <w:pPr>
              <w:overflowPunct/>
              <w:autoSpaceDE/>
              <w:autoSpaceDN/>
              <w:adjustRightInd/>
              <w:rPr>
                <w:rFonts w:ascii="宋体" w:hAnsi="宋体" w:eastAsia="宋体" w:cs="Calibri"/>
                <w:sz w:val="15"/>
                <w:szCs w:val="15"/>
              </w:rPr>
            </w:pPr>
            <w:r>
              <w:rPr>
                <w:rFonts w:hint="eastAsia" w:ascii="宋体" w:hAnsi="宋体" w:eastAsia="宋体" w:cs="Calibri"/>
                <w:sz w:val="15"/>
                <w:szCs w:val="15"/>
              </w:rPr>
              <w:t>预算执行率=部门项目支出决算/部门项目支出预算×100%。预算完成率≥95%得满分，未到按权重进行扣分。</w:t>
            </w:r>
          </w:p>
        </w:tc>
        <w:tc>
          <w:tcPr>
            <w:tcW w:w="528" w:type="pct"/>
            <w:shd w:val="clear" w:color="auto" w:fill="auto"/>
            <w:vAlign w:val="center"/>
          </w:tcPr>
          <w:p>
            <w:pPr>
              <w:overflowPunct/>
              <w:autoSpaceDE/>
              <w:autoSpaceDN/>
              <w:adjustRightInd/>
              <w:rPr>
                <w:rFonts w:ascii="宋体" w:hAnsi="宋体" w:eastAsia="宋体" w:cs="Calibri"/>
                <w:sz w:val="15"/>
                <w:szCs w:val="15"/>
              </w:rPr>
            </w:pPr>
            <w:r>
              <w:rPr>
                <w:rFonts w:hint="eastAsia" w:ascii="宋体" w:hAnsi="宋体" w:eastAsia="宋体" w:cs="Calibri"/>
                <w:sz w:val="15"/>
                <w:szCs w:val="15"/>
              </w:rPr>
              <w:t>项目支出预算批复，预算调整批复、预算编制等其他资料</w:t>
            </w:r>
          </w:p>
        </w:tc>
        <w:tc>
          <w:tcPr>
            <w:tcW w:w="251" w:type="pct"/>
            <w:shd w:val="clear" w:color="auto" w:fill="auto"/>
            <w:vAlign w:val="center"/>
          </w:tcPr>
          <w:p>
            <w:pPr>
              <w:overflowPunct/>
              <w:autoSpaceDE/>
              <w:autoSpaceDN/>
              <w:adjustRightInd/>
              <w:jc w:val="center"/>
              <w:rPr>
                <w:rFonts w:ascii="宋体" w:hAnsi="宋体" w:eastAsia="宋体" w:cs="Calibri"/>
                <w:sz w:val="15"/>
                <w:szCs w:val="15"/>
              </w:rPr>
            </w:pPr>
            <w:r>
              <w:rPr>
                <w:rFonts w:hint="eastAsia" w:ascii="宋体" w:hAnsi="宋体" w:eastAsia="宋体" w:cs="Calibri"/>
                <w:sz w:val="15"/>
                <w:szCs w:val="15"/>
              </w:rPr>
              <w:t>1</w:t>
            </w:r>
          </w:p>
        </w:tc>
        <w:tc>
          <w:tcPr>
            <w:tcW w:w="251" w:type="pct"/>
            <w:shd w:val="clear" w:color="auto" w:fill="auto"/>
            <w:vAlign w:val="center"/>
          </w:tcPr>
          <w:p>
            <w:pPr>
              <w:overflowPunct/>
              <w:autoSpaceDE/>
              <w:autoSpaceDN/>
              <w:adjustRightInd/>
              <w:jc w:val="center"/>
              <w:rPr>
                <w:rFonts w:ascii="宋体" w:hAnsi="宋体" w:eastAsia="宋体" w:cs="Calibri"/>
                <w:sz w:val="15"/>
                <w:szCs w:val="15"/>
              </w:rPr>
            </w:pPr>
          </w:p>
        </w:tc>
        <w:tc>
          <w:tcPr>
            <w:tcW w:w="1103" w:type="pct"/>
            <w:shd w:val="clear" w:color="auto" w:fill="auto"/>
            <w:vAlign w:val="center"/>
          </w:tcPr>
          <w:p>
            <w:pPr>
              <w:overflowPunct/>
              <w:autoSpaceDE/>
              <w:autoSpaceDN/>
              <w:adjustRightInd/>
              <w:jc w:val="left"/>
              <w:rPr>
                <w:rFonts w:ascii="宋体" w:hAnsi="宋体" w:eastAsia="宋体" w:cs="Calibri"/>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324" w:type="pct"/>
            <w:vMerge w:val="continue"/>
            <w:vAlign w:val="center"/>
          </w:tcPr>
          <w:p>
            <w:pPr>
              <w:overflowPunct/>
              <w:autoSpaceDE/>
              <w:autoSpaceDN/>
              <w:adjustRightInd/>
              <w:jc w:val="left"/>
              <w:rPr>
                <w:rFonts w:ascii="宋体" w:hAnsi="宋体" w:eastAsia="宋体" w:cs="Calibri"/>
                <w:sz w:val="15"/>
                <w:szCs w:val="15"/>
              </w:rPr>
            </w:pPr>
          </w:p>
        </w:tc>
        <w:tc>
          <w:tcPr>
            <w:tcW w:w="336" w:type="pct"/>
            <w:vMerge w:val="continue"/>
            <w:vAlign w:val="center"/>
          </w:tcPr>
          <w:p>
            <w:pPr>
              <w:overflowPunct/>
              <w:autoSpaceDE/>
              <w:autoSpaceDN/>
              <w:adjustRightInd/>
              <w:jc w:val="left"/>
              <w:rPr>
                <w:rFonts w:ascii="宋体" w:hAnsi="宋体" w:eastAsia="宋体" w:cs="Calibri"/>
                <w:sz w:val="15"/>
                <w:szCs w:val="15"/>
              </w:rPr>
            </w:pPr>
          </w:p>
        </w:tc>
        <w:tc>
          <w:tcPr>
            <w:tcW w:w="527" w:type="pct"/>
            <w:shd w:val="clear" w:color="auto" w:fill="auto"/>
            <w:vAlign w:val="center"/>
          </w:tcPr>
          <w:p>
            <w:pPr>
              <w:overflowPunct/>
              <w:autoSpaceDE/>
              <w:autoSpaceDN/>
              <w:adjustRightInd/>
              <w:jc w:val="center"/>
              <w:rPr>
                <w:rFonts w:ascii="宋体" w:hAnsi="宋体" w:eastAsia="宋体" w:cs="Calibri"/>
                <w:sz w:val="15"/>
                <w:szCs w:val="15"/>
              </w:rPr>
            </w:pPr>
            <w:r>
              <w:rPr>
                <w:rFonts w:hint="eastAsia" w:ascii="宋体" w:hAnsi="宋体" w:eastAsia="宋体" w:cs="Calibri"/>
                <w:sz w:val="15"/>
                <w:szCs w:val="15"/>
              </w:rPr>
              <w:t>3.“三公经费”控制率（1分）</w:t>
            </w:r>
          </w:p>
        </w:tc>
        <w:tc>
          <w:tcPr>
            <w:tcW w:w="240" w:type="pct"/>
            <w:shd w:val="clear" w:color="auto" w:fill="auto"/>
            <w:vAlign w:val="center"/>
          </w:tcPr>
          <w:p>
            <w:pPr>
              <w:overflowPunct/>
              <w:autoSpaceDE/>
              <w:autoSpaceDN/>
              <w:adjustRightInd/>
              <w:jc w:val="center"/>
              <w:rPr>
                <w:rFonts w:ascii="宋体" w:hAnsi="宋体" w:eastAsia="宋体" w:cs="Calibri"/>
                <w:sz w:val="18"/>
                <w:szCs w:val="18"/>
              </w:rPr>
            </w:pPr>
            <w:r>
              <w:rPr>
                <w:rFonts w:hint="eastAsia" w:ascii="宋体" w:hAnsi="宋体" w:eastAsia="宋体" w:cs="Calibri"/>
                <w:sz w:val="18"/>
                <w:szCs w:val="18"/>
              </w:rPr>
              <w:t>1</w:t>
            </w:r>
          </w:p>
        </w:tc>
        <w:tc>
          <w:tcPr>
            <w:tcW w:w="671" w:type="pct"/>
            <w:shd w:val="clear" w:color="auto" w:fill="auto"/>
            <w:vAlign w:val="center"/>
          </w:tcPr>
          <w:p>
            <w:pPr>
              <w:overflowPunct/>
              <w:autoSpaceDE/>
              <w:autoSpaceDN/>
              <w:adjustRightInd/>
              <w:rPr>
                <w:rFonts w:ascii="宋体" w:hAnsi="宋体" w:eastAsia="宋体" w:cs="Calibri"/>
                <w:sz w:val="15"/>
                <w:szCs w:val="15"/>
              </w:rPr>
            </w:pPr>
            <w:r>
              <w:rPr>
                <w:rFonts w:hint="eastAsia" w:ascii="宋体" w:hAnsi="宋体" w:eastAsia="宋体" w:cs="Calibri"/>
                <w:sz w:val="15"/>
                <w:szCs w:val="15"/>
              </w:rPr>
              <w:t>部门本年度“三公”经费预算数与上年度“三公”经费预算数的变动比率，用以反映和考核部门（单位）对控制行政成本的努力程度。</w:t>
            </w:r>
          </w:p>
        </w:tc>
        <w:tc>
          <w:tcPr>
            <w:tcW w:w="769" w:type="pct"/>
            <w:shd w:val="clear" w:color="auto" w:fill="auto"/>
            <w:vAlign w:val="center"/>
          </w:tcPr>
          <w:p>
            <w:pPr>
              <w:overflowPunct/>
              <w:autoSpaceDE/>
              <w:autoSpaceDN/>
              <w:adjustRightInd/>
              <w:rPr>
                <w:rFonts w:ascii="宋体" w:hAnsi="宋体" w:eastAsia="宋体" w:cs="Calibri"/>
                <w:sz w:val="15"/>
                <w:szCs w:val="15"/>
              </w:rPr>
            </w:pPr>
            <w:r>
              <w:rPr>
                <w:rFonts w:hint="eastAsia" w:ascii="宋体" w:hAnsi="宋体" w:eastAsia="宋体" w:cs="Calibri"/>
                <w:sz w:val="15"/>
                <w:szCs w:val="15"/>
              </w:rPr>
              <w:t>“三公”经费控制率=（本年度“三公”经费总额/上年度“三公”经费总额）×100%。“三公”经费：年度预算安排的因公出国（境）费、公务用车购置及运行费和公务接待费。三公经费控制率≤100%得满分，≥120%得1分，区间内按权重进行扣分。</w:t>
            </w:r>
          </w:p>
        </w:tc>
        <w:tc>
          <w:tcPr>
            <w:tcW w:w="528" w:type="pct"/>
            <w:shd w:val="clear" w:color="auto" w:fill="auto"/>
            <w:vAlign w:val="center"/>
          </w:tcPr>
          <w:p>
            <w:pPr>
              <w:overflowPunct/>
              <w:autoSpaceDE/>
              <w:autoSpaceDN/>
              <w:adjustRightInd/>
              <w:rPr>
                <w:rFonts w:ascii="宋体" w:hAnsi="宋体" w:eastAsia="宋体" w:cs="Calibri"/>
                <w:sz w:val="15"/>
                <w:szCs w:val="15"/>
              </w:rPr>
            </w:pPr>
            <w:r>
              <w:rPr>
                <w:rFonts w:hint="eastAsia" w:ascii="宋体" w:hAnsi="宋体" w:eastAsia="宋体" w:cs="Calibri"/>
                <w:sz w:val="15"/>
                <w:szCs w:val="15"/>
              </w:rPr>
              <w:t>三公经费使用情况</w:t>
            </w:r>
          </w:p>
        </w:tc>
        <w:tc>
          <w:tcPr>
            <w:tcW w:w="251" w:type="pct"/>
            <w:shd w:val="clear" w:color="auto" w:fill="auto"/>
            <w:vAlign w:val="center"/>
          </w:tcPr>
          <w:p>
            <w:pPr>
              <w:overflowPunct/>
              <w:autoSpaceDE/>
              <w:autoSpaceDN/>
              <w:adjustRightInd/>
              <w:jc w:val="center"/>
              <w:rPr>
                <w:rFonts w:ascii="宋体" w:hAnsi="宋体" w:eastAsia="宋体" w:cs="Calibri"/>
                <w:sz w:val="15"/>
                <w:szCs w:val="15"/>
              </w:rPr>
            </w:pPr>
            <w:r>
              <w:rPr>
                <w:rFonts w:hint="eastAsia" w:ascii="宋体" w:hAnsi="宋体" w:eastAsia="宋体" w:cs="Calibri"/>
                <w:sz w:val="15"/>
                <w:szCs w:val="15"/>
              </w:rPr>
              <w:t>1</w:t>
            </w:r>
          </w:p>
        </w:tc>
        <w:tc>
          <w:tcPr>
            <w:tcW w:w="251" w:type="pct"/>
            <w:shd w:val="clear" w:color="auto" w:fill="auto"/>
            <w:vAlign w:val="center"/>
          </w:tcPr>
          <w:p>
            <w:pPr>
              <w:overflowPunct/>
              <w:autoSpaceDE/>
              <w:autoSpaceDN/>
              <w:adjustRightInd/>
              <w:jc w:val="center"/>
              <w:rPr>
                <w:rFonts w:ascii="宋体" w:hAnsi="宋体" w:eastAsia="宋体" w:cs="Calibri"/>
                <w:sz w:val="15"/>
                <w:szCs w:val="15"/>
              </w:rPr>
            </w:pPr>
          </w:p>
        </w:tc>
        <w:tc>
          <w:tcPr>
            <w:tcW w:w="1103" w:type="pct"/>
            <w:shd w:val="clear" w:color="auto" w:fill="auto"/>
            <w:vAlign w:val="center"/>
          </w:tcPr>
          <w:p>
            <w:pPr>
              <w:overflowPunct/>
              <w:autoSpaceDE/>
              <w:autoSpaceDN/>
              <w:adjustRightInd/>
              <w:jc w:val="left"/>
              <w:rPr>
                <w:rFonts w:ascii="宋体" w:hAnsi="宋体" w:eastAsia="宋体" w:cs="Calibri"/>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324" w:type="pct"/>
            <w:vMerge w:val="continue"/>
            <w:vAlign w:val="center"/>
          </w:tcPr>
          <w:p>
            <w:pPr>
              <w:overflowPunct/>
              <w:autoSpaceDE/>
              <w:autoSpaceDN/>
              <w:adjustRightInd/>
              <w:jc w:val="left"/>
              <w:rPr>
                <w:rFonts w:ascii="宋体" w:hAnsi="宋体" w:eastAsia="宋体" w:cs="Calibri"/>
                <w:sz w:val="15"/>
                <w:szCs w:val="15"/>
              </w:rPr>
            </w:pPr>
          </w:p>
        </w:tc>
        <w:tc>
          <w:tcPr>
            <w:tcW w:w="336" w:type="pct"/>
            <w:vMerge w:val="continue"/>
            <w:vAlign w:val="center"/>
          </w:tcPr>
          <w:p>
            <w:pPr>
              <w:overflowPunct/>
              <w:autoSpaceDE/>
              <w:autoSpaceDN/>
              <w:adjustRightInd/>
              <w:jc w:val="left"/>
              <w:rPr>
                <w:rFonts w:ascii="宋体" w:hAnsi="宋体" w:eastAsia="宋体" w:cs="Calibri"/>
                <w:sz w:val="15"/>
                <w:szCs w:val="15"/>
              </w:rPr>
            </w:pPr>
          </w:p>
        </w:tc>
        <w:tc>
          <w:tcPr>
            <w:tcW w:w="527" w:type="pct"/>
            <w:shd w:val="clear" w:color="auto" w:fill="auto"/>
            <w:vAlign w:val="center"/>
          </w:tcPr>
          <w:p>
            <w:pPr>
              <w:overflowPunct/>
              <w:autoSpaceDE/>
              <w:autoSpaceDN/>
              <w:adjustRightInd/>
              <w:jc w:val="left"/>
              <w:rPr>
                <w:rFonts w:ascii="宋体" w:hAnsi="宋体" w:eastAsia="宋体" w:cs="Calibri"/>
                <w:sz w:val="15"/>
                <w:szCs w:val="15"/>
              </w:rPr>
            </w:pPr>
            <w:r>
              <w:rPr>
                <w:rFonts w:hint="eastAsia" w:ascii="宋体" w:hAnsi="宋体" w:eastAsia="宋体" w:cs="Calibri"/>
                <w:sz w:val="15"/>
                <w:szCs w:val="15"/>
              </w:rPr>
              <w:t>4.预算调整情况（1分）</w:t>
            </w:r>
          </w:p>
        </w:tc>
        <w:tc>
          <w:tcPr>
            <w:tcW w:w="240" w:type="pct"/>
            <w:shd w:val="clear" w:color="auto" w:fill="auto"/>
            <w:vAlign w:val="center"/>
          </w:tcPr>
          <w:p>
            <w:pPr>
              <w:overflowPunct/>
              <w:autoSpaceDE/>
              <w:autoSpaceDN/>
              <w:adjustRightInd/>
              <w:jc w:val="center"/>
              <w:rPr>
                <w:rFonts w:ascii="宋体" w:hAnsi="宋体" w:eastAsia="宋体" w:cs="Calibri"/>
                <w:sz w:val="18"/>
                <w:szCs w:val="18"/>
              </w:rPr>
            </w:pPr>
            <w:r>
              <w:rPr>
                <w:rFonts w:hint="eastAsia" w:ascii="宋体" w:hAnsi="宋体" w:eastAsia="宋体" w:cs="Calibri"/>
                <w:sz w:val="18"/>
                <w:szCs w:val="18"/>
              </w:rPr>
              <w:t>1</w:t>
            </w:r>
          </w:p>
        </w:tc>
        <w:tc>
          <w:tcPr>
            <w:tcW w:w="671" w:type="pct"/>
            <w:shd w:val="clear" w:color="auto" w:fill="auto"/>
            <w:vAlign w:val="center"/>
          </w:tcPr>
          <w:p>
            <w:pPr>
              <w:overflowPunct/>
              <w:autoSpaceDE/>
              <w:autoSpaceDN/>
              <w:adjustRightInd/>
              <w:rPr>
                <w:rFonts w:ascii="宋体" w:hAnsi="宋体" w:eastAsia="宋体" w:cs="Calibri"/>
                <w:sz w:val="15"/>
                <w:szCs w:val="15"/>
              </w:rPr>
            </w:pPr>
            <w:r>
              <w:rPr>
                <w:rFonts w:hint="eastAsia" w:ascii="宋体" w:hAnsi="宋体" w:eastAsia="宋体" w:cs="Calibri"/>
                <w:sz w:val="15"/>
                <w:szCs w:val="15"/>
              </w:rPr>
              <w:t>用以反映预算单位是否根据年中预算实际执行情况及时合规进行预算调整。</w:t>
            </w:r>
          </w:p>
        </w:tc>
        <w:tc>
          <w:tcPr>
            <w:tcW w:w="769" w:type="pct"/>
            <w:shd w:val="clear" w:color="auto" w:fill="auto"/>
            <w:vAlign w:val="center"/>
          </w:tcPr>
          <w:p>
            <w:pPr>
              <w:overflowPunct/>
              <w:autoSpaceDE/>
              <w:autoSpaceDN/>
              <w:adjustRightInd/>
              <w:rPr>
                <w:rFonts w:ascii="宋体" w:hAnsi="宋体" w:eastAsia="宋体" w:cs="Calibri"/>
                <w:sz w:val="15"/>
                <w:szCs w:val="15"/>
              </w:rPr>
            </w:pPr>
            <w:r>
              <w:rPr>
                <w:rFonts w:hint="eastAsia" w:ascii="宋体" w:hAnsi="宋体" w:eastAsia="宋体" w:cs="Calibri"/>
                <w:sz w:val="15"/>
                <w:szCs w:val="15"/>
              </w:rPr>
              <w:t>①根据年中预算执行情况及时申请预算调整，得0.5分；②按规定程序进行预算调整，得0.5分</w:t>
            </w:r>
          </w:p>
        </w:tc>
        <w:tc>
          <w:tcPr>
            <w:tcW w:w="528" w:type="pct"/>
            <w:shd w:val="clear" w:color="auto" w:fill="auto"/>
            <w:vAlign w:val="center"/>
          </w:tcPr>
          <w:p>
            <w:pPr>
              <w:overflowPunct/>
              <w:autoSpaceDE/>
              <w:autoSpaceDN/>
              <w:adjustRightInd/>
              <w:rPr>
                <w:rFonts w:ascii="宋体" w:hAnsi="宋体" w:eastAsia="宋体" w:cs="Calibri"/>
                <w:sz w:val="15"/>
                <w:szCs w:val="15"/>
              </w:rPr>
            </w:pPr>
            <w:r>
              <w:rPr>
                <w:rFonts w:hint="eastAsia" w:ascii="宋体" w:hAnsi="宋体" w:eastAsia="宋体" w:cs="Calibri"/>
                <w:sz w:val="15"/>
                <w:szCs w:val="15"/>
              </w:rPr>
              <w:t>预算调整相关资料</w:t>
            </w:r>
          </w:p>
        </w:tc>
        <w:tc>
          <w:tcPr>
            <w:tcW w:w="251" w:type="pct"/>
            <w:shd w:val="clear" w:color="auto" w:fill="auto"/>
            <w:vAlign w:val="center"/>
          </w:tcPr>
          <w:p>
            <w:pPr>
              <w:overflowPunct/>
              <w:autoSpaceDE/>
              <w:autoSpaceDN/>
              <w:adjustRightInd/>
              <w:jc w:val="center"/>
              <w:rPr>
                <w:rFonts w:ascii="宋体" w:hAnsi="宋体" w:eastAsia="宋体" w:cs="Calibri"/>
                <w:sz w:val="15"/>
                <w:szCs w:val="15"/>
              </w:rPr>
            </w:pPr>
            <w:r>
              <w:rPr>
                <w:rFonts w:hint="eastAsia" w:ascii="宋体" w:hAnsi="宋体" w:eastAsia="宋体" w:cs="Calibri"/>
                <w:sz w:val="15"/>
                <w:szCs w:val="15"/>
              </w:rPr>
              <w:t>1</w:t>
            </w:r>
          </w:p>
        </w:tc>
        <w:tc>
          <w:tcPr>
            <w:tcW w:w="251" w:type="pct"/>
            <w:shd w:val="clear" w:color="auto" w:fill="auto"/>
            <w:vAlign w:val="center"/>
          </w:tcPr>
          <w:p>
            <w:pPr>
              <w:overflowPunct/>
              <w:autoSpaceDE/>
              <w:autoSpaceDN/>
              <w:adjustRightInd/>
              <w:jc w:val="center"/>
              <w:rPr>
                <w:rFonts w:ascii="宋体" w:hAnsi="宋体" w:eastAsia="宋体" w:cs="Calibri"/>
                <w:sz w:val="15"/>
                <w:szCs w:val="15"/>
              </w:rPr>
            </w:pPr>
          </w:p>
        </w:tc>
        <w:tc>
          <w:tcPr>
            <w:tcW w:w="1103" w:type="pct"/>
            <w:shd w:val="clear" w:color="auto" w:fill="auto"/>
            <w:vAlign w:val="center"/>
          </w:tcPr>
          <w:p>
            <w:pPr>
              <w:overflowPunct/>
              <w:autoSpaceDE/>
              <w:autoSpaceDN/>
              <w:adjustRightInd/>
              <w:jc w:val="left"/>
              <w:rPr>
                <w:rFonts w:ascii="宋体" w:hAnsi="宋体" w:eastAsia="宋体" w:cs="Calibri"/>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324" w:type="pct"/>
            <w:vMerge w:val="restart"/>
            <w:shd w:val="clear" w:color="auto" w:fill="auto"/>
            <w:vAlign w:val="center"/>
          </w:tcPr>
          <w:p>
            <w:pPr>
              <w:overflowPunct/>
              <w:autoSpaceDE/>
              <w:autoSpaceDN/>
              <w:adjustRightInd/>
              <w:jc w:val="center"/>
              <w:rPr>
                <w:rFonts w:ascii="宋体" w:hAnsi="宋体" w:eastAsia="宋体" w:cs="Calibri"/>
                <w:sz w:val="15"/>
                <w:szCs w:val="15"/>
              </w:rPr>
            </w:pPr>
            <w:r>
              <w:rPr>
                <w:rFonts w:hint="eastAsia" w:ascii="宋体" w:hAnsi="宋体" w:eastAsia="宋体" w:cs="Calibri"/>
                <w:sz w:val="15"/>
                <w:szCs w:val="15"/>
              </w:rPr>
              <w:t>二、部门管理（</w:t>
            </w:r>
            <w:r>
              <w:rPr>
                <w:rFonts w:hint="eastAsia" w:ascii="宋体" w:hAnsi="宋体" w:eastAsia="宋体" w:cs="宋体"/>
                <w:sz w:val="15"/>
                <w:szCs w:val="15"/>
              </w:rPr>
              <w:t>20</w:t>
            </w:r>
            <w:r>
              <w:rPr>
                <w:rFonts w:hint="eastAsia" w:ascii="宋体" w:hAnsi="宋体" w:eastAsia="宋体" w:cs="Calibri"/>
                <w:sz w:val="15"/>
                <w:szCs w:val="15"/>
              </w:rPr>
              <w:t>分）</w:t>
            </w:r>
          </w:p>
        </w:tc>
        <w:tc>
          <w:tcPr>
            <w:tcW w:w="336" w:type="pct"/>
            <w:vMerge w:val="restart"/>
            <w:shd w:val="clear" w:color="auto" w:fill="auto"/>
            <w:vAlign w:val="center"/>
          </w:tcPr>
          <w:p>
            <w:pPr>
              <w:overflowPunct/>
              <w:autoSpaceDE/>
              <w:autoSpaceDN/>
              <w:adjustRightInd/>
              <w:jc w:val="left"/>
              <w:rPr>
                <w:rFonts w:ascii="宋体" w:hAnsi="宋体" w:eastAsia="宋体" w:cs="Calibri"/>
                <w:sz w:val="15"/>
                <w:szCs w:val="15"/>
              </w:rPr>
            </w:pPr>
            <w:r>
              <w:rPr>
                <w:rFonts w:hint="eastAsia" w:ascii="宋体" w:hAnsi="宋体" w:eastAsia="宋体" w:cs="Calibri"/>
                <w:sz w:val="15"/>
                <w:szCs w:val="15"/>
              </w:rPr>
              <w:t>2.财务管理（5分）</w:t>
            </w:r>
          </w:p>
        </w:tc>
        <w:tc>
          <w:tcPr>
            <w:tcW w:w="527" w:type="pct"/>
            <w:shd w:val="clear" w:color="auto" w:fill="auto"/>
            <w:vAlign w:val="center"/>
          </w:tcPr>
          <w:p>
            <w:pPr>
              <w:overflowPunct/>
              <w:autoSpaceDE/>
              <w:autoSpaceDN/>
              <w:adjustRightInd/>
              <w:jc w:val="left"/>
              <w:rPr>
                <w:rFonts w:ascii="宋体" w:hAnsi="宋体" w:eastAsia="宋体" w:cs="Calibri"/>
                <w:sz w:val="15"/>
                <w:szCs w:val="15"/>
              </w:rPr>
            </w:pPr>
            <w:r>
              <w:rPr>
                <w:rFonts w:hint="eastAsia" w:ascii="宋体" w:hAnsi="宋体" w:eastAsia="宋体" w:cs="Calibri"/>
                <w:sz w:val="15"/>
                <w:szCs w:val="15"/>
              </w:rPr>
              <w:t>1.财务管理制度健全性及执行情况（2分）</w:t>
            </w:r>
          </w:p>
        </w:tc>
        <w:tc>
          <w:tcPr>
            <w:tcW w:w="240" w:type="pct"/>
            <w:shd w:val="clear" w:color="auto" w:fill="auto"/>
            <w:vAlign w:val="center"/>
          </w:tcPr>
          <w:p>
            <w:pPr>
              <w:overflowPunct/>
              <w:autoSpaceDE/>
              <w:autoSpaceDN/>
              <w:adjustRightInd/>
              <w:jc w:val="center"/>
              <w:rPr>
                <w:rFonts w:ascii="宋体" w:hAnsi="宋体" w:eastAsia="宋体" w:cs="Calibri"/>
                <w:sz w:val="18"/>
                <w:szCs w:val="18"/>
              </w:rPr>
            </w:pPr>
            <w:r>
              <w:rPr>
                <w:rFonts w:hint="eastAsia" w:ascii="宋体" w:hAnsi="宋体" w:eastAsia="宋体" w:cs="Calibri"/>
                <w:sz w:val="18"/>
                <w:szCs w:val="18"/>
              </w:rPr>
              <w:t>2</w:t>
            </w:r>
          </w:p>
        </w:tc>
        <w:tc>
          <w:tcPr>
            <w:tcW w:w="671" w:type="pct"/>
            <w:shd w:val="clear" w:color="auto" w:fill="auto"/>
            <w:vAlign w:val="center"/>
          </w:tcPr>
          <w:p>
            <w:pPr>
              <w:overflowPunct/>
              <w:autoSpaceDE/>
              <w:autoSpaceDN/>
              <w:adjustRightInd/>
              <w:rPr>
                <w:rFonts w:ascii="宋体" w:hAnsi="宋体" w:eastAsia="宋体" w:cs="Calibri"/>
                <w:sz w:val="15"/>
                <w:szCs w:val="15"/>
              </w:rPr>
            </w:pPr>
            <w:r>
              <w:rPr>
                <w:rFonts w:hint="eastAsia" w:ascii="宋体" w:hAnsi="宋体" w:eastAsia="宋体" w:cs="Calibri"/>
                <w:sz w:val="15"/>
                <w:szCs w:val="15"/>
              </w:rPr>
              <w:t>部门为加强预算管理、规范财务行为而制定的财务管理制度是否健全完整。用以反映和考核部门预算管理制度对完成主要职责或促进事业发展的保障情况。</w:t>
            </w:r>
          </w:p>
        </w:tc>
        <w:tc>
          <w:tcPr>
            <w:tcW w:w="769" w:type="pct"/>
            <w:shd w:val="clear" w:color="auto" w:fill="auto"/>
            <w:vAlign w:val="center"/>
          </w:tcPr>
          <w:p>
            <w:pPr>
              <w:overflowPunct/>
              <w:autoSpaceDE/>
              <w:autoSpaceDN/>
              <w:adjustRightInd/>
              <w:rPr>
                <w:rFonts w:ascii="宋体" w:hAnsi="宋体" w:eastAsia="宋体" w:cs="Calibri"/>
                <w:sz w:val="15"/>
                <w:szCs w:val="15"/>
              </w:rPr>
            </w:pPr>
            <w:r>
              <w:rPr>
                <w:rFonts w:hint="eastAsia" w:ascii="宋体" w:hAnsi="宋体" w:eastAsia="宋体" w:cs="Calibri"/>
                <w:sz w:val="15"/>
                <w:szCs w:val="15"/>
              </w:rPr>
              <w:t>①是否已制定预算资金管理办法、内部财务管理制度、会计核算制度等管理制度1分；②相关管理制度是否合法、合规、完整0.5分；③相关管理制度是否得到有效执行0.5分。</w:t>
            </w:r>
          </w:p>
        </w:tc>
        <w:tc>
          <w:tcPr>
            <w:tcW w:w="528" w:type="pct"/>
            <w:shd w:val="clear" w:color="auto" w:fill="auto"/>
            <w:vAlign w:val="center"/>
          </w:tcPr>
          <w:p>
            <w:pPr>
              <w:overflowPunct/>
              <w:autoSpaceDE/>
              <w:autoSpaceDN/>
              <w:adjustRightInd/>
              <w:rPr>
                <w:rFonts w:ascii="宋体" w:hAnsi="宋体" w:eastAsia="宋体" w:cs="Calibri"/>
                <w:sz w:val="15"/>
                <w:szCs w:val="15"/>
              </w:rPr>
            </w:pPr>
            <w:r>
              <w:rPr>
                <w:rFonts w:hint="eastAsia" w:ascii="宋体" w:hAnsi="宋体" w:eastAsia="宋体" w:cs="Calibri"/>
                <w:sz w:val="15"/>
                <w:szCs w:val="15"/>
              </w:rPr>
              <w:t>财务管理相关制度及执行情况等。</w:t>
            </w:r>
          </w:p>
        </w:tc>
        <w:tc>
          <w:tcPr>
            <w:tcW w:w="251" w:type="pct"/>
            <w:shd w:val="clear" w:color="auto" w:fill="auto"/>
            <w:vAlign w:val="center"/>
          </w:tcPr>
          <w:p>
            <w:pPr>
              <w:overflowPunct/>
              <w:autoSpaceDE/>
              <w:autoSpaceDN/>
              <w:adjustRightInd/>
              <w:jc w:val="center"/>
              <w:rPr>
                <w:rFonts w:ascii="宋体" w:hAnsi="宋体" w:eastAsia="宋体" w:cs="Calibri"/>
                <w:sz w:val="15"/>
                <w:szCs w:val="15"/>
              </w:rPr>
            </w:pPr>
            <w:r>
              <w:rPr>
                <w:rFonts w:hint="eastAsia" w:ascii="宋体" w:hAnsi="宋体" w:eastAsia="宋体" w:cs="Calibri"/>
                <w:sz w:val="15"/>
                <w:szCs w:val="15"/>
              </w:rPr>
              <w:t>2</w:t>
            </w:r>
          </w:p>
        </w:tc>
        <w:tc>
          <w:tcPr>
            <w:tcW w:w="251" w:type="pct"/>
            <w:shd w:val="clear" w:color="auto" w:fill="auto"/>
            <w:vAlign w:val="center"/>
          </w:tcPr>
          <w:p>
            <w:pPr>
              <w:overflowPunct/>
              <w:autoSpaceDE/>
              <w:autoSpaceDN/>
              <w:adjustRightInd/>
              <w:jc w:val="center"/>
              <w:rPr>
                <w:rFonts w:ascii="宋体" w:hAnsi="宋体" w:eastAsia="宋体" w:cs="Calibri"/>
                <w:sz w:val="15"/>
                <w:szCs w:val="15"/>
              </w:rPr>
            </w:pPr>
          </w:p>
        </w:tc>
        <w:tc>
          <w:tcPr>
            <w:tcW w:w="1103" w:type="pct"/>
            <w:shd w:val="clear" w:color="auto" w:fill="auto"/>
            <w:vAlign w:val="center"/>
          </w:tcPr>
          <w:p>
            <w:pPr>
              <w:overflowPunct/>
              <w:autoSpaceDE/>
              <w:autoSpaceDN/>
              <w:adjustRightInd/>
              <w:jc w:val="left"/>
              <w:rPr>
                <w:rFonts w:ascii="宋体" w:hAnsi="宋体" w:eastAsia="宋体" w:cs="Calibri"/>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324" w:type="pct"/>
            <w:vMerge w:val="continue"/>
            <w:vAlign w:val="center"/>
          </w:tcPr>
          <w:p>
            <w:pPr>
              <w:overflowPunct/>
              <w:autoSpaceDE/>
              <w:autoSpaceDN/>
              <w:adjustRightInd/>
              <w:jc w:val="left"/>
              <w:rPr>
                <w:rFonts w:ascii="宋体" w:hAnsi="宋体" w:eastAsia="宋体" w:cs="Calibri"/>
                <w:sz w:val="15"/>
                <w:szCs w:val="15"/>
              </w:rPr>
            </w:pPr>
          </w:p>
        </w:tc>
        <w:tc>
          <w:tcPr>
            <w:tcW w:w="336" w:type="pct"/>
            <w:vMerge w:val="continue"/>
            <w:vAlign w:val="center"/>
          </w:tcPr>
          <w:p>
            <w:pPr>
              <w:overflowPunct/>
              <w:autoSpaceDE/>
              <w:autoSpaceDN/>
              <w:adjustRightInd/>
              <w:jc w:val="left"/>
              <w:rPr>
                <w:rFonts w:ascii="宋体" w:hAnsi="宋体" w:eastAsia="宋体" w:cs="Calibri"/>
                <w:sz w:val="15"/>
                <w:szCs w:val="15"/>
              </w:rPr>
            </w:pPr>
          </w:p>
        </w:tc>
        <w:tc>
          <w:tcPr>
            <w:tcW w:w="527" w:type="pct"/>
            <w:shd w:val="clear" w:color="auto" w:fill="auto"/>
            <w:vAlign w:val="center"/>
          </w:tcPr>
          <w:p>
            <w:pPr>
              <w:overflowPunct/>
              <w:autoSpaceDE/>
              <w:autoSpaceDN/>
              <w:adjustRightInd/>
              <w:jc w:val="left"/>
              <w:rPr>
                <w:rFonts w:ascii="宋体" w:hAnsi="宋体" w:eastAsia="宋体" w:cs="Calibri"/>
                <w:sz w:val="15"/>
                <w:szCs w:val="15"/>
              </w:rPr>
            </w:pPr>
            <w:r>
              <w:rPr>
                <w:rFonts w:hint="eastAsia" w:ascii="宋体" w:hAnsi="宋体" w:eastAsia="宋体" w:cs="Calibri"/>
                <w:sz w:val="15"/>
                <w:szCs w:val="15"/>
              </w:rPr>
              <w:t>2.资金使用合规性（2分）</w:t>
            </w:r>
          </w:p>
        </w:tc>
        <w:tc>
          <w:tcPr>
            <w:tcW w:w="240" w:type="pct"/>
            <w:shd w:val="clear" w:color="auto" w:fill="auto"/>
            <w:vAlign w:val="center"/>
          </w:tcPr>
          <w:p>
            <w:pPr>
              <w:overflowPunct/>
              <w:autoSpaceDE/>
              <w:autoSpaceDN/>
              <w:adjustRightInd/>
              <w:jc w:val="center"/>
              <w:rPr>
                <w:rFonts w:ascii="宋体" w:hAnsi="宋体" w:eastAsia="宋体" w:cs="宋体"/>
                <w:sz w:val="18"/>
                <w:szCs w:val="18"/>
              </w:rPr>
            </w:pPr>
            <w:r>
              <w:rPr>
                <w:rFonts w:hint="eastAsia" w:ascii="宋体" w:hAnsi="宋体" w:eastAsia="宋体" w:cs="宋体"/>
                <w:sz w:val="18"/>
                <w:szCs w:val="18"/>
              </w:rPr>
              <w:t>2</w:t>
            </w:r>
          </w:p>
        </w:tc>
        <w:tc>
          <w:tcPr>
            <w:tcW w:w="671" w:type="pct"/>
            <w:shd w:val="clear" w:color="auto" w:fill="auto"/>
            <w:vAlign w:val="center"/>
          </w:tcPr>
          <w:p>
            <w:pPr>
              <w:overflowPunct/>
              <w:autoSpaceDE/>
              <w:autoSpaceDN/>
              <w:adjustRightInd/>
              <w:rPr>
                <w:rFonts w:ascii="宋体" w:hAnsi="宋体" w:eastAsia="宋体" w:cs="Calibri"/>
                <w:sz w:val="15"/>
                <w:szCs w:val="15"/>
              </w:rPr>
            </w:pPr>
            <w:r>
              <w:rPr>
                <w:rFonts w:hint="eastAsia" w:ascii="宋体" w:hAnsi="宋体" w:eastAsia="宋体" w:cs="Calibri"/>
                <w:sz w:val="15"/>
                <w:szCs w:val="15"/>
              </w:rPr>
              <w:t>部门使用预算资金是否符合相关财务管理制度的规定，用以反映和考核部门预算资金的规范运行情况。</w:t>
            </w:r>
          </w:p>
        </w:tc>
        <w:tc>
          <w:tcPr>
            <w:tcW w:w="769" w:type="pct"/>
            <w:shd w:val="clear" w:color="auto" w:fill="auto"/>
            <w:vAlign w:val="center"/>
          </w:tcPr>
          <w:p>
            <w:pPr>
              <w:overflowPunct/>
              <w:autoSpaceDE/>
              <w:autoSpaceDN/>
              <w:adjustRightInd/>
              <w:rPr>
                <w:rFonts w:ascii="宋体" w:hAnsi="宋体" w:eastAsia="宋体" w:cs="Calibri"/>
                <w:sz w:val="15"/>
                <w:szCs w:val="15"/>
              </w:rPr>
            </w:pPr>
            <w:r>
              <w:rPr>
                <w:rFonts w:hint="eastAsia" w:ascii="宋体" w:hAnsi="宋体" w:eastAsia="宋体" w:cs="Calibri"/>
                <w:sz w:val="15"/>
                <w:szCs w:val="15"/>
              </w:rPr>
              <w:t>①符合国家财经法规和财务管理制度规定以及有关专项资金管理办法的规定,0.5分；②资金的拨付有完整的审批程序和手续，0.5分；③项目的重大开支经过专题论证，1分；④符合部门预算批复的用途，0分；⑤是否存在截留、挤占、挪用、虚列支出等情况，一旦存在该指标不得分。</w:t>
            </w:r>
          </w:p>
        </w:tc>
        <w:tc>
          <w:tcPr>
            <w:tcW w:w="528" w:type="pct"/>
            <w:shd w:val="clear" w:color="auto" w:fill="auto"/>
            <w:vAlign w:val="center"/>
          </w:tcPr>
          <w:p>
            <w:pPr>
              <w:overflowPunct/>
              <w:autoSpaceDE/>
              <w:autoSpaceDN/>
              <w:adjustRightInd/>
              <w:rPr>
                <w:rFonts w:ascii="宋体" w:hAnsi="宋体" w:eastAsia="宋体" w:cs="Calibri"/>
                <w:sz w:val="15"/>
                <w:szCs w:val="15"/>
              </w:rPr>
            </w:pPr>
            <w:r>
              <w:rPr>
                <w:rFonts w:hint="eastAsia" w:ascii="宋体" w:hAnsi="宋体" w:eastAsia="宋体" w:cs="Calibri"/>
                <w:sz w:val="15"/>
                <w:szCs w:val="15"/>
              </w:rPr>
              <w:t>资金支出相关凭证、流程梳理等</w:t>
            </w:r>
          </w:p>
        </w:tc>
        <w:tc>
          <w:tcPr>
            <w:tcW w:w="251" w:type="pct"/>
            <w:shd w:val="clear" w:color="auto" w:fill="auto"/>
            <w:vAlign w:val="center"/>
          </w:tcPr>
          <w:p>
            <w:pPr>
              <w:overflowPunct/>
              <w:autoSpaceDE/>
              <w:autoSpaceDN/>
              <w:adjustRightInd/>
              <w:jc w:val="center"/>
              <w:rPr>
                <w:rFonts w:ascii="宋体" w:hAnsi="宋体" w:eastAsia="宋体" w:cs="宋体"/>
                <w:sz w:val="15"/>
                <w:szCs w:val="15"/>
              </w:rPr>
            </w:pPr>
            <w:r>
              <w:rPr>
                <w:rFonts w:hint="eastAsia" w:ascii="宋体" w:hAnsi="宋体" w:eastAsia="宋体" w:cs="宋体"/>
                <w:sz w:val="15"/>
                <w:szCs w:val="15"/>
              </w:rPr>
              <w:t>2</w:t>
            </w:r>
          </w:p>
        </w:tc>
        <w:tc>
          <w:tcPr>
            <w:tcW w:w="251" w:type="pct"/>
            <w:shd w:val="clear" w:color="auto" w:fill="auto"/>
            <w:vAlign w:val="center"/>
          </w:tcPr>
          <w:p>
            <w:pPr>
              <w:overflowPunct/>
              <w:autoSpaceDE/>
              <w:autoSpaceDN/>
              <w:adjustRightInd/>
              <w:jc w:val="center"/>
              <w:rPr>
                <w:rFonts w:ascii="宋体" w:hAnsi="宋体" w:eastAsia="宋体" w:cs="宋体"/>
                <w:sz w:val="15"/>
                <w:szCs w:val="15"/>
              </w:rPr>
            </w:pPr>
          </w:p>
        </w:tc>
        <w:tc>
          <w:tcPr>
            <w:tcW w:w="1103" w:type="pct"/>
            <w:shd w:val="clear" w:color="auto" w:fill="auto"/>
            <w:vAlign w:val="center"/>
          </w:tcPr>
          <w:p>
            <w:pPr>
              <w:overflowPunct/>
              <w:autoSpaceDE/>
              <w:autoSpaceDN/>
              <w:adjustRightInd/>
              <w:jc w:val="left"/>
              <w:rPr>
                <w:rFonts w:ascii="宋体" w:hAnsi="宋体" w:eastAsia="宋体" w:cs="Calibri"/>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324" w:type="pct"/>
            <w:vMerge w:val="continue"/>
            <w:vAlign w:val="center"/>
          </w:tcPr>
          <w:p>
            <w:pPr>
              <w:overflowPunct/>
              <w:autoSpaceDE/>
              <w:autoSpaceDN/>
              <w:adjustRightInd/>
              <w:jc w:val="left"/>
              <w:rPr>
                <w:rFonts w:ascii="宋体" w:hAnsi="宋体" w:eastAsia="宋体" w:cs="Calibri"/>
                <w:sz w:val="15"/>
                <w:szCs w:val="15"/>
              </w:rPr>
            </w:pPr>
          </w:p>
        </w:tc>
        <w:tc>
          <w:tcPr>
            <w:tcW w:w="336" w:type="pct"/>
            <w:vMerge w:val="continue"/>
            <w:vAlign w:val="center"/>
          </w:tcPr>
          <w:p>
            <w:pPr>
              <w:overflowPunct/>
              <w:autoSpaceDE/>
              <w:autoSpaceDN/>
              <w:adjustRightInd/>
              <w:jc w:val="left"/>
              <w:rPr>
                <w:rFonts w:ascii="宋体" w:hAnsi="宋体" w:eastAsia="宋体" w:cs="Calibri"/>
                <w:sz w:val="15"/>
                <w:szCs w:val="15"/>
              </w:rPr>
            </w:pPr>
          </w:p>
        </w:tc>
        <w:tc>
          <w:tcPr>
            <w:tcW w:w="527" w:type="pct"/>
            <w:shd w:val="clear" w:color="auto" w:fill="auto"/>
            <w:vAlign w:val="center"/>
          </w:tcPr>
          <w:p>
            <w:pPr>
              <w:overflowPunct/>
              <w:autoSpaceDE/>
              <w:autoSpaceDN/>
              <w:adjustRightInd/>
              <w:jc w:val="left"/>
              <w:rPr>
                <w:rFonts w:ascii="宋体" w:hAnsi="宋体" w:eastAsia="宋体" w:cs="Calibri"/>
                <w:sz w:val="15"/>
                <w:szCs w:val="15"/>
              </w:rPr>
            </w:pPr>
            <w:r>
              <w:rPr>
                <w:rFonts w:hint="eastAsia" w:ascii="宋体" w:hAnsi="宋体" w:eastAsia="宋体" w:cs="Calibri"/>
                <w:sz w:val="15"/>
                <w:szCs w:val="15"/>
              </w:rPr>
              <w:t>3.财务监控的有效性（1分）</w:t>
            </w:r>
          </w:p>
        </w:tc>
        <w:tc>
          <w:tcPr>
            <w:tcW w:w="240" w:type="pct"/>
            <w:shd w:val="clear" w:color="auto" w:fill="auto"/>
            <w:vAlign w:val="center"/>
          </w:tcPr>
          <w:p>
            <w:pPr>
              <w:overflowPunct/>
              <w:autoSpaceDE/>
              <w:autoSpaceDN/>
              <w:adjustRightInd/>
              <w:jc w:val="center"/>
              <w:rPr>
                <w:rFonts w:ascii="宋体" w:hAnsi="宋体" w:eastAsia="宋体" w:cs="宋体"/>
                <w:sz w:val="18"/>
                <w:szCs w:val="18"/>
              </w:rPr>
            </w:pPr>
            <w:r>
              <w:rPr>
                <w:rFonts w:hint="eastAsia" w:ascii="宋体" w:hAnsi="宋体" w:eastAsia="宋体" w:cs="宋体"/>
                <w:sz w:val="18"/>
                <w:szCs w:val="18"/>
              </w:rPr>
              <w:t>1</w:t>
            </w:r>
          </w:p>
        </w:tc>
        <w:tc>
          <w:tcPr>
            <w:tcW w:w="671" w:type="pct"/>
            <w:shd w:val="clear" w:color="auto" w:fill="auto"/>
            <w:vAlign w:val="center"/>
          </w:tcPr>
          <w:p>
            <w:pPr>
              <w:overflowPunct/>
              <w:autoSpaceDE/>
              <w:autoSpaceDN/>
              <w:adjustRightInd/>
              <w:rPr>
                <w:rFonts w:ascii="宋体" w:hAnsi="宋体" w:eastAsia="宋体" w:cs="Calibri"/>
                <w:sz w:val="15"/>
                <w:szCs w:val="15"/>
              </w:rPr>
            </w:pPr>
            <w:r>
              <w:rPr>
                <w:rFonts w:hint="eastAsia" w:ascii="宋体" w:hAnsi="宋体" w:eastAsia="宋体" w:cs="Calibri"/>
                <w:sz w:val="15"/>
                <w:szCs w:val="15"/>
              </w:rPr>
              <w:t>用以反映部门财务监控监督工作的有效性，包括监控、监督措施的制定及执行等方面。</w:t>
            </w:r>
          </w:p>
        </w:tc>
        <w:tc>
          <w:tcPr>
            <w:tcW w:w="769" w:type="pct"/>
            <w:shd w:val="clear" w:color="auto" w:fill="auto"/>
            <w:vAlign w:val="center"/>
          </w:tcPr>
          <w:p>
            <w:pPr>
              <w:overflowPunct/>
              <w:autoSpaceDE/>
              <w:autoSpaceDN/>
              <w:adjustRightInd/>
              <w:rPr>
                <w:rFonts w:ascii="宋体" w:hAnsi="宋体" w:eastAsia="宋体" w:cs="Calibri"/>
                <w:sz w:val="15"/>
                <w:szCs w:val="15"/>
              </w:rPr>
            </w:pPr>
            <w:r>
              <w:rPr>
                <w:rFonts w:hint="eastAsia" w:ascii="宋体" w:hAnsi="宋体" w:eastAsia="宋体" w:cs="Calibri"/>
                <w:sz w:val="15"/>
                <w:szCs w:val="15"/>
              </w:rPr>
              <w:t>①制定明确的财务监控监督措施，得0.5分；②监控、监督措施执行有效，得0.5分；</w:t>
            </w:r>
          </w:p>
        </w:tc>
        <w:tc>
          <w:tcPr>
            <w:tcW w:w="528" w:type="pct"/>
            <w:shd w:val="clear" w:color="auto" w:fill="auto"/>
            <w:vAlign w:val="center"/>
          </w:tcPr>
          <w:p>
            <w:pPr>
              <w:overflowPunct/>
              <w:autoSpaceDE/>
              <w:autoSpaceDN/>
              <w:adjustRightInd/>
              <w:rPr>
                <w:rFonts w:ascii="宋体" w:hAnsi="宋体" w:eastAsia="宋体" w:cs="Calibri"/>
                <w:sz w:val="15"/>
                <w:szCs w:val="15"/>
              </w:rPr>
            </w:pPr>
            <w:r>
              <w:rPr>
                <w:rFonts w:hint="eastAsia" w:ascii="宋体" w:hAnsi="宋体" w:eastAsia="宋体" w:cs="Calibri"/>
                <w:sz w:val="15"/>
                <w:szCs w:val="15"/>
              </w:rPr>
              <w:t>财务监控监督相关办法及条款，实际执行情况资料</w:t>
            </w:r>
          </w:p>
        </w:tc>
        <w:tc>
          <w:tcPr>
            <w:tcW w:w="251" w:type="pct"/>
            <w:shd w:val="clear" w:color="auto" w:fill="auto"/>
            <w:vAlign w:val="center"/>
          </w:tcPr>
          <w:p>
            <w:pPr>
              <w:overflowPunct/>
              <w:autoSpaceDE/>
              <w:autoSpaceDN/>
              <w:adjustRightInd/>
              <w:jc w:val="center"/>
              <w:rPr>
                <w:rFonts w:ascii="宋体" w:hAnsi="宋体" w:eastAsia="宋体" w:cs="宋体"/>
                <w:sz w:val="15"/>
                <w:szCs w:val="15"/>
              </w:rPr>
            </w:pPr>
            <w:r>
              <w:rPr>
                <w:rFonts w:hint="eastAsia" w:ascii="宋体" w:hAnsi="宋体" w:eastAsia="宋体" w:cs="宋体"/>
                <w:sz w:val="15"/>
                <w:szCs w:val="15"/>
              </w:rPr>
              <w:t>1</w:t>
            </w:r>
          </w:p>
        </w:tc>
        <w:tc>
          <w:tcPr>
            <w:tcW w:w="251" w:type="pct"/>
            <w:shd w:val="clear" w:color="auto" w:fill="auto"/>
            <w:vAlign w:val="center"/>
          </w:tcPr>
          <w:p>
            <w:pPr>
              <w:overflowPunct/>
              <w:autoSpaceDE/>
              <w:autoSpaceDN/>
              <w:adjustRightInd/>
              <w:jc w:val="center"/>
              <w:rPr>
                <w:rFonts w:ascii="宋体" w:hAnsi="宋体" w:eastAsia="宋体" w:cs="宋体"/>
                <w:sz w:val="15"/>
                <w:szCs w:val="15"/>
              </w:rPr>
            </w:pPr>
          </w:p>
        </w:tc>
        <w:tc>
          <w:tcPr>
            <w:tcW w:w="1103" w:type="pct"/>
            <w:shd w:val="clear" w:color="auto" w:fill="auto"/>
            <w:vAlign w:val="center"/>
          </w:tcPr>
          <w:p>
            <w:pPr>
              <w:overflowPunct/>
              <w:autoSpaceDE/>
              <w:autoSpaceDN/>
              <w:adjustRightInd/>
              <w:jc w:val="left"/>
              <w:rPr>
                <w:rFonts w:ascii="宋体" w:hAnsi="宋体" w:eastAsia="宋体" w:cs="Calibri"/>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324" w:type="pct"/>
            <w:vMerge w:val="continue"/>
            <w:vAlign w:val="center"/>
          </w:tcPr>
          <w:p>
            <w:pPr>
              <w:overflowPunct/>
              <w:autoSpaceDE/>
              <w:autoSpaceDN/>
              <w:adjustRightInd/>
              <w:jc w:val="left"/>
              <w:rPr>
                <w:rFonts w:ascii="宋体" w:hAnsi="宋体" w:eastAsia="宋体" w:cs="Calibri"/>
                <w:sz w:val="15"/>
                <w:szCs w:val="15"/>
              </w:rPr>
            </w:pPr>
          </w:p>
        </w:tc>
        <w:tc>
          <w:tcPr>
            <w:tcW w:w="336" w:type="pct"/>
            <w:vMerge w:val="restart"/>
            <w:shd w:val="clear" w:color="auto" w:fill="auto"/>
            <w:vAlign w:val="center"/>
          </w:tcPr>
          <w:p>
            <w:pPr>
              <w:overflowPunct/>
              <w:autoSpaceDE/>
              <w:autoSpaceDN/>
              <w:adjustRightInd/>
              <w:jc w:val="left"/>
              <w:rPr>
                <w:rFonts w:ascii="宋体" w:hAnsi="宋体" w:eastAsia="宋体" w:cs="Calibri"/>
                <w:sz w:val="15"/>
                <w:szCs w:val="15"/>
              </w:rPr>
            </w:pPr>
            <w:r>
              <w:rPr>
                <w:rFonts w:hint="eastAsia" w:ascii="宋体" w:hAnsi="宋体" w:eastAsia="宋体" w:cs="Calibri"/>
                <w:sz w:val="15"/>
                <w:szCs w:val="15"/>
              </w:rPr>
              <w:t>3.资产管理（5分）</w:t>
            </w:r>
          </w:p>
        </w:tc>
        <w:tc>
          <w:tcPr>
            <w:tcW w:w="527" w:type="pct"/>
            <w:shd w:val="clear" w:color="auto" w:fill="auto"/>
            <w:vAlign w:val="center"/>
          </w:tcPr>
          <w:p>
            <w:pPr>
              <w:overflowPunct/>
              <w:autoSpaceDE/>
              <w:autoSpaceDN/>
              <w:adjustRightInd/>
              <w:jc w:val="left"/>
              <w:rPr>
                <w:rFonts w:ascii="宋体" w:hAnsi="宋体" w:eastAsia="宋体" w:cs="Calibri"/>
                <w:sz w:val="15"/>
                <w:szCs w:val="15"/>
              </w:rPr>
            </w:pPr>
            <w:r>
              <w:rPr>
                <w:rFonts w:hint="eastAsia" w:ascii="宋体" w:hAnsi="宋体" w:eastAsia="宋体" w:cs="Calibri"/>
                <w:sz w:val="15"/>
                <w:szCs w:val="15"/>
              </w:rPr>
              <w:t>1.资产管理制度健全性及执行情况（3分）</w:t>
            </w:r>
          </w:p>
        </w:tc>
        <w:tc>
          <w:tcPr>
            <w:tcW w:w="240" w:type="pct"/>
            <w:shd w:val="clear" w:color="auto" w:fill="auto"/>
            <w:vAlign w:val="center"/>
          </w:tcPr>
          <w:p>
            <w:pPr>
              <w:overflowPunct/>
              <w:autoSpaceDE/>
              <w:autoSpaceDN/>
              <w:adjustRightInd/>
              <w:jc w:val="center"/>
              <w:rPr>
                <w:rFonts w:ascii="宋体" w:hAnsi="宋体" w:eastAsia="宋体" w:cs="Calibri"/>
                <w:sz w:val="18"/>
                <w:szCs w:val="18"/>
              </w:rPr>
            </w:pPr>
            <w:r>
              <w:rPr>
                <w:rFonts w:hint="eastAsia" w:ascii="宋体" w:hAnsi="宋体" w:eastAsia="宋体" w:cs="Calibri"/>
                <w:sz w:val="18"/>
                <w:szCs w:val="18"/>
              </w:rPr>
              <w:t>3</w:t>
            </w:r>
          </w:p>
        </w:tc>
        <w:tc>
          <w:tcPr>
            <w:tcW w:w="671" w:type="pct"/>
            <w:shd w:val="clear" w:color="auto" w:fill="auto"/>
            <w:vAlign w:val="center"/>
          </w:tcPr>
          <w:p>
            <w:pPr>
              <w:overflowPunct/>
              <w:autoSpaceDE/>
              <w:autoSpaceDN/>
              <w:adjustRightInd/>
              <w:jc w:val="left"/>
              <w:rPr>
                <w:rFonts w:ascii="宋体" w:hAnsi="宋体" w:eastAsia="宋体" w:cs="Calibri"/>
                <w:sz w:val="15"/>
                <w:szCs w:val="15"/>
              </w:rPr>
            </w:pPr>
            <w:r>
              <w:rPr>
                <w:rFonts w:hint="eastAsia" w:ascii="宋体" w:hAnsi="宋体" w:eastAsia="宋体" w:cs="Calibri"/>
                <w:sz w:val="15"/>
                <w:szCs w:val="15"/>
              </w:rPr>
              <w:t>部门为加强资产管理、规范资产使用而制定的资产管理制度是否健全完整，用以反映和考核部门资产管理制度对完成主要职责或促进事业发展的保障情况。</w:t>
            </w:r>
          </w:p>
        </w:tc>
        <w:tc>
          <w:tcPr>
            <w:tcW w:w="769" w:type="pct"/>
            <w:shd w:val="clear" w:color="auto" w:fill="auto"/>
            <w:vAlign w:val="center"/>
          </w:tcPr>
          <w:p>
            <w:pPr>
              <w:overflowPunct/>
              <w:autoSpaceDE/>
              <w:autoSpaceDN/>
              <w:adjustRightInd/>
              <w:jc w:val="left"/>
              <w:rPr>
                <w:rFonts w:ascii="宋体" w:hAnsi="宋体" w:eastAsia="宋体" w:cs="Calibri"/>
                <w:sz w:val="15"/>
                <w:szCs w:val="15"/>
              </w:rPr>
            </w:pPr>
            <w:r>
              <w:rPr>
                <w:rFonts w:hint="eastAsia" w:ascii="宋体" w:hAnsi="宋体" w:eastAsia="宋体" w:cs="Calibri"/>
                <w:sz w:val="15"/>
                <w:szCs w:val="15"/>
              </w:rPr>
              <w:t>①是否已制定或具有固定资产管理办法、资产使用办法等管理制度，得1分；②相关管理制度是否合法、合规、完整，得1分；③相关管理制度是否得到有效执行，得1分。</w:t>
            </w:r>
          </w:p>
        </w:tc>
        <w:tc>
          <w:tcPr>
            <w:tcW w:w="528" w:type="pct"/>
            <w:shd w:val="clear" w:color="auto" w:fill="auto"/>
            <w:vAlign w:val="center"/>
          </w:tcPr>
          <w:p>
            <w:pPr>
              <w:overflowPunct/>
              <w:autoSpaceDE/>
              <w:autoSpaceDN/>
              <w:adjustRightInd/>
              <w:jc w:val="left"/>
              <w:rPr>
                <w:rFonts w:ascii="宋体" w:hAnsi="宋体" w:eastAsia="宋体" w:cs="Calibri"/>
                <w:sz w:val="15"/>
                <w:szCs w:val="15"/>
              </w:rPr>
            </w:pPr>
            <w:r>
              <w:rPr>
                <w:rFonts w:hint="eastAsia" w:ascii="宋体" w:hAnsi="宋体" w:eastAsia="宋体" w:cs="Calibri"/>
                <w:sz w:val="15"/>
                <w:szCs w:val="15"/>
              </w:rPr>
              <w:t>资产管理相关办法</w:t>
            </w:r>
          </w:p>
        </w:tc>
        <w:tc>
          <w:tcPr>
            <w:tcW w:w="251" w:type="pct"/>
            <w:shd w:val="clear" w:color="auto" w:fill="auto"/>
            <w:vAlign w:val="center"/>
          </w:tcPr>
          <w:p>
            <w:pPr>
              <w:overflowPunct/>
              <w:autoSpaceDE/>
              <w:autoSpaceDN/>
              <w:adjustRightInd/>
              <w:jc w:val="center"/>
              <w:rPr>
                <w:rFonts w:ascii="宋体" w:hAnsi="宋体" w:eastAsia="宋体" w:cs="Calibri"/>
                <w:sz w:val="15"/>
                <w:szCs w:val="15"/>
              </w:rPr>
            </w:pPr>
            <w:r>
              <w:rPr>
                <w:rFonts w:hint="eastAsia" w:ascii="宋体" w:hAnsi="宋体" w:eastAsia="宋体" w:cs="Calibri"/>
                <w:sz w:val="15"/>
                <w:szCs w:val="15"/>
              </w:rPr>
              <w:t>3</w:t>
            </w:r>
          </w:p>
        </w:tc>
        <w:tc>
          <w:tcPr>
            <w:tcW w:w="251" w:type="pct"/>
            <w:shd w:val="clear" w:color="auto" w:fill="auto"/>
            <w:vAlign w:val="center"/>
          </w:tcPr>
          <w:p>
            <w:pPr>
              <w:overflowPunct/>
              <w:autoSpaceDE/>
              <w:autoSpaceDN/>
              <w:adjustRightInd/>
              <w:jc w:val="center"/>
              <w:rPr>
                <w:rFonts w:ascii="宋体" w:hAnsi="宋体" w:eastAsia="宋体" w:cs="Calibri"/>
                <w:sz w:val="15"/>
                <w:szCs w:val="15"/>
              </w:rPr>
            </w:pPr>
          </w:p>
        </w:tc>
        <w:tc>
          <w:tcPr>
            <w:tcW w:w="1103" w:type="pct"/>
            <w:shd w:val="clear" w:color="auto" w:fill="auto"/>
            <w:vAlign w:val="center"/>
          </w:tcPr>
          <w:p>
            <w:pPr>
              <w:overflowPunct/>
              <w:autoSpaceDE/>
              <w:autoSpaceDN/>
              <w:adjustRightInd/>
              <w:jc w:val="left"/>
              <w:rPr>
                <w:rFonts w:ascii="宋体" w:hAnsi="宋体" w:eastAsia="宋体" w:cs="Calibri"/>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324" w:type="pct"/>
            <w:vMerge w:val="continue"/>
            <w:vAlign w:val="center"/>
          </w:tcPr>
          <w:p>
            <w:pPr>
              <w:overflowPunct/>
              <w:autoSpaceDE/>
              <w:autoSpaceDN/>
              <w:adjustRightInd/>
              <w:jc w:val="left"/>
              <w:rPr>
                <w:rFonts w:ascii="宋体" w:hAnsi="宋体" w:eastAsia="宋体" w:cs="Calibri"/>
                <w:sz w:val="15"/>
                <w:szCs w:val="15"/>
              </w:rPr>
            </w:pPr>
          </w:p>
        </w:tc>
        <w:tc>
          <w:tcPr>
            <w:tcW w:w="336" w:type="pct"/>
            <w:vMerge w:val="continue"/>
            <w:vAlign w:val="center"/>
          </w:tcPr>
          <w:p>
            <w:pPr>
              <w:overflowPunct/>
              <w:autoSpaceDE/>
              <w:autoSpaceDN/>
              <w:adjustRightInd/>
              <w:jc w:val="left"/>
              <w:rPr>
                <w:rFonts w:ascii="宋体" w:hAnsi="宋体" w:eastAsia="宋体" w:cs="Calibri"/>
                <w:sz w:val="15"/>
                <w:szCs w:val="15"/>
              </w:rPr>
            </w:pPr>
          </w:p>
        </w:tc>
        <w:tc>
          <w:tcPr>
            <w:tcW w:w="527" w:type="pct"/>
            <w:shd w:val="clear" w:color="auto" w:fill="auto"/>
            <w:vAlign w:val="center"/>
          </w:tcPr>
          <w:p>
            <w:pPr>
              <w:overflowPunct/>
              <w:autoSpaceDE/>
              <w:autoSpaceDN/>
              <w:adjustRightInd/>
              <w:jc w:val="left"/>
              <w:rPr>
                <w:rFonts w:ascii="宋体" w:hAnsi="宋体" w:eastAsia="宋体" w:cs="Calibri"/>
                <w:sz w:val="15"/>
                <w:szCs w:val="15"/>
              </w:rPr>
            </w:pPr>
            <w:r>
              <w:rPr>
                <w:rFonts w:hint="eastAsia" w:ascii="宋体" w:hAnsi="宋体" w:eastAsia="宋体" w:cs="Calibri"/>
                <w:sz w:val="15"/>
                <w:szCs w:val="15"/>
              </w:rPr>
              <w:t>2.固定资产在用率（2分）</w:t>
            </w:r>
          </w:p>
        </w:tc>
        <w:tc>
          <w:tcPr>
            <w:tcW w:w="240" w:type="pct"/>
            <w:shd w:val="clear" w:color="auto" w:fill="auto"/>
            <w:vAlign w:val="center"/>
          </w:tcPr>
          <w:p>
            <w:pPr>
              <w:overflowPunct/>
              <w:autoSpaceDE/>
              <w:autoSpaceDN/>
              <w:adjustRightInd/>
              <w:jc w:val="center"/>
              <w:rPr>
                <w:rFonts w:ascii="宋体" w:hAnsi="宋体" w:eastAsia="宋体" w:cs="宋体"/>
                <w:sz w:val="18"/>
                <w:szCs w:val="18"/>
              </w:rPr>
            </w:pPr>
            <w:r>
              <w:rPr>
                <w:rFonts w:hint="eastAsia" w:ascii="宋体" w:hAnsi="宋体" w:eastAsia="宋体" w:cs="宋体"/>
                <w:sz w:val="18"/>
                <w:szCs w:val="18"/>
              </w:rPr>
              <w:t>2</w:t>
            </w:r>
          </w:p>
        </w:tc>
        <w:tc>
          <w:tcPr>
            <w:tcW w:w="671" w:type="pct"/>
            <w:shd w:val="clear" w:color="auto" w:fill="auto"/>
            <w:vAlign w:val="center"/>
          </w:tcPr>
          <w:p>
            <w:pPr>
              <w:overflowPunct/>
              <w:autoSpaceDE/>
              <w:autoSpaceDN/>
              <w:adjustRightInd/>
              <w:jc w:val="left"/>
              <w:rPr>
                <w:rFonts w:ascii="宋体" w:hAnsi="宋体" w:eastAsia="宋体" w:cs="Calibri"/>
                <w:sz w:val="15"/>
                <w:szCs w:val="15"/>
              </w:rPr>
            </w:pPr>
            <w:r>
              <w:rPr>
                <w:rFonts w:hint="eastAsia" w:ascii="宋体" w:hAnsi="宋体" w:eastAsia="宋体" w:cs="Calibri"/>
                <w:sz w:val="15"/>
                <w:szCs w:val="15"/>
              </w:rPr>
              <w:t>部门实际在用固定资产总额与所有固定资产总额的比率，用以反映和考核部门固定资产使用效率及程度。</w:t>
            </w:r>
          </w:p>
        </w:tc>
        <w:tc>
          <w:tcPr>
            <w:tcW w:w="769" w:type="pct"/>
            <w:shd w:val="clear" w:color="auto" w:fill="auto"/>
            <w:vAlign w:val="center"/>
          </w:tcPr>
          <w:p>
            <w:pPr>
              <w:overflowPunct/>
              <w:autoSpaceDE/>
              <w:autoSpaceDN/>
              <w:adjustRightInd/>
              <w:jc w:val="left"/>
              <w:rPr>
                <w:rFonts w:ascii="宋体" w:hAnsi="宋体" w:eastAsia="宋体" w:cs="Calibri"/>
                <w:sz w:val="15"/>
                <w:szCs w:val="15"/>
              </w:rPr>
            </w:pPr>
            <w:r>
              <w:rPr>
                <w:rFonts w:hint="eastAsia" w:ascii="宋体" w:hAnsi="宋体" w:eastAsia="宋体" w:cs="Calibri"/>
                <w:sz w:val="15"/>
                <w:szCs w:val="15"/>
              </w:rPr>
              <w:t>固定资产在用率=（实际在用固定资产总额/所有固定资产总额）×100%。固定资产在用率达到95%以上得满分.每降低1%扣0.5分，扣完为止。</w:t>
            </w:r>
          </w:p>
        </w:tc>
        <w:tc>
          <w:tcPr>
            <w:tcW w:w="528" w:type="pct"/>
            <w:shd w:val="clear" w:color="auto" w:fill="auto"/>
            <w:vAlign w:val="center"/>
          </w:tcPr>
          <w:p>
            <w:pPr>
              <w:overflowPunct/>
              <w:autoSpaceDE/>
              <w:autoSpaceDN/>
              <w:adjustRightInd/>
              <w:jc w:val="left"/>
              <w:rPr>
                <w:rFonts w:ascii="宋体" w:hAnsi="宋体" w:eastAsia="宋体" w:cs="Calibri"/>
                <w:sz w:val="15"/>
                <w:szCs w:val="15"/>
              </w:rPr>
            </w:pPr>
            <w:r>
              <w:rPr>
                <w:rFonts w:hint="eastAsia" w:ascii="宋体" w:hAnsi="宋体" w:eastAsia="宋体" w:cs="Calibri"/>
                <w:sz w:val="15"/>
                <w:szCs w:val="15"/>
              </w:rPr>
              <w:t>固定资产卡片、固定资产使用信息等</w:t>
            </w:r>
          </w:p>
        </w:tc>
        <w:tc>
          <w:tcPr>
            <w:tcW w:w="251" w:type="pct"/>
            <w:shd w:val="clear" w:color="auto" w:fill="auto"/>
            <w:vAlign w:val="center"/>
          </w:tcPr>
          <w:p>
            <w:pPr>
              <w:overflowPunct/>
              <w:autoSpaceDE/>
              <w:autoSpaceDN/>
              <w:adjustRightInd/>
              <w:jc w:val="center"/>
              <w:rPr>
                <w:rFonts w:ascii="宋体" w:hAnsi="宋体" w:eastAsia="宋体" w:cs="宋体"/>
                <w:sz w:val="15"/>
                <w:szCs w:val="15"/>
              </w:rPr>
            </w:pPr>
            <w:r>
              <w:rPr>
                <w:rFonts w:hint="eastAsia" w:ascii="宋体" w:hAnsi="宋体" w:eastAsia="宋体" w:cs="宋体"/>
                <w:sz w:val="15"/>
                <w:szCs w:val="15"/>
              </w:rPr>
              <w:t>2</w:t>
            </w:r>
          </w:p>
        </w:tc>
        <w:tc>
          <w:tcPr>
            <w:tcW w:w="251" w:type="pct"/>
            <w:shd w:val="clear" w:color="auto" w:fill="auto"/>
            <w:vAlign w:val="center"/>
          </w:tcPr>
          <w:p>
            <w:pPr>
              <w:overflowPunct/>
              <w:autoSpaceDE/>
              <w:autoSpaceDN/>
              <w:adjustRightInd/>
              <w:jc w:val="center"/>
              <w:rPr>
                <w:rFonts w:ascii="宋体" w:hAnsi="宋体" w:eastAsia="宋体" w:cs="宋体"/>
                <w:sz w:val="15"/>
                <w:szCs w:val="15"/>
              </w:rPr>
            </w:pPr>
          </w:p>
        </w:tc>
        <w:tc>
          <w:tcPr>
            <w:tcW w:w="1103" w:type="pct"/>
            <w:shd w:val="clear" w:color="auto" w:fill="auto"/>
            <w:vAlign w:val="center"/>
          </w:tcPr>
          <w:p>
            <w:pPr>
              <w:overflowPunct/>
              <w:autoSpaceDE/>
              <w:autoSpaceDN/>
              <w:adjustRightInd/>
              <w:jc w:val="left"/>
              <w:rPr>
                <w:rFonts w:ascii="宋体" w:hAnsi="宋体" w:eastAsia="宋体" w:cs="Calibri"/>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jc w:val="center"/>
        </w:trPr>
        <w:tc>
          <w:tcPr>
            <w:tcW w:w="324" w:type="pct"/>
            <w:vMerge w:val="continue"/>
            <w:vAlign w:val="center"/>
          </w:tcPr>
          <w:p>
            <w:pPr>
              <w:overflowPunct/>
              <w:autoSpaceDE/>
              <w:autoSpaceDN/>
              <w:adjustRightInd/>
              <w:jc w:val="left"/>
              <w:rPr>
                <w:rFonts w:ascii="宋体" w:hAnsi="宋体" w:eastAsia="宋体" w:cs="Calibri"/>
                <w:sz w:val="15"/>
                <w:szCs w:val="15"/>
              </w:rPr>
            </w:pPr>
          </w:p>
        </w:tc>
        <w:tc>
          <w:tcPr>
            <w:tcW w:w="336" w:type="pct"/>
            <w:vMerge w:val="restart"/>
            <w:shd w:val="clear" w:color="auto" w:fill="auto"/>
            <w:vAlign w:val="center"/>
          </w:tcPr>
          <w:p>
            <w:pPr>
              <w:overflowPunct/>
              <w:autoSpaceDE/>
              <w:autoSpaceDN/>
              <w:adjustRightInd/>
              <w:jc w:val="left"/>
              <w:rPr>
                <w:rFonts w:ascii="宋体" w:hAnsi="宋体" w:eastAsia="宋体" w:cs="Calibri"/>
                <w:sz w:val="15"/>
                <w:szCs w:val="15"/>
              </w:rPr>
            </w:pPr>
            <w:r>
              <w:rPr>
                <w:rFonts w:hint="eastAsia" w:ascii="宋体" w:hAnsi="宋体" w:eastAsia="宋体" w:cs="Calibri"/>
                <w:sz w:val="15"/>
                <w:szCs w:val="15"/>
              </w:rPr>
              <w:t>4.业务管理（5分）</w:t>
            </w:r>
          </w:p>
        </w:tc>
        <w:tc>
          <w:tcPr>
            <w:tcW w:w="527" w:type="pct"/>
            <w:shd w:val="clear" w:color="auto" w:fill="auto"/>
            <w:vAlign w:val="center"/>
          </w:tcPr>
          <w:p>
            <w:pPr>
              <w:overflowPunct/>
              <w:autoSpaceDE/>
              <w:autoSpaceDN/>
              <w:adjustRightInd/>
              <w:jc w:val="left"/>
              <w:rPr>
                <w:rFonts w:ascii="宋体" w:hAnsi="宋体" w:eastAsia="宋体" w:cs="Calibri"/>
                <w:sz w:val="15"/>
                <w:szCs w:val="15"/>
              </w:rPr>
            </w:pPr>
            <w:r>
              <w:rPr>
                <w:rFonts w:hint="eastAsia" w:ascii="宋体" w:hAnsi="宋体" w:eastAsia="宋体" w:cs="Calibri"/>
                <w:sz w:val="15"/>
                <w:szCs w:val="15"/>
              </w:rPr>
              <w:t>1.业务管理制度健全性及执行情况（3分）</w:t>
            </w:r>
          </w:p>
        </w:tc>
        <w:tc>
          <w:tcPr>
            <w:tcW w:w="240" w:type="pct"/>
            <w:shd w:val="clear" w:color="auto" w:fill="auto"/>
            <w:vAlign w:val="center"/>
          </w:tcPr>
          <w:p>
            <w:pPr>
              <w:overflowPunct/>
              <w:autoSpaceDE/>
              <w:autoSpaceDN/>
              <w:adjustRightInd/>
              <w:jc w:val="center"/>
              <w:rPr>
                <w:rFonts w:ascii="宋体" w:hAnsi="宋体" w:eastAsia="宋体" w:cs="宋体"/>
                <w:sz w:val="18"/>
                <w:szCs w:val="18"/>
              </w:rPr>
            </w:pPr>
            <w:r>
              <w:rPr>
                <w:rFonts w:hint="eastAsia" w:ascii="宋体" w:hAnsi="宋体" w:eastAsia="宋体" w:cs="宋体"/>
                <w:sz w:val="18"/>
                <w:szCs w:val="18"/>
              </w:rPr>
              <w:t>3</w:t>
            </w:r>
          </w:p>
        </w:tc>
        <w:tc>
          <w:tcPr>
            <w:tcW w:w="671" w:type="pct"/>
            <w:shd w:val="clear" w:color="auto" w:fill="auto"/>
            <w:vAlign w:val="center"/>
          </w:tcPr>
          <w:p>
            <w:pPr>
              <w:overflowPunct/>
              <w:autoSpaceDE/>
              <w:autoSpaceDN/>
              <w:adjustRightInd/>
              <w:jc w:val="left"/>
              <w:rPr>
                <w:rFonts w:ascii="宋体" w:hAnsi="宋体" w:eastAsia="宋体" w:cs="Calibri"/>
                <w:sz w:val="15"/>
                <w:szCs w:val="15"/>
              </w:rPr>
            </w:pPr>
            <w:r>
              <w:rPr>
                <w:rFonts w:hint="eastAsia" w:ascii="宋体" w:hAnsi="宋体" w:eastAsia="宋体" w:cs="Calibri"/>
                <w:sz w:val="15"/>
                <w:szCs w:val="15"/>
              </w:rPr>
              <w:t>部门为加强业务管理、规范业务执行而制定的管理制度是否健全完整，用以反映和考核部门业务管理制度对完成主要职责或促进事业发展的保障情况。</w:t>
            </w:r>
          </w:p>
        </w:tc>
        <w:tc>
          <w:tcPr>
            <w:tcW w:w="769" w:type="pct"/>
            <w:shd w:val="clear" w:color="auto" w:fill="auto"/>
            <w:vAlign w:val="center"/>
          </w:tcPr>
          <w:p>
            <w:pPr>
              <w:overflowPunct/>
              <w:autoSpaceDE/>
              <w:autoSpaceDN/>
              <w:adjustRightInd/>
              <w:jc w:val="left"/>
              <w:rPr>
                <w:rFonts w:ascii="宋体" w:hAnsi="宋体" w:eastAsia="宋体" w:cs="Calibri"/>
                <w:sz w:val="15"/>
                <w:szCs w:val="15"/>
              </w:rPr>
            </w:pPr>
            <w:r>
              <w:rPr>
                <w:rFonts w:hint="eastAsia" w:ascii="宋体" w:hAnsi="宋体" w:eastAsia="宋体" w:cs="Calibri"/>
                <w:sz w:val="15"/>
                <w:szCs w:val="15"/>
              </w:rPr>
              <w:t>①已制定或具有业务管理、项目管理等管理制度，得1分；②相关管理制度合法、合规、完整，得1分；③相关管理制度得到有效执行，得1分。</w:t>
            </w:r>
          </w:p>
        </w:tc>
        <w:tc>
          <w:tcPr>
            <w:tcW w:w="528" w:type="pct"/>
            <w:shd w:val="clear" w:color="auto" w:fill="auto"/>
            <w:vAlign w:val="center"/>
          </w:tcPr>
          <w:p>
            <w:pPr>
              <w:overflowPunct/>
              <w:autoSpaceDE/>
              <w:autoSpaceDN/>
              <w:adjustRightInd/>
              <w:jc w:val="left"/>
              <w:rPr>
                <w:rFonts w:ascii="宋体" w:hAnsi="宋体" w:eastAsia="宋体" w:cs="Calibri"/>
                <w:sz w:val="15"/>
                <w:szCs w:val="15"/>
              </w:rPr>
            </w:pPr>
            <w:r>
              <w:rPr>
                <w:rFonts w:hint="eastAsia" w:ascii="宋体" w:hAnsi="宋体" w:eastAsia="宋体" w:cs="Calibri"/>
                <w:sz w:val="15"/>
                <w:szCs w:val="15"/>
              </w:rPr>
              <w:t>业务管理相关办法及执行情况资料</w:t>
            </w:r>
          </w:p>
        </w:tc>
        <w:tc>
          <w:tcPr>
            <w:tcW w:w="251" w:type="pct"/>
            <w:shd w:val="clear" w:color="auto" w:fill="auto"/>
            <w:vAlign w:val="center"/>
          </w:tcPr>
          <w:p>
            <w:pPr>
              <w:overflowPunct/>
              <w:autoSpaceDE/>
              <w:autoSpaceDN/>
              <w:adjustRightInd/>
              <w:jc w:val="center"/>
              <w:rPr>
                <w:rFonts w:ascii="宋体" w:hAnsi="宋体" w:eastAsia="宋体" w:cs="宋体"/>
                <w:sz w:val="15"/>
                <w:szCs w:val="15"/>
              </w:rPr>
            </w:pPr>
            <w:r>
              <w:rPr>
                <w:rFonts w:hint="eastAsia" w:ascii="宋体" w:hAnsi="宋体" w:eastAsia="宋体" w:cs="宋体"/>
                <w:sz w:val="15"/>
                <w:szCs w:val="15"/>
              </w:rPr>
              <w:t>3</w:t>
            </w:r>
          </w:p>
        </w:tc>
        <w:tc>
          <w:tcPr>
            <w:tcW w:w="251" w:type="pct"/>
            <w:shd w:val="clear" w:color="auto" w:fill="auto"/>
            <w:vAlign w:val="center"/>
          </w:tcPr>
          <w:p>
            <w:pPr>
              <w:overflowPunct/>
              <w:autoSpaceDE/>
              <w:autoSpaceDN/>
              <w:adjustRightInd/>
              <w:jc w:val="center"/>
              <w:rPr>
                <w:rFonts w:ascii="宋体" w:hAnsi="宋体" w:eastAsia="宋体" w:cs="宋体"/>
                <w:sz w:val="15"/>
                <w:szCs w:val="15"/>
              </w:rPr>
            </w:pPr>
          </w:p>
        </w:tc>
        <w:tc>
          <w:tcPr>
            <w:tcW w:w="1103" w:type="pct"/>
            <w:shd w:val="clear" w:color="auto" w:fill="auto"/>
            <w:vAlign w:val="center"/>
          </w:tcPr>
          <w:p>
            <w:pPr>
              <w:overflowPunct/>
              <w:autoSpaceDE/>
              <w:autoSpaceDN/>
              <w:adjustRightInd/>
              <w:jc w:val="left"/>
              <w:rPr>
                <w:rFonts w:ascii="宋体" w:hAnsi="宋体" w:eastAsia="宋体" w:cs="Calibri"/>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jc w:val="center"/>
        </w:trPr>
        <w:tc>
          <w:tcPr>
            <w:tcW w:w="324" w:type="pct"/>
            <w:vMerge w:val="continue"/>
            <w:vAlign w:val="center"/>
          </w:tcPr>
          <w:p>
            <w:pPr>
              <w:overflowPunct/>
              <w:autoSpaceDE/>
              <w:autoSpaceDN/>
              <w:adjustRightInd/>
              <w:jc w:val="left"/>
              <w:rPr>
                <w:rFonts w:ascii="宋体" w:hAnsi="宋体" w:eastAsia="宋体" w:cs="Calibri"/>
                <w:sz w:val="15"/>
                <w:szCs w:val="15"/>
              </w:rPr>
            </w:pPr>
          </w:p>
        </w:tc>
        <w:tc>
          <w:tcPr>
            <w:tcW w:w="336" w:type="pct"/>
            <w:vMerge w:val="continue"/>
            <w:vAlign w:val="center"/>
          </w:tcPr>
          <w:p>
            <w:pPr>
              <w:overflowPunct/>
              <w:autoSpaceDE/>
              <w:autoSpaceDN/>
              <w:adjustRightInd/>
              <w:jc w:val="left"/>
              <w:rPr>
                <w:rFonts w:ascii="宋体" w:hAnsi="宋体" w:eastAsia="宋体" w:cs="Calibri"/>
                <w:sz w:val="15"/>
                <w:szCs w:val="15"/>
              </w:rPr>
            </w:pPr>
          </w:p>
        </w:tc>
        <w:tc>
          <w:tcPr>
            <w:tcW w:w="527" w:type="pct"/>
            <w:shd w:val="clear" w:color="auto" w:fill="auto"/>
            <w:vAlign w:val="center"/>
          </w:tcPr>
          <w:p>
            <w:pPr>
              <w:overflowPunct/>
              <w:autoSpaceDE/>
              <w:autoSpaceDN/>
              <w:adjustRightInd/>
              <w:jc w:val="left"/>
              <w:rPr>
                <w:rFonts w:ascii="宋体" w:hAnsi="宋体" w:eastAsia="宋体" w:cs="Calibri"/>
                <w:sz w:val="15"/>
                <w:szCs w:val="15"/>
              </w:rPr>
            </w:pPr>
            <w:r>
              <w:rPr>
                <w:rFonts w:hint="eastAsia" w:ascii="宋体" w:hAnsi="宋体" w:eastAsia="宋体" w:cs="Calibri"/>
                <w:sz w:val="15"/>
                <w:szCs w:val="15"/>
              </w:rPr>
              <w:t>2.政府采购规范性（2分）</w:t>
            </w:r>
          </w:p>
        </w:tc>
        <w:tc>
          <w:tcPr>
            <w:tcW w:w="240" w:type="pct"/>
            <w:shd w:val="clear" w:color="auto" w:fill="auto"/>
            <w:vAlign w:val="center"/>
          </w:tcPr>
          <w:p>
            <w:pPr>
              <w:overflowPunct/>
              <w:autoSpaceDE/>
              <w:autoSpaceDN/>
              <w:adjustRightInd/>
              <w:jc w:val="center"/>
              <w:rPr>
                <w:rFonts w:ascii="宋体" w:hAnsi="宋体" w:eastAsia="宋体" w:cs="宋体"/>
                <w:sz w:val="18"/>
                <w:szCs w:val="18"/>
              </w:rPr>
            </w:pPr>
            <w:r>
              <w:rPr>
                <w:rFonts w:hint="eastAsia" w:ascii="宋体" w:hAnsi="宋体" w:eastAsia="宋体" w:cs="宋体"/>
                <w:sz w:val="18"/>
                <w:szCs w:val="18"/>
              </w:rPr>
              <w:t>2</w:t>
            </w:r>
          </w:p>
        </w:tc>
        <w:tc>
          <w:tcPr>
            <w:tcW w:w="671" w:type="pct"/>
            <w:shd w:val="clear" w:color="auto" w:fill="auto"/>
            <w:vAlign w:val="center"/>
          </w:tcPr>
          <w:p>
            <w:pPr>
              <w:overflowPunct/>
              <w:autoSpaceDE/>
              <w:autoSpaceDN/>
              <w:adjustRightInd/>
              <w:jc w:val="left"/>
              <w:rPr>
                <w:rFonts w:ascii="宋体" w:hAnsi="宋体" w:eastAsia="宋体" w:cs="Calibri"/>
                <w:sz w:val="15"/>
                <w:szCs w:val="15"/>
              </w:rPr>
            </w:pPr>
            <w:r>
              <w:rPr>
                <w:rFonts w:hint="eastAsia" w:ascii="宋体" w:hAnsi="宋体" w:eastAsia="宋体" w:cs="Calibri"/>
                <w:sz w:val="15"/>
                <w:szCs w:val="15"/>
              </w:rPr>
              <w:t>考察政府采购项目的采购程序、采购方式的规范性</w:t>
            </w:r>
          </w:p>
        </w:tc>
        <w:tc>
          <w:tcPr>
            <w:tcW w:w="769" w:type="pct"/>
            <w:shd w:val="clear" w:color="auto" w:fill="auto"/>
            <w:vAlign w:val="center"/>
          </w:tcPr>
          <w:p>
            <w:pPr>
              <w:overflowPunct/>
              <w:autoSpaceDE/>
              <w:autoSpaceDN/>
              <w:adjustRightInd/>
              <w:jc w:val="left"/>
              <w:rPr>
                <w:rFonts w:ascii="宋体" w:hAnsi="宋体" w:eastAsia="宋体" w:cs="Calibri"/>
                <w:sz w:val="15"/>
                <w:szCs w:val="15"/>
              </w:rPr>
            </w:pPr>
            <w:r>
              <w:rPr>
                <w:rFonts w:hint="eastAsia" w:ascii="宋体" w:hAnsi="宋体" w:eastAsia="宋体" w:cs="Calibri"/>
                <w:sz w:val="15"/>
                <w:szCs w:val="15"/>
              </w:rPr>
              <w:t>①政府采购方式、程序都规范，得满分；②采购方式、程序中每有一点不规范，扣0.5分，扣完为止。</w:t>
            </w:r>
          </w:p>
        </w:tc>
        <w:tc>
          <w:tcPr>
            <w:tcW w:w="528" w:type="pct"/>
            <w:shd w:val="clear" w:color="auto" w:fill="auto"/>
            <w:vAlign w:val="center"/>
          </w:tcPr>
          <w:p>
            <w:pPr>
              <w:overflowPunct/>
              <w:autoSpaceDE/>
              <w:autoSpaceDN/>
              <w:adjustRightInd/>
              <w:jc w:val="left"/>
              <w:rPr>
                <w:rFonts w:ascii="宋体" w:hAnsi="宋体" w:eastAsia="宋体" w:cs="Calibri"/>
                <w:sz w:val="15"/>
                <w:szCs w:val="15"/>
              </w:rPr>
            </w:pPr>
            <w:r>
              <w:rPr>
                <w:rFonts w:hint="eastAsia" w:ascii="宋体" w:hAnsi="宋体" w:eastAsia="宋体" w:cs="Calibri"/>
                <w:sz w:val="15"/>
                <w:szCs w:val="15"/>
              </w:rPr>
              <w:t>政府采购相关资料</w:t>
            </w:r>
          </w:p>
        </w:tc>
        <w:tc>
          <w:tcPr>
            <w:tcW w:w="251" w:type="pct"/>
            <w:shd w:val="clear" w:color="auto" w:fill="auto"/>
            <w:vAlign w:val="center"/>
          </w:tcPr>
          <w:p>
            <w:pPr>
              <w:overflowPunct/>
              <w:autoSpaceDE/>
              <w:autoSpaceDN/>
              <w:adjustRightInd/>
              <w:jc w:val="center"/>
              <w:rPr>
                <w:rFonts w:ascii="宋体" w:hAnsi="宋体" w:eastAsia="宋体" w:cs="宋体"/>
                <w:sz w:val="15"/>
                <w:szCs w:val="15"/>
              </w:rPr>
            </w:pPr>
            <w:r>
              <w:rPr>
                <w:rFonts w:hint="eastAsia" w:ascii="宋体" w:hAnsi="宋体" w:eastAsia="宋体" w:cs="宋体"/>
                <w:sz w:val="15"/>
                <w:szCs w:val="15"/>
              </w:rPr>
              <w:t>2</w:t>
            </w:r>
          </w:p>
        </w:tc>
        <w:tc>
          <w:tcPr>
            <w:tcW w:w="251" w:type="pct"/>
            <w:shd w:val="clear" w:color="auto" w:fill="auto"/>
            <w:vAlign w:val="center"/>
          </w:tcPr>
          <w:p>
            <w:pPr>
              <w:overflowPunct/>
              <w:autoSpaceDE/>
              <w:autoSpaceDN/>
              <w:adjustRightInd/>
              <w:jc w:val="center"/>
              <w:rPr>
                <w:rFonts w:ascii="宋体" w:hAnsi="宋体" w:eastAsia="宋体" w:cs="宋体"/>
                <w:sz w:val="15"/>
                <w:szCs w:val="15"/>
              </w:rPr>
            </w:pPr>
          </w:p>
        </w:tc>
        <w:tc>
          <w:tcPr>
            <w:tcW w:w="1103" w:type="pct"/>
            <w:shd w:val="clear" w:color="auto" w:fill="auto"/>
            <w:vAlign w:val="center"/>
          </w:tcPr>
          <w:p>
            <w:pPr>
              <w:overflowPunct/>
              <w:autoSpaceDE/>
              <w:autoSpaceDN/>
              <w:adjustRightInd/>
              <w:jc w:val="left"/>
              <w:rPr>
                <w:rFonts w:ascii="宋体" w:hAnsi="宋体" w:eastAsia="宋体" w:cs="Calibri"/>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324" w:type="pct"/>
            <w:vMerge w:val="restart"/>
            <w:shd w:val="clear" w:color="auto" w:fill="auto"/>
            <w:vAlign w:val="center"/>
          </w:tcPr>
          <w:p>
            <w:pPr>
              <w:overflowPunct/>
              <w:autoSpaceDE/>
              <w:autoSpaceDN/>
              <w:adjustRightInd/>
              <w:jc w:val="left"/>
              <w:rPr>
                <w:rFonts w:ascii="宋体" w:hAnsi="宋体" w:eastAsia="宋体" w:cs="Calibri"/>
                <w:sz w:val="15"/>
                <w:szCs w:val="15"/>
              </w:rPr>
            </w:pPr>
            <w:r>
              <w:rPr>
                <w:rFonts w:hint="eastAsia" w:ascii="宋体" w:hAnsi="宋体" w:eastAsia="宋体" w:cs="Calibri"/>
                <w:sz w:val="15"/>
                <w:szCs w:val="15"/>
              </w:rPr>
              <w:t>三、部门绩效（45分）</w:t>
            </w:r>
          </w:p>
        </w:tc>
        <w:tc>
          <w:tcPr>
            <w:tcW w:w="336" w:type="pct"/>
            <w:vMerge w:val="restart"/>
            <w:shd w:val="clear" w:color="auto" w:fill="auto"/>
            <w:vAlign w:val="center"/>
          </w:tcPr>
          <w:p>
            <w:pPr>
              <w:overflowPunct/>
              <w:autoSpaceDE/>
              <w:autoSpaceDN/>
              <w:adjustRightInd/>
              <w:jc w:val="left"/>
              <w:rPr>
                <w:rFonts w:ascii="宋体" w:hAnsi="宋体" w:eastAsia="宋体" w:cs="Calibri"/>
                <w:sz w:val="15"/>
                <w:szCs w:val="15"/>
              </w:rPr>
            </w:pPr>
            <w:r>
              <w:rPr>
                <w:rFonts w:hint="eastAsia" w:ascii="宋体" w:hAnsi="宋体" w:eastAsia="宋体" w:cs="Calibri"/>
                <w:sz w:val="15"/>
                <w:szCs w:val="15"/>
              </w:rPr>
              <w:t>1.部门产出（25分）</w:t>
            </w:r>
          </w:p>
        </w:tc>
        <w:tc>
          <w:tcPr>
            <w:tcW w:w="527" w:type="pct"/>
            <w:shd w:val="clear" w:color="auto" w:fill="auto"/>
            <w:vAlign w:val="center"/>
          </w:tcPr>
          <w:p>
            <w:pPr>
              <w:overflowPunct/>
              <w:autoSpaceDE/>
              <w:autoSpaceDN/>
              <w:adjustRightInd/>
              <w:jc w:val="center"/>
              <w:rPr>
                <w:rFonts w:ascii="宋体" w:hAnsi="宋体" w:eastAsia="宋体" w:cs="Calibri"/>
                <w:sz w:val="15"/>
                <w:szCs w:val="15"/>
              </w:rPr>
            </w:pPr>
            <w:r>
              <w:rPr>
                <w:rFonts w:hint="eastAsia" w:ascii="宋体" w:hAnsi="宋体" w:eastAsia="宋体" w:cs="Calibri"/>
                <w:sz w:val="15"/>
                <w:szCs w:val="15"/>
              </w:rPr>
              <w:t>1.实际完成率（7分）</w:t>
            </w:r>
          </w:p>
        </w:tc>
        <w:tc>
          <w:tcPr>
            <w:tcW w:w="240" w:type="pct"/>
            <w:shd w:val="clear" w:color="auto" w:fill="auto"/>
            <w:vAlign w:val="center"/>
          </w:tcPr>
          <w:p>
            <w:pPr>
              <w:overflowPunct/>
              <w:autoSpaceDE/>
              <w:autoSpaceDN/>
              <w:adjustRightInd/>
              <w:jc w:val="center"/>
              <w:rPr>
                <w:rFonts w:ascii="宋体" w:hAnsi="宋体" w:eastAsia="宋体" w:cs="Calibri"/>
                <w:sz w:val="18"/>
                <w:szCs w:val="18"/>
              </w:rPr>
            </w:pPr>
            <w:r>
              <w:rPr>
                <w:rFonts w:hint="eastAsia" w:ascii="宋体" w:hAnsi="宋体" w:eastAsia="宋体" w:cs="Calibri"/>
                <w:sz w:val="18"/>
                <w:szCs w:val="18"/>
              </w:rPr>
              <w:t>7</w:t>
            </w:r>
          </w:p>
        </w:tc>
        <w:tc>
          <w:tcPr>
            <w:tcW w:w="671" w:type="pct"/>
            <w:shd w:val="clear" w:color="auto" w:fill="auto"/>
            <w:vAlign w:val="center"/>
          </w:tcPr>
          <w:p>
            <w:pPr>
              <w:overflowPunct/>
              <w:autoSpaceDE/>
              <w:autoSpaceDN/>
              <w:adjustRightInd/>
              <w:rPr>
                <w:rFonts w:ascii="宋体" w:hAnsi="宋体" w:eastAsia="宋体" w:cs="Calibri"/>
                <w:sz w:val="15"/>
                <w:szCs w:val="15"/>
              </w:rPr>
            </w:pPr>
            <w:r>
              <w:rPr>
                <w:rFonts w:hint="eastAsia" w:ascii="宋体" w:hAnsi="宋体" w:eastAsia="宋体" w:cs="Calibri"/>
                <w:sz w:val="15"/>
                <w:szCs w:val="15"/>
              </w:rPr>
              <w:t>部门履行职责而实际完成工作数与计划工作数的比率，用以反映和考核部门履职工作任务目标的实现程度。</w:t>
            </w:r>
          </w:p>
        </w:tc>
        <w:tc>
          <w:tcPr>
            <w:tcW w:w="769" w:type="pct"/>
            <w:shd w:val="clear" w:color="auto" w:fill="auto"/>
            <w:vAlign w:val="center"/>
          </w:tcPr>
          <w:p>
            <w:pPr>
              <w:overflowPunct/>
              <w:autoSpaceDE/>
              <w:autoSpaceDN/>
              <w:adjustRightInd/>
              <w:rPr>
                <w:rFonts w:ascii="宋体" w:hAnsi="宋体" w:eastAsia="宋体" w:cs="Calibri"/>
                <w:sz w:val="15"/>
                <w:szCs w:val="15"/>
              </w:rPr>
            </w:pPr>
            <w:r>
              <w:rPr>
                <w:rFonts w:hint="eastAsia" w:ascii="宋体" w:hAnsi="宋体" w:eastAsia="宋体" w:cs="Calibri"/>
                <w:sz w:val="15"/>
                <w:szCs w:val="15"/>
              </w:rPr>
              <w:t>实际完成率得分=实际完成工作数/计划工作数×7分。全部完成计划目标为满分，每一项不达标扣2分；扣完为止。</w:t>
            </w:r>
          </w:p>
        </w:tc>
        <w:tc>
          <w:tcPr>
            <w:tcW w:w="528" w:type="pct"/>
            <w:shd w:val="clear" w:color="auto" w:fill="auto"/>
            <w:vAlign w:val="center"/>
          </w:tcPr>
          <w:p>
            <w:pPr>
              <w:overflowPunct/>
              <w:autoSpaceDE/>
              <w:autoSpaceDN/>
              <w:adjustRightInd/>
              <w:jc w:val="left"/>
              <w:rPr>
                <w:rFonts w:ascii="宋体" w:hAnsi="宋体" w:eastAsia="宋体" w:cs="Calibri"/>
                <w:sz w:val="15"/>
                <w:szCs w:val="15"/>
              </w:rPr>
            </w:pPr>
            <w:r>
              <w:rPr>
                <w:rFonts w:hint="eastAsia" w:ascii="宋体" w:hAnsi="宋体" w:eastAsia="宋体" w:cs="Calibri"/>
                <w:sz w:val="15"/>
                <w:szCs w:val="15"/>
              </w:rPr>
              <w:t>工作计划和工作总结等相关资料</w:t>
            </w:r>
          </w:p>
        </w:tc>
        <w:tc>
          <w:tcPr>
            <w:tcW w:w="251" w:type="pct"/>
            <w:shd w:val="clear" w:color="auto" w:fill="auto"/>
            <w:vAlign w:val="center"/>
          </w:tcPr>
          <w:p>
            <w:pPr>
              <w:overflowPunct/>
              <w:autoSpaceDE/>
              <w:autoSpaceDN/>
              <w:adjustRightInd/>
              <w:jc w:val="center"/>
              <w:rPr>
                <w:rFonts w:ascii="宋体" w:hAnsi="宋体" w:eastAsia="宋体" w:cs="Calibri"/>
                <w:sz w:val="15"/>
                <w:szCs w:val="15"/>
              </w:rPr>
            </w:pPr>
            <w:r>
              <w:rPr>
                <w:rFonts w:hint="eastAsia" w:ascii="宋体" w:hAnsi="宋体" w:eastAsia="宋体" w:cs="Calibri"/>
                <w:sz w:val="15"/>
                <w:szCs w:val="15"/>
              </w:rPr>
              <w:t>7</w:t>
            </w:r>
          </w:p>
        </w:tc>
        <w:tc>
          <w:tcPr>
            <w:tcW w:w="251" w:type="pct"/>
            <w:shd w:val="clear" w:color="auto" w:fill="auto"/>
            <w:vAlign w:val="center"/>
          </w:tcPr>
          <w:p>
            <w:pPr>
              <w:overflowPunct/>
              <w:autoSpaceDE/>
              <w:autoSpaceDN/>
              <w:adjustRightInd/>
              <w:jc w:val="center"/>
              <w:rPr>
                <w:rFonts w:ascii="宋体" w:hAnsi="宋体" w:eastAsia="宋体" w:cs="Calibri"/>
                <w:sz w:val="15"/>
                <w:szCs w:val="15"/>
              </w:rPr>
            </w:pPr>
          </w:p>
        </w:tc>
        <w:tc>
          <w:tcPr>
            <w:tcW w:w="1103" w:type="pct"/>
            <w:shd w:val="clear" w:color="auto" w:fill="auto"/>
            <w:vAlign w:val="center"/>
          </w:tcPr>
          <w:p>
            <w:pPr>
              <w:overflowPunct/>
              <w:autoSpaceDE/>
              <w:autoSpaceDN/>
              <w:adjustRightInd/>
              <w:jc w:val="left"/>
              <w:rPr>
                <w:rFonts w:ascii="宋体" w:hAnsi="宋体" w:eastAsia="宋体" w:cs="Calibri"/>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324" w:type="pct"/>
            <w:vMerge w:val="continue"/>
            <w:vAlign w:val="center"/>
          </w:tcPr>
          <w:p>
            <w:pPr>
              <w:overflowPunct/>
              <w:autoSpaceDE/>
              <w:autoSpaceDN/>
              <w:adjustRightInd/>
              <w:jc w:val="left"/>
              <w:rPr>
                <w:rFonts w:ascii="宋体" w:hAnsi="宋体" w:eastAsia="宋体" w:cs="Calibri"/>
                <w:sz w:val="15"/>
                <w:szCs w:val="15"/>
              </w:rPr>
            </w:pPr>
          </w:p>
        </w:tc>
        <w:tc>
          <w:tcPr>
            <w:tcW w:w="336" w:type="pct"/>
            <w:vMerge w:val="continue"/>
            <w:vAlign w:val="center"/>
          </w:tcPr>
          <w:p>
            <w:pPr>
              <w:overflowPunct/>
              <w:autoSpaceDE/>
              <w:autoSpaceDN/>
              <w:adjustRightInd/>
              <w:jc w:val="left"/>
              <w:rPr>
                <w:rFonts w:ascii="宋体" w:hAnsi="宋体" w:eastAsia="宋体" w:cs="Calibri"/>
                <w:sz w:val="15"/>
                <w:szCs w:val="15"/>
              </w:rPr>
            </w:pPr>
          </w:p>
        </w:tc>
        <w:tc>
          <w:tcPr>
            <w:tcW w:w="527" w:type="pct"/>
            <w:shd w:val="clear" w:color="auto" w:fill="auto"/>
            <w:vAlign w:val="center"/>
          </w:tcPr>
          <w:p>
            <w:pPr>
              <w:overflowPunct/>
              <w:autoSpaceDE/>
              <w:autoSpaceDN/>
              <w:adjustRightInd/>
              <w:jc w:val="center"/>
              <w:rPr>
                <w:rFonts w:ascii="宋体" w:hAnsi="宋体" w:eastAsia="宋体" w:cs="Calibri"/>
                <w:sz w:val="15"/>
                <w:szCs w:val="15"/>
              </w:rPr>
            </w:pPr>
            <w:r>
              <w:rPr>
                <w:rFonts w:hint="eastAsia" w:ascii="宋体" w:hAnsi="宋体" w:eastAsia="宋体" w:cs="Calibri"/>
                <w:sz w:val="15"/>
                <w:szCs w:val="15"/>
              </w:rPr>
              <w:t>2.完成及时率（6分）</w:t>
            </w:r>
          </w:p>
        </w:tc>
        <w:tc>
          <w:tcPr>
            <w:tcW w:w="240" w:type="pct"/>
            <w:shd w:val="clear" w:color="auto" w:fill="auto"/>
            <w:vAlign w:val="center"/>
          </w:tcPr>
          <w:p>
            <w:pPr>
              <w:overflowPunct/>
              <w:autoSpaceDE/>
              <w:autoSpaceDN/>
              <w:adjustRightInd/>
              <w:jc w:val="center"/>
              <w:rPr>
                <w:rFonts w:ascii="宋体" w:hAnsi="宋体" w:eastAsia="宋体" w:cs="Calibri"/>
                <w:sz w:val="18"/>
                <w:szCs w:val="18"/>
              </w:rPr>
            </w:pPr>
            <w:r>
              <w:rPr>
                <w:rFonts w:hint="eastAsia" w:ascii="宋体" w:hAnsi="宋体" w:eastAsia="宋体" w:cs="Calibri"/>
                <w:sz w:val="18"/>
                <w:szCs w:val="18"/>
              </w:rPr>
              <w:t>6</w:t>
            </w:r>
          </w:p>
        </w:tc>
        <w:tc>
          <w:tcPr>
            <w:tcW w:w="671" w:type="pct"/>
            <w:shd w:val="clear" w:color="auto" w:fill="auto"/>
            <w:vAlign w:val="center"/>
          </w:tcPr>
          <w:p>
            <w:pPr>
              <w:overflowPunct/>
              <w:autoSpaceDE/>
              <w:autoSpaceDN/>
              <w:adjustRightInd/>
              <w:rPr>
                <w:rFonts w:ascii="宋体" w:hAnsi="宋体" w:eastAsia="宋体" w:cs="Calibri"/>
                <w:sz w:val="15"/>
                <w:szCs w:val="15"/>
              </w:rPr>
            </w:pPr>
            <w:r>
              <w:rPr>
                <w:rFonts w:hint="eastAsia" w:ascii="宋体" w:hAnsi="宋体" w:eastAsia="宋体" w:cs="Calibri"/>
                <w:sz w:val="15"/>
                <w:szCs w:val="15"/>
              </w:rPr>
              <w:t>部门在规定时限内及时完成的实际工作数与计划工作数的比率,用以反映和考核部门履职时效目标的实现程度。</w:t>
            </w:r>
          </w:p>
        </w:tc>
        <w:tc>
          <w:tcPr>
            <w:tcW w:w="769" w:type="pct"/>
            <w:shd w:val="clear" w:color="auto" w:fill="auto"/>
            <w:vAlign w:val="center"/>
          </w:tcPr>
          <w:p>
            <w:pPr>
              <w:overflowPunct/>
              <w:autoSpaceDE/>
              <w:autoSpaceDN/>
              <w:adjustRightInd/>
              <w:rPr>
                <w:rFonts w:ascii="宋体" w:hAnsi="宋体" w:eastAsia="宋体" w:cs="Calibri"/>
                <w:sz w:val="15"/>
                <w:szCs w:val="15"/>
              </w:rPr>
            </w:pPr>
            <w:r>
              <w:rPr>
                <w:rFonts w:hint="eastAsia" w:ascii="宋体" w:hAnsi="宋体" w:eastAsia="宋体" w:cs="Calibri"/>
                <w:sz w:val="15"/>
                <w:szCs w:val="15"/>
              </w:rPr>
              <w:t>完成及时率=（及时完成实际工作数/计划工作数）×6分。扣完为止。</w:t>
            </w:r>
          </w:p>
        </w:tc>
        <w:tc>
          <w:tcPr>
            <w:tcW w:w="528" w:type="pct"/>
            <w:shd w:val="clear" w:color="auto" w:fill="auto"/>
            <w:vAlign w:val="center"/>
          </w:tcPr>
          <w:p>
            <w:pPr>
              <w:overflowPunct/>
              <w:autoSpaceDE/>
              <w:autoSpaceDN/>
              <w:adjustRightInd/>
              <w:jc w:val="left"/>
              <w:rPr>
                <w:rFonts w:ascii="宋体" w:hAnsi="宋体" w:eastAsia="宋体" w:cs="Calibri"/>
                <w:sz w:val="15"/>
                <w:szCs w:val="15"/>
              </w:rPr>
            </w:pPr>
            <w:r>
              <w:rPr>
                <w:rFonts w:hint="eastAsia" w:ascii="宋体" w:hAnsi="宋体" w:eastAsia="宋体" w:cs="Calibri"/>
                <w:sz w:val="15"/>
                <w:szCs w:val="15"/>
              </w:rPr>
              <w:t>工作计划和工作总结等相关资料</w:t>
            </w:r>
          </w:p>
        </w:tc>
        <w:tc>
          <w:tcPr>
            <w:tcW w:w="251" w:type="pct"/>
            <w:shd w:val="clear" w:color="auto" w:fill="auto"/>
            <w:vAlign w:val="center"/>
          </w:tcPr>
          <w:p>
            <w:pPr>
              <w:overflowPunct/>
              <w:autoSpaceDE/>
              <w:autoSpaceDN/>
              <w:adjustRightInd/>
              <w:jc w:val="center"/>
              <w:rPr>
                <w:rFonts w:ascii="宋体" w:hAnsi="宋体" w:eastAsia="宋体" w:cs="Calibri"/>
                <w:sz w:val="15"/>
                <w:szCs w:val="15"/>
              </w:rPr>
            </w:pPr>
            <w:r>
              <w:rPr>
                <w:rFonts w:hint="eastAsia" w:ascii="宋体" w:hAnsi="宋体" w:eastAsia="宋体" w:cs="Calibri"/>
                <w:sz w:val="15"/>
                <w:szCs w:val="15"/>
              </w:rPr>
              <w:t>5</w:t>
            </w:r>
          </w:p>
        </w:tc>
        <w:tc>
          <w:tcPr>
            <w:tcW w:w="251" w:type="pct"/>
            <w:shd w:val="clear" w:color="auto" w:fill="auto"/>
            <w:vAlign w:val="center"/>
          </w:tcPr>
          <w:p>
            <w:pPr>
              <w:overflowPunct/>
              <w:autoSpaceDE/>
              <w:autoSpaceDN/>
              <w:adjustRightInd/>
              <w:jc w:val="center"/>
              <w:rPr>
                <w:rFonts w:ascii="宋体" w:hAnsi="宋体" w:eastAsia="宋体" w:cs="Calibri"/>
                <w:sz w:val="15"/>
                <w:szCs w:val="15"/>
              </w:rPr>
            </w:pPr>
          </w:p>
        </w:tc>
        <w:tc>
          <w:tcPr>
            <w:tcW w:w="1103" w:type="pct"/>
            <w:shd w:val="clear" w:color="auto" w:fill="auto"/>
            <w:vAlign w:val="center"/>
          </w:tcPr>
          <w:p>
            <w:pPr>
              <w:overflowPunct/>
              <w:autoSpaceDE/>
              <w:autoSpaceDN/>
              <w:adjustRightInd/>
              <w:jc w:val="left"/>
              <w:rPr>
                <w:rFonts w:ascii="宋体" w:hAnsi="宋体" w:eastAsia="宋体" w:cs="Calibri"/>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324" w:type="pct"/>
            <w:vMerge w:val="continue"/>
            <w:vAlign w:val="center"/>
          </w:tcPr>
          <w:p>
            <w:pPr>
              <w:overflowPunct/>
              <w:autoSpaceDE/>
              <w:autoSpaceDN/>
              <w:adjustRightInd/>
              <w:jc w:val="left"/>
              <w:rPr>
                <w:rFonts w:ascii="宋体" w:hAnsi="宋体" w:eastAsia="宋体" w:cs="Calibri"/>
                <w:sz w:val="15"/>
                <w:szCs w:val="15"/>
              </w:rPr>
            </w:pPr>
          </w:p>
        </w:tc>
        <w:tc>
          <w:tcPr>
            <w:tcW w:w="336" w:type="pct"/>
            <w:vMerge w:val="continue"/>
            <w:vAlign w:val="center"/>
          </w:tcPr>
          <w:p>
            <w:pPr>
              <w:overflowPunct/>
              <w:autoSpaceDE/>
              <w:autoSpaceDN/>
              <w:adjustRightInd/>
              <w:jc w:val="left"/>
              <w:rPr>
                <w:rFonts w:ascii="宋体" w:hAnsi="宋体" w:eastAsia="宋体" w:cs="Calibri"/>
                <w:sz w:val="15"/>
                <w:szCs w:val="15"/>
              </w:rPr>
            </w:pPr>
          </w:p>
        </w:tc>
        <w:tc>
          <w:tcPr>
            <w:tcW w:w="527" w:type="pct"/>
            <w:shd w:val="clear" w:color="auto" w:fill="auto"/>
            <w:vAlign w:val="center"/>
          </w:tcPr>
          <w:p>
            <w:pPr>
              <w:overflowPunct/>
              <w:autoSpaceDE/>
              <w:autoSpaceDN/>
              <w:adjustRightInd/>
              <w:jc w:val="center"/>
              <w:rPr>
                <w:rFonts w:ascii="宋体" w:hAnsi="宋体" w:eastAsia="宋体" w:cs="Calibri"/>
                <w:sz w:val="15"/>
                <w:szCs w:val="15"/>
              </w:rPr>
            </w:pPr>
            <w:r>
              <w:rPr>
                <w:rFonts w:hint="eastAsia" w:ascii="宋体" w:hAnsi="宋体" w:eastAsia="宋体" w:cs="Calibri"/>
                <w:sz w:val="15"/>
                <w:szCs w:val="15"/>
              </w:rPr>
              <w:t>4.质量达标率（6分）</w:t>
            </w:r>
          </w:p>
        </w:tc>
        <w:tc>
          <w:tcPr>
            <w:tcW w:w="240" w:type="pct"/>
            <w:shd w:val="clear" w:color="auto" w:fill="auto"/>
            <w:vAlign w:val="center"/>
          </w:tcPr>
          <w:p>
            <w:pPr>
              <w:overflowPunct/>
              <w:autoSpaceDE/>
              <w:autoSpaceDN/>
              <w:adjustRightInd/>
              <w:jc w:val="center"/>
              <w:rPr>
                <w:rFonts w:ascii="宋体" w:hAnsi="宋体" w:eastAsia="宋体" w:cs="Calibri"/>
                <w:sz w:val="18"/>
                <w:szCs w:val="18"/>
              </w:rPr>
            </w:pPr>
            <w:r>
              <w:rPr>
                <w:rFonts w:hint="eastAsia" w:ascii="宋体" w:hAnsi="宋体" w:eastAsia="宋体" w:cs="Calibri"/>
                <w:sz w:val="18"/>
                <w:szCs w:val="18"/>
              </w:rPr>
              <w:t>6</w:t>
            </w:r>
          </w:p>
        </w:tc>
        <w:tc>
          <w:tcPr>
            <w:tcW w:w="671" w:type="pct"/>
            <w:shd w:val="clear" w:color="auto" w:fill="auto"/>
            <w:vAlign w:val="center"/>
          </w:tcPr>
          <w:p>
            <w:pPr>
              <w:overflowPunct/>
              <w:autoSpaceDE/>
              <w:autoSpaceDN/>
              <w:adjustRightInd/>
              <w:rPr>
                <w:rFonts w:ascii="宋体" w:hAnsi="宋体" w:eastAsia="宋体" w:cs="Calibri"/>
                <w:sz w:val="15"/>
                <w:szCs w:val="15"/>
              </w:rPr>
            </w:pPr>
            <w:r>
              <w:rPr>
                <w:rFonts w:hint="eastAsia" w:ascii="宋体" w:hAnsi="宋体" w:eastAsia="宋体" w:cs="Calibri"/>
                <w:sz w:val="15"/>
                <w:szCs w:val="15"/>
              </w:rPr>
              <w:t>达到质量标准（绩效标准值）的实际工作数与计划工作数的比率,用以反映和考核部门履职质量目标的实现程度。</w:t>
            </w:r>
          </w:p>
        </w:tc>
        <w:tc>
          <w:tcPr>
            <w:tcW w:w="769" w:type="pct"/>
            <w:shd w:val="clear" w:color="auto" w:fill="auto"/>
            <w:vAlign w:val="center"/>
          </w:tcPr>
          <w:p>
            <w:pPr>
              <w:overflowPunct/>
              <w:autoSpaceDE/>
              <w:autoSpaceDN/>
              <w:adjustRightInd/>
              <w:rPr>
                <w:rFonts w:ascii="宋体" w:hAnsi="宋体" w:eastAsia="宋体" w:cs="Calibri"/>
                <w:sz w:val="15"/>
                <w:szCs w:val="15"/>
              </w:rPr>
            </w:pPr>
            <w:r>
              <w:rPr>
                <w:rFonts w:hint="eastAsia" w:ascii="宋体" w:hAnsi="宋体" w:eastAsia="宋体" w:cs="Calibri"/>
                <w:sz w:val="15"/>
                <w:szCs w:val="15"/>
              </w:rPr>
              <w:t>质量达标率=（质量达标实际工作数/计划工作数）×100%。实际得分=达标率×6分。</w:t>
            </w:r>
          </w:p>
        </w:tc>
        <w:tc>
          <w:tcPr>
            <w:tcW w:w="528" w:type="pct"/>
            <w:shd w:val="clear" w:color="auto" w:fill="auto"/>
            <w:vAlign w:val="center"/>
          </w:tcPr>
          <w:p>
            <w:pPr>
              <w:overflowPunct/>
              <w:autoSpaceDE/>
              <w:autoSpaceDN/>
              <w:adjustRightInd/>
              <w:jc w:val="left"/>
              <w:rPr>
                <w:rFonts w:ascii="宋体" w:hAnsi="宋体" w:eastAsia="宋体" w:cs="Calibri"/>
                <w:sz w:val="15"/>
                <w:szCs w:val="15"/>
              </w:rPr>
            </w:pPr>
            <w:r>
              <w:rPr>
                <w:rFonts w:hint="eastAsia" w:ascii="宋体" w:hAnsi="宋体" w:eastAsia="宋体" w:cs="Calibri"/>
                <w:sz w:val="15"/>
                <w:szCs w:val="15"/>
              </w:rPr>
              <w:t>工作计划和工作总结等相关资料</w:t>
            </w:r>
          </w:p>
        </w:tc>
        <w:tc>
          <w:tcPr>
            <w:tcW w:w="251" w:type="pct"/>
            <w:shd w:val="clear" w:color="auto" w:fill="auto"/>
            <w:vAlign w:val="center"/>
          </w:tcPr>
          <w:p>
            <w:pPr>
              <w:overflowPunct/>
              <w:autoSpaceDE/>
              <w:autoSpaceDN/>
              <w:adjustRightInd/>
              <w:jc w:val="center"/>
              <w:rPr>
                <w:rFonts w:ascii="宋体" w:hAnsi="宋体" w:eastAsia="宋体" w:cs="Calibri"/>
                <w:sz w:val="15"/>
                <w:szCs w:val="15"/>
              </w:rPr>
            </w:pPr>
            <w:r>
              <w:rPr>
                <w:rFonts w:hint="eastAsia" w:ascii="宋体" w:hAnsi="宋体" w:eastAsia="宋体" w:cs="Calibri"/>
                <w:sz w:val="15"/>
                <w:szCs w:val="15"/>
              </w:rPr>
              <w:t>6</w:t>
            </w:r>
          </w:p>
        </w:tc>
        <w:tc>
          <w:tcPr>
            <w:tcW w:w="251" w:type="pct"/>
            <w:shd w:val="clear" w:color="auto" w:fill="auto"/>
            <w:vAlign w:val="center"/>
          </w:tcPr>
          <w:p>
            <w:pPr>
              <w:overflowPunct/>
              <w:autoSpaceDE/>
              <w:autoSpaceDN/>
              <w:adjustRightInd/>
              <w:jc w:val="center"/>
              <w:rPr>
                <w:rFonts w:ascii="宋体" w:hAnsi="宋体" w:eastAsia="宋体" w:cs="Calibri"/>
                <w:sz w:val="15"/>
                <w:szCs w:val="15"/>
              </w:rPr>
            </w:pPr>
          </w:p>
        </w:tc>
        <w:tc>
          <w:tcPr>
            <w:tcW w:w="1103" w:type="pct"/>
            <w:shd w:val="clear" w:color="auto" w:fill="auto"/>
            <w:vAlign w:val="center"/>
          </w:tcPr>
          <w:p>
            <w:pPr>
              <w:overflowPunct/>
              <w:autoSpaceDE/>
              <w:autoSpaceDN/>
              <w:adjustRightInd/>
              <w:jc w:val="left"/>
              <w:rPr>
                <w:rFonts w:ascii="宋体" w:hAnsi="宋体" w:eastAsia="宋体" w:cs="Calibri"/>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324" w:type="pct"/>
            <w:vMerge w:val="continue"/>
            <w:vAlign w:val="center"/>
          </w:tcPr>
          <w:p>
            <w:pPr>
              <w:overflowPunct/>
              <w:autoSpaceDE/>
              <w:autoSpaceDN/>
              <w:adjustRightInd/>
              <w:jc w:val="left"/>
              <w:rPr>
                <w:rFonts w:ascii="宋体" w:hAnsi="宋体" w:eastAsia="宋体" w:cs="Calibri"/>
                <w:sz w:val="15"/>
                <w:szCs w:val="15"/>
              </w:rPr>
            </w:pPr>
          </w:p>
        </w:tc>
        <w:tc>
          <w:tcPr>
            <w:tcW w:w="336" w:type="pct"/>
            <w:vMerge w:val="continue"/>
            <w:vAlign w:val="center"/>
          </w:tcPr>
          <w:p>
            <w:pPr>
              <w:overflowPunct/>
              <w:autoSpaceDE/>
              <w:autoSpaceDN/>
              <w:adjustRightInd/>
              <w:jc w:val="left"/>
              <w:rPr>
                <w:rFonts w:ascii="宋体" w:hAnsi="宋体" w:eastAsia="宋体" w:cs="Calibri"/>
                <w:sz w:val="15"/>
                <w:szCs w:val="15"/>
              </w:rPr>
            </w:pPr>
          </w:p>
        </w:tc>
        <w:tc>
          <w:tcPr>
            <w:tcW w:w="527" w:type="pct"/>
            <w:shd w:val="clear" w:color="auto" w:fill="auto"/>
            <w:vAlign w:val="center"/>
          </w:tcPr>
          <w:p>
            <w:pPr>
              <w:overflowPunct/>
              <w:autoSpaceDE/>
              <w:autoSpaceDN/>
              <w:adjustRightInd/>
              <w:jc w:val="center"/>
              <w:rPr>
                <w:rFonts w:ascii="宋体" w:hAnsi="宋体" w:eastAsia="宋体" w:cs="Calibri"/>
                <w:sz w:val="15"/>
                <w:szCs w:val="15"/>
              </w:rPr>
            </w:pPr>
            <w:r>
              <w:rPr>
                <w:rFonts w:hint="eastAsia" w:ascii="宋体" w:hAnsi="宋体" w:eastAsia="宋体" w:cs="Calibri"/>
                <w:sz w:val="15"/>
                <w:szCs w:val="15"/>
              </w:rPr>
              <w:t>5.重点工作办结率（6分）</w:t>
            </w:r>
          </w:p>
        </w:tc>
        <w:tc>
          <w:tcPr>
            <w:tcW w:w="240" w:type="pct"/>
            <w:shd w:val="clear" w:color="auto" w:fill="auto"/>
            <w:vAlign w:val="center"/>
          </w:tcPr>
          <w:p>
            <w:pPr>
              <w:overflowPunct/>
              <w:autoSpaceDE/>
              <w:autoSpaceDN/>
              <w:adjustRightInd/>
              <w:jc w:val="center"/>
              <w:rPr>
                <w:rFonts w:ascii="宋体" w:hAnsi="宋体" w:eastAsia="宋体" w:cs="Calibri"/>
                <w:sz w:val="18"/>
                <w:szCs w:val="18"/>
              </w:rPr>
            </w:pPr>
            <w:r>
              <w:rPr>
                <w:rFonts w:hint="eastAsia" w:ascii="宋体" w:hAnsi="宋体" w:eastAsia="宋体" w:cs="Calibri"/>
                <w:sz w:val="18"/>
                <w:szCs w:val="18"/>
              </w:rPr>
              <w:t>6</w:t>
            </w:r>
          </w:p>
        </w:tc>
        <w:tc>
          <w:tcPr>
            <w:tcW w:w="671" w:type="pct"/>
            <w:shd w:val="clear" w:color="auto" w:fill="auto"/>
            <w:vAlign w:val="center"/>
          </w:tcPr>
          <w:p>
            <w:pPr>
              <w:overflowPunct/>
              <w:autoSpaceDE/>
              <w:autoSpaceDN/>
              <w:adjustRightInd/>
              <w:rPr>
                <w:rFonts w:ascii="宋体" w:hAnsi="宋体" w:eastAsia="宋体" w:cs="Calibri"/>
                <w:sz w:val="15"/>
                <w:szCs w:val="15"/>
              </w:rPr>
            </w:pPr>
            <w:r>
              <w:rPr>
                <w:rFonts w:hint="eastAsia" w:ascii="宋体" w:hAnsi="宋体" w:eastAsia="宋体" w:cs="Calibri"/>
                <w:sz w:val="15"/>
                <w:szCs w:val="15"/>
              </w:rPr>
              <w:t>部门年度重点工作实际完成数与交办或下达数的比率，用以反映部门对重点工作的办理落实程度。</w:t>
            </w:r>
          </w:p>
        </w:tc>
        <w:tc>
          <w:tcPr>
            <w:tcW w:w="769" w:type="pct"/>
            <w:shd w:val="clear" w:color="auto" w:fill="auto"/>
            <w:vAlign w:val="center"/>
          </w:tcPr>
          <w:p>
            <w:pPr>
              <w:overflowPunct/>
              <w:autoSpaceDE/>
              <w:autoSpaceDN/>
              <w:adjustRightInd/>
              <w:rPr>
                <w:rFonts w:ascii="宋体" w:hAnsi="宋体" w:eastAsia="宋体" w:cs="Calibri"/>
                <w:sz w:val="15"/>
                <w:szCs w:val="15"/>
              </w:rPr>
            </w:pPr>
            <w:r>
              <w:rPr>
                <w:rFonts w:hint="eastAsia" w:ascii="宋体" w:hAnsi="宋体" w:eastAsia="宋体" w:cs="Calibri"/>
                <w:sz w:val="15"/>
                <w:szCs w:val="15"/>
              </w:rPr>
              <w:t>重点工作办结率=（重点工作实际完成数/交办或下达数）×100%。实际得分=办结率×6分。</w:t>
            </w:r>
          </w:p>
        </w:tc>
        <w:tc>
          <w:tcPr>
            <w:tcW w:w="528" w:type="pct"/>
            <w:shd w:val="clear" w:color="auto" w:fill="auto"/>
            <w:vAlign w:val="center"/>
          </w:tcPr>
          <w:p>
            <w:pPr>
              <w:overflowPunct/>
              <w:autoSpaceDE/>
              <w:autoSpaceDN/>
              <w:adjustRightInd/>
              <w:jc w:val="left"/>
              <w:rPr>
                <w:rFonts w:ascii="宋体" w:hAnsi="宋体" w:eastAsia="宋体" w:cs="Calibri"/>
                <w:sz w:val="15"/>
                <w:szCs w:val="15"/>
              </w:rPr>
            </w:pPr>
            <w:r>
              <w:rPr>
                <w:rFonts w:hint="eastAsia" w:ascii="宋体" w:hAnsi="宋体" w:eastAsia="宋体" w:cs="Calibri"/>
                <w:sz w:val="15"/>
                <w:szCs w:val="15"/>
              </w:rPr>
              <w:t>工作计划和工作总结等相关资料</w:t>
            </w:r>
          </w:p>
        </w:tc>
        <w:tc>
          <w:tcPr>
            <w:tcW w:w="251" w:type="pct"/>
            <w:shd w:val="clear" w:color="auto" w:fill="auto"/>
            <w:vAlign w:val="center"/>
          </w:tcPr>
          <w:p>
            <w:pPr>
              <w:overflowPunct/>
              <w:autoSpaceDE/>
              <w:autoSpaceDN/>
              <w:adjustRightInd/>
              <w:jc w:val="center"/>
              <w:rPr>
                <w:rFonts w:ascii="宋体" w:hAnsi="宋体" w:eastAsia="宋体" w:cs="Calibri"/>
                <w:sz w:val="15"/>
                <w:szCs w:val="15"/>
              </w:rPr>
            </w:pPr>
            <w:r>
              <w:rPr>
                <w:rFonts w:hint="eastAsia" w:ascii="宋体" w:hAnsi="宋体" w:eastAsia="宋体" w:cs="Calibri"/>
                <w:sz w:val="15"/>
                <w:szCs w:val="15"/>
              </w:rPr>
              <w:t>6</w:t>
            </w:r>
          </w:p>
        </w:tc>
        <w:tc>
          <w:tcPr>
            <w:tcW w:w="251" w:type="pct"/>
            <w:shd w:val="clear" w:color="auto" w:fill="auto"/>
            <w:vAlign w:val="center"/>
          </w:tcPr>
          <w:p>
            <w:pPr>
              <w:overflowPunct/>
              <w:autoSpaceDE/>
              <w:autoSpaceDN/>
              <w:adjustRightInd/>
              <w:jc w:val="center"/>
              <w:rPr>
                <w:rFonts w:ascii="宋体" w:hAnsi="宋体" w:eastAsia="宋体" w:cs="Calibri"/>
                <w:sz w:val="15"/>
                <w:szCs w:val="15"/>
              </w:rPr>
            </w:pPr>
          </w:p>
        </w:tc>
        <w:tc>
          <w:tcPr>
            <w:tcW w:w="1103" w:type="pct"/>
            <w:shd w:val="clear" w:color="auto" w:fill="auto"/>
            <w:vAlign w:val="center"/>
          </w:tcPr>
          <w:p>
            <w:pPr>
              <w:overflowPunct/>
              <w:autoSpaceDE/>
              <w:autoSpaceDN/>
              <w:adjustRightInd/>
              <w:jc w:val="left"/>
              <w:rPr>
                <w:rFonts w:ascii="宋体" w:hAnsi="宋体" w:eastAsia="宋体" w:cs="Calibri"/>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324" w:type="pct"/>
            <w:vMerge w:val="continue"/>
            <w:vAlign w:val="center"/>
          </w:tcPr>
          <w:p>
            <w:pPr>
              <w:overflowPunct/>
              <w:autoSpaceDE/>
              <w:autoSpaceDN/>
              <w:adjustRightInd/>
              <w:jc w:val="left"/>
              <w:rPr>
                <w:rFonts w:ascii="宋体" w:hAnsi="宋体" w:eastAsia="宋体" w:cs="Calibri"/>
                <w:sz w:val="15"/>
                <w:szCs w:val="15"/>
              </w:rPr>
            </w:pPr>
          </w:p>
        </w:tc>
        <w:tc>
          <w:tcPr>
            <w:tcW w:w="336" w:type="pct"/>
            <w:vMerge w:val="restart"/>
            <w:shd w:val="clear" w:color="auto" w:fill="auto"/>
            <w:vAlign w:val="center"/>
          </w:tcPr>
          <w:p>
            <w:pPr>
              <w:overflowPunct/>
              <w:autoSpaceDE/>
              <w:autoSpaceDN/>
              <w:adjustRightInd/>
              <w:jc w:val="left"/>
              <w:rPr>
                <w:rFonts w:ascii="宋体" w:hAnsi="宋体" w:eastAsia="宋体" w:cs="Calibri"/>
                <w:sz w:val="15"/>
                <w:szCs w:val="15"/>
              </w:rPr>
            </w:pPr>
            <w:r>
              <w:rPr>
                <w:rFonts w:hint="eastAsia" w:ascii="宋体" w:hAnsi="宋体" w:eastAsia="宋体" w:cs="Calibri"/>
                <w:sz w:val="15"/>
                <w:szCs w:val="15"/>
              </w:rPr>
              <w:t>2.部门效果（20分）</w:t>
            </w:r>
          </w:p>
        </w:tc>
        <w:tc>
          <w:tcPr>
            <w:tcW w:w="527" w:type="pct"/>
            <w:shd w:val="clear" w:color="auto" w:fill="auto"/>
            <w:vAlign w:val="center"/>
          </w:tcPr>
          <w:p>
            <w:pPr>
              <w:overflowPunct/>
              <w:autoSpaceDE/>
              <w:autoSpaceDN/>
              <w:adjustRightInd/>
              <w:jc w:val="center"/>
              <w:rPr>
                <w:rFonts w:ascii="宋体" w:hAnsi="宋体" w:eastAsia="宋体" w:cs="Calibri"/>
                <w:sz w:val="15"/>
                <w:szCs w:val="15"/>
              </w:rPr>
            </w:pPr>
            <w:r>
              <w:rPr>
                <w:rFonts w:hint="eastAsia" w:ascii="宋体" w:hAnsi="宋体" w:eastAsia="宋体" w:cs="Calibri"/>
                <w:sz w:val="15"/>
                <w:szCs w:val="15"/>
              </w:rPr>
              <w:t>1.经济效益（3分）</w:t>
            </w:r>
          </w:p>
        </w:tc>
        <w:tc>
          <w:tcPr>
            <w:tcW w:w="240" w:type="pct"/>
            <w:shd w:val="clear" w:color="auto" w:fill="auto"/>
            <w:vAlign w:val="center"/>
          </w:tcPr>
          <w:p>
            <w:pPr>
              <w:overflowPunct/>
              <w:autoSpaceDE/>
              <w:autoSpaceDN/>
              <w:adjustRightInd/>
              <w:jc w:val="center"/>
              <w:rPr>
                <w:rFonts w:ascii="宋体" w:hAnsi="宋体" w:eastAsia="宋体" w:cs="Calibri"/>
                <w:sz w:val="18"/>
                <w:szCs w:val="18"/>
              </w:rPr>
            </w:pPr>
            <w:r>
              <w:rPr>
                <w:rFonts w:hint="eastAsia" w:ascii="宋体" w:hAnsi="宋体" w:eastAsia="宋体" w:cs="Calibri"/>
                <w:sz w:val="18"/>
                <w:szCs w:val="18"/>
              </w:rPr>
              <w:t>3</w:t>
            </w:r>
          </w:p>
        </w:tc>
        <w:tc>
          <w:tcPr>
            <w:tcW w:w="671" w:type="pct"/>
            <w:shd w:val="clear" w:color="auto" w:fill="auto"/>
            <w:vAlign w:val="center"/>
          </w:tcPr>
          <w:p>
            <w:pPr>
              <w:overflowPunct/>
              <w:autoSpaceDE/>
              <w:autoSpaceDN/>
              <w:adjustRightInd/>
              <w:rPr>
                <w:rFonts w:ascii="宋体" w:hAnsi="宋体" w:eastAsia="宋体" w:cs="Calibri"/>
                <w:sz w:val="15"/>
                <w:szCs w:val="15"/>
              </w:rPr>
            </w:pPr>
            <w:r>
              <w:rPr>
                <w:rFonts w:hint="eastAsia" w:ascii="宋体" w:hAnsi="宋体" w:eastAsia="宋体" w:cs="Calibri"/>
                <w:sz w:val="15"/>
                <w:szCs w:val="15"/>
              </w:rPr>
              <w:t>部门履行职责对经济发展所带来的直接或间接影响。</w:t>
            </w:r>
          </w:p>
        </w:tc>
        <w:tc>
          <w:tcPr>
            <w:tcW w:w="769" w:type="pct"/>
            <w:shd w:val="clear" w:color="auto" w:fill="auto"/>
            <w:vAlign w:val="center"/>
          </w:tcPr>
          <w:p>
            <w:pPr>
              <w:overflowPunct/>
              <w:autoSpaceDE/>
              <w:autoSpaceDN/>
              <w:adjustRightInd/>
              <w:jc w:val="left"/>
              <w:rPr>
                <w:rFonts w:ascii="宋体" w:hAnsi="宋体" w:eastAsia="宋体" w:cs="Calibri"/>
                <w:sz w:val="15"/>
                <w:szCs w:val="15"/>
              </w:rPr>
            </w:pPr>
            <w:r>
              <w:rPr>
                <w:rFonts w:hint="eastAsia" w:ascii="宋体" w:hAnsi="宋体" w:eastAsia="宋体" w:cs="Calibri"/>
                <w:sz w:val="15"/>
                <w:szCs w:val="15"/>
              </w:rPr>
              <w:t>部门履行职责对经济发展所带来的直接或间接影响，经济效益实现程度较直接影响较大得分（3分）。</w:t>
            </w:r>
          </w:p>
        </w:tc>
        <w:tc>
          <w:tcPr>
            <w:tcW w:w="528" w:type="pct"/>
            <w:shd w:val="clear" w:color="auto" w:fill="auto"/>
            <w:vAlign w:val="center"/>
          </w:tcPr>
          <w:p>
            <w:pPr>
              <w:overflowPunct/>
              <w:autoSpaceDE/>
              <w:autoSpaceDN/>
              <w:adjustRightInd/>
              <w:jc w:val="left"/>
              <w:rPr>
                <w:rFonts w:ascii="宋体" w:hAnsi="宋体" w:eastAsia="宋体" w:cs="Calibri"/>
                <w:sz w:val="15"/>
                <w:szCs w:val="15"/>
              </w:rPr>
            </w:pPr>
            <w:r>
              <w:rPr>
                <w:rFonts w:hint="eastAsia" w:ascii="宋体" w:hAnsi="宋体" w:eastAsia="宋体" w:cs="Calibri"/>
                <w:sz w:val="15"/>
                <w:szCs w:val="15"/>
              </w:rPr>
              <w:t>绩效目标、工作计划和工作总结等相关资料。</w:t>
            </w:r>
          </w:p>
        </w:tc>
        <w:tc>
          <w:tcPr>
            <w:tcW w:w="251" w:type="pct"/>
            <w:shd w:val="clear" w:color="auto" w:fill="auto"/>
            <w:vAlign w:val="center"/>
          </w:tcPr>
          <w:p>
            <w:pPr>
              <w:overflowPunct/>
              <w:autoSpaceDE/>
              <w:autoSpaceDN/>
              <w:adjustRightInd/>
              <w:jc w:val="center"/>
              <w:rPr>
                <w:rFonts w:ascii="宋体" w:hAnsi="宋体" w:eastAsia="宋体" w:cs="Calibri"/>
                <w:sz w:val="15"/>
                <w:szCs w:val="15"/>
              </w:rPr>
            </w:pPr>
            <w:r>
              <w:rPr>
                <w:rFonts w:hint="eastAsia" w:ascii="宋体" w:hAnsi="宋体" w:eastAsia="宋体" w:cs="Calibri"/>
                <w:sz w:val="15"/>
                <w:szCs w:val="15"/>
              </w:rPr>
              <w:t>3</w:t>
            </w:r>
          </w:p>
        </w:tc>
        <w:tc>
          <w:tcPr>
            <w:tcW w:w="251" w:type="pct"/>
            <w:shd w:val="clear" w:color="auto" w:fill="auto"/>
            <w:vAlign w:val="center"/>
          </w:tcPr>
          <w:p>
            <w:pPr>
              <w:overflowPunct/>
              <w:autoSpaceDE/>
              <w:autoSpaceDN/>
              <w:adjustRightInd/>
              <w:jc w:val="center"/>
              <w:rPr>
                <w:rFonts w:ascii="宋体" w:hAnsi="宋体" w:eastAsia="宋体" w:cs="Calibri"/>
                <w:sz w:val="15"/>
                <w:szCs w:val="15"/>
              </w:rPr>
            </w:pPr>
          </w:p>
        </w:tc>
        <w:tc>
          <w:tcPr>
            <w:tcW w:w="1103" w:type="pct"/>
            <w:shd w:val="clear" w:color="auto" w:fill="auto"/>
            <w:vAlign w:val="center"/>
          </w:tcPr>
          <w:p>
            <w:pPr>
              <w:overflowPunct/>
              <w:autoSpaceDE/>
              <w:autoSpaceDN/>
              <w:adjustRightInd/>
              <w:jc w:val="left"/>
              <w:rPr>
                <w:rFonts w:ascii="宋体" w:hAnsi="宋体" w:eastAsia="宋体" w:cs="Calibri"/>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324" w:type="pct"/>
            <w:vMerge w:val="continue"/>
            <w:vAlign w:val="center"/>
          </w:tcPr>
          <w:p>
            <w:pPr>
              <w:overflowPunct/>
              <w:autoSpaceDE/>
              <w:autoSpaceDN/>
              <w:adjustRightInd/>
              <w:jc w:val="left"/>
              <w:rPr>
                <w:rFonts w:ascii="宋体" w:hAnsi="宋体" w:eastAsia="宋体" w:cs="Calibri"/>
                <w:sz w:val="15"/>
                <w:szCs w:val="15"/>
              </w:rPr>
            </w:pPr>
          </w:p>
        </w:tc>
        <w:tc>
          <w:tcPr>
            <w:tcW w:w="336" w:type="pct"/>
            <w:vMerge w:val="continue"/>
            <w:vAlign w:val="center"/>
          </w:tcPr>
          <w:p>
            <w:pPr>
              <w:overflowPunct/>
              <w:autoSpaceDE/>
              <w:autoSpaceDN/>
              <w:adjustRightInd/>
              <w:jc w:val="left"/>
              <w:rPr>
                <w:rFonts w:ascii="宋体" w:hAnsi="宋体" w:eastAsia="宋体" w:cs="Calibri"/>
                <w:sz w:val="15"/>
                <w:szCs w:val="15"/>
              </w:rPr>
            </w:pPr>
          </w:p>
        </w:tc>
        <w:tc>
          <w:tcPr>
            <w:tcW w:w="527" w:type="pct"/>
            <w:shd w:val="clear" w:color="auto" w:fill="auto"/>
            <w:vAlign w:val="center"/>
          </w:tcPr>
          <w:p>
            <w:pPr>
              <w:overflowPunct/>
              <w:autoSpaceDE/>
              <w:autoSpaceDN/>
              <w:adjustRightInd/>
              <w:jc w:val="center"/>
              <w:rPr>
                <w:rFonts w:ascii="宋体" w:hAnsi="宋体" w:eastAsia="宋体" w:cs="Calibri"/>
                <w:sz w:val="15"/>
                <w:szCs w:val="15"/>
              </w:rPr>
            </w:pPr>
            <w:r>
              <w:rPr>
                <w:rFonts w:hint="eastAsia" w:ascii="宋体" w:hAnsi="宋体" w:eastAsia="宋体" w:cs="Calibri"/>
                <w:sz w:val="15"/>
                <w:szCs w:val="15"/>
              </w:rPr>
              <w:t>2.社会效益（10分）</w:t>
            </w:r>
          </w:p>
        </w:tc>
        <w:tc>
          <w:tcPr>
            <w:tcW w:w="240" w:type="pct"/>
            <w:shd w:val="clear" w:color="auto" w:fill="auto"/>
            <w:vAlign w:val="center"/>
          </w:tcPr>
          <w:p>
            <w:pPr>
              <w:overflowPunct/>
              <w:autoSpaceDE/>
              <w:autoSpaceDN/>
              <w:adjustRightInd/>
              <w:jc w:val="center"/>
              <w:rPr>
                <w:rFonts w:ascii="宋体" w:hAnsi="宋体" w:eastAsia="宋体" w:cs="Calibri"/>
                <w:sz w:val="18"/>
                <w:szCs w:val="18"/>
              </w:rPr>
            </w:pPr>
            <w:r>
              <w:rPr>
                <w:rFonts w:hint="eastAsia" w:ascii="宋体" w:hAnsi="宋体" w:eastAsia="宋体" w:cs="Calibri"/>
                <w:sz w:val="18"/>
                <w:szCs w:val="18"/>
              </w:rPr>
              <w:t>10</w:t>
            </w:r>
          </w:p>
        </w:tc>
        <w:tc>
          <w:tcPr>
            <w:tcW w:w="671" w:type="pct"/>
            <w:shd w:val="clear" w:color="auto" w:fill="auto"/>
            <w:vAlign w:val="center"/>
          </w:tcPr>
          <w:p>
            <w:pPr>
              <w:overflowPunct/>
              <w:autoSpaceDE/>
              <w:autoSpaceDN/>
              <w:adjustRightInd/>
              <w:rPr>
                <w:rFonts w:ascii="宋体" w:hAnsi="宋体" w:eastAsia="宋体" w:cs="Calibri"/>
                <w:sz w:val="15"/>
                <w:szCs w:val="15"/>
              </w:rPr>
            </w:pPr>
            <w:r>
              <w:rPr>
                <w:rFonts w:hint="eastAsia" w:ascii="宋体" w:hAnsi="宋体" w:eastAsia="宋体" w:cs="Calibri"/>
                <w:sz w:val="15"/>
                <w:szCs w:val="15"/>
              </w:rPr>
              <w:t>部门履行职责对社会发展所带来的直接或间接影响。</w:t>
            </w:r>
          </w:p>
        </w:tc>
        <w:tc>
          <w:tcPr>
            <w:tcW w:w="769" w:type="pct"/>
            <w:shd w:val="clear" w:color="auto" w:fill="auto"/>
            <w:vAlign w:val="center"/>
          </w:tcPr>
          <w:p>
            <w:pPr>
              <w:overflowPunct/>
              <w:autoSpaceDE/>
              <w:autoSpaceDN/>
              <w:adjustRightInd/>
              <w:jc w:val="left"/>
              <w:rPr>
                <w:rFonts w:ascii="宋体" w:hAnsi="宋体" w:eastAsia="宋体" w:cs="Calibri"/>
                <w:sz w:val="15"/>
                <w:szCs w:val="15"/>
              </w:rPr>
            </w:pPr>
            <w:r>
              <w:rPr>
                <w:rFonts w:hint="eastAsia" w:ascii="宋体" w:hAnsi="宋体" w:eastAsia="宋体" w:cs="Calibri"/>
                <w:sz w:val="15"/>
                <w:szCs w:val="15"/>
              </w:rPr>
              <w:t>部门履行职责对社会发展所带来的直接或间接影响，社会效益实现程度较直接影响较大得分（10分）；</w:t>
            </w:r>
          </w:p>
        </w:tc>
        <w:tc>
          <w:tcPr>
            <w:tcW w:w="528" w:type="pct"/>
            <w:shd w:val="clear" w:color="auto" w:fill="auto"/>
            <w:vAlign w:val="center"/>
          </w:tcPr>
          <w:p>
            <w:pPr>
              <w:overflowPunct/>
              <w:autoSpaceDE/>
              <w:autoSpaceDN/>
              <w:adjustRightInd/>
              <w:jc w:val="left"/>
              <w:rPr>
                <w:rFonts w:ascii="宋体" w:hAnsi="宋体" w:eastAsia="宋体" w:cs="Calibri"/>
                <w:sz w:val="15"/>
                <w:szCs w:val="15"/>
              </w:rPr>
            </w:pPr>
            <w:r>
              <w:rPr>
                <w:rFonts w:hint="eastAsia" w:ascii="宋体" w:hAnsi="宋体" w:eastAsia="宋体" w:cs="Calibri"/>
                <w:sz w:val="15"/>
                <w:szCs w:val="15"/>
              </w:rPr>
              <w:t>绩效目标、工作计划和工作总结等相关资料。</w:t>
            </w:r>
          </w:p>
        </w:tc>
        <w:tc>
          <w:tcPr>
            <w:tcW w:w="251" w:type="pct"/>
            <w:shd w:val="clear" w:color="auto" w:fill="auto"/>
            <w:vAlign w:val="center"/>
          </w:tcPr>
          <w:p>
            <w:pPr>
              <w:overflowPunct/>
              <w:autoSpaceDE/>
              <w:autoSpaceDN/>
              <w:adjustRightInd/>
              <w:jc w:val="center"/>
              <w:rPr>
                <w:rFonts w:ascii="宋体" w:hAnsi="宋体" w:eastAsia="宋体" w:cs="Calibri"/>
                <w:sz w:val="15"/>
                <w:szCs w:val="15"/>
              </w:rPr>
            </w:pPr>
            <w:r>
              <w:rPr>
                <w:rFonts w:hint="eastAsia" w:ascii="宋体" w:hAnsi="宋体" w:eastAsia="宋体" w:cs="Calibri"/>
                <w:sz w:val="15"/>
                <w:szCs w:val="15"/>
              </w:rPr>
              <w:t>9</w:t>
            </w:r>
          </w:p>
        </w:tc>
        <w:tc>
          <w:tcPr>
            <w:tcW w:w="251" w:type="pct"/>
            <w:shd w:val="clear" w:color="auto" w:fill="auto"/>
            <w:vAlign w:val="center"/>
          </w:tcPr>
          <w:p>
            <w:pPr>
              <w:overflowPunct/>
              <w:autoSpaceDE/>
              <w:autoSpaceDN/>
              <w:adjustRightInd/>
              <w:jc w:val="center"/>
              <w:rPr>
                <w:rFonts w:ascii="宋体" w:hAnsi="宋体" w:eastAsia="宋体" w:cs="Calibri"/>
                <w:sz w:val="15"/>
                <w:szCs w:val="15"/>
              </w:rPr>
            </w:pPr>
            <w:r>
              <w:rPr>
                <w:rFonts w:hint="eastAsia" w:ascii="宋体" w:hAnsi="宋体" w:eastAsia="宋体" w:cs="Calibri"/>
                <w:sz w:val="15"/>
                <w:szCs w:val="15"/>
              </w:rPr>
              <w:t>1</w:t>
            </w:r>
          </w:p>
        </w:tc>
        <w:tc>
          <w:tcPr>
            <w:tcW w:w="1103" w:type="pct"/>
            <w:shd w:val="clear" w:color="auto" w:fill="auto"/>
            <w:vAlign w:val="center"/>
          </w:tcPr>
          <w:p>
            <w:pPr>
              <w:overflowPunct/>
              <w:autoSpaceDE/>
              <w:autoSpaceDN/>
              <w:adjustRightInd/>
              <w:jc w:val="left"/>
              <w:rPr>
                <w:rFonts w:ascii="宋体" w:hAnsi="宋体" w:eastAsia="宋体" w:cs="Calibri"/>
                <w:sz w:val="15"/>
                <w:szCs w:val="15"/>
              </w:rPr>
            </w:pPr>
            <w:r>
              <w:rPr>
                <w:rFonts w:hint="eastAsia" w:ascii="宋体" w:hAnsi="宋体" w:eastAsia="宋体" w:cs="Calibri"/>
                <w:sz w:val="15"/>
                <w:szCs w:val="15"/>
              </w:rPr>
              <w:t>绩效目标、工作计划和工作总结等相关资料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324" w:type="pct"/>
            <w:vMerge w:val="continue"/>
            <w:vAlign w:val="center"/>
          </w:tcPr>
          <w:p>
            <w:pPr>
              <w:overflowPunct/>
              <w:autoSpaceDE/>
              <w:autoSpaceDN/>
              <w:adjustRightInd/>
              <w:jc w:val="left"/>
              <w:rPr>
                <w:rFonts w:ascii="宋体" w:hAnsi="宋体" w:eastAsia="宋体" w:cs="Calibri"/>
                <w:sz w:val="15"/>
                <w:szCs w:val="15"/>
              </w:rPr>
            </w:pPr>
          </w:p>
        </w:tc>
        <w:tc>
          <w:tcPr>
            <w:tcW w:w="336" w:type="pct"/>
            <w:vMerge w:val="continue"/>
            <w:vAlign w:val="center"/>
          </w:tcPr>
          <w:p>
            <w:pPr>
              <w:overflowPunct/>
              <w:autoSpaceDE/>
              <w:autoSpaceDN/>
              <w:adjustRightInd/>
              <w:jc w:val="left"/>
              <w:rPr>
                <w:rFonts w:ascii="宋体" w:hAnsi="宋体" w:eastAsia="宋体" w:cs="Calibri"/>
                <w:sz w:val="15"/>
                <w:szCs w:val="15"/>
              </w:rPr>
            </w:pPr>
          </w:p>
        </w:tc>
        <w:tc>
          <w:tcPr>
            <w:tcW w:w="527" w:type="pct"/>
            <w:shd w:val="clear" w:color="auto" w:fill="auto"/>
            <w:vAlign w:val="center"/>
          </w:tcPr>
          <w:p>
            <w:pPr>
              <w:overflowPunct/>
              <w:autoSpaceDE/>
              <w:autoSpaceDN/>
              <w:adjustRightInd/>
              <w:jc w:val="center"/>
              <w:rPr>
                <w:rFonts w:ascii="宋体" w:hAnsi="宋体" w:eastAsia="宋体" w:cs="Calibri"/>
                <w:sz w:val="15"/>
                <w:szCs w:val="15"/>
              </w:rPr>
            </w:pPr>
            <w:r>
              <w:rPr>
                <w:rFonts w:hint="eastAsia" w:ascii="宋体" w:hAnsi="宋体" w:eastAsia="宋体" w:cs="Calibri"/>
                <w:sz w:val="15"/>
                <w:szCs w:val="15"/>
              </w:rPr>
              <w:t>3.生态效益（2分）</w:t>
            </w:r>
          </w:p>
        </w:tc>
        <w:tc>
          <w:tcPr>
            <w:tcW w:w="240" w:type="pct"/>
            <w:shd w:val="clear" w:color="auto" w:fill="auto"/>
            <w:vAlign w:val="center"/>
          </w:tcPr>
          <w:p>
            <w:pPr>
              <w:overflowPunct/>
              <w:autoSpaceDE/>
              <w:autoSpaceDN/>
              <w:adjustRightInd/>
              <w:jc w:val="center"/>
              <w:rPr>
                <w:rFonts w:ascii="宋体" w:hAnsi="宋体" w:eastAsia="宋体" w:cs="Calibri"/>
                <w:sz w:val="18"/>
                <w:szCs w:val="18"/>
              </w:rPr>
            </w:pPr>
            <w:r>
              <w:rPr>
                <w:rFonts w:hint="eastAsia" w:ascii="宋体" w:hAnsi="宋体" w:eastAsia="宋体" w:cs="Calibri"/>
                <w:sz w:val="18"/>
                <w:szCs w:val="18"/>
              </w:rPr>
              <w:t>2</w:t>
            </w:r>
          </w:p>
        </w:tc>
        <w:tc>
          <w:tcPr>
            <w:tcW w:w="671" w:type="pct"/>
            <w:shd w:val="clear" w:color="auto" w:fill="auto"/>
            <w:vAlign w:val="center"/>
          </w:tcPr>
          <w:p>
            <w:pPr>
              <w:overflowPunct/>
              <w:autoSpaceDE/>
              <w:autoSpaceDN/>
              <w:adjustRightInd/>
              <w:jc w:val="left"/>
              <w:rPr>
                <w:rFonts w:ascii="宋体" w:hAnsi="宋体" w:eastAsia="宋体" w:cs="Calibri"/>
                <w:sz w:val="15"/>
                <w:szCs w:val="15"/>
              </w:rPr>
            </w:pPr>
            <w:r>
              <w:rPr>
                <w:rFonts w:hint="eastAsia" w:ascii="宋体" w:hAnsi="宋体" w:eastAsia="宋体" w:cs="Calibri"/>
                <w:sz w:val="15"/>
                <w:szCs w:val="15"/>
              </w:rPr>
              <w:t>部门履行职责对生态环境所带来的直接或间接影响。</w:t>
            </w:r>
          </w:p>
        </w:tc>
        <w:tc>
          <w:tcPr>
            <w:tcW w:w="769" w:type="pct"/>
            <w:shd w:val="clear" w:color="auto" w:fill="auto"/>
            <w:vAlign w:val="center"/>
          </w:tcPr>
          <w:p>
            <w:pPr>
              <w:overflowPunct/>
              <w:autoSpaceDE/>
              <w:autoSpaceDN/>
              <w:adjustRightInd/>
              <w:jc w:val="left"/>
              <w:rPr>
                <w:rFonts w:ascii="宋体" w:hAnsi="宋体" w:eastAsia="宋体" w:cs="Calibri"/>
                <w:sz w:val="15"/>
                <w:szCs w:val="15"/>
              </w:rPr>
            </w:pPr>
            <w:r>
              <w:rPr>
                <w:rFonts w:hint="eastAsia" w:ascii="宋体" w:hAnsi="宋体" w:eastAsia="宋体" w:cs="Calibri"/>
                <w:sz w:val="15"/>
                <w:szCs w:val="15"/>
              </w:rPr>
              <w:t>部门履行职责对生态环境所带来的直接或间接影响，生态效益实现程度较直接影响较大得分（2分）。</w:t>
            </w:r>
          </w:p>
        </w:tc>
        <w:tc>
          <w:tcPr>
            <w:tcW w:w="528" w:type="pct"/>
            <w:shd w:val="clear" w:color="auto" w:fill="auto"/>
            <w:vAlign w:val="center"/>
          </w:tcPr>
          <w:p>
            <w:pPr>
              <w:overflowPunct/>
              <w:autoSpaceDE/>
              <w:autoSpaceDN/>
              <w:adjustRightInd/>
              <w:jc w:val="left"/>
              <w:rPr>
                <w:rFonts w:ascii="宋体" w:hAnsi="宋体" w:eastAsia="宋体" w:cs="Calibri"/>
                <w:sz w:val="15"/>
                <w:szCs w:val="15"/>
              </w:rPr>
            </w:pPr>
            <w:r>
              <w:rPr>
                <w:rFonts w:hint="eastAsia" w:ascii="宋体" w:hAnsi="宋体" w:eastAsia="宋体" w:cs="Calibri"/>
                <w:sz w:val="15"/>
                <w:szCs w:val="15"/>
              </w:rPr>
              <w:t>绩效目标、工作计划和工作总结等相关资料。</w:t>
            </w:r>
          </w:p>
        </w:tc>
        <w:tc>
          <w:tcPr>
            <w:tcW w:w="251" w:type="pct"/>
            <w:shd w:val="clear" w:color="auto" w:fill="auto"/>
            <w:vAlign w:val="center"/>
          </w:tcPr>
          <w:p>
            <w:pPr>
              <w:overflowPunct/>
              <w:autoSpaceDE/>
              <w:autoSpaceDN/>
              <w:adjustRightInd/>
              <w:jc w:val="center"/>
              <w:rPr>
                <w:rFonts w:ascii="宋体" w:hAnsi="宋体" w:eastAsia="宋体" w:cs="Calibri"/>
                <w:sz w:val="15"/>
                <w:szCs w:val="15"/>
              </w:rPr>
            </w:pPr>
            <w:r>
              <w:rPr>
                <w:rFonts w:hint="eastAsia" w:ascii="宋体" w:hAnsi="宋体" w:eastAsia="宋体" w:cs="Calibri"/>
                <w:sz w:val="15"/>
                <w:szCs w:val="15"/>
              </w:rPr>
              <w:t>2</w:t>
            </w:r>
          </w:p>
        </w:tc>
        <w:tc>
          <w:tcPr>
            <w:tcW w:w="251" w:type="pct"/>
            <w:shd w:val="clear" w:color="auto" w:fill="auto"/>
            <w:vAlign w:val="center"/>
          </w:tcPr>
          <w:p>
            <w:pPr>
              <w:overflowPunct/>
              <w:autoSpaceDE/>
              <w:autoSpaceDN/>
              <w:adjustRightInd/>
              <w:jc w:val="center"/>
              <w:rPr>
                <w:rFonts w:ascii="宋体" w:hAnsi="宋体" w:eastAsia="宋体" w:cs="Calibri"/>
                <w:sz w:val="15"/>
                <w:szCs w:val="15"/>
              </w:rPr>
            </w:pPr>
          </w:p>
        </w:tc>
        <w:tc>
          <w:tcPr>
            <w:tcW w:w="1103" w:type="pct"/>
            <w:shd w:val="clear" w:color="auto" w:fill="auto"/>
            <w:vAlign w:val="center"/>
          </w:tcPr>
          <w:p>
            <w:pPr>
              <w:overflowPunct/>
              <w:autoSpaceDE/>
              <w:autoSpaceDN/>
              <w:adjustRightInd/>
              <w:jc w:val="left"/>
              <w:rPr>
                <w:rFonts w:ascii="宋体" w:hAnsi="宋体" w:eastAsia="宋体" w:cs="Calibri"/>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324" w:type="pct"/>
            <w:vMerge w:val="continue"/>
            <w:vAlign w:val="center"/>
          </w:tcPr>
          <w:p>
            <w:pPr>
              <w:overflowPunct/>
              <w:autoSpaceDE/>
              <w:autoSpaceDN/>
              <w:adjustRightInd/>
              <w:jc w:val="left"/>
              <w:rPr>
                <w:rFonts w:ascii="宋体" w:hAnsi="宋体" w:eastAsia="宋体" w:cs="Calibri"/>
                <w:sz w:val="15"/>
                <w:szCs w:val="15"/>
              </w:rPr>
            </w:pPr>
          </w:p>
        </w:tc>
        <w:tc>
          <w:tcPr>
            <w:tcW w:w="336" w:type="pct"/>
            <w:vMerge w:val="continue"/>
            <w:vAlign w:val="center"/>
          </w:tcPr>
          <w:p>
            <w:pPr>
              <w:overflowPunct/>
              <w:autoSpaceDE/>
              <w:autoSpaceDN/>
              <w:adjustRightInd/>
              <w:jc w:val="left"/>
              <w:rPr>
                <w:rFonts w:ascii="宋体" w:hAnsi="宋体" w:eastAsia="宋体" w:cs="Calibri"/>
                <w:sz w:val="15"/>
                <w:szCs w:val="15"/>
              </w:rPr>
            </w:pPr>
          </w:p>
        </w:tc>
        <w:tc>
          <w:tcPr>
            <w:tcW w:w="527" w:type="pct"/>
            <w:shd w:val="clear" w:color="auto" w:fill="auto"/>
            <w:vAlign w:val="center"/>
          </w:tcPr>
          <w:p>
            <w:pPr>
              <w:overflowPunct/>
              <w:autoSpaceDE/>
              <w:autoSpaceDN/>
              <w:adjustRightInd/>
              <w:jc w:val="center"/>
              <w:rPr>
                <w:rFonts w:ascii="宋体" w:hAnsi="宋体" w:eastAsia="宋体" w:cs="Calibri"/>
                <w:sz w:val="15"/>
                <w:szCs w:val="15"/>
              </w:rPr>
            </w:pPr>
            <w:r>
              <w:rPr>
                <w:rFonts w:hint="eastAsia" w:ascii="宋体" w:hAnsi="宋体" w:eastAsia="宋体" w:cs="Calibri"/>
                <w:sz w:val="15"/>
                <w:szCs w:val="15"/>
              </w:rPr>
              <w:t>4.社会公众或服务对象满意度（5分）</w:t>
            </w:r>
          </w:p>
        </w:tc>
        <w:tc>
          <w:tcPr>
            <w:tcW w:w="240" w:type="pct"/>
            <w:shd w:val="clear" w:color="auto" w:fill="auto"/>
            <w:vAlign w:val="center"/>
          </w:tcPr>
          <w:p>
            <w:pPr>
              <w:overflowPunct/>
              <w:autoSpaceDE/>
              <w:autoSpaceDN/>
              <w:adjustRightInd/>
              <w:jc w:val="center"/>
              <w:rPr>
                <w:rFonts w:ascii="宋体" w:hAnsi="宋体" w:eastAsia="宋体" w:cs="Calibri"/>
                <w:sz w:val="15"/>
                <w:szCs w:val="15"/>
              </w:rPr>
            </w:pPr>
            <w:r>
              <w:rPr>
                <w:rFonts w:hint="eastAsia" w:ascii="宋体" w:hAnsi="宋体" w:eastAsia="宋体" w:cs="Calibri"/>
                <w:sz w:val="15"/>
                <w:szCs w:val="15"/>
              </w:rPr>
              <w:t>5</w:t>
            </w:r>
          </w:p>
        </w:tc>
        <w:tc>
          <w:tcPr>
            <w:tcW w:w="671" w:type="pct"/>
            <w:shd w:val="clear" w:color="auto" w:fill="auto"/>
            <w:vAlign w:val="center"/>
          </w:tcPr>
          <w:p>
            <w:pPr>
              <w:overflowPunct/>
              <w:autoSpaceDE/>
              <w:autoSpaceDN/>
              <w:adjustRightInd/>
              <w:rPr>
                <w:rFonts w:ascii="宋体" w:hAnsi="宋体" w:eastAsia="宋体" w:cs="Calibri"/>
                <w:sz w:val="15"/>
                <w:szCs w:val="15"/>
              </w:rPr>
            </w:pPr>
            <w:r>
              <w:rPr>
                <w:rFonts w:hint="eastAsia" w:ascii="宋体" w:hAnsi="宋体" w:eastAsia="宋体" w:cs="Calibri"/>
                <w:sz w:val="15"/>
                <w:szCs w:val="15"/>
              </w:rPr>
              <w:t>社会公众或部门的服务对象对部门履职效果的满意程度。</w:t>
            </w:r>
          </w:p>
        </w:tc>
        <w:tc>
          <w:tcPr>
            <w:tcW w:w="769" w:type="pct"/>
            <w:shd w:val="clear" w:color="auto" w:fill="auto"/>
            <w:vAlign w:val="center"/>
          </w:tcPr>
          <w:p>
            <w:pPr>
              <w:overflowPunct/>
              <w:autoSpaceDE/>
              <w:autoSpaceDN/>
              <w:adjustRightInd/>
              <w:rPr>
                <w:rFonts w:ascii="宋体" w:hAnsi="宋体" w:eastAsia="宋体" w:cs="Calibri"/>
                <w:sz w:val="15"/>
                <w:szCs w:val="15"/>
              </w:rPr>
            </w:pPr>
            <w:r>
              <w:rPr>
                <w:rFonts w:hint="eastAsia" w:ascii="宋体" w:hAnsi="宋体" w:eastAsia="宋体" w:cs="Calibri"/>
                <w:sz w:val="15"/>
                <w:szCs w:val="15"/>
              </w:rPr>
              <w:t>按收集到的服务对象的满意率计算得分达到90%以上，得5分；每小1%，扣1分，扣完为。。</w:t>
            </w:r>
          </w:p>
        </w:tc>
        <w:tc>
          <w:tcPr>
            <w:tcW w:w="528" w:type="pct"/>
            <w:shd w:val="clear" w:color="auto" w:fill="auto"/>
            <w:vAlign w:val="center"/>
          </w:tcPr>
          <w:p>
            <w:pPr>
              <w:overflowPunct/>
              <w:autoSpaceDE/>
              <w:autoSpaceDN/>
              <w:adjustRightInd/>
              <w:jc w:val="left"/>
              <w:rPr>
                <w:rFonts w:ascii="宋体" w:hAnsi="宋体" w:eastAsia="宋体" w:cs="Calibri"/>
                <w:sz w:val="15"/>
                <w:szCs w:val="15"/>
              </w:rPr>
            </w:pPr>
            <w:r>
              <w:rPr>
                <w:rFonts w:hint="eastAsia" w:ascii="宋体" w:hAnsi="宋体" w:eastAsia="宋体" w:cs="Calibri"/>
                <w:sz w:val="15"/>
                <w:szCs w:val="15"/>
              </w:rPr>
              <w:t>问卷调查、访谈</w:t>
            </w:r>
          </w:p>
        </w:tc>
        <w:tc>
          <w:tcPr>
            <w:tcW w:w="251" w:type="pct"/>
            <w:shd w:val="clear" w:color="auto" w:fill="auto"/>
            <w:vAlign w:val="center"/>
          </w:tcPr>
          <w:p>
            <w:pPr>
              <w:overflowPunct/>
              <w:autoSpaceDE/>
              <w:autoSpaceDN/>
              <w:adjustRightInd/>
              <w:jc w:val="center"/>
              <w:rPr>
                <w:rFonts w:ascii="宋体" w:hAnsi="宋体" w:eastAsia="宋体" w:cs="Calibri"/>
                <w:sz w:val="15"/>
                <w:szCs w:val="15"/>
              </w:rPr>
            </w:pPr>
            <w:r>
              <w:rPr>
                <w:rFonts w:hint="eastAsia" w:ascii="宋体" w:hAnsi="宋体" w:eastAsia="宋体" w:cs="Calibri"/>
                <w:sz w:val="15"/>
                <w:szCs w:val="15"/>
              </w:rPr>
              <w:t>4</w:t>
            </w:r>
          </w:p>
        </w:tc>
        <w:tc>
          <w:tcPr>
            <w:tcW w:w="251" w:type="pct"/>
            <w:shd w:val="clear" w:color="auto" w:fill="auto"/>
            <w:vAlign w:val="center"/>
          </w:tcPr>
          <w:p>
            <w:pPr>
              <w:overflowPunct/>
              <w:autoSpaceDE/>
              <w:autoSpaceDN/>
              <w:adjustRightInd/>
              <w:jc w:val="center"/>
              <w:rPr>
                <w:rFonts w:ascii="宋体" w:hAnsi="宋体" w:eastAsia="宋体" w:cs="Calibri"/>
                <w:sz w:val="15"/>
                <w:szCs w:val="15"/>
              </w:rPr>
            </w:pPr>
            <w:r>
              <w:rPr>
                <w:rFonts w:hint="eastAsia" w:ascii="宋体" w:hAnsi="宋体" w:eastAsia="宋体" w:cs="Calibri"/>
                <w:sz w:val="15"/>
                <w:szCs w:val="15"/>
              </w:rPr>
              <w:t>1</w:t>
            </w:r>
          </w:p>
        </w:tc>
        <w:tc>
          <w:tcPr>
            <w:tcW w:w="1103" w:type="pct"/>
            <w:shd w:val="clear" w:color="auto" w:fill="auto"/>
            <w:vAlign w:val="center"/>
          </w:tcPr>
          <w:p>
            <w:pPr>
              <w:overflowPunct/>
              <w:autoSpaceDE/>
              <w:autoSpaceDN/>
              <w:adjustRightInd/>
              <w:jc w:val="left"/>
              <w:rPr>
                <w:rFonts w:ascii="宋体" w:hAnsi="宋体" w:eastAsia="宋体" w:cs="Calibri"/>
                <w:sz w:val="15"/>
                <w:szCs w:val="15"/>
              </w:rPr>
            </w:pPr>
            <w:r>
              <w:rPr>
                <w:rFonts w:hint="eastAsia" w:ascii="宋体" w:hAnsi="宋体" w:eastAsia="宋体" w:cs="Calibri"/>
                <w:sz w:val="15"/>
                <w:szCs w:val="15"/>
              </w:rPr>
              <w:t>问卷调查、访谈没有达到100%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660" w:type="pct"/>
            <w:gridSpan w:val="2"/>
            <w:shd w:val="clear" w:color="auto" w:fill="auto"/>
            <w:vAlign w:val="center"/>
          </w:tcPr>
          <w:p>
            <w:pPr>
              <w:overflowPunct/>
              <w:autoSpaceDE/>
              <w:autoSpaceDN/>
              <w:adjustRightInd/>
              <w:jc w:val="center"/>
              <w:rPr>
                <w:rFonts w:ascii="宋体" w:hAnsi="宋体" w:eastAsia="宋体" w:cs="Calibri"/>
                <w:b/>
                <w:bCs/>
                <w:sz w:val="15"/>
                <w:szCs w:val="15"/>
              </w:rPr>
            </w:pPr>
            <w:r>
              <w:rPr>
                <w:rFonts w:hint="eastAsia" w:ascii="宋体" w:hAnsi="宋体" w:eastAsia="宋体" w:cs="Calibri"/>
                <w:b/>
                <w:bCs/>
                <w:sz w:val="15"/>
                <w:szCs w:val="15"/>
              </w:rPr>
              <w:t>合计</w:t>
            </w:r>
          </w:p>
        </w:tc>
        <w:tc>
          <w:tcPr>
            <w:tcW w:w="527" w:type="pct"/>
            <w:shd w:val="clear" w:color="auto" w:fill="auto"/>
            <w:vAlign w:val="center"/>
          </w:tcPr>
          <w:p>
            <w:pPr>
              <w:overflowPunct/>
              <w:autoSpaceDE/>
              <w:autoSpaceDN/>
              <w:adjustRightInd/>
              <w:jc w:val="center"/>
              <w:rPr>
                <w:rFonts w:ascii="宋体" w:hAnsi="宋体" w:eastAsia="宋体" w:cs="Calibri"/>
                <w:b/>
                <w:bCs/>
                <w:sz w:val="15"/>
                <w:szCs w:val="15"/>
              </w:rPr>
            </w:pPr>
          </w:p>
        </w:tc>
        <w:tc>
          <w:tcPr>
            <w:tcW w:w="240" w:type="pct"/>
            <w:shd w:val="clear" w:color="auto" w:fill="auto"/>
            <w:vAlign w:val="center"/>
          </w:tcPr>
          <w:p>
            <w:pPr>
              <w:overflowPunct/>
              <w:autoSpaceDE/>
              <w:autoSpaceDN/>
              <w:adjustRightInd/>
              <w:jc w:val="center"/>
              <w:rPr>
                <w:rFonts w:ascii="宋体" w:hAnsi="宋体" w:eastAsia="宋体" w:cs="Calibri"/>
                <w:b/>
                <w:bCs/>
                <w:sz w:val="15"/>
                <w:szCs w:val="15"/>
              </w:rPr>
            </w:pPr>
            <w:r>
              <w:rPr>
                <w:rFonts w:hint="eastAsia" w:ascii="宋体" w:hAnsi="宋体" w:eastAsia="宋体" w:cs="Calibri"/>
                <w:b/>
                <w:bCs/>
                <w:sz w:val="15"/>
                <w:szCs w:val="15"/>
              </w:rPr>
              <w:t>100</w:t>
            </w:r>
          </w:p>
        </w:tc>
        <w:tc>
          <w:tcPr>
            <w:tcW w:w="1968" w:type="pct"/>
            <w:gridSpan w:val="3"/>
            <w:shd w:val="clear" w:color="auto" w:fill="auto"/>
            <w:vAlign w:val="center"/>
          </w:tcPr>
          <w:p>
            <w:pPr>
              <w:overflowPunct/>
              <w:autoSpaceDE/>
              <w:autoSpaceDN/>
              <w:adjustRightInd/>
              <w:jc w:val="left"/>
              <w:rPr>
                <w:rFonts w:ascii="宋体" w:hAnsi="宋体" w:eastAsia="宋体" w:cs="Calibri"/>
                <w:b/>
                <w:bCs/>
                <w:sz w:val="15"/>
                <w:szCs w:val="15"/>
              </w:rPr>
            </w:pPr>
            <w:r>
              <w:rPr>
                <w:rFonts w:hint="eastAsia" w:ascii="宋体" w:hAnsi="宋体" w:eastAsia="宋体" w:cs="Calibri"/>
                <w:b/>
                <w:bCs/>
                <w:sz w:val="15"/>
                <w:szCs w:val="15"/>
              </w:rPr>
              <w:t>　</w:t>
            </w:r>
          </w:p>
        </w:tc>
        <w:tc>
          <w:tcPr>
            <w:tcW w:w="251" w:type="pct"/>
            <w:shd w:val="clear" w:color="auto" w:fill="auto"/>
            <w:vAlign w:val="center"/>
          </w:tcPr>
          <w:p>
            <w:pPr>
              <w:overflowPunct/>
              <w:autoSpaceDE/>
              <w:autoSpaceDN/>
              <w:adjustRightInd/>
              <w:jc w:val="center"/>
              <w:rPr>
                <w:rFonts w:ascii="宋体" w:hAnsi="宋体" w:eastAsia="宋体" w:cs="Calibri"/>
                <w:b/>
                <w:bCs/>
                <w:sz w:val="15"/>
                <w:szCs w:val="15"/>
              </w:rPr>
            </w:pPr>
            <w:r>
              <w:rPr>
                <w:rFonts w:hint="eastAsia" w:ascii="宋体" w:hAnsi="宋体" w:eastAsia="宋体" w:cs="Calibri"/>
                <w:b/>
                <w:bCs/>
                <w:sz w:val="15"/>
                <w:szCs w:val="15"/>
              </w:rPr>
              <w:t>97</w:t>
            </w:r>
          </w:p>
        </w:tc>
        <w:tc>
          <w:tcPr>
            <w:tcW w:w="251" w:type="pct"/>
            <w:shd w:val="clear" w:color="auto" w:fill="auto"/>
            <w:vAlign w:val="center"/>
          </w:tcPr>
          <w:p>
            <w:pPr>
              <w:overflowPunct/>
              <w:autoSpaceDE/>
              <w:autoSpaceDN/>
              <w:adjustRightInd/>
              <w:jc w:val="center"/>
              <w:rPr>
                <w:rFonts w:ascii="宋体" w:hAnsi="宋体" w:eastAsia="宋体" w:cs="Calibri"/>
                <w:b/>
                <w:bCs/>
                <w:sz w:val="15"/>
                <w:szCs w:val="15"/>
              </w:rPr>
            </w:pPr>
            <w:r>
              <w:rPr>
                <w:rFonts w:hint="eastAsia" w:ascii="宋体" w:hAnsi="宋体" w:eastAsia="宋体" w:cs="Calibri"/>
                <w:b/>
                <w:bCs/>
                <w:sz w:val="15"/>
                <w:szCs w:val="15"/>
              </w:rPr>
              <w:t>3</w:t>
            </w:r>
          </w:p>
        </w:tc>
        <w:tc>
          <w:tcPr>
            <w:tcW w:w="1103" w:type="pct"/>
            <w:shd w:val="clear" w:color="auto" w:fill="auto"/>
            <w:noWrap/>
            <w:vAlign w:val="center"/>
          </w:tcPr>
          <w:p>
            <w:pPr>
              <w:overflowPunct/>
              <w:autoSpaceDE/>
              <w:autoSpaceDN/>
              <w:adjustRightInd/>
              <w:jc w:val="left"/>
              <w:rPr>
                <w:rFonts w:ascii="宋体" w:hAnsi="宋体" w:eastAsia="宋体" w:cs="Calibri"/>
                <w:b/>
                <w:bCs/>
                <w:sz w:val="15"/>
                <w:szCs w:val="15"/>
              </w:rPr>
            </w:pPr>
            <w:r>
              <w:rPr>
                <w:rFonts w:hint="eastAsia" w:ascii="宋体" w:hAnsi="宋体" w:eastAsia="宋体" w:cs="Calibri"/>
                <w:b/>
                <w:bCs/>
                <w:sz w:val="15"/>
                <w:szCs w:val="15"/>
              </w:rPr>
              <w:t>　</w:t>
            </w:r>
          </w:p>
        </w:tc>
      </w:tr>
    </w:tbl>
    <w:p>
      <w:pPr>
        <w:widowControl w:val="0"/>
        <w:overflowPunct/>
        <w:rPr>
          <w:rFonts w:ascii="仿宋_GB2312" w:hAnsi="等线 Light" w:eastAsia="仿宋_GB2312"/>
          <w:sz w:val="15"/>
          <w:szCs w:val="15"/>
        </w:rPr>
      </w:pPr>
    </w:p>
    <w:p/>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等线">
    <w:altName w:val="Arial Unicode MS"/>
    <w:panose1 w:val="00000000000000000000"/>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等线 Light">
    <w:altName w:val="宋体"/>
    <w:panose1 w:val="00000000000000000000"/>
    <w:charset w:val="86"/>
    <w:family w:val="auto"/>
    <w:pitch w:val="default"/>
    <w:sig w:usb0="00000000" w:usb1="00000000" w:usb2="00000016" w:usb3="00000000" w:csb0="0004000F" w:csb1="00000000"/>
  </w:font>
  <w:font w:name="Cambria Math">
    <w:panose1 w:val="02040503050406030204"/>
    <w:charset w:val="00"/>
    <w:family w:val="roman"/>
    <w:pitch w:val="default"/>
    <w:sig w:usb0="E00002FF" w:usb1="420024FF" w:usb2="00000000" w:usb3="00000000" w:csb0="2000019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014358"/>
      <w:docPartObj>
        <w:docPartGallery w:val="autotext"/>
      </w:docPartObj>
    </w:sdtPr>
    <w:sdtContent>
      <w:p>
        <w:pPr>
          <w:pStyle w:val="3"/>
          <w:jc w:val="right"/>
        </w:pPr>
        <w:r>
          <w:fldChar w:fldCharType="begin"/>
        </w:r>
        <w:r>
          <w:instrText xml:space="preserve"> PAGE   \* MERGEFORMAT </w:instrText>
        </w:r>
        <w:r>
          <w:fldChar w:fldCharType="separate"/>
        </w:r>
        <w:r>
          <w:rPr>
            <w:lang w:val="zh-CN"/>
          </w:rPr>
          <w:t>21</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wNjU4NzE1MDQ2MGY5NDFmOWE1MjYxODJmZjA5MGUifQ=="/>
  </w:docVars>
  <w:rsids>
    <w:rsidRoot w:val="00AD3BCF"/>
    <w:rsid w:val="00036766"/>
    <w:rsid w:val="000435BE"/>
    <w:rsid w:val="000747C1"/>
    <w:rsid w:val="0008680C"/>
    <w:rsid w:val="00112E37"/>
    <w:rsid w:val="001433AF"/>
    <w:rsid w:val="001E47E7"/>
    <w:rsid w:val="001E707F"/>
    <w:rsid w:val="0025428F"/>
    <w:rsid w:val="0025451B"/>
    <w:rsid w:val="002A374B"/>
    <w:rsid w:val="00362271"/>
    <w:rsid w:val="003F0A83"/>
    <w:rsid w:val="004676AD"/>
    <w:rsid w:val="004C1AC8"/>
    <w:rsid w:val="004C53BC"/>
    <w:rsid w:val="004C57FC"/>
    <w:rsid w:val="004F1455"/>
    <w:rsid w:val="00541607"/>
    <w:rsid w:val="00566162"/>
    <w:rsid w:val="00602895"/>
    <w:rsid w:val="00642CC9"/>
    <w:rsid w:val="00683075"/>
    <w:rsid w:val="00742BAF"/>
    <w:rsid w:val="00746FE5"/>
    <w:rsid w:val="00754037"/>
    <w:rsid w:val="0077750B"/>
    <w:rsid w:val="00791B08"/>
    <w:rsid w:val="007E2A80"/>
    <w:rsid w:val="007E3D58"/>
    <w:rsid w:val="008518F0"/>
    <w:rsid w:val="00873653"/>
    <w:rsid w:val="00924FF0"/>
    <w:rsid w:val="009C439E"/>
    <w:rsid w:val="009D44CF"/>
    <w:rsid w:val="00A245A5"/>
    <w:rsid w:val="00A54756"/>
    <w:rsid w:val="00A55A88"/>
    <w:rsid w:val="00A90EF3"/>
    <w:rsid w:val="00AD3BCF"/>
    <w:rsid w:val="00B23DED"/>
    <w:rsid w:val="00C07B1B"/>
    <w:rsid w:val="00C1100C"/>
    <w:rsid w:val="00C7058C"/>
    <w:rsid w:val="00C865EB"/>
    <w:rsid w:val="00CF556F"/>
    <w:rsid w:val="00D03201"/>
    <w:rsid w:val="00D06EC0"/>
    <w:rsid w:val="00D50DC1"/>
    <w:rsid w:val="00D648EA"/>
    <w:rsid w:val="00D73993"/>
    <w:rsid w:val="00D84316"/>
    <w:rsid w:val="00E21E01"/>
    <w:rsid w:val="00E25A4C"/>
    <w:rsid w:val="00E272F1"/>
    <w:rsid w:val="00E37B7F"/>
    <w:rsid w:val="00E77650"/>
    <w:rsid w:val="00ED750F"/>
    <w:rsid w:val="00F02BC7"/>
    <w:rsid w:val="00F06365"/>
    <w:rsid w:val="00FB038B"/>
    <w:rsid w:val="017113FC"/>
    <w:rsid w:val="017252BA"/>
    <w:rsid w:val="01BF2627"/>
    <w:rsid w:val="01C14B70"/>
    <w:rsid w:val="01FD665D"/>
    <w:rsid w:val="02095859"/>
    <w:rsid w:val="02265CEE"/>
    <w:rsid w:val="024C45AF"/>
    <w:rsid w:val="026809CB"/>
    <w:rsid w:val="028D5A8B"/>
    <w:rsid w:val="028E2920"/>
    <w:rsid w:val="02934776"/>
    <w:rsid w:val="0342779C"/>
    <w:rsid w:val="037415AC"/>
    <w:rsid w:val="03797B07"/>
    <w:rsid w:val="039944B1"/>
    <w:rsid w:val="03A205E1"/>
    <w:rsid w:val="03B346A3"/>
    <w:rsid w:val="03E92FD6"/>
    <w:rsid w:val="040265F9"/>
    <w:rsid w:val="044A2F08"/>
    <w:rsid w:val="04925D54"/>
    <w:rsid w:val="04B17086"/>
    <w:rsid w:val="04BF118D"/>
    <w:rsid w:val="05465749"/>
    <w:rsid w:val="05C35AE8"/>
    <w:rsid w:val="0664542C"/>
    <w:rsid w:val="0667681B"/>
    <w:rsid w:val="06E763A0"/>
    <w:rsid w:val="06EA6A19"/>
    <w:rsid w:val="07533B58"/>
    <w:rsid w:val="07602D8F"/>
    <w:rsid w:val="079867AA"/>
    <w:rsid w:val="07AE0A92"/>
    <w:rsid w:val="07D41DFD"/>
    <w:rsid w:val="07E34320"/>
    <w:rsid w:val="08037767"/>
    <w:rsid w:val="081521CE"/>
    <w:rsid w:val="0848382F"/>
    <w:rsid w:val="085138C8"/>
    <w:rsid w:val="08A71A59"/>
    <w:rsid w:val="08C6675C"/>
    <w:rsid w:val="09176781"/>
    <w:rsid w:val="092A786B"/>
    <w:rsid w:val="09DA2F5A"/>
    <w:rsid w:val="0A740126"/>
    <w:rsid w:val="0A96534B"/>
    <w:rsid w:val="0ABC224B"/>
    <w:rsid w:val="0ADF4630"/>
    <w:rsid w:val="0B7D0722"/>
    <w:rsid w:val="0BC62E0F"/>
    <w:rsid w:val="0BDD29BA"/>
    <w:rsid w:val="0C9670CD"/>
    <w:rsid w:val="0CEF32A7"/>
    <w:rsid w:val="0D96443D"/>
    <w:rsid w:val="0DB77EF6"/>
    <w:rsid w:val="0DE468A0"/>
    <w:rsid w:val="0E380EED"/>
    <w:rsid w:val="0EDC2842"/>
    <w:rsid w:val="0EDD2829"/>
    <w:rsid w:val="0EE46595"/>
    <w:rsid w:val="0F0C3A79"/>
    <w:rsid w:val="0F102769"/>
    <w:rsid w:val="0F5237D2"/>
    <w:rsid w:val="0FB94A69"/>
    <w:rsid w:val="0FF210AC"/>
    <w:rsid w:val="0FFD533F"/>
    <w:rsid w:val="10316CF7"/>
    <w:rsid w:val="10493883"/>
    <w:rsid w:val="10776420"/>
    <w:rsid w:val="10CC2B9C"/>
    <w:rsid w:val="110712DB"/>
    <w:rsid w:val="11246153"/>
    <w:rsid w:val="115A734A"/>
    <w:rsid w:val="11A0090F"/>
    <w:rsid w:val="11C5199F"/>
    <w:rsid w:val="11E171F3"/>
    <w:rsid w:val="11F125AA"/>
    <w:rsid w:val="121D7A5C"/>
    <w:rsid w:val="123A6707"/>
    <w:rsid w:val="12516D4E"/>
    <w:rsid w:val="125F2D68"/>
    <w:rsid w:val="127E0211"/>
    <w:rsid w:val="12A208C3"/>
    <w:rsid w:val="12D40A19"/>
    <w:rsid w:val="132B5679"/>
    <w:rsid w:val="134A4A3C"/>
    <w:rsid w:val="1373036D"/>
    <w:rsid w:val="139C47AD"/>
    <w:rsid w:val="13FB5694"/>
    <w:rsid w:val="141F08ED"/>
    <w:rsid w:val="14232489"/>
    <w:rsid w:val="14370466"/>
    <w:rsid w:val="145676F1"/>
    <w:rsid w:val="14587C5B"/>
    <w:rsid w:val="145A2248"/>
    <w:rsid w:val="147F0FBA"/>
    <w:rsid w:val="148F6B82"/>
    <w:rsid w:val="14A876DD"/>
    <w:rsid w:val="14AF467E"/>
    <w:rsid w:val="14C159B7"/>
    <w:rsid w:val="14E4200B"/>
    <w:rsid w:val="15185A6C"/>
    <w:rsid w:val="153A7038"/>
    <w:rsid w:val="154A57CB"/>
    <w:rsid w:val="156C6D36"/>
    <w:rsid w:val="15936E58"/>
    <w:rsid w:val="15ED28BC"/>
    <w:rsid w:val="15F34122"/>
    <w:rsid w:val="165E2309"/>
    <w:rsid w:val="16A52F09"/>
    <w:rsid w:val="16C67116"/>
    <w:rsid w:val="17071BFD"/>
    <w:rsid w:val="170C2406"/>
    <w:rsid w:val="170E35ED"/>
    <w:rsid w:val="17204806"/>
    <w:rsid w:val="17910C69"/>
    <w:rsid w:val="17A0757C"/>
    <w:rsid w:val="17AD15BE"/>
    <w:rsid w:val="17BB792F"/>
    <w:rsid w:val="17D770C6"/>
    <w:rsid w:val="17FF3FA7"/>
    <w:rsid w:val="18573ECE"/>
    <w:rsid w:val="187075CC"/>
    <w:rsid w:val="18D843CB"/>
    <w:rsid w:val="18E86569"/>
    <w:rsid w:val="190632CA"/>
    <w:rsid w:val="191E7A8E"/>
    <w:rsid w:val="193763C0"/>
    <w:rsid w:val="193E79CC"/>
    <w:rsid w:val="196310CA"/>
    <w:rsid w:val="19794FF8"/>
    <w:rsid w:val="19810F05"/>
    <w:rsid w:val="199A539E"/>
    <w:rsid w:val="199C6A6C"/>
    <w:rsid w:val="19A0740A"/>
    <w:rsid w:val="19D138B9"/>
    <w:rsid w:val="19D7517E"/>
    <w:rsid w:val="19ED28CD"/>
    <w:rsid w:val="19F20695"/>
    <w:rsid w:val="19FB56A8"/>
    <w:rsid w:val="1A891D23"/>
    <w:rsid w:val="1ACE7AB6"/>
    <w:rsid w:val="1AD778C7"/>
    <w:rsid w:val="1AF51BA2"/>
    <w:rsid w:val="1B101A7F"/>
    <w:rsid w:val="1B4D1B8E"/>
    <w:rsid w:val="1B8D7FDA"/>
    <w:rsid w:val="1B9D5E5B"/>
    <w:rsid w:val="1BB426F1"/>
    <w:rsid w:val="1BFC456E"/>
    <w:rsid w:val="1C1736BF"/>
    <w:rsid w:val="1C1C541D"/>
    <w:rsid w:val="1C4309FD"/>
    <w:rsid w:val="1CD474CA"/>
    <w:rsid w:val="1CF213F0"/>
    <w:rsid w:val="1CFF43B6"/>
    <w:rsid w:val="1D0D3A60"/>
    <w:rsid w:val="1D220FDA"/>
    <w:rsid w:val="1D4247CD"/>
    <w:rsid w:val="1D5B27EE"/>
    <w:rsid w:val="1DD45ADB"/>
    <w:rsid w:val="1DE630A8"/>
    <w:rsid w:val="1DE95065"/>
    <w:rsid w:val="1E345F39"/>
    <w:rsid w:val="1E5F2DFE"/>
    <w:rsid w:val="1E8C3AD1"/>
    <w:rsid w:val="1EAC717C"/>
    <w:rsid w:val="1EAE43B1"/>
    <w:rsid w:val="1EB14113"/>
    <w:rsid w:val="1F7C0842"/>
    <w:rsid w:val="1F837A08"/>
    <w:rsid w:val="1FA96068"/>
    <w:rsid w:val="1FE33C9B"/>
    <w:rsid w:val="1FE47793"/>
    <w:rsid w:val="2013561A"/>
    <w:rsid w:val="201556A3"/>
    <w:rsid w:val="201E76F3"/>
    <w:rsid w:val="2052118E"/>
    <w:rsid w:val="20590A40"/>
    <w:rsid w:val="205C1976"/>
    <w:rsid w:val="206B0E8E"/>
    <w:rsid w:val="20F8783A"/>
    <w:rsid w:val="212D3A7C"/>
    <w:rsid w:val="21461665"/>
    <w:rsid w:val="217E38BD"/>
    <w:rsid w:val="218074ED"/>
    <w:rsid w:val="21E61044"/>
    <w:rsid w:val="220A3959"/>
    <w:rsid w:val="221A315F"/>
    <w:rsid w:val="22644C57"/>
    <w:rsid w:val="22812265"/>
    <w:rsid w:val="2282218B"/>
    <w:rsid w:val="22A672BB"/>
    <w:rsid w:val="22C242FE"/>
    <w:rsid w:val="23497547"/>
    <w:rsid w:val="23AC20D4"/>
    <w:rsid w:val="23E4429A"/>
    <w:rsid w:val="24053950"/>
    <w:rsid w:val="2481702E"/>
    <w:rsid w:val="24A56888"/>
    <w:rsid w:val="24D11A64"/>
    <w:rsid w:val="24DB37B3"/>
    <w:rsid w:val="250D085B"/>
    <w:rsid w:val="256002FB"/>
    <w:rsid w:val="256A5AAF"/>
    <w:rsid w:val="25763073"/>
    <w:rsid w:val="25D0729D"/>
    <w:rsid w:val="25D16C93"/>
    <w:rsid w:val="25E34546"/>
    <w:rsid w:val="260D7FB3"/>
    <w:rsid w:val="262150AA"/>
    <w:rsid w:val="2669687D"/>
    <w:rsid w:val="26ED5B62"/>
    <w:rsid w:val="26F84CC2"/>
    <w:rsid w:val="27061046"/>
    <w:rsid w:val="281630CB"/>
    <w:rsid w:val="281941F6"/>
    <w:rsid w:val="28AB4F2A"/>
    <w:rsid w:val="28DA4985"/>
    <w:rsid w:val="28EA0B5E"/>
    <w:rsid w:val="29087D84"/>
    <w:rsid w:val="298209B4"/>
    <w:rsid w:val="29AA2B3E"/>
    <w:rsid w:val="29DE7000"/>
    <w:rsid w:val="29FC0E3D"/>
    <w:rsid w:val="2A3F27C4"/>
    <w:rsid w:val="2A53302A"/>
    <w:rsid w:val="2A595D7B"/>
    <w:rsid w:val="2A6754CA"/>
    <w:rsid w:val="2ADD0FBF"/>
    <w:rsid w:val="2B0E1590"/>
    <w:rsid w:val="2B1E79B8"/>
    <w:rsid w:val="2B2C23A2"/>
    <w:rsid w:val="2B332FC5"/>
    <w:rsid w:val="2B7F34C7"/>
    <w:rsid w:val="2B7F6929"/>
    <w:rsid w:val="2B8C3E87"/>
    <w:rsid w:val="2BC009FD"/>
    <w:rsid w:val="2BFE7048"/>
    <w:rsid w:val="2C0525C8"/>
    <w:rsid w:val="2C0D12F6"/>
    <w:rsid w:val="2C3F7B9B"/>
    <w:rsid w:val="2C482EAB"/>
    <w:rsid w:val="2C7C0B4E"/>
    <w:rsid w:val="2C842041"/>
    <w:rsid w:val="2D0C281D"/>
    <w:rsid w:val="2D12638C"/>
    <w:rsid w:val="2D2B5952"/>
    <w:rsid w:val="2D9F236F"/>
    <w:rsid w:val="2DBA00E2"/>
    <w:rsid w:val="2DDC1905"/>
    <w:rsid w:val="2DEF017C"/>
    <w:rsid w:val="2E2949FE"/>
    <w:rsid w:val="2E384FAE"/>
    <w:rsid w:val="2E43107D"/>
    <w:rsid w:val="2EDE1C49"/>
    <w:rsid w:val="2F1F39E6"/>
    <w:rsid w:val="2F4A6878"/>
    <w:rsid w:val="2FFC1E73"/>
    <w:rsid w:val="30060314"/>
    <w:rsid w:val="303207FF"/>
    <w:rsid w:val="304F63FF"/>
    <w:rsid w:val="30674B77"/>
    <w:rsid w:val="30FE7ED6"/>
    <w:rsid w:val="31393D18"/>
    <w:rsid w:val="31402083"/>
    <w:rsid w:val="3148118F"/>
    <w:rsid w:val="315B5549"/>
    <w:rsid w:val="316F0CCF"/>
    <w:rsid w:val="31B14614"/>
    <w:rsid w:val="31E01D36"/>
    <w:rsid w:val="320E6C90"/>
    <w:rsid w:val="32287FD0"/>
    <w:rsid w:val="32470CD3"/>
    <w:rsid w:val="3249094D"/>
    <w:rsid w:val="328947DD"/>
    <w:rsid w:val="328E6F6B"/>
    <w:rsid w:val="32C53228"/>
    <w:rsid w:val="32D60CE7"/>
    <w:rsid w:val="32D831B2"/>
    <w:rsid w:val="32EA110C"/>
    <w:rsid w:val="33012446"/>
    <w:rsid w:val="33046ED4"/>
    <w:rsid w:val="336B2A86"/>
    <w:rsid w:val="3377597F"/>
    <w:rsid w:val="33A81287"/>
    <w:rsid w:val="33AA2626"/>
    <w:rsid w:val="33F82E5E"/>
    <w:rsid w:val="3402163D"/>
    <w:rsid w:val="34821C75"/>
    <w:rsid w:val="3483172B"/>
    <w:rsid w:val="34844FC8"/>
    <w:rsid w:val="34DC4777"/>
    <w:rsid w:val="35165EA7"/>
    <w:rsid w:val="357D56FC"/>
    <w:rsid w:val="35D374E5"/>
    <w:rsid w:val="360C2713"/>
    <w:rsid w:val="361A5432"/>
    <w:rsid w:val="36227C41"/>
    <w:rsid w:val="36681792"/>
    <w:rsid w:val="36864AF1"/>
    <w:rsid w:val="369D7F27"/>
    <w:rsid w:val="36A259F1"/>
    <w:rsid w:val="36B47444"/>
    <w:rsid w:val="372575BE"/>
    <w:rsid w:val="37812AEE"/>
    <w:rsid w:val="37830D07"/>
    <w:rsid w:val="37DC45BF"/>
    <w:rsid w:val="37F21CBB"/>
    <w:rsid w:val="381C3B22"/>
    <w:rsid w:val="385F18AC"/>
    <w:rsid w:val="38960CF8"/>
    <w:rsid w:val="38A5275E"/>
    <w:rsid w:val="38F350C0"/>
    <w:rsid w:val="390D27F3"/>
    <w:rsid w:val="39196BFB"/>
    <w:rsid w:val="392719CD"/>
    <w:rsid w:val="396B6DFC"/>
    <w:rsid w:val="39817D1F"/>
    <w:rsid w:val="3A4C7A53"/>
    <w:rsid w:val="3A713048"/>
    <w:rsid w:val="3A744A03"/>
    <w:rsid w:val="3ACD1F20"/>
    <w:rsid w:val="3B2660F1"/>
    <w:rsid w:val="3B5122A0"/>
    <w:rsid w:val="3B8F6FDD"/>
    <w:rsid w:val="3BC02D91"/>
    <w:rsid w:val="3BD52D34"/>
    <w:rsid w:val="3BE63649"/>
    <w:rsid w:val="3BF74E9F"/>
    <w:rsid w:val="3C0D1035"/>
    <w:rsid w:val="3C4F3DDA"/>
    <w:rsid w:val="3C6261B0"/>
    <w:rsid w:val="3CF829D1"/>
    <w:rsid w:val="3D3B7290"/>
    <w:rsid w:val="3D476A75"/>
    <w:rsid w:val="3D8E14FC"/>
    <w:rsid w:val="3D990E29"/>
    <w:rsid w:val="3DE30C63"/>
    <w:rsid w:val="3E25583E"/>
    <w:rsid w:val="3E2A32E0"/>
    <w:rsid w:val="3E410962"/>
    <w:rsid w:val="3E764BD7"/>
    <w:rsid w:val="3F382B53"/>
    <w:rsid w:val="3F660612"/>
    <w:rsid w:val="3FD01535"/>
    <w:rsid w:val="404320AE"/>
    <w:rsid w:val="40BD05F6"/>
    <w:rsid w:val="41CF09D4"/>
    <w:rsid w:val="41D151E4"/>
    <w:rsid w:val="42014CD9"/>
    <w:rsid w:val="42096685"/>
    <w:rsid w:val="420E05BC"/>
    <w:rsid w:val="424446B4"/>
    <w:rsid w:val="42540798"/>
    <w:rsid w:val="42BC03C9"/>
    <w:rsid w:val="43033165"/>
    <w:rsid w:val="436B494D"/>
    <w:rsid w:val="436E7AB4"/>
    <w:rsid w:val="4381394E"/>
    <w:rsid w:val="438D2579"/>
    <w:rsid w:val="43A31220"/>
    <w:rsid w:val="43D70EBF"/>
    <w:rsid w:val="43D81952"/>
    <w:rsid w:val="444A3ACF"/>
    <w:rsid w:val="445134C7"/>
    <w:rsid w:val="44B90D6D"/>
    <w:rsid w:val="44C2363D"/>
    <w:rsid w:val="44CE2014"/>
    <w:rsid w:val="44F6462B"/>
    <w:rsid w:val="44FE4AED"/>
    <w:rsid w:val="45035F29"/>
    <w:rsid w:val="454156AC"/>
    <w:rsid w:val="45B06CE3"/>
    <w:rsid w:val="45FE5775"/>
    <w:rsid w:val="46394549"/>
    <w:rsid w:val="46EA109E"/>
    <w:rsid w:val="470C75B2"/>
    <w:rsid w:val="472372CB"/>
    <w:rsid w:val="473472A3"/>
    <w:rsid w:val="474306B6"/>
    <w:rsid w:val="477E48C3"/>
    <w:rsid w:val="47AD5172"/>
    <w:rsid w:val="47E43504"/>
    <w:rsid w:val="48096832"/>
    <w:rsid w:val="48AB4EDA"/>
    <w:rsid w:val="48BD4C91"/>
    <w:rsid w:val="48C7569D"/>
    <w:rsid w:val="48FE287C"/>
    <w:rsid w:val="490F7510"/>
    <w:rsid w:val="49295DD1"/>
    <w:rsid w:val="494E0331"/>
    <w:rsid w:val="49A22C44"/>
    <w:rsid w:val="49EE6935"/>
    <w:rsid w:val="4A4E788E"/>
    <w:rsid w:val="4A705E6C"/>
    <w:rsid w:val="4A7628CF"/>
    <w:rsid w:val="4A823203"/>
    <w:rsid w:val="4A904F44"/>
    <w:rsid w:val="4A9F4853"/>
    <w:rsid w:val="4AA70146"/>
    <w:rsid w:val="4AB714B4"/>
    <w:rsid w:val="4AB92CE8"/>
    <w:rsid w:val="4B116B67"/>
    <w:rsid w:val="4B1B1420"/>
    <w:rsid w:val="4B9B7DA3"/>
    <w:rsid w:val="4BDC19B1"/>
    <w:rsid w:val="4C2D41A7"/>
    <w:rsid w:val="4C3F1BE4"/>
    <w:rsid w:val="4C8829BA"/>
    <w:rsid w:val="4C895B9F"/>
    <w:rsid w:val="4CD1777D"/>
    <w:rsid w:val="4D2556DC"/>
    <w:rsid w:val="4D294292"/>
    <w:rsid w:val="4D562759"/>
    <w:rsid w:val="4D653DE3"/>
    <w:rsid w:val="4D86247B"/>
    <w:rsid w:val="4DA95066"/>
    <w:rsid w:val="4DAB4100"/>
    <w:rsid w:val="4DB61CBC"/>
    <w:rsid w:val="4DC62ED1"/>
    <w:rsid w:val="4E681357"/>
    <w:rsid w:val="4E6F76A4"/>
    <w:rsid w:val="4ECD643C"/>
    <w:rsid w:val="4EE80D43"/>
    <w:rsid w:val="4F477161"/>
    <w:rsid w:val="4F5228CB"/>
    <w:rsid w:val="4FA3744E"/>
    <w:rsid w:val="4FB930BA"/>
    <w:rsid w:val="4FC4433E"/>
    <w:rsid w:val="4FDC3608"/>
    <w:rsid w:val="4FED6A55"/>
    <w:rsid w:val="500211E1"/>
    <w:rsid w:val="501A783A"/>
    <w:rsid w:val="504947D1"/>
    <w:rsid w:val="50510468"/>
    <w:rsid w:val="50634047"/>
    <w:rsid w:val="50A40807"/>
    <w:rsid w:val="50BD11EE"/>
    <w:rsid w:val="50E16B98"/>
    <w:rsid w:val="50E51EDB"/>
    <w:rsid w:val="51834DE2"/>
    <w:rsid w:val="51893656"/>
    <w:rsid w:val="51B0658E"/>
    <w:rsid w:val="51CB335E"/>
    <w:rsid w:val="52013490"/>
    <w:rsid w:val="521A6E3E"/>
    <w:rsid w:val="52493D75"/>
    <w:rsid w:val="528F5AD6"/>
    <w:rsid w:val="52AB6218"/>
    <w:rsid w:val="52C81788"/>
    <w:rsid w:val="52E66A49"/>
    <w:rsid w:val="53112A70"/>
    <w:rsid w:val="53562F7E"/>
    <w:rsid w:val="53C66411"/>
    <w:rsid w:val="53D375FD"/>
    <w:rsid w:val="53D44AB0"/>
    <w:rsid w:val="53FA77BA"/>
    <w:rsid w:val="541A6F15"/>
    <w:rsid w:val="543C43D3"/>
    <w:rsid w:val="54710588"/>
    <w:rsid w:val="54A84913"/>
    <w:rsid w:val="54BD1D55"/>
    <w:rsid w:val="54C749C4"/>
    <w:rsid w:val="54CB405D"/>
    <w:rsid w:val="54F02C3F"/>
    <w:rsid w:val="552D3B50"/>
    <w:rsid w:val="556048A8"/>
    <w:rsid w:val="557F342B"/>
    <w:rsid w:val="55962258"/>
    <w:rsid w:val="55A434C9"/>
    <w:rsid w:val="5644129F"/>
    <w:rsid w:val="567B4E73"/>
    <w:rsid w:val="56BC2659"/>
    <w:rsid w:val="56D20459"/>
    <w:rsid w:val="57231071"/>
    <w:rsid w:val="572C5EAE"/>
    <w:rsid w:val="57420DB5"/>
    <w:rsid w:val="5795741F"/>
    <w:rsid w:val="57E4783F"/>
    <w:rsid w:val="58387E29"/>
    <w:rsid w:val="58C12A25"/>
    <w:rsid w:val="58E65408"/>
    <w:rsid w:val="59094C8D"/>
    <w:rsid w:val="595E114C"/>
    <w:rsid w:val="59FD590C"/>
    <w:rsid w:val="5A052290"/>
    <w:rsid w:val="5A1873DA"/>
    <w:rsid w:val="5A940A82"/>
    <w:rsid w:val="5AD509A7"/>
    <w:rsid w:val="5AF225D7"/>
    <w:rsid w:val="5B263D20"/>
    <w:rsid w:val="5B4556E3"/>
    <w:rsid w:val="5B5469DB"/>
    <w:rsid w:val="5BFA63C3"/>
    <w:rsid w:val="5C5763AD"/>
    <w:rsid w:val="5C74004A"/>
    <w:rsid w:val="5C803002"/>
    <w:rsid w:val="5CA37A68"/>
    <w:rsid w:val="5CBC4923"/>
    <w:rsid w:val="5CBF7394"/>
    <w:rsid w:val="5CF66D9D"/>
    <w:rsid w:val="5D1D3956"/>
    <w:rsid w:val="5D6F4693"/>
    <w:rsid w:val="5D877A99"/>
    <w:rsid w:val="5D972B04"/>
    <w:rsid w:val="5E2E73A6"/>
    <w:rsid w:val="5E3F1916"/>
    <w:rsid w:val="5E730656"/>
    <w:rsid w:val="5E913CE5"/>
    <w:rsid w:val="5EB17BE1"/>
    <w:rsid w:val="5EBD15F6"/>
    <w:rsid w:val="5EE8505A"/>
    <w:rsid w:val="5EF80C94"/>
    <w:rsid w:val="5F394623"/>
    <w:rsid w:val="5F654497"/>
    <w:rsid w:val="5FC95881"/>
    <w:rsid w:val="60163DA5"/>
    <w:rsid w:val="60173C67"/>
    <w:rsid w:val="603B2EF4"/>
    <w:rsid w:val="60414C11"/>
    <w:rsid w:val="60D22B95"/>
    <w:rsid w:val="614802F2"/>
    <w:rsid w:val="61B40578"/>
    <w:rsid w:val="62881D46"/>
    <w:rsid w:val="62C41099"/>
    <w:rsid w:val="631B4142"/>
    <w:rsid w:val="639E7BCC"/>
    <w:rsid w:val="63CF5DE7"/>
    <w:rsid w:val="63E647B8"/>
    <w:rsid w:val="63FD1F54"/>
    <w:rsid w:val="648C54EE"/>
    <w:rsid w:val="64BE1F79"/>
    <w:rsid w:val="64E220ED"/>
    <w:rsid w:val="64EA30C9"/>
    <w:rsid w:val="651D4A80"/>
    <w:rsid w:val="654B4995"/>
    <w:rsid w:val="656524F2"/>
    <w:rsid w:val="65AB24F4"/>
    <w:rsid w:val="65E96E86"/>
    <w:rsid w:val="66061452"/>
    <w:rsid w:val="661D1771"/>
    <w:rsid w:val="664F43C7"/>
    <w:rsid w:val="66772942"/>
    <w:rsid w:val="66B344F4"/>
    <w:rsid w:val="66FA2672"/>
    <w:rsid w:val="66FC49AB"/>
    <w:rsid w:val="66FE545D"/>
    <w:rsid w:val="67005DD0"/>
    <w:rsid w:val="673444A1"/>
    <w:rsid w:val="674B2B3A"/>
    <w:rsid w:val="67742CEF"/>
    <w:rsid w:val="67D86470"/>
    <w:rsid w:val="67E768A2"/>
    <w:rsid w:val="685148A5"/>
    <w:rsid w:val="68745A79"/>
    <w:rsid w:val="68CB0F7C"/>
    <w:rsid w:val="69645BD1"/>
    <w:rsid w:val="69681E6E"/>
    <w:rsid w:val="697715C9"/>
    <w:rsid w:val="698509E2"/>
    <w:rsid w:val="69A938A8"/>
    <w:rsid w:val="6A0A6CDE"/>
    <w:rsid w:val="6A73101D"/>
    <w:rsid w:val="6A8E4F05"/>
    <w:rsid w:val="6AC35146"/>
    <w:rsid w:val="6ACE1A99"/>
    <w:rsid w:val="6B0108A0"/>
    <w:rsid w:val="6B0549EE"/>
    <w:rsid w:val="6B1110F2"/>
    <w:rsid w:val="6B957496"/>
    <w:rsid w:val="6BC338C8"/>
    <w:rsid w:val="6BD840B6"/>
    <w:rsid w:val="6BDB74F6"/>
    <w:rsid w:val="6C4836AB"/>
    <w:rsid w:val="6C4E5A4D"/>
    <w:rsid w:val="6C6F1194"/>
    <w:rsid w:val="6CA02801"/>
    <w:rsid w:val="6CCF3018"/>
    <w:rsid w:val="6D4554B7"/>
    <w:rsid w:val="6D6C0398"/>
    <w:rsid w:val="6D8614DA"/>
    <w:rsid w:val="6DA75EA0"/>
    <w:rsid w:val="6DC907E7"/>
    <w:rsid w:val="6DD21AF4"/>
    <w:rsid w:val="6E0C1930"/>
    <w:rsid w:val="6E1E7268"/>
    <w:rsid w:val="6E2F2E07"/>
    <w:rsid w:val="6E3C451B"/>
    <w:rsid w:val="6E791426"/>
    <w:rsid w:val="6E882FD5"/>
    <w:rsid w:val="6E946DF3"/>
    <w:rsid w:val="6EE84F22"/>
    <w:rsid w:val="6EFA3FDA"/>
    <w:rsid w:val="6F0266FA"/>
    <w:rsid w:val="6F550639"/>
    <w:rsid w:val="6F9E7CF9"/>
    <w:rsid w:val="6FF0328A"/>
    <w:rsid w:val="6FFC0D53"/>
    <w:rsid w:val="700339E7"/>
    <w:rsid w:val="701F577A"/>
    <w:rsid w:val="70240726"/>
    <w:rsid w:val="707E3A2A"/>
    <w:rsid w:val="70B54AC9"/>
    <w:rsid w:val="70B85CCE"/>
    <w:rsid w:val="70F61EFA"/>
    <w:rsid w:val="71046171"/>
    <w:rsid w:val="713F60A0"/>
    <w:rsid w:val="716E4CE0"/>
    <w:rsid w:val="719D7D75"/>
    <w:rsid w:val="71A94AC7"/>
    <w:rsid w:val="71CE3C2D"/>
    <w:rsid w:val="72720D0C"/>
    <w:rsid w:val="72B940C3"/>
    <w:rsid w:val="72C033B2"/>
    <w:rsid w:val="72C04152"/>
    <w:rsid w:val="72D624A2"/>
    <w:rsid w:val="730E00E2"/>
    <w:rsid w:val="73A73217"/>
    <w:rsid w:val="746367E9"/>
    <w:rsid w:val="74CB564F"/>
    <w:rsid w:val="74FD38E6"/>
    <w:rsid w:val="750C1548"/>
    <w:rsid w:val="75367E6C"/>
    <w:rsid w:val="753E6B46"/>
    <w:rsid w:val="7645127F"/>
    <w:rsid w:val="76616797"/>
    <w:rsid w:val="76A16DD7"/>
    <w:rsid w:val="76BC40EC"/>
    <w:rsid w:val="76CB0B04"/>
    <w:rsid w:val="76ED33B7"/>
    <w:rsid w:val="77113557"/>
    <w:rsid w:val="7721176A"/>
    <w:rsid w:val="776E353E"/>
    <w:rsid w:val="77CB5F6A"/>
    <w:rsid w:val="78247513"/>
    <w:rsid w:val="78C43B33"/>
    <w:rsid w:val="78EC05BE"/>
    <w:rsid w:val="797A237C"/>
    <w:rsid w:val="798538C7"/>
    <w:rsid w:val="79B51C24"/>
    <w:rsid w:val="79D203B4"/>
    <w:rsid w:val="79EB7AF7"/>
    <w:rsid w:val="79FD759B"/>
    <w:rsid w:val="79FF3191"/>
    <w:rsid w:val="7A3F0053"/>
    <w:rsid w:val="7A714D15"/>
    <w:rsid w:val="7A9968B3"/>
    <w:rsid w:val="7ABB5520"/>
    <w:rsid w:val="7ACF5AF5"/>
    <w:rsid w:val="7ADD2969"/>
    <w:rsid w:val="7B6014FC"/>
    <w:rsid w:val="7BA90A84"/>
    <w:rsid w:val="7C1C6192"/>
    <w:rsid w:val="7C284AD1"/>
    <w:rsid w:val="7C3A2B5A"/>
    <w:rsid w:val="7C3B7650"/>
    <w:rsid w:val="7CDC6585"/>
    <w:rsid w:val="7CF36423"/>
    <w:rsid w:val="7D265D2F"/>
    <w:rsid w:val="7E0E4603"/>
    <w:rsid w:val="7E2B4830"/>
    <w:rsid w:val="7EC2360A"/>
    <w:rsid w:val="7F1926F5"/>
    <w:rsid w:val="7F282223"/>
    <w:rsid w:val="7F5D0D68"/>
    <w:rsid w:val="7FD22934"/>
    <w:rsid w:val="7FF67B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jc w:val="both"/>
    </w:pPr>
    <w:rPr>
      <w:rFonts w:ascii="@楷体_GB2312" w:hAnsi="@楷体_GB2312" w:eastAsia="等线" w:cs="@楷体_GB2312"/>
      <w:kern w:val="0"/>
      <w:sz w:val="21"/>
      <w:szCs w:val="20"/>
      <w:lang w:val="en-US" w:eastAsia="zh-CN" w:bidi="ar-SA"/>
    </w:rPr>
  </w:style>
  <w:style w:type="paragraph" w:styleId="2">
    <w:name w:val="heading 2"/>
    <w:basedOn w:val="1"/>
    <w:next w:val="1"/>
    <w:link w:val="9"/>
    <w:qFormat/>
    <w:uiPriority w:val="9"/>
    <w:pPr>
      <w:keepNext/>
      <w:keepLines/>
      <w:spacing w:before="260" w:after="260" w:line="416" w:lineRule="auto"/>
      <w:outlineLvl w:val="1"/>
    </w:pPr>
    <w:rPr>
      <w:rFonts w:ascii="Calibri" w:hAnsi="Calibri" w:eastAsia="Calibri"/>
      <w:b/>
      <w:bCs/>
      <w:sz w:val="32"/>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widowControl w:val="0"/>
      <w:tabs>
        <w:tab w:val="center" w:pos="4153"/>
        <w:tab w:val="right" w:pos="8306"/>
      </w:tabs>
      <w:overflowPunct/>
      <w:autoSpaceDE/>
      <w:autoSpaceDN/>
      <w:adjustRightInd/>
      <w:snapToGrid w:val="0"/>
      <w:jc w:val="left"/>
    </w:pPr>
    <w:rPr>
      <w:rFonts w:asciiTheme="minorHAnsi" w:hAnsiTheme="minorHAnsi" w:eastAsiaTheme="minorEastAsia" w:cstheme="minorBidi"/>
      <w:kern w:val="2"/>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标题 2 Char"/>
    <w:basedOn w:val="6"/>
    <w:semiHidden/>
    <w:qFormat/>
    <w:uiPriority w:val="9"/>
    <w:rPr>
      <w:rFonts w:asciiTheme="majorHAnsi" w:hAnsiTheme="majorHAnsi" w:eastAsiaTheme="majorEastAsia" w:cstheme="majorBidi"/>
      <w:b/>
      <w:bCs/>
      <w:kern w:val="0"/>
      <w:sz w:val="32"/>
      <w:szCs w:val="32"/>
    </w:rPr>
  </w:style>
  <w:style w:type="character" w:customStyle="1" w:styleId="8">
    <w:name w:val="页脚 Char"/>
    <w:basedOn w:val="6"/>
    <w:link w:val="3"/>
    <w:qFormat/>
    <w:uiPriority w:val="99"/>
    <w:rPr>
      <w:sz w:val="18"/>
      <w:szCs w:val="18"/>
    </w:rPr>
  </w:style>
  <w:style w:type="character" w:customStyle="1" w:styleId="9">
    <w:name w:val="标题 2 Char1"/>
    <w:link w:val="2"/>
    <w:qFormat/>
    <w:uiPriority w:val="9"/>
    <w:rPr>
      <w:rFonts w:ascii="Calibri" w:hAnsi="Calibri" w:eastAsia="Calibri" w:cs="@楷体_GB2312"/>
      <w:b/>
      <w:bCs/>
      <w:kern w:val="0"/>
      <w:sz w:val="32"/>
      <w:szCs w:val="32"/>
    </w:rPr>
  </w:style>
  <w:style w:type="paragraph" w:customStyle="1" w:styleId="10">
    <w:name w:val="列出段落1"/>
    <w:basedOn w:val="1"/>
    <w:qFormat/>
    <w:uiPriority w:val="0"/>
    <w:pPr>
      <w:widowControl w:val="0"/>
      <w:overflowPunct/>
      <w:autoSpaceDE/>
      <w:autoSpaceDN/>
      <w:adjustRightInd/>
      <w:ind w:firstLine="420" w:firstLineChars="200"/>
    </w:pPr>
    <w:rPr>
      <w:rFonts w:ascii="Calibri" w:hAnsi="Calibri" w:eastAsia="宋体" w:cs="Calibri"/>
      <w:kern w:val="2"/>
      <w:szCs w:val="21"/>
    </w:rPr>
  </w:style>
  <w:style w:type="character" w:customStyle="1" w:styleId="11">
    <w:name w:val="页眉 Char"/>
    <w:basedOn w:val="6"/>
    <w:link w:val="4"/>
    <w:qFormat/>
    <w:uiPriority w:val="99"/>
    <w:rPr>
      <w:rFonts w:ascii="@楷体_GB2312" w:hAnsi="@楷体_GB2312" w:eastAsia="等线" w:cs="@楷体_GB2312"/>
      <w:kern w:val="0"/>
      <w:sz w:val="18"/>
      <w:szCs w:val="18"/>
    </w:rPr>
  </w:style>
  <w:style w:type="paragraph" w:customStyle="1" w:styleId="12">
    <w:name w:val="p_MsoNormal"/>
    <w:basedOn w:val="1"/>
    <w:qFormat/>
    <w:uiPriority w:val="0"/>
    <w:pPr>
      <w:overflowPunct/>
      <w:autoSpaceDE/>
      <w:autoSpaceDN/>
      <w:adjustRightInd/>
      <w:jc w:val="left"/>
    </w:pPr>
    <w:rPr>
      <w:rFonts w:ascii="宋体" w:hAnsi="宋体" w:eastAsia="宋体" w:cs="宋体"/>
      <w:sz w:val="24"/>
      <w:szCs w:val="24"/>
    </w:rPr>
  </w:style>
  <w:style w:type="paragraph" w:customStyle="1" w:styleId="13">
    <w:name w:val="笔杆儿"/>
    <w:basedOn w:val="14"/>
    <w:qFormat/>
    <w:uiPriority w:val="0"/>
    <w:pPr>
      <w:widowControl/>
      <w:adjustRightInd w:val="0"/>
      <w:snapToGrid w:val="0"/>
      <w:spacing w:line="400" w:lineRule="exact"/>
    </w:pPr>
    <w:rPr>
      <w:rFonts w:ascii="Calibri" w:hAnsi="Calibri" w:eastAsia="宋体"/>
      <w:kern w:val="0"/>
      <w:sz w:val="20"/>
      <w:szCs w:val="32"/>
    </w:rPr>
  </w:style>
  <w:style w:type="paragraph" w:customStyle="1" w:styleId="14">
    <w:name w:val="标准公文"/>
    <w:basedOn w:val="1"/>
    <w:qFormat/>
    <w:uiPriority w:val="0"/>
    <w:pPr>
      <w:spacing w:line="580" w:lineRule="exact"/>
      <w:ind w:firstLine="200" w:firstLineChars="200"/>
      <w:jc w:val="both"/>
    </w:pPr>
    <w:rPr>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fmczj</Company>
  <Pages>28</Pages>
  <Words>13150</Words>
  <Characters>14915</Characters>
  <Lines>109</Lines>
  <Paragraphs>30</Paragraphs>
  <TotalTime>6</TotalTime>
  <ScaleCrop>false</ScaleCrop>
  <LinksUpToDate>false</LinksUpToDate>
  <CharactersWithSpaces>14946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2023-03-10T07:54:00Z</dcterms:created>
  <dc:creator>张子明</dc:creator>
  <cp:lastModifiedBy>老夫聊发少年狂啊</cp:lastModifiedBy>
  <dcterms:modified xsi:type="dcterms:W3CDTF">2024-03-22T03:23:32Z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0F0C7D7DD1CE4A39ABA8E087390C8EC6_12</vt:lpwstr>
  </property>
</Properties>
</file>