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340" w:firstLineChars="200"/>
        <w:jc w:val="left"/>
        <w:rPr>
          <w:rFonts w:ascii="黑体" w:hAnsi="黑体" w:eastAsia="黑体"/>
          <w:spacing w:val="-20"/>
          <w:sz w:val="21"/>
          <w:szCs w:val="21"/>
        </w:rPr>
      </w:pPr>
    </w:p>
    <w:p>
      <w:pPr>
        <w:topLinePunct/>
        <w:spacing w:line="540" w:lineRule="exact"/>
        <w:ind w:firstLine="800" w:firstLineChars="250"/>
        <w:jc w:val="center"/>
        <w:rPr>
          <w:rFonts w:hint="eastAsia" w:ascii="黑体" w:hAnsi="黑体" w:eastAsia="黑体" w:cs="黑体"/>
          <w:sz w:val="36"/>
          <w:szCs w:val="36"/>
        </w:rPr>
      </w:pPr>
      <w:r>
        <w:rPr>
          <w:rFonts w:hint="eastAsia" w:ascii="黑体" w:hAnsi="黑体" w:eastAsia="黑体" w:cs="黑体"/>
          <w:spacing w:val="-20"/>
          <w:sz w:val="36"/>
          <w:szCs w:val="36"/>
          <w:lang w:eastAsia="zh-CN"/>
        </w:rPr>
        <w:t>富民县残疾人联合会残疾人就业</w:t>
      </w:r>
      <w:r>
        <w:rPr>
          <w:rFonts w:hint="eastAsia" w:ascii="黑体" w:hAnsi="黑体" w:eastAsia="黑体" w:cs="黑体"/>
          <w:sz w:val="36"/>
          <w:szCs w:val="36"/>
        </w:rPr>
        <w:t>项目支出</w:t>
      </w:r>
    </w:p>
    <w:p>
      <w:pPr>
        <w:topLinePunct/>
        <w:spacing w:line="540" w:lineRule="exact"/>
        <w:ind w:firstLine="900" w:firstLineChars="250"/>
        <w:jc w:val="center"/>
        <w:rPr>
          <w:rFonts w:hint="eastAsia" w:ascii="黑体" w:hAnsi="黑体" w:eastAsia="黑体" w:cs="黑体"/>
          <w:sz w:val="36"/>
          <w:szCs w:val="36"/>
        </w:rPr>
      </w:pPr>
      <w:r>
        <w:rPr>
          <w:rFonts w:hint="eastAsia" w:ascii="黑体" w:hAnsi="黑体" w:eastAsia="黑体" w:cs="黑体"/>
          <w:sz w:val="36"/>
          <w:szCs w:val="36"/>
        </w:rPr>
        <w:t>绩效评价报告</w:t>
      </w:r>
    </w:p>
    <w:p>
      <w:pPr>
        <w:topLinePunct/>
        <w:spacing w:line="540" w:lineRule="exact"/>
        <w:ind w:firstLine="800" w:firstLineChars="250"/>
        <w:rPr>
          <w:rFonts w:ascii="黑体" w:eastAsia="黑体"/>
          <w:szCs w:val="32"/>
        </w:rPr>
      </w:pPr>
    </w:p>
    <w:p>
      <w:pPr>
        <w:topLinePunct/>
        <w:spacing w:line="540" w:lineRule="exact"/>
        <w:ind w:firstLine="800" w:firstLineChars="250"/>
        <w:rPr>
          <w:rFonts w:ascii="黑体" w:eastAsia="黑体"/>
          <w:szCs w:val="32"/>
        </w:rPr>
      </w:pPr>
      <w:r>
        <w:rPr>
          <w:rFonts w:hint="eastAsia" w:ascii="黑体" w:eastAsia="黑体"/>
          <w:szCs w:val="32"/>
        </w:rPr>
        <w:t>一、项目基本情况</w:t>
      </w:r>
    </w:p>
    <w:p>
      <w:pPr>
        <w:topLinePunct/>
        <w:spacing w:line="540" w:lineRule="exact"/>
        <w:ind w:firstLine="800" w:firstLineChars="250"/>
        <w:rPr>
          <w:rFonts w:ascii="仿宋_GB2312" w:hAnsi="楷体"/>
          <w:szCs w:val="32"/>
        </w:rPr>
      </w:pPr>
      <w:r>
        <w:rPr>
          <w:rFonts w:hint="eastAsia" w:ascii="仿宋_GB2312" w:hAnsi="楷体"/>
          <w:szCs w:val="32"/>
        </w:rPr>
        <w:t>（一）项目概况。</w:t>
      </w:r>
    </w:p>
    <w:p>
      <w:pPr>
        <w:topLinePunct/>
        <w:spacing w:line="540" w:lineRule="exact"/>
        <w:ind w:firstLine="800" w:firstLineChars="250"/>
        <w:rPr>
          <w:rFonts w:hint="eastAsia" w:ascii="仿宋_GB2312" w:hAnsi="楷体"/>
          <w:szCs w:val="32"/>
        </w:rPr>
      </w:pPr>
      <w:r>
        <w:rPr>
          <w:rFonts w:hint="eastAsia" w:ascii="仿宋_GB2312" w:hAnsi="楷体"/>
          <w:szCs w:val="32"/>
        </w:rPr>
        <w:t>1.立项背景及目的。</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按照国家加快推进残疾人小康进程的总体规划，以推动建立健全残疾人托养服务基本制度为核心，不断完善残疾人托养服务补贴、购买服务、评估监管和人才培训等制度，加强残疾人托养服务标准化体系建设，积极培育社会力量发展残疾人托养服务，激发社会力量参与活力，努力为残疾人提供更加优质、高效的公共服务。</w:t>
      </w:r>
      <w:r>
        <w:rPr>
          <w:rFonts w:hint="eastAsia" w:ascii="仿宋_GB2312" w:hAnsi="仿宋_GB2312" w:eastAsia="仿宋_GB2312"/>
          <w:sz w:val="32"/>
        </w:rPr>
        <w:t>严格按照《昆明市残疾人自主创业扶持办法（试行）的通知》（昆残发〔2016〕11号文件要求，把实施“残疾人自主创业”作为发展残疾人事业的大事要事抓，坚持政府主导，分级负责，部门协作，多措并举，强力推进，使我县残疾人自主创业工作有序开展</w:t>
      </w:r>
      <w:r>
        <w:rPr>
          <w:rFonts w:hint="eastAsia" w:ascii="仿宋_GB2312" w:hAnsi="仿宋_GB2312"/>
          <w:sz w:val="32"/>
          <w:lang w:eastAsia="zh-CN"/>
        </w:rPr>
        <w:t>。</w:t>
      </w:r>
    </w:p>
    <w:p>
      <w:pPr>
        <w:numPr>
          <w:ilvl w:val="0"/>
          <w:numId w:val="1"/>
        </w:numPr>
        <w:topLinePunct/>
        <w:spacing w:line="540" w:lineRule="exact"/>
        <w:ind w:firstLine="800" w:firstLineChars="250"/>
        <w:rPr>
          <w:rFonts w:hint="eastAsia" w:ascii="仿宋_GB2312" w:hAnsi="楷体"/>
          <w:szCs w:val="32"/>
        </w:rPr>
      </w:pPr>
      <w:r>
        <w:rPr>
          <w:rFonts w:hint="eastAsia" w:ascii="仿宋_GB2312" w:hAnsi="楷体"/>
          <w:szCs w:val="32"/>
        </w:rPr>
        <w:t>项目实施情况。</w:t>
      </w:r>
    </w:p>
    <w:p>
      <w:pPr>
        <w:widowControl/>
        <w:spacing w:line="560" w:lineRule="exact"/>
        <w:ind w:firstLine="640" w:firstLineChars="200"/>
        <w:jc w:val="left"/>
        <w:rPr>
          <w:rFonts w:ascii="仿宋_GB2312" w:hAnsi="仿宋" w:eastAsia="仿宋_GB2312" w:cs="宋体"/>
          <w:kern w:val="0"/>
          <w:sz w:val="32"/>
          <w:szCs w:val="32"/>
        </w:rPr>
      </w:pPr>
      <w:r>
        <w:rPr>
          <w:rFonts w:hint="eastAsia" w:ascii="仿宋_GB2312" w:hAnsi="仿宋_GB2312" w:eastAsia="仿宋_GB2312"/>
          <w:color w:val="333333"/>
          <w:sz w:val="32"/>
        </w:rPr>
        <w:t>为了能让更多残疾人知晓政策、了解政策、享受政策，县残联在政策宣传工作上加大力度，利用新闻媒体多渠道的宣传政策，同时，要求各镇（街道）残疾人联络员上门对残疾人进行政策讲解等。这些举措既提高了政策在残疾人中的知晓度，同时也向社会公众有力宣传残疾人工作，提高社会认同感，有利于相关工作的顺利开展</w:t>
      </w:r>
      <w:r>
        <w:rPr>
          <w:rFonts w:hint="eastAsia" w:ascii="仿宋_GB2312" w:hAnsi="仿宋_GB2312"/>
          <w:color w:val="333333"/>
          <w:sz w:val="32"/>
          <w:lang w:eastAsia="zh-CN"/>
        </w:rPr>
        <w:t>。</w:t>
      </w:r>
      <w:r>
        <w:rPr>
          <w:rFonts w:hint="eastAsia" w:ascii="仿宋_GB2312" w:hAnsi="仿宋" w:eastAsia="仿宋_GB2312"/>
          <w:sz w:val="32"/>
          <w:szCs w:val="32"/>
        </w:rPr>
        <w:t>政府购买</w:t>
      </w:r>
      <w:r>
        <w:rPr>
          <w:rFonts w:hint="eastAsia" w:ascii="仿宋_GB2312" w:hAnsi="仿宋" w:eastAsia="仿宋_GB2312" w:cs="宋体"/>
          <w:kern w:val="0"/>
          <w:sz w:val="32"/>
          <w:szCs w:val="32"/>
        </w:rPr>
        <w:t>托养服务采取集中托养、日间照料和上门服务的模式开展。</w:t>
      </w:r>
    </w:p>
    <w:p>
      <w:pPr>
        <w:numPr>
          <w:ilvl w:val="0"/>
          <w:numId w:val="1"/>
        </w:numPr>
        <w:topLinePunct/>
        <w:spacing w:line="540" w:lineRule="exact"/>
        <w:ind w:left="0" w:leftChars="0" w:firstLine="800" w:firstLineChars="250"/>
        <w:rPr>
          <w:rFonts w:hint="eastAsia" w:ascii="仿宋_GB2312" w:hAnsi="楷体"/>
          <w:szCs w:val="32"/>
        </w:rPr>
      </w:pPr>
      <w:r>
        <w:rPr>
          <w:rFonts w:hint="eastAsia" w:ascii="仿宋_GB2312" w:hAnsi="楷体"/>
          <w:szCs w:val="32"/>
        </w:rPr>
        <w:t>资金来源及使用情况。</w:t>
      </w:r>
    </w:p>
    <w:p>
      <w:pPr>
        <w:spacing w:line="560" w:lineRule="exact"/>
        <w:ind w:firstLine="800" w:firstLineChars="250"/>
        <w:rPr>
          <w:rFonts w:hint="eastAsia" w:ascii="Calibri" w:hAnsi="Calibri" w:eastAsia="仿宋_GB2312"/>
          <w:color w:val="333333"/>
          <w:sz w:val="32"/>
          <w:lang w:val="en-US" w:eastAsia="zh-CN"/>
        </w:rPr>
      </w:pPr>
      <w:r>
        <w:rPr>
          <w:rFonts w:hint="eastAsia" w:ascii="仿宋_GB2312" w:hAnsi="仿宋_GB2312" w:eastAsia="仿宋_GB2312"/>
          <w:color w:val="333333"/>
          <w:sz w:val="32"/>
        </w:rPr>
        <w:t>20</w:t>
      </w:r>
      <w:r>
        <w:rPr>
          <w:rFonts w:hint="eastAsia" w:ascii="仿宋_GB2312" w:hAnsi="仿宋_GB2312"/>
          <w:color w:val="333333"/>
          <w:sz w:val="32"/>
          <w:lang w:val="en-US" w:eastAsia="zh-CN"/>
        </w:rPr>
        <w:t>23</w:t>
      </w:r>
      <w:r>
        <w:rPr>
          <w:rFonts w:hint="eastAsia" w:ascii="仿宋_GB2312" w:hAnsi="仿宋_GB2312" w:eastAsia="仿宋_GB2312"/>
          <w:color w:val="333333"/>
          <w:sz w:val="32"/>
        </w:rPr>
        <w:t>年，</w:t>
      </w:r>
      <w:r>
        <w:rPr>
          <w:rFonts w:hint="eastAsia" w:ascii="仿宋_GB2312" w:hAnsi="仿宋_GB2312" w:eastAsia="仿宋_GB2312"/>
          <w:color w:val="333333"/>
          <w:sz w:val="32"/>
          <w:lang w:eastAsia="zh-CN"/>
        </w:rPr>
        <w:t>富民</w:t>
      </w:r>
      <w:r>
        <w:rPr>
          <w:rFonts w:hint="eastAsia" w:ascii="仿宋_GB2312" w:hAnsi="仿宋_GB2312" w:eastAsia="仿宋_GB2312"/>
          <w:color w:val="333333"/>
          <w:sz w:val="32"/>
        </w:rPr>
        <w:t>县残联严格按照</w:t>
      </w:r>
      <w:r>
        <w:rPr>
          <w:rFonts w:hint="eastAsia" w:ascii="仿宋_GB2312" w:hAnsi="仿宋_GB2312"/>
          <w:color w:val="333333"/>
          <w:sz w:val="32"/>
          <w:lang w:eastAsia="zh-CN"/>
        </w:rPr>
        <w:t>各项目</w:t>
      </w:r>
      <w:r>
        <w:rPr>
          <w:rFonts w:hint="eastAsia" w:ascii="仿宋_GB2312" w:hAnsi="仿宋_GB2312" w:eastAsia="仿宋_GB2312"/>
          <w:sz w:val="32"/>
        </w:rPr>
        <w:t>通知要求</w:t>
      </w:r>
      <w:r>
        <w:rPr>
          <w:rFonts w:hint="eastAsia" w:ascii="仿宋_GB2312" w:hAnsi="仿宋_GB2312" w:eastAsia="仿宋_GB2312"/>
          <w:color w:val="333333"/>
          <w:sz w:val="32"/>
        </w:rPr>
        <w:t>，认真实施项目，</w:t>
      </w:r>
      <w:r>
        <w:rPr>
          <w:rFonts w:hint="eastAsia" w:ascii="仿宋_GB2312" w:hAnsi="仿宋_GB2312"/>
          <w:color w:val="333333"/>
          <w:sz w:val="32"/>
          <w:lang w:eastAsia="zh-CN"/>
        </w:rPr>
        <w:t>一般公共预算财政拨款项目支出</w:t>
      </w:r>
      <w:r>
        <w:rPr>
          <w:rFonts w:hint="eastAsia" w:ascii="仿宋_GB2312" w:hAnsi="仿宋_GB2312"/>
          <w:color w:val="333333"/>
          <w:sz w:val="32"/>
          <w:lang w:val="en-US" w:eastAsia="zh-CN"/>
        </w:rPr>
        <w:t>54.63万元</w:t>
      </w:r>
      <w:r>
        <w:rPr>
          <w:rFonts w:hint="eastAsia" w:ascii="仿宋_GB2312" w:hAnsi="仿宋_GB2312" w:eastAsia="仿宋_GB2312"/>
          <w:color w:val="333333"/>
          <w:sz w:val="32"/>
        </w:rPr>
        <w:t>。</w:t>
      </w:r>
    </w:p>
    <w:p>
      <w:pPr>
        <w:topLinePunct/>
        <w:spacing w:line="540" w:lineRule="exact"/>
        <w:ind w:firstLine="800" w:firstLineChars="250"/>
        <w:rPr>
          <w:rFonts w:ascii="仿宋_GB2312" w:hAnsi="楷体"/>
          <w:szCs w:val="32"/>
        </w:rPr>
      </w:pPr>
      <w:r>
        <w:rPr>
          <w:rFonts w:hint="eastAsia" w:ascii="仿宋_GB2312" w:hAnsi="楷体"/>
          <w:szCs w:val="32"/>
        </w:rPr>
        <w:t>（二）绩效目标。</w:t>
      </w:r>
    </w:p>
    <w:p>
      <w:pPr>
        <w:topLinePunct/>
        <w:spacing w:line="540" w:lineRule="exact"/>
        <w:ind w:firstLine="800" w:firstLineChars="250"/>
        <w:rPr>
          <w:rFonts w:hint="eastAsia" w:ascii="仿宋_GB2312" w:hAnsi="楷体"/>
          <w:szCs w:val="32"/>
        </w:rPr>
      </w:pPr>
      <w:r>
        <w:rPr>
          <w:rFonts w:hint="eastAsia" w:ascii="仿宋_GB2312" w:hAnsi="楷体"/>
          <w:szCs w:val="32"/>
        </w:rPr>
        <w:t>1.总目标。</w:t>
      </w:r>
    </w:p>
    <w:p>
      <w:pPr>
        <w:bidi w:val="0"/>
        <w:ind w:firstLine="640" w:firstLineChars="200"/>
        <w:rPr>
          <w:rFonts w:hint="eastAsia"/>
        </w:rPr>
      </w:pPr>
      <w:r>
        <w:rPr>
          <w:rFonts w:hint="eastAsia"/>
        </w:rPr>
        <w:t>我单位的所有项目都是紧紧围绕始终秉承“人道、廉洁、服务、奉献”的宗旨，着力解决残疾人最关心、最直接、最现实的问题，努力使</w:t>
      </w:r>
      <w:r>
        <w:rPr>
          <w:rFonts w:hint="eastAsia"/>
          <w:lang w:eastAsia="zh-CN"/>
        </w:rPr>
        <w:t>富民县</w:t>
      </w:r>
      <w:r>
        <w:rPr>
          <w:rFonts w:hint="eastAsia"/>
        </w:rPr>
        <w:t>残疾人事业跃上新的台阶.</w:t>
      </w:r>
    </w:p>
    <w:p>
      <w:pPr>
        <w:bidi w:val="0"/>
        <w:ind w:firstLine="640" w:firstLineChars="200"/>
      </w:pPr>
      <w:r>
        <w:rPr>
          <w:rFonts w:hint="eastAsia"/>
        </w:rPr>
        <w:t>2.年度目标。</w:t>
      </w:r>
    </w:p>
    <w:p>
      <w:pPr>
        <w:topLinePunct/>
        <w:spacing w:line="540" w:lineRule="exact"/>
        <w:ind w:firstLine="800" w:firstLineChars="250"/>
        <w:rPr>
          <w:rFonts w:hint="eastAsia" w:ascii="仿宋_GB2312" w:hAnsi="楷体"/>
          <w:szCs w:val="32"/>
        </w:rPr>
      </w:pPr>
      <w:r>
        <w:rPr>
          <w:rFonts w:hint="eastAsia" w:ascii="仿宋_GB2312" w:hAnsi="楷体"/>
          <w:szCs w:val="32"/>
        </w:rPr>
        <w:t>（1）产出目标。</w:t>
      </w:r>
    </w:p>
    <w:p>
      <w:pPr>
        <w:spacing w:line="560" w:lineRule="exact"/>
        <w:ind w:firstLine="640" w:firstLineChars="200"/>
        <w:rPr>
          <w:rFonts w:ascii="仿宋_GB2312" w:hAnsi="仿宋" w:eastAsia="仿宋_GB2312"/>
          <w:sz w:val="32"/>
          <w:szCs w:val="32"/>
        </w:rPr>
      </w:pPr>
      <w:r>
        <w:rPr>
          <w:rFonts w:hint="eastAsia" w:ascii="仿宋_GB2312" w:hAnsi="仿宋"/>
          <w:sz w:val="32"/>
          <w:szCs w:val="32"/>
          <w:lang w:val="en-US" w:eastAsia="zh-CN"/>
        </w:rPr>
        <w:t>2023</w:t>
      </w:r>
      <w:r>
        <w:rPr>
          <w:rFonts w:hint="eastAsia" w:ascii="仿宋_GB2312" w:hAnsi="仿宋" w:eastAsia="仿宋_GB2312"/>
          <w:sz w:val="32"/>
          <w:szCs w:val="32"/>
        </w:rPr>
        <w:t>年，在全</w:t>
      </w:r>
      <w:r>
        <w:rPr>
          <w:rFonts w:hint="eastAsia" w:ascii="仿宋_GB2312" w:hAnsi="仿宋"/>
          <w:sz w:val="32"/>
          <w:szCs w:val="32"/>
          <w:lang w:eastAsia="zh-CN"/>
        </w:rPr>
        <w:t>县</w:t>
      </w:r>
      <w:r>
        <w:rPr>
          <w:rFonts w:hint="eastAsia" w:ascii="仿宋_GB2312" w:hAnsi="仿宋" w:eastAsia="仿宋_GB2312"/>
          <w:sz w:val="32"/>
          <w:szCs w:val="32"/>
        </w:rPr>
        <w:t>范围内为符合条件的残疾人</w:t>
      </w:r>
      <w:r>
        <w:rPr>
          <w:rFonts w:hint="eastAsia" w:ascii="仿宋_GB2312" w:hAnsi="仿宋"/>
          <w:sz w:val="32"/>
          <w:szCs w:val="32"/>
          <w:lang w:eastAsia="zh-CN"/>
        </w:rPr>
        <w:t>申报残疾人驾驶技术培训补助、保健按摩规范化建设等多个项目，</w:t>
      </w:r>
      <w:r>
        <w:rPr>
          <w:rFonts w:hint="eastAsia" w:ascii="仿宋_GB2312" w:hAnsi="仿宋" w:eastAsia="仿宋_GB2312"/>
          <w:kern w:val="0"/>
          <w:sz w:val="32"/>
          <w:szCs w:val="32"/>
        </w:rPr>
        <w:t>提升</w:t>
      </w:r>
      <w:r>
        <w:rPr>
          <w:rFonts w:hint="eastAsia" w:ascii="仿宋_GB2312" w:hAnsi="仿宋"/>
          <w:kern w:val="0"/>
          <w:sz w:val="32"/>
          <w:szCs w:val="32"/>
          <w:lang w:eastAsia="zh-CN"/>
        </w:rPr>
        <w:t>残疾人</w:t>
      </w:r>
      <w:r>
        <w:rPr>
          <w:rFonts w:hint="eastAsia" w:ascii="仿宋_GB2312" w:hAnsi="仿宋" w:eastAsia="仿宋_GB2312"/>
          <w:kern w:val="0"/>
          <w:sz w:val="32"/>
          <w:szCs w:val="32"/>
        </w:rPr>
        <w:t>生活参与能力，提高生活质量。</w:t>
      </w:r>
    </w:p>
    <w:p>
      <w:pPr>
        <w:topLinePunct/>
        <w:spacing w:line="540" w:lineRule="exact"/>
        <w:ind w:firstLine="800" w:firstLineChars="250"/>
        <w:rPr>
          <w:rFonts w:ascii="黑体" w:hAnsi="黑体" w:eastAsia="黑体"/>
          <w:szCs w:val="32"/>
        </w:rPr>
      </w:pPr>
      <w:r>
        <w:rPr>
          <w:rFonts w:hint="eastAsia" w:ascii="黑体" w:hAnsi="黑体" w:eastAsia="黑体"/>
          <w:szCs w:val="32"/>
        </w:rPr>
        <w:t>二、绩效评价工作情况</w:t>
      </w:r>
    </w:p>
    <w:p>
      <w:pPr>
        <w:bidi w:val="0"/>
        <w:ind w:firstLine="643" w:firstLineChars="200"/>
      </w:pPr>
      <w:r>
        <w:rPr>
          <w:rFonts w:hint="eastAsia" w:ascii="仿宋_GB2312" w:hAnsi="仿宋_GB2312" w:eastAsia="仿宋_GB2312" w:cs="仿宋_GB2312"/>
          <w:b/>
          <w:bCs/>
        </w:rPr>
        <w:t>（一）阐述的主要内容</w:t>
      </w:r>
      <w:r>
        <w:rPr>
          <w:rFonts w:hint="eastAsia"/>
        </w:rPr>
        <w:t>：</w:t>
      </w:r>
      <w:r>
        <w:t>严格项目管理，确保项目实施过程是否规范、年度目标已全部完成，并且效果明显，在资金管理方面严格按专项资金管理及使用要求，做到专款专用，严格按照合同条款付款，付款凭证材料完善。</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（二）绩效评价原则、评价方法</w:t>
      </w:r>
    </w:p>
    <w:p>
      <w:pPr>
        <w:bidi w:val="0"/>
        <w:ind w:firstLine="640" w:firstLineChars="200"/>
      </w:pPr>
      <w:r>
        <w:t>1.</w:t>
      </w:r>
      <w:r>
        <w:rPr>
          <w:rFonts w:hint="eastAsia"/>
        </w:rPr>
        <w:t>绩效评价原则。根据预算法的相关规定，在预算编制时，我</w:t>
      </w:r>
      <w:r>
        <w:rPr>
          <w:rFonts w:hint="eastAsia"/>
          <w:lang w:eastAsia="zh-CN"/>
        </w:rPr>
        <w:t>单位</w:t>
      </w:r>
      <w:r>
        <w:rPr>
          <w:rFonts w:hint="eastAsia"/>
        </w:rPr>
        <w:t>已建立事前绩效目标编制工作，构建事中绩效跟踪和绩效评价机制。为确保绩效目标如期实现，我</w:t>
      </w:r>
      <w:r>
        <w:rPr>
          <w:rFonts w:hint="eastAsia"/>
          <w:lang w:eastAsia="zh-CN"/>
        </w:rPr>
        <w:t>单位</w:t>
      </w:r>
      <w:r>
        <w:rPr>
          <w:rFonts w:hint="eastAsia"/>
        </w:rPr>
        <w:t>根据确定的部门整体支出绩效目标和项目支出绩效目标，对绩效目标的完成情况进行跟踪和绩效自评。按照“谁申请资金、谁编制目标”的原则做好评价工作。</w:t>
      </w:r>
    </w:p>
    <w:p>
      <w:pPr>
        <w:bidi w:val="0"/>
        <w:ind w:firstLine="640" w:firstLineChars="200"/>
        <w:rPr>
          <w:rFonts w:hint="default"/>
        </w:rPr>
      </w:pPr>
      <w:r>
        <w:rPr>
          <w:rFonts w:hint="eastAsia"/>
        </w:rPr>
        <w:t>2.绩效评价方法。积极组织力量，项目自评绩效由业务处室填报项目绩效自评情况，财务处协助；单位整体绩效由财务处填报，办公室及相关部门提供佐证材料和依据。</w:t>
      </w:r>
    </w:p>
    <w:p>
      <w:pPr>
        <w:bidi w:val="0"/>
        <w:ind w:firstLine="643" w:firstLineChars="200"/>
        <w:rPr>
          <w:rFonts w:hint="eastAsia" w:ascii="黑体" w:hAnsi="黑体" w:eastAsia="黑体" w:cs="黑体"/>
          <w:b/>
          <w:bCs/>
        </w:rPr>
      </w:pPr>
      <w:r>
        <w:rPr>
          <w:rFonts w:hint="eastAsia" w:ascii="黑体" w:hAnsi="黑体" w:eastAsia="黑体" w:cs="黑体"/>
          <w:b/>
          <w:bCs/>
        </w:rPr>
        <w:t>三、评价结论</w:t>
      </w:r>
    </w:p>
    <w:p>
      <w:pPr>
        <w:bidi w:val="0"/>
        <w:ind w:firstLine="643" w:firstLineChars="200"/>
        <w:rPr>
          <w:rFonts w:hint="eastAsia"/>
        </w:rPr>
      </w:pPr>
      <w:r>
        <w:rPr>
          <w:rFonts w:hint="eastAsia" w:ascii="楷体_GB2312" w:hAnsi="楷体_GB2312" w:eastAsia="楷体_GB2312" w:cs="楷体_GB2312"/>
          <w:b/>
          <w:bCs/>
        </w:rPr>
        <w:t>（一）评价结果</w:t>
      </w:r>
    </w:p>
    <w:p>
      <w:pPr>
        <w:bidi w:val="0"/>
        <w:ind w:firstLine="640" w:firstLineChars="200"/>
      </w:pPr>
      <w:r>
        <w:t>根据项目支出绩效指标要求，我单位分析评价自评分为</w:t>
      </w:r>
      <w:r>
        <w:rPr>
          <w:rFonts w:hint="eastAsia"/>
          <w:lang w:val="en-US" w:eastAsia="zh-CN"/>
        </w:rPr>
        <w:t>100</w:t>
      </w:r>
      <w:r>
        <w:t>分，自评等级为优秀。</w:t>
      </w:r>
    </w:p>
    <w:p>
      <w:pPr>
        <w:numPr>
          <w:ilvl w:val="0"/>
          <w:numId w:val="2"/>
        </w:num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主要绩效</w:t>
      </w:r>
    </w:p>
    <w:p>
      <w:pPr>
        <w:numPr>
          <w:ilvl w:val="0"/>
          <w:numId w:val="2"/>
        </w:numPr>
        <w:bidi w:val="0"/>
        <w:ind w:left="0" w:leftChars="0"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项目实施主体明确</w:t>
      </w:r>
    </w:p>
    <w:p>
      <w:pPr>
        <w:numPr>
          <w:ilvl w:val="0"/>
          <w:numId w:val="0"/>
        </w:numPr>
        <w:bidi w:val="0"/>
        <w:ind w:firstLine="640" w:firstLineChars="200"/>
      </w:pPr>
      <w:r>
        <w:t>项目资金能够按照县级财政关于预算申报、预算评审、资金申请的有关工作要求进行审批，并最终落实到位。同时，在项目实施的全过程中，各科室均制订了严格的实施制度，指定了专人对项目进行监督，并按时、按质、按量完成项目绩效指标，确保了项目工作的正常开展。</w:t>
      </w:r>
    </w:p>
    <w:p>
      <w:pPr>
        <w:bidi w:val="0"/>
        <w:ind w:firstLine="640" w:firstLineChars="200"/>
        <w:rPr>
          <w:rFonts w:hint="eastAsia" w:ascii="黑体" w:hAnsi="黑体" w:eastAsia="黑体" w:cs="黑体"/>
        </w:rPr>
      </w:pPr>
      <w:r>
        <w:rPr>
          <w:rFonts w:hint="eastAsia" w:ascii="黑体" w:hAnsi="黑体" w:eastAsia="黑体" w:cs="黑体"/>
        </w:rPr>
        <w:t>四、成本效益分析。</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（一）经济性分析</w:t>
      </w:r>
    </w:p>
    <w:p>
      <w:pPr>
        <w:bidi w:val="0"/>
        <w:ind w:firstLine="640" w:firstLineChars="200"/>
        <w:rPr>
          <w:rFonts w:hint="default"/>
        </w:rPr>
      </w:pPr>
      <w:r>
        <w:rPr>
          <w:rFonts w:hint="eastAsia"/>
        </w:rPr>
        <w:t>开支成本以预算为基准执行，厉行节约，超支不付；通过领导审核、财务把关、相关部门监督等工作流程，部门整体支出没有超预算情况。</w:t>
      </w:r>
    </w:p>
    <w:p>
      <w:pPr>
        <w:bidi w:val="0"/>
        <w:ind w:firstLine="643" w:firstLineChars="200"/>
        <w:rPr>
          <w:rFonts w:hint="eastAsia" w:ascii="楷体_GB2312" w:hAnsi="楷体_GB2312" w:eastAsia="楷体_GB2312" w:cs="楷体_GB2312"/>
          <w:b/>
          <w:bCs/>
        </w:rPr>
      </w:pPr>
      <w:r>
        <w:rPr>
          <w:rFonts w:hint="eastAsia" w:ascii="楷体_GB2312" w:hAnsi="楷体_GB2312" w:eastAsia="楷体_GB2312" w:cs="楷体_GB2312"/>
          <w:b/>
          <w:bCs/>
        </w:rPr>
        <w:t>（二）效率性分析及效益性分析</w:t>
      </w:r>
    </w:p>
    <w:p>
      <w:pPr>
        <w:bidi w:val="0"/>
        <w:ind w:firstLine="640" w:firstLineChars="200"/>
        <w:rPr>
          <w:rFonts w:hint="default"/>
        </w:rPr>
      </w:pPr>
      <w:r>
        <w:rPr>
          <w:rFonts w:hint="eastAsia"/>
        </w:rPr>
        <w:t>全年认真完成项目目标任务，通过优化服务环境、提高服务水平等措施，让</w:t>
      </w:r>
      <w:r>
        <w:rPr>
          <w:rFonts w:hint="eastAsia"/>
          <w:lang w:eastAsia="zh-CN"/>
        </w:rPr>
        <w:t>残疾人事业再上一个新台阶</w:t>
      </w:r>
      <w:r>
        <w:rPr>
          <w:rFonts w:hint="eastAsia"/>
        </w:rPr>
        <w:t>。</w:t>
      </w:r>
    </w:p>
    <w:p>
      <w:pPr>
        <w:bidi w:val="0"/>
      </w:pPr>
      <w:r>
        <w:rPr>
          <w:rFonts w:hint="eastAsia"/>
        </w:rPr>
        <w:t>五、主要经验及做法、存在的问题和建议</w:t>
      </w:r>
    </w:p>
    <w:p>
      <w:pPr>
        <w:topLinePunct/>
        <w:autoSpaceDE/>
        <w:autoSpaceDN/>
        <w:spacing w:line="360" w:lineRule="auto"/>
        <w:ind w:right="-1"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（一）主要经验及做法</w:t>
      </w:r>
    </w:p>
    <w:p>
      <w:pPr>
        <w:topLinePunct/>
        <w:autoSpaceDE/>
        <w:autoSpaceDN/>
        <w:spacing w:line="360" w:lineRule="auto"/>
        <w:ind w:right="-1"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残疾人康复、残疾人就业、其他残疾人事业的政策，通过一年的行动计划，我县残疾人切实享受到了这些惠民项目的现实效果，给他们解了燃眉之急，帮助他们渡过了难关，为解决残疾人的温饱问题，缩小贫困差距，全面脱贫建成小康社会起到了重要作用。</w:t>
      </w:r>
    </w:p>
    <w:p>
      <w:pPr>
        <w:topLinePunct/>
        <w:autoSpaceDE/>
        <w:autoSpaceDN/>
        <w:spacing w:line="360" w:lineRule="auto"/>
        <w:ind w:right="-1"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、为使我县残疾人事业顺利推进，落到实处，与乡镇残联实行督查考核机制，定期开展项目落实督查工作，做到督促检查常态化，对工作推进不力乡镇将实行问责制。</w:t>
      </w:r>
    </w:p>
    <w:p>
      <w:pPr>
        <w:numPr>
          <w:ilvl w:val="0"/>
          <w:numId w:val="0"/>
        </w:numPr>
        <w:topLinePunct/>
        <w:ind w:firstLine="640" w:firstLineChars="200"/>
        <w:rPr>
          <w:rFonts w:hint="eastAsia" w:ascii="黑体" w:hAnsi="黑体" w:eastAsia="黑体"/>
          <w:color w:val="000000" w:themeColor="text1"/>
          <w:szCs w:val="32"/>
        </w:rPr>
      </w:pPr>
      <w:r>
        <w:rPr>
          <w:rFonts w:hint="eastAsia" w:ascii="仿宋_GB2312" w:hAnsi="仿宋_GB2312" w:cs="仿宋_GB2312"/>
          <w:color w:val="000000" w:themeColor="text1"/>
          <w:sz w:val="32"/>
          <w:szCs w:val="32"/>
          <w:lang w:val="en-US" w:eastAsia="zh-CN"/>
        </w:rPr>
        <w:t>3</w:t>
      </w:r>
      <w:r>
        <w:rPr>
          <w:rFonts w:hint="eastAsia" w:ascii="仿宋_GB2312" w:hAnsi="仿宋_GB2312" w:eastAsia="仿宋_GB2312" w:cs="仿宋_GB2312"/>
          <w:color w:val="000000" w:themeColor="text1"/>
          <w:sz w:val="32"/>
          <w:szCs w:val="32"/>
        </w:rPr>
        <w:t>、残疾人因身体残疾而导致难以克服的困难，弱势明显，残疾人基本要求和基本生活状况仍然与社会经济发展水平及健全人生活水平相比存在较大差距，残疾人事业仍然滞后于全县经济、社会的发展水平，工作中还存在许多困难和问题：一是残疾人事业宣传力度不够，理解、尊重、关心和支持残疾人的社会氛围还未完全形成；二是扶贫解困工作任务还十分繁重，服务能力与广大残疾人的需求还不相适应；在以后的工作中，还需不断努力，克服和解决这些困难和问题。</w:t>
      </w:r>
    </w:p>
    <w:p>
      <w:pPr>
        <w:numPr>
          <w:ilvl w:val="0"/>
          <w:numId w:val="0"/>
        </w:numPr>
        <w:spacing w:line="600" w:lineRule="exact"/>
        <w:ind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（二）存在的问题</w:t>
      </w:r>
    </w:p>
    <w:p>
      <w:pPr>
        <w:numPr>
          <w:ilvl w:val="0"/>
          <w:numId w:val="0"/>
        </w:numPr>
        <w:spacing w:line="600" w:lineRule="exact"/>
        <w:ind w:firstLine="640" w:firstLineChars="200"/>
        <w:rPr>
          <w:rFonts w:ascii="仿宋_GB2312" w:hAnsi="楷体"/>
          <w:szCs w:val="32"/>
        </w:rPr>
      </w:pPr>
      <w:r>
        <w:rPr>
          <w:rFonts w:hint="eastAsia" w:ascii="仿宋_GB2312" w:hAnsi="仿宋_GB2312" w:eastAsia="仿宋_GB2312" w:cs="仿宋_GB2312"/>
          <w:i w:val="0"/>
          <w:caps w:val="0"/>
          <w:color w:val="000000" w:themeColor="text1"/>
          <w:spacing w:val="0"/>
          <w:sz w:val="32"/>
          <w:szCs w:val="32"/>
          <w:shd w:val="clear" w:fill="FFFFFF"/>
        </w:rPr>
        <w:t>还有部分不可预见经费的追加，无法纳入预算，导致预算执行存在偏差。</w:t>
      </w:r>
    </w:p>
    <w:p>
      <w:pPr>
        <w:numPr>
          <w:ilvl w:val="0"/>
          <w:numId w:val="3"/>
        </w:numPr>
        <w:spacing w:line="600" w:lineRule="exact"/>
        <w:ind w:firstLine="643" w:firstLineChars="200"/>
        <w:rPr>
          <w:rFonts w:hint="eastAsia" w:ascii="楷体_GB2312" w:hAnsi="楷体_GB2312" w:eastAsia="楷体_GB2312" w:cs="楷体_GB2312"/>
          <w:b/>
          <w:bCs/>
          <w:szCs w:val="32"/>
        </w:rPr>
      </w:pPr>
      <w:r>
        <w:rPr>
          <w:rFonts w:hint="eastAsia" w:ascii="楷体_GB2312" w:hAnsi="楷体_GB2312" w:eastAsia="楷体_GB2312" w:cs="楷体_GB2312"/>
          <w:b/>
          <w:bCs/>
          <w:szCs w:val="32"/>
        </w:rPr>
        <w:t>建议和改进措施</w:t>
      </w:r>
    </w:p>
    <w:p>
      <w:pPr>
        <w:numPr>
          <w:ilvl w:val="0"/>
          <w:numId w:val="0"/>
        </w:numPr>
        <w:spacing w:line="6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i w:val="0"/>
          <w:caps w:val="0"/>
          <w:color w:val="000000" w:themeColor="text1"/>
          <w:spacing w:val="0"/>
          <w:sz w:val="32"/>
          <w:szCs w:val="32"/>
          <w:shd w:val="clear" w:fill="FFFFFF"/>
        </w:rPr>
        <w:t>在今后的工作一方面要严格预算编制，做到细化精确，争取一些费用纳入财政预算中；另一方面要严格落实专项经费使用管理规定，做到专款专用;同时应及时与财政部门衔接，调减专项资金的预算安排，调增人员基本支出的预算安排。三是要严格按照《公务员法》的规定，确保财政供养人员及时到位，保障各项工作的顺利实行。四是在经费开支上严格按照八项规定执行。</w:t>
      </w:r>
    </w:p>
    <w:p>
      <w:pPr>
        <w:topLinePunct/>
        <w:spacing w:line="540" w:lineRule="exact"/>
        <w:ind w:firstLine="800" w:firstLineChars="250"/>
        <w:rPr>
          <w:rFonts w:ascii="仿宋_GB2312" w:hAnsi="楷体"/>
          <w:szCs w:val="32"/>
        </w:rPr>
      </w:pPr>
    </w:p>
    <w:p/>
    <w:p/>
    <w:p/>
    <w:p/>
    <w:p>
      <w:pPr>
        <w:rPr>
          <w:sz w:val="21"/>
          <w:szCs w:val="21"/>
        </w:rPr>
      </w:pPr>
    </w:p>
    <w:p>
      <w:pPr>
        <w:spacing w:line="560" w:lineRule="exact"/>
        <w:rPr>
          <w:rFonts w:hint="eastAsia" w:ascii="仿宋_GB2312" w:hAnsi="Arial Narrow" w:eastAsia="仿宋_GB2312"/>
          <w:sz w:val="32"/>
          <w:szCs w:val="32"/>
        </w:rPr>
      </w:pPr>
      <w:bookmarkStart w:id="0" w:name="_Toc2916"/>
    </w:p>
    <w:p>
      <w:pPr>
        <w:spacing w:line="560" w:lineRule="exact"/>
        <w:ind w:firstLine="640" w:firstLineChars="200"/>
        <w:rPr>
          <w:rFonts w:ascii="仿宋_GB2312" w:hAnsi="Arial Narrow" w:eastAsia="仿宋_GB2312"/>
          <w:sz w:val="32"/>
          <w:szCs w:val="32"/>
        </w:rPr>
      </w:pPr>
      <w:r>
        <w:rPr>
          <w:rFonts w:hint="eastAsia" w:ascii="仿宋_GB2312" w:hAnsi="Arial Narrow" w:eastAsia="仿宋_GB2312"/>
          <w:sz w:val="32"/>
          <w:szCs w:val="32"/>
        </w:rPr>
        <w:t>附件1：</w:t>
      </w:r>
      <w:bookmarkEnd w:id="0"/>
      <w:r>
        <w:rPr>
          <w:rFonts w:hint="eastAsia" w:ascii="仿宋_GB2312" w:hAnsi="黑体"/>
          <w:spacing w:val="-20"/>
          <w:sz w:val="32"/>
          <w:szCs w:val="32"/>
          <w:lang w:eastAsia="zh-CN"/>
        </w:rPr>
        <w:t>富民县残疾人联合会</w:t>
      </w:r>
      <w:r>
        <w:rPr>
          <w:rFonts w:hint="eastAsia" w:ascii="仿宋_GB2312" w:eastAsia="仿宋_GB2312" w:cs="仿宋_GB2312"/>
          <w:sz w:val="32"/>
          <w:szCs w:val="32"/>
        </w:rPr>
        <w:t>部门</w:t>
      </w:r>
      <w:r>
        <w:rPr>
          <w:rFonts w:hint="eastAsia" w:ascii="仿宋_GB2312" w:hAnsi="黑体" w:eastAsia="仿宋_GB2312"/>
          <w:spacing w:val="-20"/>
          <w:sz w:val="32"/>
          <w:szCs w:val="32"/>
        </w:rPr>
        <w:t>202</w:t>
      </w:r>
      <w:r>
        <w:rPr>
          <w:rFonts w:hint="eastAsia" w:ascii="仿宋_GB2312" w:hAnsi="黑体"/>
          <w:spacing w:val="-20"/>
          <w:sz w:val="32"/>
          <w:szCs w:val="32"/>
          <w:lang w:val="en-US" w:eastAsia="zh-CN"/>
        </w:rPr>
        <w:t>3</w:t>
      </w:r>
      <w:r>
        <w:rPr>
          <w:rFonts w:hint="eastAsia" w:ascii="仿宋_GB2312" w:hAnsi="Arial Narrow" w:eastAsia="仿宋_GB2312" w:cstheme="majorBidi"/>
          <w:sz w:val="32"/>
          <w:szCs w:val="32"/>
        </w:rPr>
        <w:t>年</w:t>
      </w:r>
      <w:r>
        <w:rPr>
          <w:rFonts w:hint="eastAsia" w:ascii="仿宋_GB2312" w:hAnsi="黑体"/>
          <w:spacing w:val="-20"/>
          <w:sz w:val="32"/>
          <w:szCs w:val="32"/>
          <w:lang w:eastAsia="zh-CN"/>
        </w:rPr>
        <w:t>残疾人就业</w:t>
      </w:r>
      <w:r>
        <w:rPr>
          <w:rFonts w:hint="eastAsia" w:ascii="仿宋_GB2312" w:hAnsi="Arial Narrow" w:eastAsia="仿宋_GB2312" w:cstheme="majorBidi"/>
          <w:sz w:val="32"/>
          <w:szCs w:val="32"/>
        </w:rPr>
        <w:t>项目资金支出</w:t>
      </w:r>
      <w:r>
        <w:rPr>
          <w:rFonts w:hint="eastAsia" w:ascii="仿宋_GB2312" w:eastAsia="仿宋_GB2312"/>
          <w:sz w:val="32"/>
          <w:szCs w:val="32"/>
        </w:rPr>
        <w:t>绩效评价指标体系及打分表</w:t>
      </w:r>
    </w:p>
    <w:p>
      <w:pPr>
        <w:ind w:firstLine="640" w:firstLineChars="200"/>
        <w:rPr>
          <w:rFonts w:ascii="仿宋_GB2312" w:hAnsi="Arial Narrow" w:eastAsia="仿宋_GB2312"/>
          <w:sz w:val="32"/>
          <w:szCs w:val="32"/>
        </w:rPr>
      </w:pPr>
    </w:p>
    <w:p>
      <w:p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3"/>
        <w:widowControl w:val="0"/>
        <w:overflowPunct/>
        <w:autoSpaceDE/>
        <w:autoSpaceDN/>
        <w:adjustRightInd/>
        <w:spacing w:before="120" w:after="120" w:line="415" w:lineRule="auto"/>
        <w:ind w:firstLine="560" w:firstLineChars="200"/>
        <w:jc w:val="left"/>
        <w:rPr>
          <w:rFonts w:ascii="仿宋_GB2312" w:hAnsi="Arial Narrow" w:eastAsia="仿宋_GB2312" w:cstheme="majorBidi"/>
          <w:b w:val="0"/>
          <w:kern w:val="2"/>
          <w:sz w:val="28"/>
          <w:szCs w:val="28"/>
        </w:rPr>
      </w:pPr>
      <w:bookmarkStart w:id="1" w:name="_Toc72852509"/>
      <w:r>
        <w:rPr>
          <w:rFonts w:hint="eastAsia" w:ascii="仿宋_GB2312" w:hAnsi="Arial Narrow" w:eastAsia="仿宋_GB2312" w:cstheme="majorBidi"/>
          <w:b w:val="0"/>
          <w:kern w:val="2"/>
          <w:sz w:val="28"/>
          <w:szCs w:val="28"/>
        </w:rPr>
        <w:t>附件1</w:t>
      </w:r>
    </w:p>
    <w:p>
      <w:pPr>
        <w:pStyle w:val="3"/>
        <w:widowControl w:val="0"/>
        <w:overflowPunct/>
        <w:autoSpaceDE/>
        <w:autoSpaceDN/>
        <w:adjustRightInd/>
        <w:spacing w:before="120" w:after="120" w:line="415" w:lineRule="auto"/>
        <w:ind w:firstLine="643" w:firstLineChars="200"/>
        <w:jc w:val="center"/>
        <w:rPr>
          <w:rFonts w:hint="eastAsia" w:ascii="仿宋_GB2312" w:hAnsi="Arial Narrow" w:eastAsia="仿宋_GB2312" w:cstheme="majorBidi"/>
          <w:kern w:val="2"/>
          <w:sz w:val="36"/>
          <w:szCs w:val="36"/>
        </w:rPr>
      </w:pPr>
      <w:r>
        <w:rPr>
          <w:rFonts w:hint="eastAsia" w:ascii="仿宋_GB2312" w:hAnsi="黑体" w:eastAsia="仿宋_GB2312"/>
          <w:spacing w:val="-20"/>
          <w:sz w:val="36"/>
          <w:szCs w:val="36"/>
          <w:lang w:eastAsia="zh-CN"/>
        </w:rPr>
        <w:t>富民县残疾人联合会</w:t>
      </w:r>
      <w:r>
        <w:rPr>
          <w:rFonts w:hint="eastAsia" w:ascii="仿宋_GB2312" w:eastAsia="仿宋_GB2312" w:cs="仿宋_GB2312"/>
          <w:sz w:val="36"/>
          <w:szCs w:val="36"/>
        </w:rPr>
        <w:t>部门</w:t>
      </w:r>
      <w:r>
        <w:rPr>
          <w:rFonts w:hint="eastAsia" w:ascii="仿宋_GB2312" w:hAnsi="黑体" w:eastAsia="仿宋_GB2312"/>
          <w:spacing w:val="-20"/>
          <w:sz w:val="36"/>
          <w:szCs w:val="36"/>
        </w:rPr>
        <w:t>202</w:t>
      </w:r>
      <w:r>
        <w:rPr>
          <w:rFonts w:hint="eastAsia" w:ascii="仿宋_GB2312" w:hAnsi="黑体" w:eastAsia="仿宋_GB2312"/>
          <w:spacing w:val="-20"/>
          <w:sz w:val="36"/>
          <w:szCs w:val="36"/>
          <w:lang w:val="en-US" w:eastAsia="zh-CN"/>
        </w:rPr>
        <w:t>3</w:t>
      </w:r>
      <w:r>
        <w:rPr>
          <w:rFonts w:hint="eastAsia" w:ascii="仿宋_GB2312" w:hAnsi="Arial Narrow" w:eastAsia="仿宋_GB2312" w:cstheme="majorBidi"/>
          <w:kern w:val="2"/>
          <w:sz w:val="36"/>
          <w:szCs w:val="36"/>
        </w:rPr>
        <w:t>年</w:t>
      </w:r>
      <w:r>
        <w:rPr>
          <w:rFonts w:hint="eastAsia" w:ascii="仿宋_GB2312" w:hAnsi="黑体" w:eastAsia="仿宋_GB2312"/>
          <w:spacing w:val="-20"/>
          <w:sz w:val="36"/>
          <w:szCs w:val="36"/>
          <w:lang w:eastAsia="zh-CN"/>
        </w:rPr>
        <w:t>残疾人就业</w:t>
      </w:r>
      <w:r>
        <w:rPr>
          <w:rFonts w:hint="eastAsia" w:ascii="仿宋_GB2312" w:hAnsi="Arial Narrow" w:eastAsia="仿宋_GB2312" w:cstheme="majorBidi"/>
          <w:kern w:val="2"/>
          <w:sz w:val="36"/>
          <w:szCs w:val="36"/>
        </w:rPr>
        <w:t>项目资金支出</w:t>
      </w:r>
      <w:bookmarkEnd w:id="1"/>
    </w:p>
    <w:p>
      <w:pPr>
        <w:pStyle w:val="3"/>
        <w:widowControl w:val="0"/>
        <w:overflowPunct/>
        <w:autoSpaceDE/>
        <w:autoSpaceDN/>
        <w:adjustRightInd/>
        <w:spacing w:before="120" w:after="120" w:line="415" w:lineRule="auto"/>
        <w:ind w:firstLine="723" w:firstLineChars="200"/>
        <w:jc w:val="center"/>
        <w:rPr>
          <w:rFonts w:ascii="仿宋_GB2312" w:hAnsi="Arial Narrow" w:eastAsia="仿宋_GB2312" w:cstheme="majorBidi"/>
          <w:kern w:val="2"/>
          <w:sz w:val="36"/>
          <w:szCs w:val="36"/>
        </w:rPr>
      </w:pPr>
      <w:r>
        <w:rPr>
          <w:rFonts w:hint="eastAsia" w:ascii="仿宋_GB2312" w:eastAsia="仿宋_GB2312"/>
          <w:kern w:val="2"/>
          <w:sz w:val="36"/>
          <w:szCs w:val="36"/>
        </w:rPr>
        <w:t>绩效评价指标体系及打分表</w:t>
      </w:r>
    </w:p>
    <w:p/>
    <w:tbl>
      <w:tblPr>
        <w:tblStyle w:val="7"/>
        <w:tblW w:w="13953" w:type="dxa"/>
        <w:tblInd w:w="-5" w:type="dxa"/>
        <w:tblLayout w:type="fixed"/>
        <w:tblCellMar>
          <w:top w:w="0" w:type="dxa"/>
          <w:left w:w="108" w:type="dxa"/>
          <w:bottom w:w="0" w:type="dxa"/>
          <w:right w:w="108" w:type="dxa"/>
        </w:tblCellMar>
      </w:tblPr>
      <w:tblGrid>
        <w:gridCol w:w="845"/>
        <w:gridCol w:w="975"/>
        <w:gridCol w:w="1356"/>
        <w:gridCol w:w="2275"/>
        <w:gridCol w:w="4391"/>
        <w:gridCol w:w="673"/>
        <w:gridCol w:w="693"/>
        <w:gridCol w:w="699"/>
        <w:gridCol w:w="2046"/>
      </w:tblGrid>
      <w:tr>
        <w:tblPrEx>
          <w:tblLayout w:type="fixed"/>
          <w:tblCellMar>
            <w:top w:w="0" w:type="dxa"/>
            <w:left w:w="108" w:type="dxa"/>
            <w:bottom w:w="0" w:type="dxa"/>
            <w:right w:w="108" w:type="dxa"/>
          </w:tblCellMar>
        </w:tblPrEx>
        <w:trPr>
          <w:trHeight w:val="496" w:hRule="atLeast"/>
          <w:tblHeader/>
        </w:trPr>
        <w:tc>
          <w:tcPr>
            <w:tcW w:w="845" w:type="dxa"/>
            <w:tcBorders>
              <w:top w:val="single" w:color="auto" w:sz="4" w:space="0"/>
              <w:left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一级</w:t>
            </w:r>
          </w:p>
          <w:p>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975" w:type="dxa"/>
            <w:tcBorders>
              <w:top w:val="single" w:color="auto" w:sz="4" w:space="0"/>
              <w:left w:val="nil"/>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二级</w:t>
            </w:r>
          </w:p>
          <w:p>
            <w:pPr>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三级指标</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指标解释</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评价标准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指标分值</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评价得分</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扣分情况</w:t>
            </w: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扣分原因</w:t>
            </w: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决策(10)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项目立项(7分)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项目立项规范性（1分）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项目的申请、设立过程是否符合相关要求，用以反映和考核项目立项的规范情况。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项目是否按照规定的程序申请设立；</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文件、材料是否符合相关要求；</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事前是否已经过必要的可行性研究、专家论证、风险评估、集体决策等。</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一项不符合扣0.5分，严重的此项完全不得分。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2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绩效目标合理性（2分）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项目所设定的绩效目标是否依据充分，是否符合客观实际，用以反映和考核项目绩效目标与项目实施的相符情况。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是否符合国家相关法律法规、国民经济发展规划和党委政府决策；</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是否与项目实施单位或委托单位职责密切相关；</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项目是否为促进事业发展所必需；</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项目预期产出效益和效果是否符合正常的业绩水平。</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一项不符合扣0.5分，严重的此项完全不得分。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绩效指标明确性（4分）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依据绩效目标设定的绩效指标是否清晰、细化、可衡量等，用以反映和考核项目绩效目标的明细化情况。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是否将项目绩效目标细化分解为具体的绩效指标；</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是否通过清晰、可衡量的指标值予以体现；</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是否与项目年度任务数或计划数相对应；</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是否与预算确定的项目投资额或资金量相匹配。</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4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资金落实(3分)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资金到位率（1分）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实际到位资金与计划投入资金的比率，用以反映和考核资金落实情况对项目实施的总体保障程度。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资金到位率=（实际到位资金/计划投入资金）×100%。</w:t>
            </w:r>
            <w:r>
              <w:rPr>
                <w:rFonts w:ascii="Arial Narrow" w:hAnsi="Arial Narrow" w:eastAsia="宋体" w:cs="宋体"/>
                <w:kern w:val="0"/>
                <w:sz w:val="18"/>
                <w:szCs w:val="18"/>
              </w:rPr>
              <w:br w:type="textWrapping"/>
            </w:r>
            <w:r>
              <w:rPr>
                <w:rFonts w:ascii="Arial Narrow" w:hAnsi="Arial Narrow" w:eastAsia="宋体" w:cs="宋体"/>
                <w:kern w:val="0"/>
                <w:sz w:val="18"/>
                <w:szCs w:val="18"/>
              </w:rPr>
              <w:t>资金到位率大于90%的得满分，每少5个百分点扣0.5分，扣完为止。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1</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1</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623"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到位及时率（2分）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及时到位资金与应到位资金的比率，用以反映和考核项目资金落实的及时性程度。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到位及时率=（及时到位资金/应到位资金）×100%。</w:t>
            </w:r>
            <w:r>
              <w:rPr>
                <w:rFonts w:ascii="Arial Narrow" w:hAnsi="Arial Narrow" w:eastAsia="宋体" w:cs="宋体"/>
                <w:kern w:val="0"/>
                <w:sz w:val="18"/>
                <w:szCs w:val="18"/>
              </w:rPr>
              <w:br w:type="textWrapping"/>
            </w:r>
            <w:r>
              <w:rPr>
                <w:rFonts w:ascii="Arial Narrow" w:hAnsi="Arial Narrow" w:eastAsia="宋体" w:cs="宋体"/>
                <w:kern w:val="0"/>
                <w:sz w:val="18"/>
                <w:szCs w:val="18"/>
              </w:rPr>
              <w:t>到位及时率大于90%的得满分，每低5个百分点，扣1分，扣完为止。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过程（30）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业务管理（18）</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管理制度健全性（4分）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项目实施单位的业务管理制度是否健全，用以反映和考核业务管理制度对项目顺利实施的保障情况。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是否已制定或具有相应的业务管理制度；</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业务管理制度是否合法、合规、完整。</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一项不符合扣2分，严重的此项完全不得分。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215"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制度执行有效性（5分）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项目实施是否符合相关业务管理规定，用以反映和考核业务管理制度的有效执行情况。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是否遵守相关法律法规和业务管理规定；</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项目调整及支出调整手续是否完备；</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项目合同书、验收报告、技术鉴定等资料是否齐全并及时归档；</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项目实施的人员条件、场地设备、信息支撑等是否落实到位。</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1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项目质量可控性（5分）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项目实施单位是否为达到项目质量要求而采取了必需的措施,用以反映和考核项目实施单位对项目质量的控制情况。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是否已制定或具有相应的项目质量要求或标准；</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是否采取了相应的项目质量检查、验收等必需的控制措施或手段。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一项不符合扣2.5分，严重的此项完全不得分。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6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资金分配的合理性（2分）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资金分配及结果</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资金分配方案是否充分，分配标准是否合理、明确；</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分配结果是否公开、透明。一项不符合扣一分，严重的此项完全不得分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21"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预算执行率（2分）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考察项目预算执行的进度。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预算执行率=实际支出金额/项目预算金额×100%。</w:t>
            </w:r>
            <w:r>
              <w:rPr>
                <w:rFonts w:ascii="Arial Narrow" w:hAnsi="Arial Narrow" w:eastAsia="宋体" w:cs="宋体"/>
                <w:kern w:val="0"/>
                <w:sz w:val="18"/>
                <w:szCs w:val="18"/>
              </w:rPr>
              <w:br w:type="textWrapping"/>
            </w:r>
            <w:r>
              <w:rPr>
                <w:rFonts w:ascii="Arial Narrow" w:hAnsi="Arial Narrow" w:eastAsia="宋体" w:cs="宋体"/>
                <w:kern w:val="0"/>
                <w:sz w:val="18"/>
                <w:szCs w:val="18"/>
              </w:rPr>
              <w:t>预算执行率95%以上，得满分；低于95%，每下降1%扣权重的1%；预算执行率60%以下，不计分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
                <w:kern w:val="0"/>
                <w:szCs w:val="21"/>
              </w:rPr>
            </w:pPr>
            <w:r>
              <w:rPr>
                <w:rFonts w:ascii="Arial Narrow" w:hAnsi="Arial Narrow" w:eastAsia="宋体" w:cs="宋体"/>
                <w:b/>
                <w:kern w:val="0"/>
                <w:szCs w:val="21"/>
              </w:rPr>
              <w:t>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b/>
                <w:kern w:val="0"/>
                <w:szCs w:val="21"/>
                <w:lang w:val="en-US" w:eastAsia="zh-CN"/>
              </w:rPr>
            </w:pPr>
            <w:r>
              <w:rPr>
                <w:rFonts w:hint="eastAsia" w:ascii="Arial Narrow" w:hAnsi="Arial Narrow" w:eastAsia="宋体" w:cs="宋体"/>
                <w:b/>
                <w:kern w:val="0"/>
                <w:szCs w:val="21"/>
                <w:lang w:val="en-US" w:eastAsia="zh-CN"/>
              </w:rPr>
              <w:t>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kern w:val="0"/>
                <w:szCs w:val="21"/>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87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财务管理（12）</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管理制度健全性（3分）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项目实施单位的财务制度是否健全，用以反映和考核财务管理制度对资金规范、安全运行的保障情况。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是否已制定或具有相应的项目资金管理办法；</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项目资金管理办法是否符合相关财务会计制度的规定。</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3</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3</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8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资金使用合规性（5分）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项目资金使用是否符合相关的财务管理制度规定，用以反映和考核项目资金的规范运行情况。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是否符合国家财经法规和财务管理制度以及有关专项资金管理办法的规定；</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资金的拨付是否有完整的审批程序和手续；</w:t>
            </w:r>
            <w:r>
              <w:rPr>
                <w:rFonts w:ascii="Arial Narrow" w:hAnsi="Arial Narrow" w:eastAsia="宋体" w:cs="宋体"/>
                <w:kern w:val="0"/>
                <w:sz w:val="18"/>
                <w:szCs w:val="18"/>
              </w:rPr>
              <w:br w:type="textWrapping"/>
            </w:r>
            <w:r>
              <w:rPr>
                <w:rFonts w:hint="eastAsia" w:ascii="宋体" w:hAnsi="宋体" w:eastAsia="宋体" w:cs="宋体"/>
                <w:kern w:val="0"/>
                <w:sz w:val="18"/>
                <w:szCs w:val="18"/>
              </w:rPr>
              <w:t>③</w:t>
            </w:r>
            <w:r>
              <w:rPr>
                <w:rFonts w:ascii="Arial Narrow" w:hAnsi="Arial Narrow" w:eastAsia="宋体" w:cs="宋体"/>
                <w:kern w:val="0"/>
                <w:sz w:val="18"/>
                <w:szCs w:val="18"/>
              </w:rPr>
              <w:t>项目的重大开支是否经过评估认证；</w:t>
            </w:r>
            <w:r>
              <w:rPr>
                <w:rFonts w:ascii="Arial Narrow" w:hAnsi="Arial Narrow" w:eastAsia="宋体" w:cs="宋体"/>
                <w:kern w:val="0"/>
                <w:sz w:val="18"/>
                <w:szCs w:val="18"/>
              </w:rPr>
              <w:br w:type="textWrapping"/>
            </w:r>
            <w:r>
              <w:rPr>
                <w:rFonts w:hint="eastAsia" w:ascii="宋体" w:hAnsi="宋体" w:eastAsia="宋体" w:cs="宋体"/>
                <w:kern w:val="0"/>
                <w:sz w:val="18"/>
                <w:szCs w:val="18"/>
              </w:rPr>
              <w:t>④</w:t>
            </w:r>
            <w:r>
              <w:rPr>
                <w:rFonts w:ascii="Arial Narrow" w:hAnsi="Arial Narrow" w:eastAsia="宋体" w:cs="宋体"/>
                <w:kern w:val="0"/>
                <w:sz w:val="18"/>
                <w:szCs w:val="18"/>
              </w:rPr>
              <w:t>是否符合项目预算批复或合同规定的用途；</w:t>
            </w:r>
            <w:r>
              <w:rPr>
                <w:rFonts w:ascii="Arial Narrow" w:hAnsi="Arial Narrow" w:eastAsia="宋体" w:cs="宋体"/>
                <w:kern w:val="0"/>
                <w:sz w:val="18"/>
                <w:szCs w:val="18"/>
              </w:rPr>
              <w:br w:type="textWrapping"/>
            </w:r>
            <w:r>
              <w:rPr>
                <w:rFonts w:hint="eastAsia" w:ascii="宋体" w:hAnsi="宋体" w:eastAsia="宋体" w:cs="宋体"/>
                <w:kern w:val="0"/>
                <w:sz w:val="18"/>
                <w:szCs w:val="18"/>
              </w:rPr>
              <w:t>⑤</w:t>
            </w:r>
            <w:r>
              <w:rPr>
                <w:rFonts w:ascii="Arial Narrow" w:hAnsi="Arial Narrow" w:eastAsia="宋体" w:cs="宋体"/>
                <w:kern w:val="0"/>
                <w:sz w:val="18"/>
                <w:szCs w:val="18"/>
              </w:rPr>
              <w:t>是否存在截留、挤占、挪用、虚列支出等情况。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一项不符合扣一分，严重的此项完全不得分。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5</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5</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33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财务监控有效性（4分）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项目实施单位是否为保障资金的安全、规范运行而采取了必要的监控措施，用以反映和考核项目实施单位对资金运行的控制情况。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宋体" w:hAnsi="宋体" w:eastAsia="宋体" w:cs="宋体"/>
                <w:kern w:val="0"/>
                <w:sz w:val="18"/>
                <w:szCs w:val="18"/>
              </w:rPr>
              <w:t>①</w:t>
            </w:r>
            <w:r>
              <w:rPr>
                <w:rFonts w:ascii="Arial Narrow" w:hAnsi="Arial Narrow" w:eastAsia="宋体" w:cs="宋体"/>
                <w:kern w:val="0"/>
                <w:sz w:val="18"/>
                <w:szCs w:val="18"/>
              </w:rPr>
              <w:t>是否已制定或具有相应的监控机制；</w:t>
            </w:r>
            <w:r>
              <w:rPr>
                <w:rFonts w:ascii="Arial Narrow" w:hAnsi="Arial Narrow" w:eastAsia="宋体" w:cs="宋体"/>
                <w:kern w:val="0"/>
                <w:sz w:val="18"/>
                <w:szCs w:val="18"/>
              </w:rPr>
              <w:br w:type="textWrapping"/>
            </w:r>
            <w:r>
              <w:rPr>
                <w:rFonts w:hint="eastAsia" w:ascii="宋体" w:hAnsi="宋体" w:eastAsia="宋体" w:cs="宋体"/>
                <w:kern w:val="0"/>
                <w:sz w:val="18"/>
                <w:szCs w:val="18"/>
              </w:rPr>
              <w:t>②</w:t>
            </w:r>
            <w:r>
              <w:rPr>
                <w:rFonts w:ascii="Arial Narrow" w:hAnsi="Arial Narrow" w:eastAsia="宋体" w:cs="宋体"/>
                <w:kern w:val="0"/>
                <w:sz w:val="18"/>
                <w:szCs w:val="18"/>
              </w:rPr>
              <w:t>是否采取了相应的财务检查等必要的监控措施或手段。</w:t>
            </w:r>
            <w:r>
              <w:rPr>
                <w:rFonts w:ascii="Arial Narrow" w:hAnsi="Arial Narrow" w:eastAsia="宋体" w:cs="宋体"/>
                <w:kern w:val="0"/>
                <w:sz w:val="18"/>
                <w:szCs w:val="18"/>
              </w:rPr>
              <w:br w:type="textWrapping"/>
            </w:r>
            <w:r>
              <w:rPr>
                <w:rFonts w:ascii="Arial Narrow" w:hAnsi="Arial Narrow" w:eastAsia="宋体" w:cs="宋体"/>
                <w:kern w:val="0"/>
                <w:sz w:val="18"/>
                <w:szCs w:val="18"/>
              </w:rPr>
              <w:t>一项不符合扣二分，严重的此项完全不得分。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产出（30）</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项目产出（30）</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完成数量（10分）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项目实施的实际产出数与计划产出数的比率，用以反映和考核项目产出数量目标的实现程度。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一项不符合扣2分，与目标严重不符不得分。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10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完成及时性（4分）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项目实际提前完成时间与计划完成时间的比率，用以反映和考核项目产出时效目标的实现程度。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一项不符合扣1分，严重的此项完全不得分。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6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质量达标率（12分）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项目完成的质量达标产出数与实际产出数的比率，用以反映和考核项目产出质量目标的实现程度。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项目验收通过率达95%及以上，得满分；未通过一个扣一分，扣完为止。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12</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12</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00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资金变动率（4分）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完成项目计划工作目标的变动成本与计划成本的比率，用以反映和考核项目的变动程度。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变动率=[（实际成本-计划成本）/计划成本]×100%。</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4</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4</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970" w:hRule="atLeast"/>
        </w:trPr>
        <w:tc>
          <w:tcPr>
            <w:tcW w:w="8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效果（30分）</w:t>
            </w:r>
          </w:p>
        </w:tc>
        <w:tc>
          <w:tcPr>
            <w:tcW w:w="9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项目效益（30分）</w:t>
            </w: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经济效益（6分）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项目实施对经济发展所带来的直接或间接影响情况。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对照绩效目标，按经济效益实现程度计算得分。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11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社会效益（8分）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项目实施对社会发展所带来的直接或间接影响情况。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cs="宋体" w:asciiTheme="minorEastAsia" w:hAnsiTheme="minorEastAsia"/>
                <w:kern w:val="0"/>
                <w:sz w:val="18"/>
                <w:szCs w:val="18"/>
              </w:rPr>
            </w:pPr>
            <w:r>
              <w:rPr>
                <w:rFonts w:hint="eastAsia" w:asciiTheme="minorEastAsia" w:hAnsiTheme="minorEastAsia"/>
                <w:sz w:val="18"/>
                <w:szCs w:val="18"/>
              </w:rPr>
              <w:t>对照绩效目标，按社会效益实现程度计算得分。</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8</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8</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78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可持续影响（6分）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项目后续运行及成效发挥的可持续影响情况。</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hint="eastAsia" w:asciiTheme="minorEastAsia" w:hAnsiTheme="minorEastAsia"/>
                <w:sz w:val="18"/>
                <w:szCs w:val="18"/>
              </w:rPr>
              <w:t>对照绩效目标，按</w:t>
            </w:r>
            <w:r>
              <w:rPr>
                <w:rFonts w:ascii="Arial Narrow" w:hAnsi="Arial Narrow" w:eastAsia="宋体" w:cs="宋体"/>
                <w:kern w:val="0"/>
                <w:sz w:val="18"/>
                <w:szCs w:val="18"/>
              </w:rPr>
              <w:t>可持续影响</w:t>
            </w:r>
            <w:r>
              <w:rPr>
                <w:rFonts w:hint="eastAsia" w:asciiTheme="minorEastAsia" w:hAnsiTheme="minorEastAsia"/>
                <w:sz w:val="18"/>
                <w:szCs w:val="18"/>
              </w:rPr>
              <w:t>实现程度计算得分。</w:t>
            </w:r>
            <w:bookmarkStart w:id="2" w:name="_GoBack"/>
            <w:bookmarkEnd w:id="2"/>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6</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6</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740" w:hRule="atLeast"/>
        </w:trPr>
        <w:tc>
          <w:tcPr>
            <w:tcW w:w="8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9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Narrow" w:hAnsi="Arial Narrow" w:eastAsia="宋体" w:cs="宋体"/>
                <w:kern w:val="0"/>
                <w:sz w:val="18"/>
                <w:szCs w:val="18"/>
              </w:rPr>
            </w:pPr>
          </w:p>
        </w:tc>
        <w:tc>
          <w:tcPr>
            <w:tcW w:w="13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r>
              <w:rPr>
                <w:rFonts w:ascii="Arial Narrow" w:hAnsi="Arial Narrow" w:eastAsia="宋体" w:cs="宋体"/>
                <w:kern w:val="0"/>
                <w:sz w:val="18"/>
                <w:szCs w:val="18"/>
              </w:rPr>
              <w:t>服务对象满意度（10分）</w:t>
            </w:r>
          </w:p>
        </w:tc>
        <w:tc>
          <w:tcPr>
            <w:tcW w:w="22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社会公众或服务对象对项目实施效果的满意程度。</w:t>
            </w:r>
          </w:p>
        </w:tc>
        <w:tc>
          <w:tcPr>
            <w:tcW w:w="439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Arial Narrow" w:hAnsi="Arial Narrow" w:eastAsia="宋体" w:cs="宋体"/>
                <w:kern w:val="0"/>
                <w:sz w:val="18"/>
                <w:szCs w:val="18"/>
              </w:rPr>
            </w:pPr>
            <w:r>
              <w:rPr>
                <w:rFonts w:ascii="Arial Narrow" w:hAnsi="Arial Narrow" w:eastAsia="宋体" w:cs="宋体"/>
                <w:kern w:val="0"/>
                <w:sz w:val="18"/>
                <w:szCs w:val="18"/>
              </w:rPr>
              <w:t>采取社会调查的方式，社会公众满意度大于90%的得满分，每少1个百分点扣0.3分，扣完为止。</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kern w:val="0"/>
                <w:szCs w:val="21"/>
              </w:rPr>
            </w:pPr>
            <w:r>
              <w:rPr>
                <w:rFonts w:ascii="Arial Narrow" w:hAnsi="Arial Narrow" w:eastAsia="宋体" w:cs="宋体"/>
                <w:kern w:val="0"/>
                <w:szCs w:val="21"/>
              </w:rPr>
              <w:t>10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kern w:val="0"/>
                <w:sz w:val="18"/>
                <w:szCs w:val="18"/>
                <w:lang w:val="en-US" w:eastAsia="zh-CN"/>
              </w:rPr>
            </w:pPr>
            <w:r>
              <w:rPr>
                <w:rFonts w:hint="eastAsia" w:ascii="Arial Narrow" w:hAnsi="Arial Narrow" w:eastAsia="宋体" w:cs="宋体"/>
                <w:kern w:val="0"/>
                <w:sz w:val="18"/>
                <w:szCs w:val="18"/>
                <w:lang w:val="en-US" w:eastAsia="zh-CN"/>
              </w:rPr>
              <w:t>10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Arial Narrow" w:hAnsi="Arial Narrow" w:eastAsia="宋体" w:cs="宋体"/>
                <w:kern w:val="0"/>
                <w:sz w:val="18"/>
                <w:szCs w:val="18"/>
              </w:rPr>
            </w:pPr>
          </w:p>
        </w:tc>
      </w:tr>
      <w:tr>
        <w:tblPrEx>
          <w:tblLayout w:type="fixed"/>
          <w:tblCellMar>
            <w:top w:w="0" w:type="dxa"/>
            <w:left w:w="108" w:type="dxa"/>
            <w:bottom w:w="0" w:type="dxa"/>
            <w:right w:w="108" w:type="dxa"/>
          </w:tblCellMar>
        </w:tblPrEx>
        <w:trPr>
          <w:trHeight w:val="461" w:hRule="atLeast"/>
        </w:trPr>
        <w:tc>
          <w:tcPr>
            <w:tcW w:w="984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r>
              <w:rPr>
                <w:rFonts w:ascii="Arial Narrow" w:hAnsi="Arial Narrow" w:eastAsia="宋体" w:cs="宋体"/>
                <w:b/>
                <w:bCs/>
                <w:kern w:val="0"/>
                <w:sz w:val="18"/>
                <w:szCs w:val="18"/>
              </w:rPr>
              <w:t>合计</w:t>
            </w:r>
          </w:p>
        </w:tc>
        <w:tc>
          <w:tcPr>
            <w:tcW w:w="6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宋体" w:cs="宋体"/>
                <w:bCs/>
                <w:kern w:val="0"/>
                <w:szCs w:val="21"/>
              </w:rPr>
            </w:pPr>
            <w:r>
              <w:rPr>
                <w:rFonts w:ascii="Arial Narrow" w:hAnsi="Arial Narrow" w:eastAsia="宋体" w:cs="宋体"/>
                <w:bCs/>
                <w:kern w:val="0"/>
                <w:szCs w:val="21"/>
              </w:rPr>
              <w:t>100</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Arial Narrow" w:hAnsi="Arial Narrow" w:eastAsia="宋体" w:cs="宋体"/>
                <w:b/>
                <w:bCs/>
                <w:kern w:val="0"/>
                <w:sz w:val="18"/>
                <w:szCs w:val="18"/>
                <w:lang w:val="en-US" w:eastAsia="zh-CN"/>
              </w:rPr>
            </w:pPr>
            <w:r>
              <w:rPr>
                <w:rFonts w:hint="eastAsia" w:ascii="Arial Narrow" w:hAnsi="Arial Narrow" w:eastAsia="宋体" w:cs="宋体"/>
                <w:b/>
                <w:bCs/>
                <w:kern w:val="0"/>
                <w:sz w:val="18"/>
                <w:szCs w:val="18"/>
                <w:lang w:val="en-US" w:eastAsia="zh-CN"/>
              </w:rPr>
              <w:t>100</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p>
        </w:tc>
        <w:tc>
          <w:tcPr>
            <w:tcW w:w="20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Arial Narrow" w:hAnsi="Arial Narrow" w:eastAsia="宋体" w:cs="宋体"/>
                <w:b/>
                <w:bCs/>
                <w:kern w:val="0"/>
                <w:sz w:val="18"/>
                <w:szCs w:val="18"/>
              </w:rPr>
            </w:pPr>
          </w:p>
        </w:tc>
      </w:tr>
    </w:tbl>
    <w:p/>
    <w:p/>
    <w:p/>
    <w:p/>
    <w:p>
      <w:pPr>
        <w:jc w:val="left"/>
      </w:pPr>
    </w:p>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小标宋">
    <w:altName w:val="宋体"/>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53784"/>
      <w:docPartObj>
        <w:docPartGallery w:val="autotext"/>
      </w:docPartObj>
    </w:sdtPr>
    <w:sdtContent>
      <w:p>
        <w:pPr>
          <w:pStyle w:val="4"/>
          <w:jc w:val="right"/>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D9BBF"/>
    <w:multiLevelType w:val="singleLevel"/>
    <w:tmpl w:val="8DCD9BBF"/>
    <w:lvl w:ilvl="0" w:tentative="0">
      <w:start w:val="2"/>
      <w:numFmt w:val="chineseCounting"/>
      <w:suff w:val="nothing"/>
      <w:lvlText w:val="（%1）"/>
      <w:lvlJc w:val="left"/>
      <w:rPr>
        <w:rFonts w:hint="eastAsia"/>
      </w:rPr>
    </w:lvl>
  </w:abstractNum>
  <w:abstractNum w:abstractNumId="1">
    <w:nsid w:val="2F13501C"/>
    <w:multiLevelType w:val="singleLevel"/>
    <w:tmpl w:val="2F13501C"/>
    <w:lvl w:ilvl="0" w:tentative="0">
      <w:start w:val="2"/>
      <w:numFmt w:val="decimal"/>
      <w:lvlText w:val="%1."/>
      <w:lvlJc w:val="left"/>
      <w:pPr>
        <w:tabs>
          <w:tab w:val="left" w:pos="312"/>
        </w:tabs>
      </w:pPr>
    </w:lvl>
  </w:abstractNum>
  <w:abstractNum w:abstractNumId="2">
    <w:nsid w:val="6E7D28C2"/>
    <w:multiLevelType w:val="singleLevel"/>
    <w:tmpl w:val="6E7D28C2"/>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C1657"/>
    <w:rsid w:val="000A2E4C"/>
    <w:rsid w:val="000D37FE"/>
    <w:rsid w:val="000F16B4"/>
    <w:rsid w:val="001104B7"/>
    <w:rsid w:val="00175AAC"/>
    <w:rsid w:val="00197507"/>
    <w:rsid w:val="001C5DCB"/>
    <w:rsid w:val="00246DAD"/>
    <w:rsid w:val="0025715A"/>
    <w:rsid w:val="002C1657"/>
    <w:rsid w:val="002E3518"/>
    <w:rsid w:val="003033E4"/>
    <w:rsid w:val="00341940"/>
    <w:rsid w:val="00364740"/>
    <w:rsid w:val="003C2470"/>
    <w:rsid w:val="003D7DDC"/>
    <w:rsid w:val="003E1CE8"/>
    <w:rsid w:val="004404E8"/>
    <w:rsid w:val="004E1CFF"/>
    <w:rsid w:val="0059730F"/>
    <w:rsid w:val="005B6DCE"/>
    <w:rsid w:val="005C4EBC"/>
    <w:rsid w:val="0068776A"/>
    <w:rsid w:val="006B646E"/>
    <w:rsid w:val="006C69CD"/>
    <w:rsid w:val="007A2AEE"/>
    <w:rsid w:val="007B15FD"/>
    <w:rsid w:val="008200F2"/>
    <w:rsid w:val="00825412"/>
    <w:rsid w:val="008429E3"/>
    <w:rsid w:val="008C67AB"/>
    <w:rsid w:val="008D1B0B"/>
    <w:rsid w:val="00907C08"/>
    <w:rsid w:val="00991C6C"/>
    <w:rsid w:val="00993DEC"/>
    <w:rsid w:val="009A7C71"/>
    <w:rsid w:val="009E55C2"/>
    <w:rsid w:val="00A3508F"/>
    <w:rsid w:val="00A4158F"/>
    <w:rsid w:val="00A70BC2"/>
    <w:rsid w:val="00A7249B"/>
    <w:rsid w:val="00A730D7"/>
    <w:rsid w:val="00A9345F"/>
    <w:rsid w:val="00B27C69"/>
    <w:rsid w:val="00B540B6"/>
    <w:rsid w:val="00B7368C"/>
    <w:rsid w:val="00CA7DE8"/>
    <w:rsid w:val="00CC0BDC"/>
    <w:rsid w:val="00CF6D07"/>
    <w:rsid w:val="00D263E1"/>
    <w:rsid w:val="00D96B8D"/>
    <w:rsid w:val="00DA414F"/>
    <w:rsid w:val="00DF5C8E"/>
    <w:rsid w:val="00E07C05"/>
    <w:rsid w:val="00E30C53"/>
    <w:rsid w:val="00E560DB"/>
    <w:rsid w:val="00EA0572"/>
    <w:rsid w:val="00EA3D4A"/>
    <w:rsid w:val="00EF279E"/>
    <w:rsid w:val="00FA1C86"/>
    <w:rsid w:val="00FA1DD3"/>
    <w:rsid w:val="00FF23ED"/>
    <w:rsid w:val="00FF7E55"/>
    <w:rsid w:val="08E344A8"/>
    <w:rsid w:val="0E44289E"/>
    <w:rsid w:val="171613EB"/>
    <w:rsid w:val="17F36BA2"/>
    <w:rsid w:val="2A755F0E"/>
    <w:rsid w:val="2D8F6822"/>
    <w:rsid w:val="37066D6F"/>
    <w:rsid w:val="39886C03"/>
    <w:rsid w:val="3A352394"/>
    <w:rsid w:val="535114F3"/>
    <w:rsid w:val="5818214D"/>
    <w:rsid w:val="5D3F595B"/>
    <w:rsid w:val="5E477A93"/>
    <w:rsid w:val="6FEF15D6"/>
    <w:rsid w:val="727B2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3">
    <w:name w:val="heading 2"/>
    <w:basedOn w:val="1"/>
    <w:next w:val="1"/>
    <w:qFormat/>
    <w:uiPriority w:val="9"/>
    <w:pPr>
      <w:keepNext/>
      <w:keepLines/>
      <w:widowControl/>
      <w:overflowPunct w:val="0"/>
      <w:autoSpaceDE w:val="0"/>
      <w:autoSpaceDN w:val="0"/>
      <w:adjustRightInd w:val="0"/>
      <w:spacing w:before="260" w:after="260" w:line="416" w:lineRule="auto"/>
      <w:outlineLvl w:val="1"/>
    </w:pPr>
    <w:rPr>
      <w:rFonts w:ascii="Arial" w:hAnsi="Arial" w:eastAsia="黑体" w:cs="Times New Roman"/>
      <w:b/>
      <w:bCs/>
      <w:kern w:val="0"/>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0" w:lineRule="atLeast"/>
    </w:pPr>
    <w:rPr>
      <w:rFonts w:eastAsia="小标宋"/>
      <w:sz w:val="44"/>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semiHidden/>
    <w:qFormat/>
    <w:uiPriority w:val="99"/>
    <w:rPr>
      <w:kern w:val="2"/>
      <w:sz w:val="18"/>
      <w:szCs w:val="18"/>
    </w:rPr>
  </w:style>
  <w:style w:type="character" w:customStyle="1" w:styleId="10">
    <w:name w:val="页脚 Char"/>
    <w:basedOn w:val="8"/>
    <w:link w:val="4"/>
    <w:semiHidden/>
    <w:qFormat/>
    <w:uiPriority w:val="99"/>
    <w:rPr>
      <w:kern w:val="2"/>
      <w:sz w:val="18"/>
      <w:szCs w:val="18"/>
    </w:rPr>
  </w:style>
  <w:style w:type="paragraph" w:customStyle="1" w:styleId="11">
    <w:name w:val="Default"/>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3960E8-9153-453B-B4A2-B72646F1E5D9}">
  <ds:schemaRefs/>
</ds:datastoreItem>
</file>

<file path=docProps/app.xml><?xml version="1.0" encoding="utf-8"?>
<Properties xmlns="http://schemas.openxmlformats.org/officeDocument/2006/extended-properties" xmlns:vt="http://schemas.openxmlformats.org/officeDocument/2006/docPropsVTypes">
  <Template>Normal</Template>
  <Company>fmczj</Company>
  <Pages>6</Pages>
  <Words>601</Words>
  <Characters>3429</Characters>
  <Lines>28</Lines>
  <Paragraphs>8</Paragraphs>
  <TotalTime>21</TotalTime>
  <ScaleCrop>false</ScaleCrop>
  <LinksUpToDate>false</LinksUpToDate>
  <CharactersWithSpaces>4022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2019-04-25T06:15:00Z</dcterms:created>
  <dc:creator>张子明</dc:creator>
  <cp:lastModifiedBy>Administrator</cp:lastModifiedBy>
  <cp:lastPrinted>2019-05-28T00:59:00Z</cp:lastPrinted>
  <dcterms:modified xsi:type="dcterms:W3CDTF">2024-03-26T01:47:54Z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