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p>
    <w:p>
      <w:pPr>
        <w:topLinePunct/>
        <w:spacing w:line="540" w:lineRule="exact"/>
        <w:ind w:firstLine="800" w:firstLineChars="250"/>
        <w:jc w:val="center"/>
        <w:rPr>
          <w:rFonts w:hint="eastAsia" w:ascii="黑体" w:hAnsi="黑体" w:eastAsia="黑体" w:cs="黑体"/>
          <w:sz w:val="36"/>
          <w:szCs w:val="36"/>
        </w:rPr>
      </w:pPr>
      <w:r>
        <w:rPr>
          <w:rFonts w:hint="eastAsia" w:ascii="黑体" w:hAnsi="黑体" w:eastAsia="黑体" w:cs="黑体"/>
          <w:spacing w:val="-20"/>
          <w:sz w:val="36"/>
          <w:szCs w:val="36"/>
          <w:lang w:eastAsia="zh-CN"/>
        </w:rPr>
        <w:t>富民县残疾人联合会用于残疾人事业的彩票公益金支出</w:t>
      </w:r>
      <w:r>
        <w:rPr>
          <w:rFonts w:hint="eastAsia" w:ascii="黑体" w:hAnsi="黑体" w:eastAsia="黑体" w:cs="黑体"/>
          <w:sz w:val="36"/>
          <w:szCs w:val="36"/>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3" w:firstLineChars="25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pPr>
        <w:numPr>
          <w:ilvl w:val="0"/>
          <w:numId w:val="0"/>
        </w:numPr>
        <w:topLinePunct/>
        <w:spacing w:line="540" w:lineRule="exact"/>
        <w:ind w:firstLine="640" w:firstLineChars="200"/>
        <w:rPr>
          <w:rFonts w:hint="eastAsia" w:ascii="仿宋_GB2312" w:hAnsi="楷体"/>
          <w:szCs w:val="32"/>
        </w:rPr>
      </w:pPr>
      <w:r>
        <w:rPr>
          <w:rFonts w:hint="eastAsia" w:ascii="仿宋_GB2312" w:hAnsi="仿宋_GB2312" w:eastAsia="仿宋_GB2312" w:cs="仿宋_GB2312"/>
          <w:color w:val="000000" w:themeColor="text1"/>
          <w:sz w:val="32"/>
          <w:szCs w:val="32"/>
        </w:rPr>
        <w:t>根据《中华人民共和国预算法》、《昆明市人民政府办公厅关于全面推进预算绩效管理的实施意见》（昆政办〔2013〕72号）、《昆明市预算绩效管理暂行办法》（昆政办〔2013〕129号）文件要求，</w:t>
      </w:r>
      <w:r>
        <w:rPr>
          <w:rFonts w:hint="eastAsia" w:ascii="仿宋_GB2312" w:hAnsi="楷体"/>
          <w:szCs w:val="32"/>
        </w:rPr>
        <w:t>项目实施情况。</w:t>
      </w:r>
      <w:r>
        <w:rPr>
          <w:rFonts w:hint="eastAsia" w:ascii="仿宋_GB2312" w:hAnsi="仿宋_GB2312" w:eastAsia="仿宋_GB2312" w:cs="仿宋_GB2312"/>
          <w:sz w:val="32"/>
          <w:szCs w:val="32"/>
        </w:rPr>
        <w:t>在政府统一领导下，残联负责制定工作方案，做好工作部署，开展督导检查，筹集并统筹使用相关经费。</w:t>
      </w:r>
    </w:p>
    <w:p>
      <w:pPr>
        <w:numPr>
          <w:ilvl w:val="0"/>
          <w:numId w:val="1"/>
        </w:numPr>
        <w:topLinePunct/>
        <w:spacing w:line="540" w:lineRule="exact"/>
        <w:ind w:left="0" w:leftChars="0" w:firstLine="800" w:firstLineChars="250"/>
        <w:rPr>
          <w:rFonts w:hint="eastAsia" w:ascii="仿宋_GB2312" w:hAnsi="楷体"/>
          <w:szCs w:val="32"/>
        </w:rPr>
      </w:pPr>
      <w:r>
        <w:rPr>
          <w:rFonts w:hint="eastAsia" w:ascii="仿宋_GB2312" w:hAnsi="楷体"/>
          <w:szCs w:val="32"/>
        </w:rPr>
        <w:t>资金来源及使用情况。</w:t>
      </w:r>
    </w:p>
    <w:p>
      <w:pPr>
        <w:spacing w:line="560" w:lineRule="exact"/>
        <w:ind w:firstLine="800" w:firstLineChars="250"/>
        <w:rPr>
          <w:rFonts w:hint="eastAsia" w:ascii="Calibri" w:hAnsi="Calibri" w:eastAsia="仿宋_GB2312"/>
          <w:color w:val="333333"/>
          <w:sz w:val="32"/>
          <w:lang w:val="en-US" w:eastAsia="zh-CN"/>
        </w:rPr>
      </w:pPr>
      <w:r>
        <w:rPr>
          <w:rFonts w:hint="eastAsia" w:ascii="仿宋_GB2312" w:hAnsi="仿宋_GB2312" w:eastAsia="仿宋_GB2312"/>
          <w:color w:val="333333"/>
          <w:sz w:val="32"/>
        </w:rPr>
        <w:t>20</w:t>
      </w:r>
      <w:r>
        <w:rPr>
          <w:rFonts w:hint="eastAsia" w:ascii="仿宋_GB2312" w:hAnsi="仿宋_GB2312"/>
          <w:color w:val="333333"/>
          <w:sz w:val="32"/>
          <w:lang w:val="en-US" w:eastAsia="zh-CN"/>
        </w:rPr>
        <w:t>23</w:t>
      </w:r>
      <w:r>
        <w:rPr>
          <w:rFonts w:hint="eastAsia" w:ascii="仿宋_GB2312" w:hAnsi="仿宋_GB2312" w:eastAsia="仿宋_GB2312"/>
          <w:color w:val="333333"/>
          <w:sz w:val="32"/>
        </w:rPr>
        <w:t>年，</w:t>
      </w:r>
      <w:r>
        <w:rPr>
          <w:rFonts w:hint="eastAsia" w:ascii="仿宋_GB2312" w:hAnsi="仿宋_GB2312" w:eastAsia="仿宋_GB2312"/>
          <w:color w:val="333333"/>
          <w:sz w:val="32"/>
          <w:lang w:eastAsia="zh-CN"/>
        </w:rPr>
        <w:t>富民</w:t>
      </w:r>
      <w:r>
        <w:rPr>
          <w:rFonts w:hint="eastAsia" w:ascii="仿宋_GB2312" w:hAnsi="仿宋_GB2312" w:eastAsia="仿宋_GB2312"/>
          <w:color w:val="333333"/>
          <w:sz w:val="32"/>
        </w:rPr>
        <w:t>县残联严格按照</w:t>
      </w:r>
      <w:r>
        <w:rPr>
          <w:rFonts w:hint="eastAsia" w:ascii="仿宋_GB2312" w:hAnsi="仿宋_GB2312"/>
          <w:color w:val="333333"/>
          <w:sz w:val="32"/>
          <w:lang w:eastAsia="zh-CN"/>
        </w:rPr>
        <w:t>各项目</w:t>
      </w:r>
      <w:r>
        <w:rPr>
          <w:rFonts w:hint="eastAsia" w:ascii="仿宋_GB2312" w:hAnsi="仿宋_GB2312" w:eastAsia="仿宋_GB2312"/>
          <w:sz w:val="32"/>
        </w:rPr>
        <w:t>通知要求</w:t>
      </w:r>
      <w:r>
        <w:rPr>
          <w:rFonts w:hint="eastAsia" w:ascii="仿宋_GB2312" w:hAnsi="仿宋_GB2312" w:eastAsia="仿宋_GB2312"/>
          <w:color w:val="333333"/>
          <w:sz w:val="32"/>
        </w:rPr>
        <w:t>，认真实施项目，</w:t>
      </w:r>
      <w:r>
        <w:rPr>
          <w:rFonts w:hint="eastAsia" w:ascii="仿宋_GB2312" w:hAnsi="仿宋_GB2312"/>
          <w:color w:val="333333"/>
          <w:sz w:val="32"/>
          <w:lang w:eastAsia="zh-CN"/>
        </w:rPr>
        <w:t>用政府性基金预算财政拨款项目支出</w:t>
      </w:r>
      <w:r>
        <w:rPr>
          <w:rFonts w:hint="eastAsia" w:ascii="仿宋_GB2312" w:hAnsi="仿宋_GB2312"/>
          <w:color w:val="333333"/>
          <w:sz w:val="32"/>
          <w:lang w:val="en-US" w:eastAsia="zh-CN"/>
        </w:rPr>
        <w:t>52.76万元，用于彩票公益金支出。</w:t>
      </w:r>
    </w:p>
    <w:p>
      <w:pPr>
        <w:topLinePunct/>
        <w:spacing w:line="540" w:lineRule="exact"/>
        <w:ind w:firstLine="803" w:firstLineChars="25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（二）绩效目标。</w:t>
      </w:r>
    </w:p>
    <w:p>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我单位的所有项目都是紧紧围绕始终秉承“人道、廉洁、服务、奉献”的宗旨，着力解决残疾人最关心、最直接、最现实的问题，努力使</w:t>
      </w:r>
      <w:r>
        <w:rPr>
          <w:rFonts w:hint="eastAsia" w:ascii="仿宋_GB2312" w:hAnsi="仿宋_GB2312" w:eastAsia="仿宋_GB2312" w:cs="仿宋_GB2312"/>
          <w:lang w:eastAsia="zh-CN"/>
        </w:rPr>
        <w:t>富民县</w:t>
      </w:r>
      <w:r>
        <w:rPr>
          <w:rFonts w:hint="eastAsia" w:ascii="仿宋_GB2312" w:hAnsi="仿宋_GB2312" w:eastAsia="仿宋_GB2312" w:cs="仿宋_GB2312"/>
        </w:rPr>
        <w:t>残疾人事业跃上新的台阶.</w:t>
      </w:r>
    </w:p>
    <w:p>
      <w:pPr>
        <w:topLinePunct/>
        <w:spacing w:line="540" w:lineRule="exact"/>
        <w:ind w:firstLine="800" w:firstLineChars="250"/>
        <w:rPr>
          <w:rFonts w:ascii="仿宋_GB2312" w:hAnsi="楷体"/>
          <w:szCs w:val="32"/>
        </w:rPr>
      </w:pPr>
      <w:r>
        <w:rPr>
          <w:rFonts w:hint="eastAsia" w:ascii="仿宋_GB2312" w:hAnsi="楷体"/>
          <w:szCs w:val="32"/>
        </w:rPr>
        <w:t>2.年度目标。</w:t>
      </w:r>
    </w:p>
    <w:p>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pPr>
        <w:pStyle w:val="5"/>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val="en-US" w:eastAsia="zh-CN"/>
        </w:rPr>
        <w:t>是开展残疾儿童康复救助工作。认真动员残疾儿童家庭网上申报免费康复救助</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spacing w:line="360" w:lineRule="auto"/>
        <w:ind w:right="-211" w:rightChars="-66" w:firstLine="640" w:firstLineChars="200"/>
        <w:textAlignment w:val="auto"/>
        <w:outlineLvl w:val="9"/>
        <w:rPr>
          <w:rFonts w:hint="eastAsia" w:ascii="Times New Roman" w:hAnsi="Times New Roman" w:cs="Times New Roman"/>
          <w:color w:val="000000"/>
          <w:lang w:eastAsia="zh-CN"/>
        </w:rPr>
      </w:pPr>
      <w:r>
        <w:rPr>
          <w:rFonts w:hint="eastAsia" w:cs="Times New Roman"/>
          <w:color w:val="000000"/>
          <w:lang w:eastAsia="zh-CN"/>
        </w:rPr>
        <w:t>二</w:t>
      </w:r>
      <w:r>
        <w:rPr>
          <w:rFonts w:hint="default" w:ascii="Times New Roman" w:hAnsi="Times New Roman" w:eastAsia="仿宋_GB2312" w:cs="Times New Roman"/>
          <w:color w:val="000000"/>
        </w:rPr>
        <w:t>是发放了残疾人轮椅车、座便器、拐杖、盲杖、盲表、手杖</w:t>
      </w:r>
      <w:r>
        <w:rPr>
          <w:rFonts w:hint="eastAsia" w:ascii="Times New Roman" w:hAnsi="Times New Roman" w:cs="Times New Roman"/>
          <w:color w:val="000000"/>
          <w:lang w:eastAsia="zh-CN"/>
        </w:rPr>
        <w:t>。</w:t>
      </w:r>
    </w:p>
    <w:p>
      <w:pPr>
        <w:keepNext w:val="0"/>
        <w:keepLines w:val="0"/>
        <w:pageBreakBefore w:val="0"/>
        <w:widowControl w:val="0"/>
        <w:kinsoku/>
        <w:wordWrap/>
        <w:overflowPunct/>
        <w:topLinePunct w:val="0"/>
        <w:autoSpaceDE/>
        <w:autoSpaceDN/>
        <w:bidi w:val="0"/>
        <w:spacing w:line="360" w:lineRule="auto"/>
        <w:ind w:right="-211" w:rightChars="-66" w:firstLine="640" w:firstLineChars="200"/>
        <w:textAlignment w:val="auto"/>
        <w:outlineLvl w:val="9"/>
        <w:rPr>
          <w:rFonts w:hint="eastAsia"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eastAsia="zh-CN"/>
        </w:rPr>
        <w:t>四</w:t>
      </w:r>
      <w:r>
        <w:rPr>
          <w:rFonts w:hint="default" w:ascii="Times New Roman" w:hAnsi="Times New Roman" w:eastAsia="仿宋_GB2312" w:cs="Times New Roman"/>
          <w:color w:val="000000"/>
        </w:rPr>
        <w:t>是</w:t>
      </w:r>
      <w:r>
        <w:rPr>
          <w:rFonts w:hint="default" w:ascii="Times New Roman" w:hAnsi="Times New Roman" w:eastAsia="仿宋_GB2312" w:cs="Times New Roman"/>
          <w:color w:val="000000"/>
          <w:sz w:val="32"/>
          <w:szCs w:val="32"/>
        </w:rPr>
        <w:t>开展残疾人假肢适配</w:t>
      </w:r>
      <w:r>
        <w:rPr>
          <w:rFonts w:hint="eastAsia" w:ascii="Times New Roman" w:hAnsi="Times New Roman" w:cs="Times New Roman"/>
          <w:color w:val="000000"/>
          <w:sz w:val="32"/>
          <w:szCs w:val="32"/>
          <w:lang w:eastAsia="zh-CN"/>
        </w:rPr>
        <w:t>。</w:t>
      </w:r>
    </w:p>
    <w:p>
      <w:pPr>
        <w:numPr>
          <w:ilvl w:val="0"/>
          <w:numId w:val="2"/>
        </w:numPr>
        <w:topLinePunct/>
        <w:spacing w:line="540" w:lineRule="exact"/>
        <w:ind w:firstLine="800" w:firstLineChars="250"/>
        <w:rPr>
          <w:rFonts w:hint="eastAsia" w:ascii="仿宋_GB2312" w:hAnsi="楷体"/>
          <w:szCs w:val="32"/>
        </w:rPr>
      </w:pPr>
      <w:r>
        <w:rPr>
          <w:rFonts w:hint="eastAsia" w:ascii="仿宋_GB2312" w:hAnsi="楷体"/>
          <w:szCs w:val="32"/>
        </w:rPr>
        <w:t>效果目标。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lang w:val="en-US" w:eastAsia="zh-CN"/>
        </w:rPr>
        <w:t>帮助14名残疾儿童到昆明市儿童医院等机构完成康复救助。</w:t>
      </w:r>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sz w:val="32"/>
          <w:szCs w:val="32"/>
          <w:lang w:val="en-US" w:eastAsia="zh-CN"/>
        </w:rPr>
        <w:t>4名下肢截肢残疾人假肢免费取型适配、安装。</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topLinePunct/>
        <w:spacing w:line="540" w:lineRule="exact"/>
        <w:ind w:firstLine="803" w:firstLineChars="25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（一）阐述的主要内容</w:t>
      </w:r>
    </w:p>
    <w:p>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严格项目管理，确保项目实施过程是否规范、年度目标已全部完成，并且效果明显，在资金管理方面严格按专项资金管理及使用要求，做到专款专用，严格按照合同条款付款，付款凭证材料完善。</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（二）绩效评价原则、评价方法</w:t>
      </w:r>
    </w:p>
    <w:p>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1.绩效评价原则。根据预算法的相关规定，在预算编制时，我</w:t>
      </w:r>
      <w:r>
        <w:rPr>
          <w:rFonts w:hint="eastAsia" w:ascii="仿宋_GB2312" w:hAnsi="仿宋_GB2312" w:eastAsia="仿宋_GB2312" w:cs="仿宋_GB2312"/>
          <w:lang w:eastAsia="zh-CN"/>
        </w:rPr>
        <w:t>单位</w:t>
      </w:r>
      <w:r>
        <w:rPr>
          <w:rFonts w:hint="eastAsia" w:ascii="仿宋_GB2312" w:hAnsi="仿宋_GB2312" w:eastAsia="仿宋_GB2312" w:cs="仿宋_GB2312"/>
        </w:rPr>
        <w:t>已建立事前绩效目标编制工作，构建事中绩效跟踪和绩效评价机制。为确保绩效目标如期实现，我</w:t>
      </w:r>
      <w:r>
        <w:rPr>
          <w:rFonts w:hint="eastAsia" w:ascii="仿宋_GB2312" w:hAnsi="仿宋_GB2312" w:eastAsia="仿宋_GB2312" w:cs="仿宋_GB2312"/>
          <w:lang w:eastAsia="zh-CN"/>
        </w:rPr>
        <w:t>单位</w:t>
      </w:r>
      <w:r>
        <w:rPr>
          <w:rFonts w:hint="eastAsia" w:ascii="仿宋_GB2312" w:hAnsi="仿宋_GB2312" w:eastAsia="仿宋_GB2312" w:cs="仿宋_GB2312"/>
        </w:rPr>
        <w:t>根据确定的部门整体支出绩效目标和项目支出绩效目标，对绩效目标的完成情况进行跟踪和绩效自评。按照“谁申请资金、谁编制目标”的原则做好评价工作。</w:t>
      </w:r>
    </w:p>
    <w:p>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2.绩效评价方法。积极组织力量，项目自评绩效由业务处室填报项目绩效自评情况，财务处协助；单位整体绩效由财务处填报，办公室及相关部门提供佐证材料和依据。</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三、评价结论</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（一）评价结果</w:t>
      </w:r>
    </w:p>
    <w:p>
      <w:p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根据项目支出绩效指标要求，我单位分析评价自评分为</w:t>
      </w:r>
      <w:r>
        <w:rPr>
          <w:rFonts w:hint="eastAsia" w:ascii="仿宋_GB2312" w:hAnsi="仿宋_GB2312" w:eastAsia="仿宋_GB2312" w:cs="仿宋_GB2312"/>
          <w:lang w:val="en-US" w:eastAsia="zh-CN"/>
        </w:rPr>
        <w:t>100</w:t>
      </w:r>
      <w:r>
        <w:rPr>
          <w:rFonts w:hint="eastAsia" w:ascii="仿宋_GB2312" w:hAnsi="仿宋_GB2312" w:eastAsia="仿宋_GB2312" w:cs="仿宋_GB2312"/>
        </w:rPr>
        <w:t>分，自评等级为优秀。</w:t>
      </w:r>
    </w:p>
    <w:p>
      <w:pPr>
        <w:numPr>
          <w:ilvl w:val="0"/>
          <w:numId w:val="3"/>
        </w:num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主要绩效</w:t>
      </w:r>
    </w:p>
    <w:p>
      <w:pPr>
        <w:numPr>
          <w:ilvl w:val="0"/>
          <w:numId w:val="0"/>
        </w:num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项目实施主体明确，项目资金能够按照县级财政关于预算申报、预算评审、资金申请的有关工作要求进行审批，并最终落实到位。同时，在项目实施的全过程中，各科室均制订了严格的实施制度，指定了专人对项目进行监督，并按时、按质、按量完成项目绩效指标，确保了项目工作的正常开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黑体" w:hAnsi="黑体" w:eastAsia="黑体"/>
          <w:sz w:val="32"/>
          <w:szCs w:val="32"/>
        </w:rPr>
      </w:pPr>
      <w:r>
        <w:rPr>
          <w:rFonts w:hint="eastAsia" w:ascii="黑体" w:hAnsi="黑体" w:eastAsia="黑体"/>
          <w:sz w:val="32"/>
          <w:szCs w:val="32"/>
        </w:rPr>
        <w:t>四、成本效益分析。</w:t>
      </w:r>
    </w:p>
    <w:p>
      <w:pPr>
        <w:bidi w:val="0"/>
        <w:ind w:firstLine="640" w:firstLineChars="200"/>
        <w:rPr>
          <w:rFonts w:hint="eastAsia" w:ascii="楷体_GB2312" w:hAnsi="楷体_GB2312" w:eastAsia="楷体_GB2312" w:cs="楷体_GB2312"/>
        </w:rPr>
      </w:pPr>
      <w:r>
        <w:rPr>
          <w:rFonts w:hint="eastAsia" w:ascii="楷体_GB2312" w:hAnsi="楷体_GB2312" w:eastAsia="楷体_GB2312" w:cs="楷体_GB2312"/>
        </w:rPr>
        <w:t>（一）经济性分析</w:t>
      </w:r>
    </w:p>
    <w:p>
      <w:pPr>
        <w:bidi w:val="0"/>
        <w:ind w:firstLine="640" w:firstLineChars="200"/>
        <w:rPr>
          <w:rFonts w:hint="default"/>
        </w:rPr>
      </w:pPr>
      <w:r>
        <w:rPr>
          <w:rFonts w:hint="eastAsia"/>
        </w:rPr>
        <w:t>开支成本以预算为基准执行，厉行节约，超支不付；通过领导审核、财务把关、相关部门监督等工作流程，部门整体支出没有超预算情况。</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（二）效率性分析及效益性分析</w:t>
      </w:r>
    </w:p>
    <w:p>
      <w:pPr>
        <w:bidi w:val="0"/>
        <w:ind w:firstLine="640" w:firstLineChars="200"/>
        <w:rPr>
          <w:rFonts w:hint="default"/>
        </w:rPr>
      </w:pPr>
      <w:r>
        <w:rPr>
          <w:rFonts w:hint="eastAsia"/>
        </w:rPr>
        <w:t>全年认真完成项目目标任务，通过优化服务环境、提高服务水平等措施，让</w:t>
      </w:r>
      <w:r>
        <w:rPr>
          <w:rFonts w:hint="eastAsia"/>
          <w:lang w:eastAsia="zh-CN"/>
        </w:rPr>
        <w:t>残疾人事业再上一个新台阶</w:t>
      </w:r>
      <w:r>
        <w:rPr>
          <w:rFonts w:hint="eastAsia"/>
        </w:rPr>
        <w:t>。</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autoSpaceDE/>
        <w:autoSpaceDN/>
        <w:spacing w:line="360" w:lineRule="auto"/>
        <w:ind w:right="-1"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（一）主要经验及做法</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残疾人康复、残疾人就业和扶贫、其他残疾人事业的政策，通过一年的行动计划，我县残疾人切实享受到了这些惠民项目的现实效果，给他们解了燃眉之急，帮助他们渡过了难关，为解决残疾人的温饱问题，缩小贫困差距，全面脱贫建成小康社会起到了重要作用。</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3、为使我县残疾人事业顺利推进，落到实处，与乡镇残联实行督查考核机制，定期开展项目落实督查工作，做到督促检查常态化，对工作推进不力乡镇将实行问责制。</w:t>
      </w:r>
    </w:p>
    <w:p>
      <w:pPr>
        <w:numPr>
          <w:ilvl w:val="0"/>
          <w:numId w:val="0"/>
        </w:numPr>
        <w:topLinePunct/>
        <w:rPr>
          <w:rFonts w:hint="eastAsia" w:ascii="黑体" w:hAnsi="黑体" w:eastAsia="黑体"/>
          <w:color w:val="000000" w:themeColor="text1"/>
          <w:szCs w:val="32"/>
        </w:rPr>
      </w:pPr>
      <w:r>
        <w:rPr>
          <w:rFonts w:hint="eastAsia" w:ascii="仿宋_GB2312" w:hAnsi="仿宋_GB2312" w:eastAsia="仿宋_GB2312" w:cs="仿宋_GB2312"/>
          <w:color w:val="000000" w:themeColor="text1"/>
          <w:sz w:val="32"/>
          <w:szCs w:val="32"/>
        </w:rPr>
        <w:t>4、残疾人因身体残疾而导致难以克服的困难，弱势明显，残疾人基本要求和基本生活状况仍然与社会经济发展水平及健全人生活水平相比存在较大差距，残疾人事业仍然滞后于全县经济、社会的发展水平，工作中还存在许多困难和问题：一是残疾人事业宣传力度不够，理解、尊重、关心和支持残疾人的社会氛围还未完全形成；二是扶贫解困工作任务还十分繁重，服务能力与广大残疾人的需求还不相适应；在以后的工作中，还需不断努力，克服和解决这些困难和问题。</w:t>
      </w:r>
    </w:p>
    <w:p>
      <w:pPr>
        <w:numPr>
          <w:ilvl w:val="0"/>
          <w:numId w:val="0"/>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（二）存在的问题</w:t>
      </w:r>
    </w:p>
    <w:p>
      <w:pPr>
        <w:numPr>
          <w:ilvl w:val="0"/>
          <w:numId w:val="0"/>
        </w:numPr>
        <w:spacing w:line="600" w:lineRule="exact"/>
        <w:ind w:firstLine="640" w:firstLineChars="200"/>
        <w:rPr>
          <w:rFonts w:ascii="仿宋_GB2312" w:hAnsi="楷体"/>
          <w:szCs w:val="32"/>
        </w:rPr>
      </w:pPr>
      <w:r>
        <w:rPr>
          <w:rFonts w:hint="eastAsia" w:ascii="仿宋_GB2312" w:hAnsi="仿宋_GB2312" w:eastAsia="仿宋_GB2312" w:cs="仿宋_GB2312"/>
          <w:i w:val="0"/>
          <w:caps w:val="0"/>
          <w:color w:val="000000" w:themeColor="text1"/>
          <w:spacing w:val="0"/>
          <w:sz w:val="32"/>
          <w:szCs w:val="32"/>
          <w:shd w:val="clear" w:fill="FFFFFF"/>
        </w:rPr>
        <w:t>还有部分不可预见经费的追加，无法纳入预算，导致预算执行存在偏差。</w:t>
      </w:r>
    </w:p>
    <w:p>
      <w:pPr>
        <w:numPr>
          <w:ilvl w:val="0"/>
          <w:numId w:val="4"/>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建议和改进措施</w:t>
      </w:r>
    </w:p>
    <w:p>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i w:val="0"/>
          <w:caps w:val="0"/>
          <w:color w:val="000000" w:themeColor="text1"/>
          <w:spacing w:val="0"/>
          <w:sz w:val="32"/>
          <w:szCs w:val="32"/>
          <w:shd w:val="clear" w:fill="FFFFFF"/>
        </w:rPr>
        <w:t>在今后的工作一方面要严格预算编制，做到细化精确，争取一些费用纳入财政预算中；另一方面要严格落实专项经费使用管理规定，做到专款专用;同时应及时与财政部门衔接，调减专项资金的预算安排，调增人员基本支出的预算安排。三是要严格按照《公务员法》的规定，确保财政供养人员及时到位，保障各项工作的顺利实行。四是在经费开支上严格按照八项规定执行。</w:t>
      </w:r>
    </w:p>
    <w:p>
      <w:pPr>
        <w:topLinePunct/>
        <w:spacing w:line="540" w:lineRule="exact"/>
        <w:ind w:firstLine="800" w:firstLineChars="250"/>
        <w:rPr>
          <w:rFonts w:ascii="仿宋_GB2312" w:hAnsi="楷体"/>
          <w:szCs w:val="32"/>
        </w:rPr>
      </w:pPr>
    </w:p>
    <w:p/>
    <w:p/>
    <w:p/>
    <w:p>
      <w:pPr>
        <w:rPr>
          <w:sz w:val="21"/>
          <w:szCs w:val="21"/>
        </w:rPr>
      </w:pPr>
    </w:p>
    <w:p>
      <w:pPr>
        <w:spacing w:line="560" w:lineRule="exact"/>
        <w:ind w:left="1280" w:hanging="1280" w:hangingChars="400"/>
        <w:rPr>
          <w:rFonts w:hint="eastAsia" w:eastAsia="仿宋_GB2312"/>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Arial Narrow" w:eastAsia="仿宋_GB2312"/>
          <w:sz w:val="32"/>
          <w:szCs w:val="32"/>
        </w:rPr>
        <w:t>附件1：</w:t>
      </w:r>
      <w:r>
        <w:rPr>
          <w:rFonts w:hint="eastAsia" w:ascii="仿宋_GB2312" w:hAnsi="黑体"/>
          <w:spacing w:val="-20"/>
          <w:sz w:val="32"/>
          <w:szCs w:val="32"/>
          <w:lang w:eastAsia="zh-CN"/>
        </w:rPr>
        <w:t>富民县残疾人联合会</w:t>
      </w:r>
      <w:r>
        <w:rPr>
          <w:rFonts w:hint="eastAsia" w:ascii="仿宋_GB2312" w:eastAsia="仿宋_GB2312" w:cs="仿宋_GB2312"/>
          <w:sz w:val="32"/>
          <w:szCs w:val="32"/>
        </w:rPr>
        <w:t>部门</w:t>
      </w:r>
      <w:r>
        <w:rPr>
          <w:rFonts w:hint="eastAsia" w:ascii="仿宋_GB2312" w:hAnsi="黑体" w:eastAsia="仿宋_GB2312"/>
          <w:spacing w:val="-20"/>
          <w:sz w:val="32"/>
          <w:szCs w:val="32"/>
        </w:rPr>
        <w:t>202</w:t>
      </w:r>
      <w:r>
        <w:rPr>
          <w:rFonts w:hint="eastAsia" w:ascii="仿宋_GB2312" w:hAnsi="黑体"/>
          <w:spacing w:val="-20"/>
          <w:sz w:val="32"/>
          <w:szCs w:val="32"/>
          <w:lang w:val="en-US" w:eastAsia="zh-CN"/>
        </w:rPr>
        <w:t>3</w:t>
      </w:r>
      <w:r>
        <w:rPr>
          <w:rFonts w:hint="eastAsia" w:ascii="仿宋_GB2312" w:hAnsi="Arial Narrow" w:eastAsia="仿宋_GB2312" w:cstheme="majorBidi"/>
          <w:sz w:val="32"/>
          <w:szCs w:val="32"/>
        </w:rPr>
        <w:t>年</w:t>
      </w:r>
      <w:r>
        <w:rPr>
          <w:rFonts w:hint="eastAsia" w:ascii="仿宋_GB2312" w:hAnsi="黑体"/>
          <w:spacing w:val="-20"/>
          <w:sz w:val="32"/>
          <w:szCs w:val="32"/>
          <w:lang w:eastAsia="zh-CN"/>
        </w:rPr>
        <w:t>用于残疾人事业的彩票公益金</w:t>
      </w:r>
      <w:r>
        <w:rPr>
          <w:rFonts w:hint="eastAsia" w:ascii="仿宋_GB2312" w:hAnsi="Arial Narrow" w:eastAsia="仿宋_GB2312" w:cstheme="majorBidi"/>
          <w:sz w:val="32"/>
          <w:szCs w:val="32"/>
        </w:rPr>
        <w:t>项目资金支出</w:t>
      </w:r>
      <w:r>
        <w:rPr>
          <w:rFonts w:hint="eastAsia" w:ascii="仿宋_GB2312" w:eastAsia="仿宋_GB2312"/>
          <w:sz w:val="32"/>
          <w:szCs w:val="32"/>
        </w:rPr>
        <w:t>绩效评价指标体系及打分</w:t>
      </w:r>
      <w:r>
        <w:rPr>
          <w:rFonts w:hint="eastAsia" w:ascii="仿宋_GB2312"/>
          <w:sz w:val="32"/>
          <w:szCs w:val="32"/>
          <w:lang w:eastAsia="zh-CN"/>
        </w:rPr>
        <w:t>表</w:t>
      </w:r>
    </w:p>
    <w:p>
      <w:pPr>
        <w:rPr>
          <w:sz w:val="21"/>
          <w:szCs w:val="21"/>
        </w:rPr>
      </w:pPr>
    </w:p>
    <w:p>
      <w:pPr>
        <w:pStyle w:val="4"/>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0" w:name="_Toc72852509"/>
      <w:r>
        <w:rPr>
          <w:rFonts w:hint="eastAsia" w:ascii="仿宋_GB2312" w:hAnsi="Arial Narrow" w:eastAsia="仿宋_GB2312" w:cstheme="majorBidi"/>
          <w:b w:val="0"/>
          <w:kern w:val="2"/>
          <w:sz w:val="28"/>
          <w:szCs w:val="28"/>
        </w:rPr>
        <w:t>附件1</w:t>
      </w:r>
    </w:p>
    <w:p>
      <w:pPr>
        <w:pStyle w:val="4"/>
        <w:widowControl w:val="0"/>
        <w:overflowPunct/>
        <w:autoSpaceDE/>
        <w:autoSpaceDN/>
        <w:adjustRightInd/>
        <w:spacing w:before="120" w:after="120" w:line="415" w:lineRule="auto"/>
        <w:ind w:firstLine="643" w:firstLineChars="200"/>
        <w:jc w:val="center"/>
        <w:rPr>
          <w:rFonts w:hint="eastAsia" w:ascii="仿宋_GB2312" w:hAnsi="Arial Narrow" w:eastAsia="仿宋_GB2312" w:cstheme="majorBidi"/>
          <w:kern w:val="2"/>
          <w:sz w:val="36"/>
          <w:szCs w:val="36"/>
        </w:rPr>
      </w:pPr>
      <w:r>
        <w:rPr>
          <w:rFonts w:hint="eastAsia" w:ascii="仿宋_GB2312" w:hAnsi="黑体" w:eastAsia="仿宋_GB2312"/>
          <w:spacing w:val="-20"/>
          <w:sz w:val="36"/>
          <w:szCs w:val="36"/>
          <w:lang w:eastAsia="zh-CN"/>
        </w:rPr>
        <w:t>富民县残疾人联合会</w:t>
      </w:r>
      <w:r>
        <w:rPr>
          <w:rFonts w:hint="eastAsia" w:ascii="仿宋_GB2312" w:eastAsia="仿宋_GB2312" w:cs="仿宋_GB2312"/>
          <w:sz w:val="36"/>
          <w:szCs w:val="36"/>
        </w:rPr>
        <w:t>部门</w:t>
      </w:r>
      <w:r>
        <w:rPr>
          <w:rFonts w:hint="eastAsia" w:ascii="仿宋_GB2312" w:hAnsi="黑体" w:eastAsia="仿宋_GB2312"/>
          <w:spacing w:val="-20"/>
          <w:sz w:val="36"/>
          <w:szCs w:val="36"/>
        </w:rPr>
        <w:t>202</w:t>
      </w:r>
      <w:r>
        <w:rPr>
          <w:rFonts w:hint="eastAsia" w:ascii="仿宋_GB2312" w:hAnsi="黑体" w:eastAsia="仿宋_GB2312"/>
          <w:spacing w:val="-20"/>
          <w:sz w:val="36"/>
          <w:szCs w:val="36"/>
          <w:lang w:val="en-US" w:eastAsia="zh-CN"/>
        </w:rPr>
        <w:t>3</w:t>
      </w:r>
      <w:r>
        <w:rPr>
          <w:rFonts w:hint="eastAsia" w:ascii="仿宋_GB2312" w:hAnsi="Arial Narrow" w:eastAsia="仿宋_GB2312" w:cstheme="majorBidi"/>
          <w:kern w:val="2"/>
          <w:sz w:val="36"/>
          <w:szCs w:val="36"/>
        </w:rPr>
        <w:t>年</w:t>
      </w:r>
      <w:r>
        <w:rPr>
          <w:rFonts w:hint="eastAsia" w:ascii="仿宋_GB2312" w:hAnsi="仿宋_GB2312" w:eastAsia="仿宋_GB2312" w:cs="仿宋_GB2312"/>
          <w:spacing w:val="-20"/>
          <w:sz w:val="32"/>
          <w:szCs w:val="32"/>
          <w:lang w:eastAsia="zh-CN"/>
        </w:rPr>
        <w:t>用于</w:t>
      </w:r>
      <w:r>
        <w:rPr>
          <w:rFonts w:hint="eastAsia" w:ascii="仿宋_GB2312" w:hAnsi="仿宋_GB2312" w:eastAsia="仿宋_GB2312" w:cs="仿宋_GB2312"/>
          <w:spacing w:val="-20"/>
          <w:sz w:val="36"/>
          <w:szCs w:val="36"/>
          <w:lang w:eastAsia="zh-CN"/>
        </w:rPr>
        <w:t>残疾人事业的彩票公益金</w:t>
      </w:r>
      <w:r>
        <w:rPr>
          <w:rFonts w:hint="eastAsia" w:ascii="仿宋_GB2312" w:hAnsi="仿宋_GB2312" w:eastAsia="仿宋_GB2312" w:cs="仿宋_GB2312"/>
          <w:kern w:val="2"/>
          <w:sz w:val="36"/>
          <w:szCs w:val="36"/>
        </w:rPr>
        <w:t>项目资</w:t>
      </w:r>
      <w:r>
        <w:rPr>
          <w:rFonts w:hint="eastAsia" w:ascii="仿宋_GB2312" w:hAnsi="Arial Narrow" w:eastAsia="仿宋_GB2312" w:cstheme="majorBidi"/>
          <w:kern w:val="2"/>
          <w:sz w:val="36"/>
          <w:szCs w:val="36"/>
        </w:rPr>
        <w:t>金支出</w:t>
      </w:r>
      <w:bookmarkEnd w:id="0"/>
    </w:p>
    <w:p>
      <w:pPr>
        <w:pStyle w:val="4"/>
        <w:widowControl w:val="0"/>
        <w:overflowPunct/>
        <w:autoSpaceDE/>
        <w:autoSpaceDN/>
        <w:adjustRightInd/>
        <w:spacing w:before="120" w:after="120" w:line="415" w:lineRule="auto"/>
        <w:ind w:firstLine="4698" w:firstLineChars="1300"/>
        <w:jc w:val="both"/>
        <w:rPr>
          <w:rFonts w:ascii="仿宋_GB2312" w:hAnsi="Arial Narrow" w:eastAsia="仿宋_GB2312" w:cstheme="majorBidi"/>
          <w:kern w:val="2"/>
          <w:sz w:val="36"/>
          <w:szCs w:val="36"/>
        </w:rPr>
      </w:pPr>
      <w:r>
        <w:rPr>
          <w:rFonts w:hint="eastAsia" w:ascii="仿宋_GB2312" w:eastAsia="仿宋_GB2312"/>
          <w:kern w:val="2"/>
          <w:sz w:val="36"/>
          <w:szCs w:val="36"/>
        </w:rPr>
        <w:t>绩效评价指标体系及打分表</w:t>
      </w:r>
    </w:p>
    <w:p/>
    <w:tbl>
      <w:tblPr>
        <w:tblStyle w:val="9"/>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Layout w:type="fixed"/>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项目立项(7分)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项目立项规范性（1分）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项目是否按照规定的程序申请设立；</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文件、材料是否符合相关要求；</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事前是否已经过必要的可行性研究、专家论证、风险评估、集体决策等。</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是否符合国家相关法律法规、国民经济发展规划和党委政府决策；</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是否与项目实施单位或委托单位职责密切相关；</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项目是否为促进事业发展</w:t>
            </w:r>
            <w:bookmarkStart w:id="1" w:name="_GoBack"/>
            <w:bookmarkEnd w:id="1"/>
            <w:r>
              <w:rPr>
                <w:rFonts w:ascii="Arial Narrow" w:hAnsi="Arial Narrow" w:eastAsia="宋体" w:cs="宋体"/>
                <w:kern w:val="0"/>
                <w:sz w:val="18"/>
                <w:szCs w:val="18"/>
              </w:rPr>
              <w:t>所必需；</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项目预期产出效益和效果是否符合正常的业绩水平。</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绩效指标明确性（4分）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是否将项目绩效目标细化分解为具体的绩效指标；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是否通过清晰、可衡量的指标值予以体现；</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是否与项目年度任务数或计划数相对应；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是否与预算确定的项目投资额或资金量相匹配。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资金落实(3分)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资金到位率（1分）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资金到位率=（实际到位资金/计划投入资金）×100%。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资金到位率大于90%的得满分，每少5个百分点扣0.5分，扣完为止。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到位及时率（2分）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到位及时率=（及时到位资金/应到位资金）×100%。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到位及时率大于90%的得满分，每低5个百分点，扣1分，扣完为止。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业务管理（18）</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是否已制定或具有相应的业务管理制度；</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业务管理制度是否合法、合规、完整。</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是否遵守相关法律法规和业务管理规定；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项目调整及支出调整手续是否完备；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项目合同书、验收报告、技术鉴定等资料是否齐全并及时归档；</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项目实施的人员条件、场地设备、信息支撑等是否落实到位。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项目质量可控性（5分）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项目实施单位是否为达到项目质量要求而采取了必需的措施,用以反映和考核项目实施单位对项目质量的控制情况。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是否已制定或具有相应的项目质量要求或标准；</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是否采取了相应的项目质量检查、验收等必需的控制措施或手段。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资金分配的合理性（2分）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资金分配方案是否充分，分配标准是否合理、明确；</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预算执行率=实际支出金额/项目预算金额×100%。</w:t>
            </w:r>
            <w:r>
              <w:rPr>
                <w:rFonts w:ascii="Arial Narrow" w:hAnsi="Arial Narrow" w:eastAsia="宋体" w:cs="宋体"/>
                <w:kern w:val="0"/>
                <w:sz w:val="18"/>
                <w:szCs w:val="18"/>
              </w:rPr>
              <w:br w:type="textWrapping"/>
            </w:r>
            <w:r>
              <w:rPr>
                <w:rFonts w:ascii="Arial Narrow" w:hAnsi="Arial Narrow" w:eastAsia="宋体" w:cs="宋体"/>
                <w:kern w:val="0"/>
                <w:sz w:val="18"/>
                <w:szCs w:val="18"/>
              </w:rPr>
              <w:t>预算执行率95%以上，得满分；低于95%，每下降1%扣权重的1%；预算执行率60%以下，不计分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财务管理（12）</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管理制度健全性（3分）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是否已制定或具有相应的项目资金管理办法；</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项目资金管理办法是否符合相关财务会计制度的规定。</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3</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是否符合国家财经法规和财务管理制度以及有关专项资金管理办法的规定；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资金的拨付是否有完整的审批程序和手续；</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项目的重大开支是否经过评估认证；</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是否符合项目预算批复或合同规定的用途；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⑤</w:t>
            </w:r>
            <w:r>
              <w:rPr>
                <w:rFonts w:ascii="Arial Narrow" w:hAnsi="Arial Narrow" w:eastAsia="宋体" w:cs="宋体"/>
                <w:kern w:val="0"/>
                <w:sz w:val="18"/>
                <w:szCs w:val="18"/>
              </w:rPr>
              <w:t>是否存在截留、挤占、挪用、虚列支出等情况。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财务监控有效性（4分）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是否已制定或具有相应的监控机制；</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是否采取了相应的财务检查等必要的监控措施或手段。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项目产出（30）</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完成数量（10分）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一项不符合扣2分，与目标严重不符不得分。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质量达标率（12分）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项目验收通过率达95%及以上，得满分；未通过一个扣一分，扣完为止。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资金变动率（4分）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变动率=[（实际成本-计划成本）/计划成本]×100%。</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经济效益（6分）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采取社会调查的方式，社会公众满意度大于90%的得满分，每少1个百分点扣0.3分，扣完为止。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Cs/>
                <w:kern w:val="0"/>
                <w:szCs w:val="21"/>
              </w:rPr>
            </w:pPr>
            <w:r>
              <w:rPr>
                <w:rFonts w:ascii="Arial Narrow" w:hAnsi="Arial Narrow" w:eastAsia="宋体"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r>
    </w:tbl>
    <w:p/>
    <w:p>
      <w:pPr>
        <w:jc w:val="left"/>
      </w:pPr>
    </w:p>
    <w:p>
      <w:pPr>
        <w:jc w:val="left"/>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B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pPr>
          <w:pStyle w:val="6"/>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2EE1F"/>
    <w:multiLevelType w:val="singleLevel"/>
    <w:tmpl w:val="AC72EE1F"/>
    <w:lvl w:ilvl="0" w:tentative="0">
      <w:start w:val="3"/>
      <w:numFmt w:val="chineseCounting"/>
      <w:suff w:val="nothing"/>
      <w:lvlText w:val="（%1）"/>
      <w:lvlJc w:val="left"/>
      <w:rPr>
        <w:rFonts w:hint="eastAsia"/>
      </w:rPr>
    </w:lvl>
  </w:abstractNum>
  <w:abstractNum w:abstractNumId="1">
    <w:nsid w:val="EC9CE205"/>
    <w:multiLevelType w:val="singleLevel"/>
    <w:tmpl w:val="EC9CE205"/>
    <w:lvl w:ilvl="0" w:tentative="0">
      <w:start w:val="2"/>
      <w:numFmt w:val="chineseCounting"/>
      <w:suff w:val="nothing"/>
      <w:lvlText w:val="（%1）"/>
      <w:lvlJc w:val="left"/>
      <w:rPr>
        <w:rFonts w:hint="eastAsia"/>
      </w:rPr>
    </w:lvl>
  </w:abstractNum>
  <w:abstractNum w:abstractNumId="2">
    <w:nsid w:val="2F13501C"/>
    <w:multiLevelType w:val="singleLevel"/>
    <w:tmpl w:val="2F13501C"/>
    <w:lvl w:ilvl="0" w:tentative="0">
      <w:start w:val="2"/>
      <w:numFmt w:val="decimal"/>
      <w:lvlText w:val="%1."/>
      <w:lvlJc w:val="left"/>
      <w:pPr>
        <w:tabs>
          <w:tab w:val="left" w:pos="312"/>
        </w:tabs>
      </w:pPr>
    </w:lvl>
  </w:abstractNum>
  <w:abstractNum w:abstractNumId="3">
    <w:nsid w:val="723A7A61"/>
    <w:multiLevelType w:val="singleLevel"/>
    <w:tmpl w:val="723A7A61"/>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4182C"/>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36265E9"/>
    <w:rsid w:val="05814626"/>
    <w:rsid w:val="08E344A8"/>
    <w:rsid w:val="0C7D7A8E"/>
    <w:rsid w:val="1904437F"/>
    <w:rsid w:val="1C8D49E3"/>
    <w:rsid w:val="24DD380F"/>
    <w:rsid w:val="35B503E0"/>
    <w:rsid w:val="36242786"/>
    <w:rsid w:val="436D1622"/>
    <w:rsid w:val="49876323"/>
    <w:rsid w:val="59BF40F0"/>
    <w:rsid w:val="5B8C5948"/>
    <w:rsid w:val="7937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rFonts w:ascii="Calibri" w:hAnsi="Calibri" w:eastAsia="宋体"/>
    </w:rPr>
  </w:style>
  <w:style w:type="paragraph" w:styleId="3">
    <w:name w:val="Body Text Indent"/>
    <w:basedOn w:val="1"/>
    <w:next w:val="2"/>
    <w:unhideWhenUsed/>
    <w:qFormat/>
    <w:uiPriority w:val="99"/>
    <w:pPr>
      <w:spacing w:after="120"/>
      <w:ind w:left="420" w:leftChars="200"/>
    </w:pPr>
  </w:style>
  <w:style w:type="paragraph" w:styleId="5">
    <w:name w:val="Body Text"/>
    <w:basedOn w:val="1"/>
    <w:qFormat/>
    <w:uiPriority w:val="0"/>
    <w:pPr>
      <w:spacing w:line="0" w:lineRule="atLeast"/>
    </w:pPr>
    <w:rPr>
      <w:rFonts w:eastAsia="小标宋"/>
      <w:sz w:val="44"/>
    </w:r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1">
    <w:name w:val="无间隔1"/>
    <w:basedOn w:val="1"/>
    <w:qFormat/>
    <w:uiPriority w:val="0"/>
    <w:rPr>
      <w:rFonts w:ascii="Calibri" w:hAnsi="Calibri"/>
      <w:szCs w:val="21"/>
    </w:rPr>
  </w:style>
  <w:style w:type="character" w:customStyle="1" w:styleId="12">
    <w:name w:val="页眉 Char"/>
    <w:basedOn w:val="10"/>
    <w:link w:val="7"/>
    <w:semiHidden/>
    <w:qFormat/>
    <w:uiPriority w:val="99"/>
    <w:rPr>
      <w:kern w:val="2"/>
      <w:sz w:val="18"/>
      <w:szCs w:val="18"/>
    </w:rPr>
  </w:style>
  <w:style w:type="character" w:customStyle="1" w:styleId="13">
    <w:name w:val="页脚 Char"/>
    <w:basedOn w:val="10"/>
    <w:link w:val="6"/>
    <w:semiHidden/>
    <w:qFormat/>
    <w:uiPriority w:val="99"/>
    <w:rPr>
      <w:kern w:val="2"/>
      <w:sz w:val="18"/>
      <w:szCs w:val="18"/>
    </w:rPr>
  </w:style>
  <w:style w:type="paragraph" w:customStyle="1" w:styleId="14">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1</TotalTime>
  <ScaleCrop>false</ScaleCrop>
  <LinksUpToDate>false</LinksUpToDate>
  <CharactersWithSpaces>4022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cp:lastPrinted>2019-05-28T01:04:00Z</cp:lastPrinted>
  <dcterms:modified xsi:type="dcterms:W3CDTF">2024-03-26T02:05:46Z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