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罗免镇石板沟村委会马房民族团结进步示范村支出绩效自评报告（60万元）</w:t>
      </w:r>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bookmarkStart w:id="1" w:name="_GoBack"/>
      <w:bookmarkEnd w:id="1"/>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AC6712D"/>
    <w:rsid w:val="3C8F567A"/>
    <w:rsid w:val="3DA908AC"/>
    <w:rsid w:val="47ED7724"/>
    <w:rsid w:val="5E01549B"/>
    <w:rsid w:val="6461286F"/>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autoRedefine/>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2024-03-26T02:51:27Z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