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ind w:firstLine="0" w:firstLineChars="0"/>
        <w:jc w:val="center"/>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ind w:firstLine="960"/>
        <w:jc w:val="center"/>
        <w:rPr>
          <w:rFonts w:ascii="楷体_GB2312" w:eastAsia="楷体_GB2312"/>
          <w:bCs/>
          <w:sz w:val="48"/>
          <w:szCs w:val="48"/>
        </w:rPr>
      </w:pPr>
      <w:r>
        <w:rPr>
          <w:rFonts w:hint="eastAsia" w:ascii="楷体_GB2312" w:eastAsia="楷体_GB2312"/>
          <w:bCs/>
          <w:sz w:val="48"/>
          <w:szCs w:val="48"/>
        </w:rPr>
        <w:t>（污染影响类）</w:t>
      </w:r>
    </w:p>
    <w:p>
      <w:pPr>
        <w:ind w:firstLine="880"/>
        <w:rPr>
          <w:rFonts w:eastAsia="仿宋"/>
          <w:sz w:val="44"/>
          <w:szCs w:val="44"/>
        </w:rPr>
      </w:pPr>
    </w:p>
    <w:p>
      <w:pPr>
        <w:ind w:firstLine="880"/>
        <w:rPr>
          <w:rFonts w:eastAsia="仿宋"/>
          <w:sz w:val="44"/>
          <w:szCs w:val="44"/>
        </w:rPr>
      </w:pPr>
    </w:p>
    <w:p>
      <w:pPr>
        <w:ind w:firstLine="880"/>
        <w:rPr>
          <w:rFonts w:eastAsia="仿宋"/>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left="2527" w:leftChars="300" w:hanging="1807" w:hangingChars="500"/>
        <w:textAlignment w:val="auto"/>
        <w:rPr>
          <w:rFonts w:hint="default" w:ascii="Times New Roman" w:hAnsi="Times New Roman" w:eastAsia="仿宋_GB2312" w:cs="Times New Roman"/>
          <w:sz w:val="30"/>
          <w:szCs w:val="30"/>
          <w:highlight w:val="none"/>
          <w:u w:val="thick"/>
          <w:lang w:val="en-US" w:eastAsia="zh-CN"/>
        </w:rPr>
      </w:pPr>
      <w:r>
        <w:rPr>
          <w:rFonts w:hint="eastAsia" w:ascii="仿宋_GB2312" w:eastAsia="仿宋_GB2312"/>
          <w:b/>
          <w:bCs/>
          <w:sz w:val="36"/>
          <w:szCs w:val="36"/>
          <w:highlight w:val="none"/>
        </w:rPr>
        <w:t>项目名称：</w:t>
      </w:r>
      <w:r>
        <w:rPr>
          <w:rFonts w:hint="eastAsia" w:ascii="Times New Roman" w:hAnsi="Times New Roman" w:eastAsia="仿宋_GB2312" w:cs="Times New Roman"/>
          <w:sz w:val="30"/>
          <w:szCs w:val="30"/>
          <w:highlight w:val="none"/>
          <w:u w:val="single"/>
          <w:lang w:val="en-US" w:eastAsia="zh-CN"/>
        </w:rPr>
        <w:t>年产10万吨特种砂浆及沥青混凝土生产建设项目</w:t>
      </w:r>
    </w:p>
    <w:p>
      <w:pPr>
        <w:adjustRightInd w:val="0"/>
        <w:snapToGrid w:val="0"/>
        <w:spacing w:line="288" w:lineRule="auto"/>
        <w:ind w:firstLine="723"/>
        <w:rPr>
          <w:rFonts w:hint="default" w:ascii="Times New Roman" w:hAnsi="Times New Roman" w:eastAsia="仿宋_GB2312" w:cs="Times New Roman"/>
          <w:sz w:val="36"/>
          <w:szCs w:val="36"/>
          <w:u w:val="single"/>
          <w:lang w:val="en-US" w:eastAsia="zh-CN"/>
        </w:rPr>
      </w:pPr>
      <w:r>
        <w:rPr>
          <w:rFonts w:hint="eastAsia" w:ascii="仿宋_GB2312" w:eastAsia="仿宋_GB2312"/>
          <w:b/>
          <w:bCs/>
          <w:sz w:val="36"/>
          <w:szCs w:val="36"/>
          <w:highlight w:val="none"/>
        </w:rPr>
        <w:t>建设单位（盖章）：</w:t>
      </w:r>
      <w:r>
        <w:rPr>
          <w:rFonts w:hint="eastAsia" w:ascii="Times New Roman" w:hAnsi="Times New Roman" w:eastAsia="仿宋_GB2312" w:cs="Times New Roman"/>
          <w:sz w:val="36"/>
          <w:szCs w:val="36"/>
          <w:highlight w:val="none"/>
          <w:u w:val="single"/>
          <w:lang w:val="en-US" w:eastAsia="zh-CN"/>
        </w:rPr>
        <w:t xml:space="preserve"> </w:t>
      </w:r>
      <w:r>
        <w:rPr>
          <w:rFonts w:hint="eastAsia" w:eastAsia="仿宋_GB2312" w:cs="Times New Roman"/>
          <w:sz w:val="36"/>
          <w:szCs w:val="36"/>
          <w:highlight w:val="none"/>
          <w:u w:val="single"/>
          <w:lang w:val="en-US" w:eastAsia="zh-CN"/>
        </w:rPr>
        <w:t xml:space="preserve">  </w:t>
      </w:r>
      <w:r>
        <w:rPr>
          <w:rFonts w:hint="eastAsia" w:ascii="Times New Roman" w:hAnsi="Times New Roman" w:eastAsia="仿宋_GB2312" w:cs="Times New Roman"/>
          <w:sz w:val="36"/>
          <w:szCs w:val="36"/>
          <w:highlight w:val="none"/>
          <w:u w:val="single"/>
          <w:lang w:val="en-US" w:eastAsia="zh-CN"/>
        </w:rPr>
        <w:t>云南汇晨建材有限公司</w:t>
      </w:r>
      <w:r>
        <w:rPr>
          <w:rFonts w:hint="eastAsia" w:eastAsia="仿宋_GB2312" w:cs="Times New Roman"/>
          <w:sz w:val="36"/>
          <w:szCs w:val="36"/>
          <w:highlight w:val="none"/>
          <w:u w:val="single"/>
          <w:lang w:val="en-US" w:eastAsia="zh-CN"/>
        </w:rPr>
        <w:t xml:space="preserve">   </w:t>
      </w:r>
      <w:r>
        <w:rPr>
          <w:rFonts w:hint="eastAsia" w:ascii="Times New Roman" w:hAnsi="Times New Roman" w:eastAsia="仿宋_GB2312" w:cs="Times New Roman"/>
          <w:sz w:val="36"/>
          <w:szCs w:val="36"/>
          <w:highlight w:val="none"/>
          <w:u w:val="single"/>
          <w:lang w:val="en-US" w:eastAsia="zh-CN"/>
        </w:rPr>
        <w:t xml:space="preserve"> </w:t>
      </w:r>
    </w:p>
    <w:p>
      <w:pPr>
        <w:adjustRightInd w:val="0"/>
        <w:snapToGrid w:val="0"/>
        <w:spacing w:line="288" w:lineRule="auto"/>
        <w:ind w:firstLine="723"/>
        <w:rPr>
          <w:rFonts w:ascii="仿宋_GB2312" w:eastAsia="仿宋_GB2312"/>
          <w:sz w:val="36"/>
          <w:szCs w:val="36"/>
          <w:u w:val="single"/>
        </w:rPr>
      </w:pPr>
      <w:r>
        <w:rPr>
          <w:rFonts w:hint="eastAsia" w:ascii="仿宋_GB2312" w:eastAsia="仿宋_GB2312"/>
          <w:b/>
          <w:bCs/>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default" w:ascii="Times New Roman" w:hAnsi="Times New Roman" w:eastAsia="仿宋_GB2312" w:cs="Times New Roman"/>
          <w:sz w:val="36"/>
          <w:szCs w:val="36"/>
          <w:u w:val="single"/>
          <w:lang w:val="en-US" w:eastAsia="zh-CN"/>
        </w:rPr>
        <w:t>2024</w:t>
      </w:r>
      <w:r>
        <w:rPr>
          <w:rFonts w:hint="eastAsia" w:ascii="仿宋_GB2312" w:eastAsia="仿宋_GB2312"/>
          <w:sz w:val="36"/>
          <w:szCs w:val="36"/>
          <w:u w:val="single"/>
        </w:rPr>
        <w:t>年</w:t>
      </w:r>
      <w:r>
        <w:rPr>
          <w:rFonts w:hint="default" w:ascii="Times New Roman" w:hAnsi="Times New Roman" w:eastAsia="仿宋_GB2312" w:cs="Times New Roman"/>
          <w:sz w:val="36"/>
          <w:szCs w:val="36"/>
          <w:u w:val="single"/>
        </w:rPr>
        <w:t>0</w:t>
      </w:r>
      <w:r>
        <w:rPr>
          <w:rFonts w:hint="eastAsia" w:eastAsia="仿宋_GB2312" w:cs="Times New Roman"/>
          <w:sz w:val="36"/>
          <w:szCs w:val="36"/>
          <w:u w:val="single"/>
          <w:lang w:val="en-US" w:eastAsia="zh-CN"/>
        </w:rPr>
        <w:t>6</w:t>
      </w:r>
      <w:r>
        <w:rPr>
          <w:rFonts w:hint="eastAsia" w:ascii="仿宋_GB2312" w:eastAsia="仿宋_GB2312"/>
          <w:sz w:val="36"/>
          <w:szCs w:val="36"/>
          <w:u w:val="single"/>
        </w:rPr>
        <w:t>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p>
    <w:p>
      <w:pPr>
        <w:adjustRightInd w:val="0"/>
        <w:snapToGrid w:val="0"/>
        <w:spacing w:line="288" w:lineRule="auto"/>
        <w:rPr>
          <w:rFonts w:ascii="仿宋_GB2312" w:eastAsia="仿宋_GB2312"/>
          <w:sz w:val="36"/>
          <w:szCs w:val="36"/>
          <w:u w:val="single"/>
        </w:rPr>
      </w:pPr>
      <w:bookmarkStart w:id="0" w:name="_Hlk57884087"/>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lang w:val="en-US" w:eastAsia="zh-CN"/>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r>
        <w:rPr>
          <w:rFonts w:hint="eastAsia" w:ascii="楷体_GB2312" w:eastAsia="楷体_GB2312"/>
          <w:sz w:val="36"/>
          <w:szCs w:val="36"/>
        </w:rPr>
        <w:t>中华人民共和国生态环境部</w:t>
      </w:r>
    </w:p>
    <w:sdt>
      <w:sdtPr>
        <w:rPr>
          <w:rFonts w:ascii="宋体" w:hAnsi="宋体"/>
          <w:sz w:val="21"/>
        </w:rPr>
        <w:id w:val="147460505"/>
        <w:docPartObj>
          <w:docPartGallery w:val="Table of Contents"/>
          <w:docPartUnique/>
        </w:docPartObj>
      </w:sdtPr>
      <w:sdtEndPr>
        <w:rPr>
          <w:rFonts w:ascii="仿宋_GB2312" w:hAnsi="Times New Roman" w:eastAsia="仿宋_GB2312"/>
          <w:sz w:val="24"/>
          <w:szCs w:val="36"/>
        </w:rPr>
      </w:sdtEndPr>
      <w:sdtContent>
        <w:p>
          <w:pPr>
            <w:spacing w:line="240" w:lineRule="auto"/>
            <w:ind w:firstLine="0" w:firstLineChars="0"/>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pPr>
            <w:pStyle w:val="5"/>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ascii="仿宋_GB2312" w:eastAsia="仿宋_GB2312"/>
              <w:sz w:val="36"/>
              <w:szCs w:val="36"/>
            </w:rPr>
            <w:fldChar w:fldCharType="begin"/>
          </w:r>
          <w:r>
            <w:rPr>
              <w:rFonts w:ascii="仿宋_GB2312" w:eastAsia="仿宋_GB2312"/>
              <w:sz w:val="36"/>
              <w:szCs w:val="36"/>
            </w:rPr>
            <w:instrText xml:space="preserve">TOC \o "1-3" \h \u </w:instrText>
          </w:r>
          <w:r>
            <w:rPr>
              <w:rFonts w:ascii="仿宋_GB2312" w:eastAsia="仿宋_GB2312"/>
              <w:sz w:val="36"/>
              <w:szCs w:val="36"/>
            </w:rPr>
            <w:fldChar w:fldCharType="separate"/>
          </w:r>
          <w:r>
            <w:rPr>
              <w:rFonts w:ascii="仿宋_GB2312" w:eastAsia="仿宋_GB2312"/>
              <w:szCs w:val="36"/>
            </w:rPr>
            <w:fldChar w:fldCharType="begin"/>
          </w:r>
          <w:r>
            <w:rPr>
              <w:rFonts w:ascii="仿宋_GB2312" w:eastAsia="仿宋_GB2312"/>
              <w:szCs w:val="36"/>
            </w:rPr>
            <w:instrText xml:space="preserve"> HYPERLINK \l _Toc10568 </w:instrText>
          </w:r>
          <w:r>
            <w:rPr>
              <w:rFonts w:ascii="仿宋_GB2312" w:eastAsia="仿宋_GB2312"/>
              <w:szCs w:val="36"/>
            </w:rPr>
            <w:fldChar w:fldCharType="separate"/>
          </w:r>
          <w:r>
            <w:rPr>
              <w:rFonts w:hint="eastAsia"/>
              <w:snapToGrid w:val="0"/>
            </w:rPr>
            <w:t>一、建设项目基本情况</w:t>
          </w:r>
          <w:r>
            <w:tab/>
          </w:r>
          <w:r>
            <w:fldChar w:fldCharType="begin"/>
          </w:r>
          <w:r>
            <w:instrText xml:space="preserve"> PAGEREF _Toc10568 \h </w:instrText>
          </w:r>
          <w:r>
            <w:fldChar w:fldCharType="separate"/>
          </w:r>
          <w:r>
            <w:t>1</w:t>
          </w:r>
          <w:r>
            <w:fldChar w:fldCharType="end"/>
          </w:r>
          <w:r>
            <w:rPr>
              <w:rFonts w:ascii="仿宋_GB2312" w:eastAsia="仿宋_GB2312"/>
              <w:szCs w:val="36"/>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ascii="仿宋_GB2312" w:eastAsia="仿宋_GB2312"/>
              <w:szCs w:val="36"/>
            </w:rPr>
            <w:fldChar w:fldCharType="begin"/>
          </w:r>
          <w:r>
            <w:rPr>
              <w:rFonts w:ascii="仿宋_GB2312" w:eastAsia="仿宋_GB2312"/>
              <w:szCs w:val="36"/>
            </w:rPr>
            <w:instrText xml:space="preserve"> HYPERLINK \l _Toc5573 </w:instrText>
          </w:r>
          <w:r>
            <w:rPr>
              <w:rFonts w:ascii="仿宋_GB2312" w:eastAsia="仿宋_GB2312"/>
              <w:szCs w:val="36"/>
            </w:rPr>
            <w:fldChar w:fldCharType="separate"/>
          </w:r>
          <w:r>
            <w:rPr>
              <w:rFonts w:hint="eastAsia"/>
              <w:snapToGrid w:val="0"/>
            </w:rPr>
            <w:t>二、建设项目工程分析</w:t>
          </w:r>
          <w:r>
            <w:tab/>
          </w:r>
          <w:r>
            <w:fldChar w:fldCharType="begin"/>
          </w:r>
          <w:r>
            <w:instrText xml:space="preserve"> PAGEREF _Toc5573 \h </w:instrText>
          </w:r>
          <w:r>
            <w:fldChar w:fldCharType="separate"/>
          </w:r>
          <w:r>
            <w:t>14</w:t>
          </w:r>
          <w:r>
            <w:fldChar w:fldCharType="end"/>
          </w:r>
          <w:r>
            <w:rPr>
              <w:rFonts w:ascii="仿宋_GB2312" w:eastAsia="仿宋_GB2312"/>
              <w:szCs w:val="36"/>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ascii="仿宋_GB2312" w:eastAsia="仿宋_GB2312"/>
              <w:szCs w:val="36"/>
            </w:rPr>
            <w:fldChar w:fldCharType="begin"/>
          </w:r>
          <w:r>
            <w:rPr>
              <w:rFonts w:ascii="仿宋_GB2312" w:eastAsia="仿宋_GB2312"/>
              <w:szCs w:val="36"/>
            </w:rPr>
            <w:instrText xml:space="preserve"> HYPERLINK \l _Toc10962 </w:instrText>
          </w:r>
          <w:r>
            <w:rPr>
              <w:rFonts w:ascii="仿宋_GB2312" w:eastAsia="仿宋_GB2312"/>
              <w:szCs w:val="36"/>
            </w:rPr>
            <w:fldChar w:fldCharType="separate"/>
          </w:r>
          <w:r>
            <w:rPr>
              <w:rFonts w:hint="eastAsia"/>
              <w:snapToGrid w:val="0"/>
            </w:rPr>
            <w:t>三、区域环境质量现状、环境保护目标及评价标准</w:t>
          </w:r>
          <w:r>
            <w:tab/>
          </w:r>
          <w:r>
            <w:fldChar w:fldCharType="begin"/>
          </w:r>
          <w:r>
            <w:instrText xml:space="preserve"> PAGEREF _Toc10962 \h </w:instrText>
          </w:r>
          <w:r>
            <w:fldChar w:fldCharType="separate"/>
          </w:r>
          <w:r>
            <w:t>25</w:t>
          </w:r>
          <w:r>
            <w:fldChar w:fldCharType="end"/>
          </w:r>
          <w:r>
            <w:rPr>
              <w:rFonts w:ascii="仿宋_GB2312" w:eastAsia="仿宋_GB2312"/>
              <w:szCs w:val="36"/>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ascii="仿宋_GB2312" w:eastAsia="仿宋_GB2312"/>
              <w:szCs w:val="36"/>
            </w:rPr>
            <w:fldChar w:fldCharType="begin"/>
          </w:r>
          <w:r>
            <w:rPr>
              <w:rFonts w:ascii="仿宋_GB2312" w:eastAsia="仿宋_GB2312"/>
              <w:szCs w:val="36"/>
            </w:rPr>
            <w:instrText xml:space="preserve"> HYPERLINK \l _Toc32395 </w:instrText>
          </w:r>
          <w:r>
            <w:rPr>
              <w:rFonts w:ascii="仿宋_GB2312" w:eastAsia="仿宋_GB2312"/>
              <w:szCs w:val="36"/>
            </w:rPr>
            <w:fldChar w:fldCharType="separate"/>
          </w:r>
          <w:r>
            <w:rPr>
              <w:rFonts w:hint="eastAsia"/>
              <w:snapToGrid w:val="0"/>
            </w:rPr>
            <w:t>四、主要环境影响和保护措施</w:t>
          </w:r>
          <w:r>
            <w:tab/>
          </w:r>
          <w:r>
            <w:fldChar w:fldCharType="begin"/>
          </w:r>
          <w:r>
            <w:instrText xml:space="preserve"> PAGEREF _Toc32395 \h </w:instrText>
          </w:r>
          <w:r>
            <w:fldChar w:fldCharType="separate"/>
          </w:r>
          <w:r>
            <w:t>38</w:t>
          </w:r>
          <w:r>
            <w:fldChar w:fldCharType="end"/>
          </w:r>
          <w:r>
            <w:rPr>
              <w:rFonts w:ascii="仿宋_GB2312" w:eastAsia="仿宋_GB2312"/>
              <w:szCs w:val="36"/>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ascii="仿宋_GB2312" w:eastAsia="仿宋_GB2312"/>
              <w:szCs w:val="36"/>
            </w:rPr>
            <w:fldChar w:fldCharType="begin"/>
          </w:r>
          <w:r>
            <w:rPr>
              <w:rFonts w:ascii="仿宋_GB2312" w:eastAsia="仿宋_GB2312"/>
              <w:szCs w:val="36"/>
            </w:rPr>
            <w:instrText xml:space="preserve"> HYPERLINK \l _Toc9076 </w:instrText>
          </w:r>
          <w:r>
            <w:rPr>
              <w:rFonts w:ascii="仿宋_GB2312" w:eastAsia="仿宋_GB2312"/>
              <w:szCs w:val="36"/>
            </w:rPr>
            <w:fldChar w:fldCharType="separate"/>
          </w:r>
          <w:r>
            <w:rPr>
              <w:rFonts w:hint="eastAsia"/>
              <w:snapToGrid w:val="0"/>
              <w:highlight w:val="none"/>
            </w:rPr>
            <w:t>五、环境保护措施监督检查清单</w:t>
          </w:r>
          <w:r>
            <w:tab/>
          </w:r>
          <w:r>
            <w:fldChar w:fldCharType="begin"/>
          </w:r>
          <w:r>
            <w:instrText xml:space="preserve"> PAGEREF _Toc9076 \h </w:instrText>
          </w:r>
          <w:r>
            <w:fldChar w:fldCharType="separate"/>
          </w:r>
          <w:r>
            <w:t>71</w:t>
          </w:r>
          <w:r>
            <w:fldChar w:fldCharType="end"/>
          </w:r>
          <w:r>
            <w:rPr>
              <w:rFonts w:ascii="仿宋_GB2312" w:eastAsia="仿宋_GB2312"/>
              <w:szCs w:val="36"/>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ascii="仿宋_GB2312" w:eastAsia="仿宋_GB2312"/>
              <w:szCs w:val="36"/>
            </w:rPr>
            <w:fldChar w:fldCharType="begin"/>
          </w:r>
          <w:r>
            <w:rPr>
              <w:rFonts w:ascii="仿宋_GB2312" w:eastAsia="仿宋_GB2312"/>
              <w:szCs w:val="36"/>
            </w:rPr>
            <w:instrText xml:space="preserve"> HYPERLINK \l _Toc2666 </w:instrText>
          </w:r>
          <w:r>
            <w:rPr>
              <w:rFonts w:ascii="仿宋_GB2312" w:eastAsia="仿宋_GB2312"/>
              <w:szCs w:val="36"/>
            </w:rPr>
            <w:fldChar w:fldCharType="separate"/>
          </w:r>
          <w:r>
            <w:rPr>
              <w:rFonts w:hint="eastAsia"/>
              <w:snapToGrid w:val="0"/>
            </w:rPr>
            <w:t>六、结论</w:t>
          </w:r>
          <w:r>
            <w:tab/>
          </w:r>
          <w:r>
            <w:fldChar w:fldCharType="begin"/>
          </w:r>
          <w:r>
            <w:instrText xml:space="preserve"> PAGEREF _Toc2666 \h </w:instrText>
          </w:r>
          <w:r>
            <w:fldChar w:fldCharType="separate"/>
          </w:r>
          <w:r>
            <w:t>74</w:t>
          </w:r>
          <w:r>
            <w:fldChar w:fldCharType="end"/>
          </w:r>
          <w:r>
            <w:rPr>
              <w:rFonts w:ascii="仿宋_GB2312" w:eastAsia="仿宋_GB2312"/>
              <w:szCs w:val="36"/>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ind w:firstLine="0" w:firstLineChars="0"/>
            <w:textAlignment w:val="auto"/>
          </w:pPr>
          <w:r>
            <w:rPr>
              <w:rFonts w:ascii="仿宋_GB2312" w:eastAsia="仿宋_GB2312"/>
              <w:szCs w:val="36"/>
            </w:rPr>
            <w:fldChar w:fldCharType="begin"/>
          </w:r>
          <w:r>
            <w:rPr>
              <w:rFonts w:ascii="仿宋_GB2312" w:eastAsia="仿宋_GB2312"/>
              <w:szCs w:val="36"/>
            </w:rPr>
            <w:instrText xml:space="preserve"> HYPERLINK \l _Toc29347 </w:instrText>
          </w:r>
          <w:r>
            <w:rPr>
              <w:rFonts w:ascii="仿宋_GB2312" w:eastAsia="仿宋_GB2312"/>
              <w:szCs w:val="36"/>
            </w:rPr>
            <w:fldChar w:fldCharType="separate"/>
          </w:r>
          <w:r>
            <w:rPr>
              <w:rFonts w:hint="eastAsia" w:ascii="Times New Roman" w:hAnsi="Times New Roman" w:cs="Times New Roman"/>
              <w:snapToGrid w:val="0"/>
              <w:lang w:val="en-US" w:eastAsia="zh-CN"/>
            </w:rPr>
            <w:t>七、大气环境专项评价</w:t>
          </w:r>
          <w:r>
            <w:tab/>
          </w:r>
          <w:r>
            <w:fldChar w:fldCharType="begin"/>
          </w:r>
          <w:r>
            <w:instrText xml:space="preserve"> PAGEREF _Toc29347 \h </w:instrText>
          </w:r>
          <w:r>
            <w:fldChar w:fldCharType="separate"/>
          </w:r>
          <w:r>
            <w:t>77</w:t>
          </w:r>
          <w:r>
            <w:fldChar w:fldCharType="end"/>
          </w:r>
          <w:r>
            <w:rPr>
              <w:rFonts w:ascii="仿宋_GB2312" w:eastAsia="仿宋_GB2312"/>
              <w:szCs w:val="36"/>
            </w:rPr>
            <w:fldChar w:fldCharType="end"/>
          </w:r>
        </w:p>
        <w:p>
          <w:pPr>
            <w:adjustRightInd w:val="0"/>
            <w:snapToGrid w:val="0"/>
            <w:spacing w:line="288" w:lineRule="auto"/>
            <w:ind w:firstLine="480"/>
          </w:pPr>
          <w:r>
            <w:rPr>
              <w:rFonts w:ascii="仿宋_GB2312" w:eastAsia="仿宋_GB2312"/>
              <w:szCs w:val="36"/>
            </w:rPr>
            <w:fldChar w:fldCharType="end"/>
          </w:r>
        </w:p>
      </w:sdtContent>
    </w:sdt>
    <w:p>
      <w:pPr>
        <w:adjustRightInd w:val="0"/>
        <w:snapToGrid w:val="0"/>
        <w:spacing w:line="288" w:lineRule="auto"/>
        <w:ind w:firstLine="0" w:firstLineChars="0"/>
        <w:rPr>
          <w:b/>
          <w:bCs/>
        </w:rPr>
      </w:pPr>
      <w:r>
        <w:rPr>
          <w:rFonts w:hint="eastAsia"/>
          <w:b/>
          <w:bCs/>
        </w:rPr>
        <w:t>附图：</w:t>
      </w:r>
    </w:p>
    <w:p>
      <w:pPr>
        <w:ind w:firstLine="480"/>
        <w:rPr>
          <w:rFonts w:hint="eastAsia"/>
        </w:rPr>
      </w:pPr>
      <w:r>
        <w:rPr>
          <w:rFonts w:hint="eastAsia"/>
        </w:rPr>
        <w:t>附图1  本项目地理位置图</w:t>
      </w:r>
    </w:p>
    <w:p>
      <w:pPr>
        <w:ind w:firstLine="480"/>
      </w:pPr>
      <w:r>
        <w:rPr>
          <w:rFonts w:hint="eastAsia"/>
        </w:rPr>
        <w:t>附图</w:t>
      </w:r>
      <w:r>
        <w:rPr>
          <w:rFonts w:hint="eastAsia"/>
          <w:lang w:val="en-US" w:eastAsia="zh-CN"/>
        </w:rPr>
        <w:t>2</w:t>
      </w:r>
      <w:r>
        <w:rPr>
          <w:rFonts w:hint="eastAsia"/>
        </w:rPr>
        <w:t xml:space="preserve">  本项目与昆明市环境管控单元位置关系图</w:t>
      </w:r>
    </w:p>
    <w:p>
      <w:r>
        <w:rPr>
          <w:rFonts w:hint="eastAsia"/>
        </w:rPr>
        <w:t>附图</w:t>
      </w:r>
      <w:r>
        <w:rPr>
          <w:rFonts w:hint="eastAsia"/>
          <w:lang w:val="en-US" w:eastAsia="zh-CN"/>
        </w:rPr>
        <w:t>3</w:t>
      </w:r>
      <w:r>
        <w:rPr>
          <w:rFonts w:hint="eastAsia"/>
        </w:rPr>
        <w:t xml:space="preserve">  本项目平面布置图</w:t>
      </w:r>
    </w:p>
    <w:p>
      <w:pPr>
        <w:rPr>
          <w:rFonts w:hint="eastAsia"/>
        </w:rPr>
      </w:pPr>
      <w:r>
        <w:rPr>
          <w:rFonts w:hint="eastAsia"/>
        </w:rPr>
        <w:t>附图</w:t>
      </w:r>
      <w:r>
        <w:rPr>
          <w:rFonts w:hint="eastAsia"/>
          <w:lang w:val="en-US" w:eastAsia="zh-CN"/>
        </w:rPr>
        <w:t>4</w:t>
      </w:r>
      <w:r>
        <w:rPr>
          <w:rFonts w:hint="eastAsia"/>
        </w:rPr>
        <w:t xml:space="preserve">  本项目大气评价范围及外环境关系图</w:t>
      </w:r>
    </w:p>
    <w:p>
      <w:pPr>
        <w:rPr>
          <w:rFonts w:hint="default" w:eastAsia="宋体"/>
          <w:lang w:val="en-US" w:eastAsia="zh-CN"/>
        </w:rPr>
      </w:pPr>
      <w:r>
        <w:rPr>
          <w:rFonts w:hint="eastAsia"/>
          <w:lang w:val="en-US" w:eastAsia="zh-CN"/>
        </w:rPr>
        <w:t>附图5  本项目与地表水引用监测点位位置关系图</w:t>
      </w:r>
    </w:p>
    <w:p>
      <w:r>
        <w:rPr>
          <w:rFonts w:hint="eastAsia"/>
        </w:rPr>
        <w:t>附图</w:t>
      </w:r>
      <w:r>
        <w:rPr>
          <w:rFonts w:hint="eastAsia"/>
          <w:lang w:val="en-US" w:eastAsia="zh-CN"/>
        </w:rPr>
        <w:t>6</w:t>
      </w:r>
      <w:r>
        <w:rPr>
          <w:rFonts w:hint="eastAsia"/>
        </w:rPr>
        <w:t xml:space="preserve">  现场照片</w:t>
      </w:r>
    </w:p>
    <w:p>
      <w:pPr>
        <w:ind w:firstLine="0" w:firstLineChars="0"/>
        <w:rPr>
          <w:highlight w:val="none"/>
        </w:rPr>
      </w:pPr>
      <w:r>
        <w:rPr>
          <w:rFonts w:hint="eastAsia"/>
          <w:b/>
          <w:bCs/>
          <w:highlight w:val="none"/>
        </w:rPr>
        <w:t>附件：</w:t>
      </w:r>
    </w:p>
    <w:p>
      <w:pPr>
        <w:ind w:firstLine="480"/>
        <w:rPr>
          <w:rFonts w:hint="eastAsia"/>
          <w:highlight w:val="none"/>
          <w:lang w:val="en-US" w:eastAsia="zh-CN"/>
        </w:rPr>
      </w:pPr>
      <w:r>
        <w:rPr>
          <w:rFonts w:hint="eastAsia"/>
          <w:highlight w:val="none"/>
          <w:lang w:val="en-US" w:eastAsia="zh-CN"/>
        </w:rPr>
        <w:t>附件1  环评编制委托书</w:t>
      </w:r>
    </w:p>
    <w:p>
      <w:pPr>
        <w:ind w:firstLine="480"/>
        <w:rPr>
          <w:highlight w:val="none"/>
        </w:rPr>
      </w:pPr>
      <w:r>
        <w:rPr>
          <w:rFonts w:hint="eastAsia"/>
          <w:highlight w:val="none"/>
        </w:rPr>
        <w:t>附件</w:t>
      </w:r>
      <w:r>
        <w:rPr>
          <w:rFonts w:hint="eastAsia"/>
          <w:highlight w:val="none"/>
          <w:lang w:val="en-US" w:eastAsia="zh-CN"/>
        </w:rPr>
        <w:t>2</w:t>
      </w:r>
      <w:r>
        <w:rPr>
          <w:rFonts w:hint="eastAsia"/>
          <w:highlight w:val="none"/>
        </w:rPr>
        <w:t xml:space="preserve">  项目投资备案证</w:t>
      </w:r>
    </w:p>
    <w:p>
      <w:pPr>
        <w:rPr>
          <w:highlight w:val="none"/>
        </w:rPr>
      </w:pPr>
      <w:r>
        <w:rPr>
          <w:rFonts w:hint="eastAsia"/>
          <w:highlight w:val="none"/>
        </w:rPr>
        <w:t>附件</w:t>
      </w:r>
      <w:r>
        <w:rPr>
          <w:rFonts w:hint="eastAsia"/>
          <w:highlight w:val="none"/>
          <w:lang w:val="en-US" w:eastAsia="zh-CN"/>
        </w:rPr>
        <w:t>3</w:t>
      </w:r>
      <w:r>
        <w:rPr>
          <w:rFonts w:hint="eastAsia"/>
          <w:highlight w:val="none"/>
        </w:rPr>
        <w:t xml:space="preserve">  营业执照</w:t>
      </w:r>
    </w:p>
    <w:p>
      <w:pPr>
        <w:rPr>
          <w:rFonts w:hint="eastAsia"/>
          <w:highlight w:val="none"/>
        </w:rPr>
      </w:pPr>
      <w:r>
        <w:rPr>
          <w:rFonts w:hint="eastAsia"/>
          <w:highlight w:val="none"/>
        </w:rPr>
        <w:t>附件</w:t>
      </w:r>
      <w:r>
        <w:rPr>
          <w:rFonts w:hint="eastAsia"/>
          <w:highlight w:val="none"/>
          <w:lang w:val="en-US" w:eastAsia="zh-CN"/>
        </w:rPr>
        <w:t>4</w:t>
      </w:r>
      <w:r>
        <w:rPr>
          <w:rFonts w:hint="eastAsia"/>
          <w:highlight w:val="none"/>
        </w:rPr>
        <w:t xml:space="preserve">  土地使用证明</w:t>
      </w:r>
    </w:p>
    <w:p>
      <w:pPr>
        <w:rPr>
          <w:rFonts w:hint="eastAsia"/>
          <w:highlight w:val="none"/>
          <w:lang w:val="en-US" w:eastAsia="zh-CN"/>
        </w:rPr>
      </w:pPr>
      <w:r>
        <w:rPr>
          <w:rFonts w:hint="eastAsia"/>
          <w:highlight w:val="none"/>
          <w:lang w:val="en-US" w:eastAsia="zh-CN"/>
        </w:rPr>
        <w:t>附件5  环境现状监测报告</w:t>
      </w:r>
    </w:p>
    <w:p>
      <w:pPr>
        <w:rPr>
          <w:rFonts w:hint="default"/>
          <w:highlight w:val="none"/>
          <w:lang w:val="en-US" w:eastAsia="zh-CN"/>
        </w:rPr>
      </w:pPr>
      <w:r>
        <w:rPr>
          <w:rFonts w:hint="eastAsia"/>
          <w:highlight w:val="none"/>
          <w:lang w:val="en-US" w:eastAsia="zh-CN"/>
        </w:rPr>
        <w:t>附件6  “三区三线”查询证明</w:t>
      </w:r>
    </w:p>
    <w:p>
      <w:pPr>
        <w:rPr>
          <w:rFonts w:hint="eastAsia"/>
          <w:highlight w:val="none"/>
          <w:lang w:val="en-US" w:eastAsia="zh-CN"/>
        </w:rPr>
      </w:pPr>
      <w:r>
        <w:rPr>
          <w:rFonts w:hint="eastAsia"/>
          <w:highlight w:val="none"/>
          <w:lang w:val="en-US" w:eastAsia="zh-CN"/>
        </w:rPr>
        <w:t>附件7  公示截图</w:t>
      </w:r>
    </w:p>
    <w:p>
      <w:pPr>
        <w:rPr>
          <w:rFonts w:hint="eastAsia"/>
          <w:highlight w:val="none"/>
          <w:lang w:val="en-US" w:eastAsia="zh-CN"/>
        </w:rPr>
      </w:pPr>
      <w:r>
        <w:rPr>
          <w:rFonts w:hint="eastAsia"/>
          <w:highlight w:val="none"/>
          <w:lang w:val="en-US" w:eastAsia="zh-CN"/>
        </w:rPr>
        <w:t>附件8  项目三级审核单</w:t>
      </w:r>
    </w:p>
    <w:p>
      <w:pPr>
        <w:rPr>
          <w:rFonts w:hint="default"/>
          <w:highlight w:val="none"/>
          <w:lang w:val="en-US" w:eastAsia="zh-CN"/>
        </w:rPr>
      </w:pPr>
      <w:r>
        <w:rPr>
          <w:rFonts w:hint="eastAsia"/>
          <w:highlight w:val="none"/>
          <w:lang w:val="en-US" w:eastAsia="zh-CN"/>
        </w:rPr>
        <w:t>附件9  环评进度表</w:t>
      </w:r>
    </w:p>
    <w:p>
      <w:pPr>
        <w:rPr>
          <w:highlight w:val="none"/>
        </w:rPr>
      </w:pPr>
    </w:p>
    <w:p>
      <w:pPr>
        <w:ind w:firstLine="480"/>
        <w:rPr>
          <w:highlight w:val="none"/>
        </w:rPr>
        <w:sectPr>
          <w:pgSz w:w="11906" w:h="16838"/>
          <w:pgMar w:top="1701" w:right="1531" w:bottom="1701" w:left="1531" w:header="851" w:footer="1077" w:gutter="0"/>
          <w:pgNumType w:start="3"/>
          <w:cols w:space="720" w:num="1"/>
          <w:docGrid w:linePitch="312" w:charSpace="0"/>
        </w:sectPr>
      </w:pPr>
    </w:p>
    <w:p>
      <w:pPr>
        <w:pStyle w:val="2"/>
        <w:ind w:firstLine="602"/>
        <w:rPr>
          <w:snapToGrid w:val="0"/>
        </w:rPr>
      </w:pPr>
      <w:bookmarkStart w:id="1" w:name="_Toc10568"/>
      <w:r>
        <w:rPr>
          <w:rFonts w:hint="eastAsia"/>
          <w:snapToGrid w:val="0"/>
        </w:rPr>
        <w:t>一、建设项目基本情况</w:t>
      </w:r>
      <w:bookmarkEnd w:id="1"/>
    </w:p>
    <w:tbl>
      <w:tblPr>
        <w:tblStyle w:val="6"/>
        <w:tblW w:w="890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19"/>
        <w:gridCol w:w="1941"/>
        <w:gridCol w:w="2080"/>
        <w:gridCol w:w="36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highlight w:val="none"/>
              </w:rPr>
            </w:pPr>
            <w:r>
              <w:rPr>
                <w:rFonts w:hint="eastAsia" w:ascii="宋体" w:hAnsi="宋体" w:cs="宋体"/>
                <w:szCs w:val="21"/>
                <w:highlight w:val="none"/>
              </w:rPr>
              <w:t>建设项目名称</w:t>
            </w:r>
          </w:p>
        </w:tc>
        <w:tc>
          <w:tcPr>
            <w:tcW w:w="7690" w:type="dxa"/>
            <w:gridSpan w:val="3"/>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年产10万吨特种砂浆及沥青混凝土生产建设项目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highlight w:val="none"/>
              </w:rPr>
            </w:pPr>
            <w:r>
              <w:rPr>
                <w:rFonts w:hint="eastAsia" w:ascii="宋体" w:hAnsi="宋体" w:cs="宋体"/>
                <w:szCs w:val="21"/>
                <w:highlight w:val="none"/>
              </w:rPr>
              <w:t>项目代码</w:t>
            </w:r>
          </w:p>
        </w:tc>
        <w:tc>
          <w:tcPr>
            <w:tcW w:w="7690" w:type="dxa"/>
            <w:gridSpan w:val="3"/>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2308-530124-04-01-783395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rPr>
            </w:pPr>
            <w:r>
              <w:rPr>
                <w:rFonts w:hint="eastAsia" w:ascii="宋体" w:hAnsi="宋体" w:cs="宋体"/>
                <w:szCs w:val="21"/>
              </w:rPr>
              <w:t>建设单位联系人</w:t>
            </w:r>
          </w:p>
        </w:tc>
        <w:tc>
          <w:tcPr>
            <w:tcW w:w="1941" w:type="dxa"/>
            <w:vAlign w:val="center"/>
          </w:tcPr>
          <w:p>
            <w:pPr>
              <w:keepNext w:val="0"/>
              <w:keepLines w:val="0"/>
              <w:suppressLineNumbers w:val="0"/>
              <w:spacing w:before="0" w:beforeAutospacing="0" w:after="0" w:afterAutospacing="0"/>
              <w:ind w:left="0" w:right="0" w:firstLine="0" w:firstLineChars="0"/>
              <w:jc w:val="center"/>
              <w:rPr>
                <w:rFonts w:hint="default"/>
              </w:rPr>
            </w:pPr>
          </w:p>
        </w:tc>
        <w:tc>
          <w:tcPr>
            <w:tcW w:w="2080" w:type="dxa"/>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联系方式</w:t>
            </w:r>
          </w:p>
        </w:tc>
        <w:tc>
          <w:tcPr>
            <w:tcW w:w="3669" w:type="dxa"/>
            <w:vAlign w:val="center"/>
          </w:tcPr>
          <w:p>
            <w:pPr>
              <w:keepNext w:val="0"/>
              <w:keepLines w:val="0"/>
              <w:suppressLineNumbers w:val="0"/>
              <w:spacing w:before="0" w:beforeAutospacing="0" w:after="0" w:afterAutospacing="0"/>
              <w:ind w:left="0" w:right="0" w:firstLine="0" w:firstLineChars="0"/>
              <w:jc w:val="center"/>
              <w:rPr>
                <w:rFonts w:hint="default"/>
              </w:rPr>
            </w:pPr>
            <w:bookmarkStart w:id="11" w:name="_GoBack"/>
            <w:bookmarkEnd w:id="1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rPr>
            </w:pPr>
            <w:r>
              <w:rPr>
                <w:rFonts w:hint="eastAsia" w:ascii="宋体" w:hAnsi="宋体" w:cs="宋体"/>
                <w:szCs w:val="21"/>
              </w:rPr>
              <w:t>建设地点</w:t>
            </w:r>
          </w:p>
        </w:tc>
        <w:tc>
          <w:tcPr>
            <w:tcW w:w="7690" w:type="dxa"/>
            <w:gridSpan w:val="3"/>
            <w:vAlign w:val="center"/>
          </w:tcPr>
          <w:p>
            <w:pPr>
              <w:keepNext w:val="0"/>
              <w:keepLines w:val="0"/>
              <w:suppressLineNumbers w:val="0"/>
              <w:spacing w:before="0" w:beforeAutospacing="0" w:after="0" w:afterAutospacing="0"/>
              <w:ind w:left="0" w:right="0" w:firstLine="0" w:firstLineChars="0"/>
              <w:jc w:val="center"/>
              <w:rPr>
                <w:rFonts w:hint="default" w:eastAsia="宋体"/>
                <w:lang w:val="en-US" w:eastAsia="zh-CN"/>
              </w:rPr>
            </w:pPr>
            <w:r>
              <w:rPr>
                <w:rFonts w:hint="eastAsia"/>
                <w:lang w:val="en-US" w:eastAsia="zh-CN"/>
              </w:rPr>
              <w:t>云南省昆明市富民县散旦镇散旦村委会白水塘村石头山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rPr>
            </w:pPr>
            <w:r>
              <w:rPr>
                <w:rFonts w:hint="eastAsia" w:ascii="宋体" w:hAnsi="宋体" w:cs="宋体"/>
                <w:szCs w:val="21"/>
              </w:rPr>
              <w:t>地理坐标</w:t>
            </w:r>
          </w:p>
        </w:tc>
        <w:tc>
          <w:tcPr>
            <w:tcW w:w="7690" w:type="dxa"/>
            <w:gridSpan w:val="3"/>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w:t>
            </w:r>
            <w:r>
              <w:rPr>
                <w:rFonts w:hint="eastAsia"/>
                <w:u w:val="single"/>
              </w:rPr>
              <w:t xml:space="preserve"> </w:t>
            </w:r>
            <w:r>
              <w:rPr>
                <w:rFonts w:hint="eastAsia"/>
                <w:u w:val="single"/>
                <w:lang w:val="en-US" w:eastAsia="zh-CN"/>
              </w:rPr>
              <w:t>102</w:t>
            </w:r>
            <w:r>
              <w:rPr>
                <w:rFonts w:hint="eastAsia"/>
                <w:u w:val="single"/>
              </w:rPr>
              <w:t xml:space="preserve"> </w:t>
            </w:r>
            <w:r>
              <w:rPr>
                <w:rFonts w:hint="eastAsia"/>
              </w:rPr>
              <w:t>度</w:t>
            </w:r>
            <w:r>
              <w:rPr>
                <w:rFonts w:hint="eastAsia"/>
                <w:u w:val="single"/>
              </w:rPr>
              <w:t xml:space="preserve"> </w:t>
            </w:r>
            <w:r>
              <w:rPr>
                <w:rFonts w:hint="eastAsia"/>
                <w:u w:val="single"/>
                <w:lang w:val="en-US" w:eastAsia="zh-CN"/>
              </w:rPr>
              <w:t>38</w:t>
            </w:r>
            <w:r>
              <w:rPr>
                <w:rFonts w:hint="eastAsia"/>
                <w:u w:val="single"/>
              </w:rPr>
              <w:t xml:space="preserve"> </w:t>
            </w:r>
            <w:r>
              <w:rPr>
                <w:rFonts w:hint="eastAsia"/>
              </w:rPr>
              <w:t>分</w:t>
            </w:r>
            <w:r>
              <w:rPr>
                <w:rFonts w:hint="eastAsia"/>
                <w:u w:val="single"/>
              </w:rPr>
              <w:t xml:space="preserve"> </w:t>
            </w:r>
            <w:r>
              <w:rPr>
                <w:rFonts w:hint="eastAsia"/>
                <w:u w:val="single"/>
                <w:lang w:val="en-US" w:eastAsia="zh-CN"/>
              </w:rPr>
              <w:t>32.389</w:t>
            </w:r>
            <w:r>
              <w:rPr>
                <w:rFonts w:hint="eastAsia"/>
                <w:u w:val="single"/>
              </w:rPr>
              <w:t xml:space="preserve"> </w:t>
            </w:r>
            <w:r>
              <w:rPr>
                <w:rFonts w:hint="eastAsia"/>
              </w:rPr>
              <w:t>秒，</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度</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分</w:t>
            </w:r>
            <w:r>
              <w:rPr>
                <w:rFonts w:hint="eastAsia"/>
                <w:u w:val="single"/>
              </w:rPr>
              <w:t xml:space="preserve"> </w:t>
            </w:r>
            <w:r>
              <w:rPr>
                <w:rFonts w:hint="eastAsia"/>
                <w:u w:val="single"/>
                <w:lang w:val="en-US" w:eastAsia="zh-CN"/>
              </w:rPr>
              <w:t>42.563</w:t>
            </w:r>
            <w:r>
              <w:rPr>
                <w:rFonts w:hint="eastAsia"/>
                <w:u w:val="single"/>
              </w:rPr>
              <w:t xml:space="preserve"> </w:t>
            </w:r>
            <w:r>
              <w:rPr>
                <w:rFonts w:hint="eastAsia"/>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rPr>
            </w:pPr>
            <w:r>
              <w:rPr>
                <w:rFonts w:hint="eastAsia" w:ascii="宋体" w:hAnsi="宋体" w:cs="宋体"/>
                <w:szCs w:val="21"/>
              </w:rPr>
              <w:t>国民经济</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rPr>
            </w:pPr>
            <w:r>
              <w:rPr>
                <w:rFonts w:hint="eastAsia" w:ascii="宋体" w:hAnsi="宋体" w:cs="宋体"/>
                <w:szCs w:val="21"/>
              </w:rPr>
              <w:t>行业类别</w:t>
            </w:r>
          </w:p>
        </w:tc>
        <w:tc>
          <w:tcPr>
            <w:tcW w:w="1941" w:type="dxa"/>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C3099其他非金属矿物制品制造</w:t>
            </w:r>
          </w:p>
        </w:tc>
        <w:tc>
          <w:tcPr>
            <w:tcW w:w="2080" w:type="dxa"/>
            <w:vAlign w:val="center"/>
          </w:tcPr>
          <w:p>
            <w:pPr>
              <w:keepNext w:val="0"/>
              <w:keepLines w:val="0"/>
              <w:suppressLineNumbers w:val="0"/>
              <w:spacing w:before="0" w:beforeAutospacing="0" w:after="0" w:afterAutospacing="0"/>
              <w:ind w:left="0" w:right="0" w:firstLine="0" w:firstLineChars="0"/>
              <w:jc w:val="center"/>
              <w:rPr>
                <w:rFonts w:hint="default"/>
              </w:rPr>
            </w:pPr>
            <w:bookmarkStart w:id="2" w:name="_Hlk49843745"/>
            <w:r>
              <w:rPr>
                <w:rFonts w:hint="eastAsia"/>
              </w:rPr>
              <w:t>建设项目</w:t>
            </w:r>
          </w:p>
          <w:p>
            <w:pPr>
              <w:keepNext w:val="0"/>
              <w:keepLines w:val="0"/>
              <w:suppressLineNumbers w:val="0"/>
              <w:spacing w:before="0" w:beforeAutospacing="0" w:after="0" w:afterAutospacing="0"/>
              <w:ind w:left="0" w:right="0" w:firstLine="0" w:firstLineChars="0"/>
              <w:jc w:val="center"/>
              <w:rPr>
                <w:rFonts w:hint="default"/>
              </w:rPr>
            </w:pPr>
            <w:r>
              <w:rPr>
                <w:rFonts w:hint="eastAsia"/>
              </w:rPr>
              <w:t>行业类别</w:t>
            </w:r>
            <w:bookmarkEnd w:id="2"/>
          </w:p>
        </w:tc>
        <w:tc>
          <w:tcPr>
            <w:tcW w:w="3669" w:type="dxa"/>
            <w:vAlign w:val="center"/>
          </w:tcPr>
          <w:p>
            <w:pPr>
              <w:keepNext w:val="0"/>
              <w:keepLines w:val="0"/>
              <w:suppressLineNumbers w:val="0"/>
              <w:spacing w:before="0" w:beforeAutospacing="0" w:after="0" w:afterAutospacing="0"/>
              <w:ind w:left="0" w:right="0" w:firstLine="0" w:firstLineChars="0"/>
              <w:rPr>
                <w:rFonts w:hint="default"/>
              </w:rPr>
            </w:pPr>
            <w:r>
              <w:rPr>
                <w:rFonts w:hint="eastAsia"/>
              </w:rPr>
              <w:t>二十七、非金属矿物制品业30</w:t>
            </w:r>
            <w:r>
              <w:rPr>
                <w:rFonts w:hint="eastAsia"/>
                <w:lang w:eastAsia="zh-CN"/>
              </w:rPr>
              <w:t>—</w:t>
            </w:r>
            <w:r>
              <w:rPr>
                <w:rFonts w:hint="eastAsia"/>
              </w:rPr>
              <w:t>60、石墨及其他非金属矿物制品制造309</w:t>
            </w:r>
            <w:r>
              <w:rPr>
                <w:rFonts w:hint="eastAsia"/>
                <w:lang w:eastAsia="zh-CN"/>
              </w:rPr>
              <w:t>—</w:t>
            </w:r>
            <w:r>
              <w:rPr>
                <w:rFonts w:hint="eastAsia"/>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rPr>
            </w:pPr>
            <w:r>
              <w:rPr>
                <w:rFonts w:hint="eastAsia" w:ascii="宋体" w:hAnsi="宋体" w:cs="宋体"/>
                <w:szCs w:val="21"/>
              </w:rPr>
              <w:t>建设性质</w:t>
            </w:r>
          </w:p>
        </w:tc>
        <w:tc>
          <w:tcPr>
            <w:tcW w:w="1941" w:type="dxa"/>
            <w:vAlign w:val="center"/>
          </w:tcPr>
          <w:p>
            <w:pPr>
              <w:keepNext w:val="0"/>
              <w:keepLines w:val="0"/>
              <w:suppressLineNumbers w:val="0"/>
              <w:spacing w:before="0" w:beforeAutospacing="0" w:after="0" w:afterAutospacing="0"/>
              <w:ind w:left="0" w:right="0" w:firstLine="0" w:firstLineChars="0"/>
              <w:rPr>
                <w:rFonts w:hint="default"/>
              </w:rPr>
            </w:pPr>
            <w:r>
              <w:rPr>
                <w:rFonts w:hint="eastAsia"/>
                <w:lang w:eastAsia="zh-CN"/>
              </w:rPr>
              <w:t>☑</w:t>
            </w:r>
            <w:r>
              <w:rPr>
                <w:rFonts w:hint="eastAsia"/>
              </w:rPr>
              <w:t>新建（迁建）</w:t>
            </w:r>
          </w:p>
          <w:p>
            <w:pPr>
              <w:keepNext w:val="0"/>
              <w:keepLines w:val="0"/>
              <w:suppressLineNumbers w:val="0"/>
              <w:spacing w:before="0" w:beforeAutospacing="0" w:after="0" w:afterAutospacing="0"/>
              <w:ind w:left="0" w:right="0" w:firstLine="0" w:firstLineChars="0"/>
              <w:rPr>
                <w:rFonts w:hint="default"/>
              </w:rPr>
            </w:pPr>
            <w:r>
              <w:rPr>
                <w:rFonts w:hint="eastAsia"/>
              </w:rPr>
              <w:t>□改建</w:t>
            </w:r>
          </w:p>
          <w:p>
            <w:pPr>
              <w:keepNext w:val="0"/>
              <w:keepLines w:val="0"/>
              <w:suppressLineNumbers w:val="0"/>
              <w:spacing w:before="0" w:beforeAutospacing="0" w:after="0" w:afterAutospacing="0"/>
              <w:ind w:left="0" w:right="0" w:firstLine="0" w:firstLineChars="0"/>
              <w:rPr>
                <w:rFonts w:hint="default"/>
              </w:rPr>
            </w:pPr>
            <w:r>
              <w:rPr>
                <w:rFonts w:hint="eastAsia"/>
              </w:rPr>
              <w:t>□扩建</w:t>
            </w:r>
          </w:p>
          <w:p>
            <w:pPr>
              <w:keepNext w:val="0"/>
              <w:keepLines w:val="0"/>
              <w:suppressLineNumbers w:val="0"/>
              <w:spacing w:before="0" w:beforeAutospacing="0" w:after="0" w:afterAutospacing="0"/>
              <w:ind w:left="0" w:right="0" w:firstLine="0" w:firstLineChars="0"/>
              <w:rPr>
                <w:rFonts w:hint="default"/>
              </w:rPr>
            </w:pPr>
            <w:r>
              <w:rPr>
                <w:rFonts w:hint="eastAsia"/>
              </w:rPr>
              <w:t>□技术改造</w:t>
            </w:r>
          </w:p>
        </w:tc>
        <w:tc>
          <w:tcPr>
            <w:tcW w:w="2080" w:type="dxa"/>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建设项目</w:t>
            </w:r>
          </w:p>
          <w:p>
            <w:pPr>
              <w:keepNext w:val="0"/>
              <w:keepLines w:val="0"/>
              <w:suppressLineNumbers w:val="0"/>
              <w:spacing w:before="0" w:beforeAutospacing="0" w:after="0" w:afterAutospacing="0"/>
              <w:ind w:left="0" w:right="0" w:firstLine="0" w:firstLineChars="0"/>
              <w:jc w:val="center"/>
              <w:rPr>
                <w:rFonts w:hint="default"/>
              </w:rPr>
            </w:pPr>
            <w:r>
              <w:rPr>
                <w:rFonts w:hint="eastAsia"/>
              </w:rPr>
              <w:t>申报情形</w:t>
            </w:r>
          </w:p>
        </w:tc>
        <w:tc>
          <w:tcPr>
            <w:tcW w:w="3669" w:type="dxa"/>
            <w:vAlign w:val="center"/>
          </w:tcPr>
          <w:p>
            <w:pPr>
              <w:keepNext w:val="0"/>
              <w:keepLines w:val="0"/>
              <w:suppressLineNumbers w:val="0"/>
              <w:spacing w:before="0" w:beforeAutospacing="0" w:after="0" w:afterAutospacing="0"/>
              <w:ind w:left="0" w:right="0" w:firstLine="0" w:firstLineChars="0"/>
              <w:rPr>
                <w:rFonts w:hint="default"/>
              </w:rPr>
            </w:pPr>
            <w:r>
              <w:rPr>
                <w:rFonts w:hint="eastAsia"/>
              </w:rPr>
              <w:sym w:font="Wingdings 2" w:char="0052"/>
            </w:r>
            <w:r>
              <w:rPr>
                <w:rFonts w:hint="eastAsia"/>
              </w:rPr>
              <w:t>首次申报项目</w:t>
            </w:r>
          </w:p>
          <w:p>
            <w:pPr>
              <w:keepNext w:val="0"/>
              <w:keepLines w:val="0"/>
              <w:suppressLineNumbers w:val="0"/>
              <w:spacing w:before="0" w:beforeAutospacing="0" w:after="0" w:afterAutospacing="0"/>
              <w:ind w:left="0" w:right="0" w:firstLine="0" w:firstLineChars="0"/>
              <w:rPr>
                <w:rFonts w:hint="default"/>
              </w:rPr>
            </w:pPr>
            <w:r>
              <w:rPr>
                <w:rFonts w:hint="eastAsia"/>
              </w:rPr>
              <w:t>□不予批准后再次申报项目</w:t>
            </w:r>
          </w:p>
          <w:p>
            <w:pPr>
              <w:keepNext w:val="0"/>
              <w:keepLines w:val="0"/>
              <w:suppressLineNumbers w:val="0"/>
              <w:spacing w:before="0" w:beforeAutospacing="0" w:after="0" w:afterAutospacing="0"/>
              <w:ind w:left="0" w:right="0" w:firstLine="0" w:firstLineChars="0"/>
              <w:rPr>
                <w:rFonts w:hint="default"/>
              </w:rPr>
            </w:pPr>
            <w:r>
              <w:rPr>
                <w:rFonts w:hint="eastAsia"/>
              </w:rPr>
              <w:sym w:font="Wingdings 2" w:char="00A3"/>
            </w:r>
            <w:r>
              <w:rPr>
                <w:rFonts w:hint="eastAsia"/>
              </w:rPr>
              <w:t>超五年重新审核项目</w:t>
            </w:r>
          </w:p>
          <w:p>
            <w:pPr>
              <w:keepNext w:val="0"/>
              <w:keepLines w:val="0"/>
              <w:suppressLineNumbers w:val="0"/>
              <w:spacing w:before="0" w:beforeAutospacing="0" w:after="0" w:afterAutospacing="0"/>
              <w:ind w:left="0" w:right="0" w:firstLine="0" w:firstLineChars="0"/>
              <w:rPr>
                <w:rFonts w:hint="default"/>
              </w:rPr>
            </w:pPr>
            <w:r>
              <w:rPr>
                <w:rFonts w:hint="eastAsia"/>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rPr>
            </w:pPr>
            <w:r>
              <w:rPr>
                <w:rFonts w:hint="eastAsia" w:ascii="宋体" w:hAnsi="宋体" w:cs="宋体"/>
                <w:szCs w:val="21"/>
              </w:rPr>
              <w:t>项目审批（核准</w:t>
            </w:r>
            <w:r>
              <w:rPr>
                <w:rFonts w:hint="default" w:ascii="宋体" w:hAnsi="宋体" w:cs="宋体"/>
                <w:szCs w:val="21"/>
              </w:rPr>
              <w:t>/</w:t>
            </w:r>
            <w:r>
              <w:rPr>
                <w:rFonts w:hint="eastAsia" w:ascii="宋体" w:hAnsi="宋体" w:cs="宋体"/>
                <w:szCs w:val="21"/>
              </w:rPr>
              <w:t>备案）部门（选填）</w:t>
            </w:r>
          </w:p>
        </w:tc>
        <w:tc>
          <w:tcPr>
            <w:tcW w:w="1941" w:type="dxa"/>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富民县发展和改革局</w:t>
            </w:r>
          </w:p>
        </w:tc>
        <w:tc>
          <w:tcPr>
            <w:tcW w:w="2080" w:type="dxa"/>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highlight w:val="none"/>
              </w:rPr>
              <w:t>项目审批（核准</w:t>
            </w:r>
            <w:r>
              <w:rPr>
                <w:rFonts w:hint="default"/>
                <w:highlight w:val="none"/>
              </w:rPr>
              <w:t>/</w:t>
            </w:r>
            <w:r>
              <w:rPr>
                <w:rFonts w:hint="eastAsia"/>
                <w:highlight w:val="none"/>
              </w:rPr>
              <w:t>备案）文号（选填）</w:t>
            </w:r>
          </w:p>
        </w:tc>
        <w:tc>
          <w:tcPr>
            <w:tcW w:w="3669" w:type="dxa"/>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2308-530124-04-01-783395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rPr>
            </w:pPr>
            <w:r>
              <w:rPr>
                <w:rFonts w:hint="eastAsia" w:ascii="宋体" w:hAnsi="宋体" w:cs="宋体"/>
                <w:szCs w:val="21"/>
              </w:rPr>
              <w:t>总投资（万元）</w:t>
            </w:r>
          </w:p>
        </w:tc>
        <w:tc>
          <w:tcPr>
            <w:tcW w:w="1941" w:type="dxa"/>
            <w:vAlign w:val="center"/>
          </w:tcPr>
          <w:p>
            <w:pPr>
              <w:keepNext w:val="0"/>
              <w:keepLines w:val="0"/>
              <w:suppressLineNumbers w:val="0"/>
              <w:spacing w:before="0" w:beforeAutospacing="0" w:after="0" w:afterAutospacing="0"/>
              <w:ind w:left="0" w:right="0" w:firstLine="0" w:firstLineChars="0"/>
              <w:jc w:val="center"/>
              <w:rPr>
                <w:rFonts w:hint="default" w:eastAsia="宋体"/>
                <w:lang w:val="en-US" w:eastAsia="zh-CN"/>
              </w:rPr>
            </w:pPr>
            <w:r>
              <w:rPr>
                <w:rFonts w:hint="eastAsia"/>
                <w:lang w:val="en-US" w:eastAsia="zh-CN"/>
              </w:rPr>
              <w:t>10500</w:t>
            </w:r>
          </w:p>
        </w:tc>
        <w:tc>
          <w:tcPr>
            <w:tcW w:w="2080" w:type="dxa"/>
            <w:tcMar>
              <w:top w:w="16" w:type="dxa"/>
              <w:left w:w="16" w:type="dxa"/>
              <w:right w:w="16" w:type="dxa"/>
            </w:tcMar>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环保投资（万元）</w:t>
            </w:r>
          </w:p>
        </w:tc>
        <w:tc>
          <w:tcPr>
            <w:tcW w:w="3669" w:type="dxa"/>
            <w:vAlign w:val="center"/>
          </w:tcPr>
          <w:p>
            <w:pPr>
              <w:keepNext w:val="0"/>
              <w:keepLines w:val="0"/>
              <w:suppressLineNumbers w:val="0"/>
              <w:spacing w:before="0" w:beforeAutospacing="0" w:after="0" w:afterAutospacing="0"/>
              <w:ind w:left="0" w:right="0" w:firstLine="0" w:firstLineChars="0"/>
              <w:jc w:val="center"/>
              <w:rPr>
                <w:rFonts w:hint="default" w:eastAsia="宋体"/>
                <w:lang w:val="en-US" w:eastAsia="zh-CN"/>
              </w:rPr>
            </w:pPr>
            <w:r>
              <w:rPr>
                <w:rFonts w:hint="eastAsia"/>
                <w:lang w:val="en-US" w:eastAsia="zh-CN"/>
              </w:rPr>
              <w:t>27.5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rPr>
            </w:pPr>
            <w:r>
              <w:rPr>
                <w:rFonts w:hint="eastAsia" w:ascii="宋体" w:hAnsi="宋体" w:cs="宋体"/>
                <w:szCs w:val="21"/>
              </w:rPr>
              <w:t>环保投资占比（</w:t>
            </w:r>
            <w:r>
              <w:rPr>
                <w:rFonts w:hint="default" w:ascii="宋体" w:hAnsi="宋体" w:cs="宋体"/>
                <w:szCs w:val="21"/>
              </w:rPr>
              <w:t>%</w:t>
            </w:r>
            <w:r>
              <w:rPr>
                <w:rFonts w:hint="eastAsia" w:ascii="宋体" w:hAnsi="宋体" w:cs="宋体"/>
                <w:szCs w:val="21"/>
              </w:rPr>
              <w:t>）</w:t>
            </w:r>
          </w:p>
        </w:tc>
        <w:tc>
          <w:tcPr>
            <w:tcW w:w="1941" w:type="dxa"/>
            <w:vAlign w:val="center"/>
          </w:tcPr>
          <w:p>
            <w:pPr>
              <w:keepNext w:val="0"/>
              <w:keepLines w:val="0"/>
              <w:suppressLineNumbers w:val="0"/>
              <w:spacing w:before="0" w:beforeAutospacing="0" w:after="0" w:afterAutospacing="0"/>
              <w:ind w:left="0" w:right="0" w:firstLine="0" w:firstLineChars="0"/>
              <w:jc w:val="center"/>
              <w:rPr>
                <w:rFonts w:hint="default" w:eastAsia="宋体"/>
                <w:lang w:val="en-US" w:eastAsia="zh-CN"/>
              </w:rPr>
            </w:pPr>
            <w:r>
              <w:rPr>
                <w:rFonts w:hint="eastAsia"/>
                <w:lang w:val="en-US" w:eastAsia="zh-CN"/>
              </w:rPr>
              <w:t>0.26</w:t>
            </w:r>
          </w:p>
        </w:tc>
        <w:tc>
          <w:tcPr>
            <w:tcW w:w="2080" w:type="dxa"/>
            <w:tcMar>
              <w:top w:w="16" w:type="dxa"/>
              <w:left w:w="16" w:type="dxa"/>
              <w:right w:w="16" w:type="dxa"/>
            </w:tcMar>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施工工期</w:t>
            </w:r>
          </w:p>
        </w:tc>
        <w:tc>
          <w:tcPr>
            <w:tcW w:w="3669" w:type="dxa"/>
            <w:vAlign w:val="center"/>
          </w:tcPr>
          <w:p>
            <w:pPr>
              <w:keepNext w:val="0"/>
              <w:keepLines w:val="0"/>
              <w:suppressLineNumbers w:val="0"/>
              <w:spacing w:before="0" w:beforeAutospacing="0" w:after="0" w:afterAutospacing="0"/>
              <w:ind w:left="0" w:right="0" w:firstLine="0" w:firstLineChars="0"/>
              <w:jc w:val="center"/>
              <w:rPr>
                <w:rFonts w:hint="default" w:eastAsia="宋体"/>
                <w:lang w:val="en-US" w:eastAsia="zh-CN"/>
              </w:rPr>
            </w:pPr>
            <w:r>
              <w:rPr>
                <w:rFonts w:hint="eastAsia"/>
                <w:lang w:val="en-US" w:eastAsia="zh-CN"/>
              </w:rPr>
              <w:t>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219" w:type="dxa"/>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szCs w:val="21"/>
              </w:rPr>
            </w:pPr>
            <w:r>
              <w:rPr>
                <w:rFonts w:hint="eastAsia" w:ascii="宋体" w:hAnsi="宋体" w:cs="宋体"/>
                <w:szCs w:val="21"/>
              </w:rPr>
              <w:t>是否开工建设</w:t>
            </w:r>
          </w:p>
        </w:tc>
        <w:tc>
          <w:tcPr>
            <w:tcW w:w="1941" w:type="dxa"/>
            <w:vAlign w:val="center"/>
          </w:tcPr>
          <w:p>
            <w:pPr>
              <w:keepNext w:val="0"/>
              <w:keepLines w:val="0"/>
              <w:suppressLineNumbers w:val="0"/>
              <w:spacing w:before="0" w:beforeAutospacing="0" w:after="0" w:afterAutospacing="0"/>
              <w:ind w:left="0" w:right="0" w:firstLine="0" w:firstLineChars="0"/>
              <w:rPr>
                <w:rFonts w:hint="default"/>
              </w:rPr>
            </w:pPr>
            <w:r>
              <w:rPr>
                <w:rFonts w:hint="eastAsia"/>
              </w:rPr>
              <w:sym w:font="Wingdings 2" w:char="00A3"/>
            </w:r>
            <w:r>
              <w:rPr>
                <w:rFonts w:hint="eastAsia"/>
              </w:rPr>
              <w:t>否</w:t>
            </w:r>
          </w:p>
          <w:p>
            <w:pPr>
              <w:keepNext w:val="0"/>
              <w:keepLines w:val="0"/>
              <w:suppressLineNumbers w:val="0"/>
              <w:spacing w:before="0" w:beforeAutospacing="0" w:after="0" w:afterAutospacing="0"/>
              <w:ind w:left="0" w:right="0" w:firstLine="0" w:firstLineChars="0"/>
              <w:rPr>
                <w:rFonts w:hint="default"/>
              </w:rPr>
            </w:pPr>
            <w:r>
              <w:rPr>
                <w:rFonts w:hint="eastAsia"/>
              </w:rPr>
              <w:sym w:font="Wingdings 2" w:char="0052"/>
            </w:r>
            <w:r>
              <w:rPr>
                <w:rFonts w:hint="eastAsia"/>
              </w:rPr>
              <w:t>是：</w:t>
            </w:r>
            <w:r>
              <w:rPr>
                <w:rFonts w:hint="eastAsia"/>
                <w:highlight w:val="none"/>
                <w:u w:val="single"/>
                <w:lang w:val="en-US" w:eastAsia="zh-CN"/>
              </w:rPr>
              <w:t>项目生产设备已入场安装，现停产。</w:t>
            </w:r>
          </w:p>
        </w:tc>
        <w:tc>
          <w:tcPr>
            <w:tcW w:w="2080" w:type="dxa"/>
            <w:tcMar>
              <w:top w:w="16" w:type="dxa"/>
              <w:left w:w="16" w:type="dxa"/>
              <w:right w:w="16" w:type="dxa"/>
            </w:tcMar>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用地（用海）</w:t>
            </w:r>
          </w:p>
          <w:p>
            <w:pPr>
              <w:keepNext w:val="0"/>
              <w:keepLines w:val="0"/>
              <w:suppressLineNumbers w:val="0"/>
              <w:spacing w:before="0" w:beforeAutospacing="0" w:after="0" w:afterAutospacing="0"/>
              <w:ind w:left="0" w:right="0" w:firstLine="0" w:firstLineChars="0"/>
              <w:jc w:val="center"/>
              <w:rPr>
                <w:rFonts w:hint="default"/>
              </w:rPr>
            </w:pPr>
            <w:r>
              <w:rPr>
                <w:rFonts w:hint="eastAsia"/>
              </w:rPr>
              <w:t>面积（</w:t>
            </w:r>
            <w:r>
              <w:rPr>
                <w:rFonts w:hint="default"/>
              </w:rPr>
              <w:t>m</w:t>
            </w:r>
            <w:r>
              <w:rPr>
                <w:rFonts w:hint="default"/>
                <w:vertAlign w:val="superscript"/>
              </w:rPr>
              <w:t>2</w:t>
            </w:r>
            <w:r>
              <w:rPr>
                <w:rFonts w:hint="eastAsia"/>
              </w:rPr>
              <w:t>）</w:t>
            </w:r>
          </w:p>
        </w:tc>
        <w:tc>
          <w:tcPr>
            <w:tcW w:w="3669" w:type="dxa"/>
            <w:vAlign w:val="center"/>
          </w:tcPr>
          <w:p>
            <w:pPr>
              <w:keepNext w:val="0"/>
              <w:keepLines w:val="0"/>
              <w:suppressLineNumbers w:val="0"/>
              <w:spacing w:before="0" w:beforeAutospacing="0" w:after="0" w:afterAutospacing="0"/>
              <w:ind w:left="0" w:right="0" w:firstLine="0" w:firstLineChars="0"/>
              <w:jc w:val="center"/>
              <w:rPr>
                <w:rFonts w:hint="default" w:eastAsia="宋体"/>
                <w:lang w:val="en-US" w:eastAsia="zh-CN"/>
              </w:rPr>
            </w:pPr>
            <w:r>
              <w:rPr>
                <w:rFonts w:hint="eastAsia"/>
                <w:lang w:val="en-US" w:eastAsia="zh-CN"/>
              </w:rPr>
              <w:t>13868.7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219"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专项评价设置情况</w:t>
            </w:r>
          </w:p>
        </w:tc>
        <w:tc>
          <w:tcPr>
            <w:tcW w:w="7690" w:type="dxa"/>
            <w:gridSpan w:val="3"/>
            <w:vAlign w:val="center"/>
          </w:tcPr>
          <w:p>
            <w:pPr>
              <w:keepNext w:val="0"/>
              <w:keepLines w:val="0"/>
              <w:suppressLineNumbers w:val="0"/>
              <w:spacing w:before="0" w:beforeAutospacing="0" w:after="0" w:afterAutospacing="0"/>
              <w:ind w:left="0" w:right="0" w:firstLine="480"/>
              <w:rPr>
                <w:rFonts w:hint="default"/>
              </w:rPr>
            </w:pPr>
            <w:r>
              <w:rPr>
                <w:rFonts w:hint="eastAsia"/>
              </w:rPr>
              <w:t>根据《设项目环境影响报告表编制技术指南（污染响类）（试行）》，建设项目产生的生态环境影响需要深入论证的，应按照环境影响评价相关技术导则开展专项评价工作。根据建设项目特点和涉及的环境敏感区类别，确定专项评价的类别。</w:t>
            </w:r>
          </w:p>
          <w:p>
            <w:pPr>
              <w:pStyle w:val="11"/>
              <w:keepNext w:val="0"/>
              <w:keepLines w:val="0"/>
              <w:widowControl/>
              <w:suppressLineNumbers w:val="0"/>
              <w:bidi w:val="0"/>
              <w:spacing w:beforeAutospacing="0" w:after="0" w:afterAutospacing="0"/>
              <w:ind w:left="0" w:right="0"/>
              <w:rPr>
                <w:rFonts w:hint="default"/>
              </w:rPr>
            </w:pPr>
            <w:r>
              <w:rPr>
                <w:rFonts w:hint="default"/>
              </w:rPr>
              <w:t>表1-1  本项目与专项评价设置原则对照表</w:t>
            </w:r>
          </w:p>
          <w:tbl>
            <w:tblPr>
              <w:tblStyle w:val="7"/>
              <w:tblW w:w="7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42"/>
              <w:gridCol w:w="268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专项类别</w:t>
                  </w:r>
                </w:p>
              </w:tc>
              <w:tc>
                <w:tcPr>
                  <w:tcW w:w="284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涉及项目类别</w:t>
                  </w:r>
                </w:p>
              </w:tc>
              <w:tc>
                <w:tcPr>
                  <w:tcW w:w="26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本项目</w:t>
                  </w:r>
                </w:p>
              </w:tc>
              <w:tc>
                <w:tcPr>
                  <w:tcW w:w="10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专项设置情况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大气</w:t>
                  </w:r>
                </w:p>
              </w:tc>
              <w:tc>
                <w:tcPr>
                  <w:tcW w:w="284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排放废气含有毒有害污染物</w:t>
                  </w:r>
                  <w:r>
                    <w:rPr>
                      <w:rFonts w:hint="eastAsia"/>
                      <w:szCs w:val="20"/>
                      <w:vertAlign w:val="superscript"/>
                    </w:rPr>
                    <w:t>1</w:t>
                  </w:r>
                  <w:r>
                    <w:rPr>
                      <w:rFonts w:hint="eastAsia"/>
                      <w:szCs w:val="20"/>
                    </w:rPr>
                    <w:t>、二噁英、苯并[a]芘、氰化物、氯气且厂界外500米范围内有环境空气保护目标</w:t>
                  </w:r>
                  <w:r>
                    <w:rPr>
                      <w:rFonts w:hint="eastAsia"/>
                      <w:szCs w:val="20"/>
                      <w:vertAlign w:val="superscript"/>
                    </w:rPr>
                    <w:t>2</w:t>
                  </w:r>
                  <w:r>
                    <w:rPr>
                      <w:rFonts w:hint="eastAsia"/>
                      <w:szCs w:val="20"/>
                    </w:rPr>
                    <w:t>的建设项目。</w:t>
                  </w:r>
                </w:p>
              </w:tc>
              <w:tc>
                <w:tcPr>
                  <w:tcW w:w="26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eastAsia="宋体"/>
                      <w:szCs w:val="20"/>
                      <w:lang w:val="en-US" w:eastAsia="zh-CN"/>
                    </w:rPr>
                  </w:pPr>
                  <w:r>
                    <w:rPr>
                      <w:rFonts w:hint="eastAsia"/>
                      <w:szCs w:val="20"/>
                    </w:rPr>
                    <w:t>项目排放废气</w:t>
                  </w:r>
                  <w:r>
                    <w:rPr>
                      <w:rFonts w:hint="eastAsia"/>
                      <w:szCs w:val="20"/>
                      <w:lang w:val="en-US" w:eastAsia="zh-CN"/>
                    </w:rPr>
                    <w:t>污染物中有苯并[a]芘</w:t>
                  </w:r>
                  <w:r>
                    <w:rPr>
                      <w:rFonts w:hint="eastAsia"/>
                      <w:szCs w:val="20"/>
                    </w:rPr>
                    <w:t>，</w:t>
                  </w:r>
                  <w:r>
                    <w:rPr>
                      <w:rFonts w:hint="eastAsia"/>
                      <w:szCs w:val="20"/>
                      <w:lang w:val="en-US" w:eastAsia="zh-CN"/>
                    </w:rPr>
                    <w:t>且厂界外500m范围内有环境空气保护目标。</w:t>
                  </w:r>
                </w:p>
              </w:tc>
              <w:tc>
                <w:tcPr>
                  <w:tcW w:w="10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highlight w:val="none"/>
                    </w:rPr>
                    <w:t>地表水</w:t>
                  </w:r>
                </w:p>
              </w:tc>
              <w:tc>
                <w:tcPr>
                  <w:tcW w:w="284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新增工业废水直排建设项目（槽罐车外送污水处理厂的除外）；新增废水直排的污水集中处理厂。</w:t>
                  </w:r>
                </w:p>
              </w:tc>
              <w:tc>
                <w:tcPr>
                  <w:tcW w:w="26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b w:val="0"/>
                      <w:bCs w:val="0"/>
                      <w:szCs w:val="20"/>
                      <w:highlight w:val="none"/>
                      <w:lang w:val="en-US" w:eastAsia="zh-CN"/>
                    </w:rPr>
                    <w:t>本项目食堂</w:t>
                  </w:r>
                  <w:r>
                    <w:rPr>
                      <w:rFonts w:hint="eastAsia"/>
                      <w:b w:val="0"/>
                      <w:bCs w:val="0"/>
                      <w:szCs w:val="20"/>
                      <w:highlight w:val="none"/>
                    </w:rPr>
                    <w:t>废水经自建隔油池（1.0m</w:t>
                  </w:r>
                  <w:r>
                    <w:rPr>
                      <w:rFonts w:hint="eastAsia"/>
                      <w:b w:val="0"/>
                      <w:bCs w:val="0"/>
                      <w:szCs w:val="20"/>
                      <w:highlight w:val="none"/>
                      <w:vertAlign w:val="superscript"/>
                    </w:rPr>
                    <w:t>3</w:t>
                  </w:r>
                  <w:r>
                    <w:rPr>
                      <w:rFonts w:hint="eastAsia"/>
                      <w:b w:val="0"/>
                      <w:bCs w:val="0"/>
                      <w:szCs w:val="20"/>
                      <w:highlight w:val="none"/>
                    </w:rPr>
                    <w:t>）处理后与</w:t>
                  </w:r>
                  <w:r>
                    <w:rPr>
                      <w:rFonts w:hint="eastAsia"/>
                      <w:b w:val="0"/>
                      <w:bCs w:val="0"/>
                      <w:szCs w:val="20"/>
                      <w:highlight w:val="none"/>
                      <w:lang w:val="en-US" w:eastAsia="zh-CN"/>
                    </w:rPr>
                    <w:t>其他办公</w:t>
                  </w:r>
                  <w:r>
                    <w:rPr>
                      <w:rFonts w:hint="eastAsia"/>
                      <w:b w:val="0"/>
                      <w:bCs w:val="0"/>
                      <w:szCs w:val="20"/>
                      <w:highlight w:val="none"/>
                    </w:rPr>
                    <w:t>废水一起进入化粪池（2.0m</w:t>
                  </w:r>
                  <w:r>
                    <w:rPr>
                      <w:rFonts w:hint="eastAsia"/>
                      <w:b w:val="0"/>
                      <w:bCs w:val="0"/>
                      <w:szCs w:val="20"/>
                      <w:highlight w:val="none"/>
                      <w:vertAlign w:val="superscript"/>
                    </w:rPr>
                    <w:t>3</w:t>
                  </w:r>
                  <w:r>
                    <w:rPr>
                      <w:rFonts w:hint="eastAsia"/>
                      <w:b w:val="0"/>
                      <w:bCs w:val="0"/>
                      <w:szCs w:val="20"/>
                      <w:highlight w:val="none"/>
                    </w:rPr>
                    <w:t>）处理，</w:t>
                  </w:r>
                  <w:r>
                    <w:rPr>
                      <w:rFonts w:hint="eastAsia"/>
                      <w:b w:val="0"/>
                      <w:bCs w:val="0"/>
                      <w:szCs w:val="20"/>
                      <w:highlight w:val="none"/>
                      <w:lang w:val="en-US" w:eastAsia="zh-CN"/>
                    </w:rPr>
                    <w:t>回用于洒水降尘</w:t>
                  </w:r>
                  <w:r>
                    <w:rPr>
                      <w:rFonts w:hint="eastAsia"/>
                      <w:b w:val="0"/>
                      <w:bCs w:val="0"/>
                      <w:szCs w:val="20"/>
                      <w:highlight w:val="none"/>
                    </w:rPr>
                    <w:t>，不外排</w:t>
                  </w:r>
                  <w:r>
                    <w:rPr>
                      <w:rFonts w:hint="default"/>
                      <w:color w:val="auto"/>
                      <w:szCs w:val="20"/>
                      <w:highlight w:val="none"/>
                      <w:u w:val="none"/>
                    </w:rPr>
                    <w:t>。</w:t>
                  </w:r>
                </w:p>
              </w:tc>
              <w:tc>
                <w:tcPr>
                  <w:tcW w:w="10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环境风险</w:t>
                  </w:r>
                </w:p>
              </w:tc>
              <w:tc>
                <w:tcPr>
                  <w:tcW w:w="284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有毒有害和易燃易爆危险物质存储量超过临界量</w:t>
                  </w:r>
                  <w:r>
                    <w:rPr>
                      <w:rFonts w:hint="eastAsia"/>
                      <w:szCs w:val="20"/>
                      <w:vertAlign w:val="superscript"/>
                    </w:rPr>
                    <w:t>3</w:t>
                  </w:r>
                  <w:r>
                    <w:rPr>
                      <w:rFonts w:hint="eastAsia"/>
                      <w:szCs w:val="20"/>
                    </w:rPr>
                    <w:t>的建设项目。</w:t>
                  </w:r>
                </w:p>
              </w:tc>
              <w:tc>
                <w:tcPr>
                  <w:tcW w:w="26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本项目涉及的有毒有害和易燃易爆危险物质存储量未超过临界量。</w:t>
                  </w:r>
                </w:p>
              </w:tc>
              <w:tc>
                <w:tcPr>
                  <w:tcW w:w="10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生态</w:t>
                  </w:r>
                </w:p>
              </w:tc>
              <w:tc>
                <w:tcPr>
                  <w:tcW w:w="284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取水口下游500米范围内有重要水生生物的自然产卵场、索饵场、越冬场和洄游通道的新增河道取水的污染类建设项目。</w:t>
                  </w:r>
                </w:p>
              </w:tc>
              <w:tc>
                <w:tcPr>
                  <w:tcW w:w="26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不涉及</w:t>
                  </w:r>
                </w:p>
              </w:tc>
              <w:tc>
                <w:tcPr>
                  <w:tcW w:w="10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海洋</w:t>
                  </w:r>
                </w:p>
              </w:tc>
              <w:tc>
                <w:tcPr>
                  <w:tcW w:w="284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直接向海排放污染物的海洋工程建设项目。</w:t>
                  </w:r>
                </w:p>
              </w:tc>
              <w:tc>
                <w:tcPr>
                  <w:tcW w:w="26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不涉及</w:t>
                  </w:r>
                </w:p>
              </w:tc>
              <w:tc>
                <w:tcPr>
                  <w:tcW w:w="10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不设置</w:t>
                  </w:r>
                </w:p>
              </w:tc>
            </w:tr>
          </w:tbl>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注：</w:t>
            </w:r>
          </w:p>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1.废气中有毒有害污染物指纳入《有毒有害大气污染物名录》的污染物（不包括无排放标准的污染物）。</w:t>
            </w:r>
          </w:p>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2.环境空气保护目标指自然保护区、风景名胜区、居住区、文化区和农村地区中人群较集中的区域。</w:t>
            </w:r>
          </w:p>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3.临界量及其计算方法可参考《建设项目环境风险评价技术导则》（HJ169）附录B、附录C。</w:t>
            </w:r>
          </w:p>
          <w:p>
            <w:pPr>
              <w:keepNext w:val="0"/>
              <w:keepLines w:val="0"/>
              <w:suppressLineNumbers w:val="0"/>
              <w:spacing w:before="0" w:beforeAutospacing="0" w:after="0" w:afterAutospacing="0"/>
              <w:ind w:left="0" w:right="0" w:firstLine="480"/>
              <w:rPr>
                <w:rFonts w:hint="default"/>
              </w:rPr>
            </w:pPr>
            <w:r>
              <w:rPr>
                <w:rFonts w:hint="eastAsia"/>
              </w:rPr>
              <w:t>综上，本项目</w:t>
            </w:r>
            <w:r>
              <w:rPr>
                <w:rFonts w:hint="eastAsia"/>
                <w:lang w:val="en-US" w:eastAsia="zh-CN"/>
              </w:rPr>
              <w:t>需编制大气环境专项评价</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219"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szCs w:val="21"/>
              </w:rPr>
              <w:t>规划情况</w:t>
            </w:r>
          </w:p>
        </w:tc>
        <w:tc>
          <w:tcPr>
            <w:tcW w:w="7690" w:type="dxa"/>
            <w:gridSpan w:val="3"/>
            <w:vAlign w:val="center"/>
          </w:tcPr>
          <w:p>
            <w:pPr>
              <w:keepNext w:val="0"/>
              <w:keepLines w:val="0"/>
              <w:suppressLineNumbers w:val="0"/>
              <w:spacing w:before="0" w:beforeAutospacing="0" w:after="0" w:afterAutospacing="0"/>
              <w:ind w:left="0" w:right="0" w:firstLine="482"/>
              <w:jc w:val="center"/>
              <w:rPr>
                <w:rFonts w:hint="default" w:eastAsia="宋体"/>
                <w:lang w:val="en-US"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219"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szCs w:val="21"/>
              </w:rPr>
              <w:t>规划环境影响评价情况</w:t>
            </w:r>
          </w:p>
        </w:tc>
        <w:tc>
          <w:tcPr>
            <w:tcW w:w="7690" w:type="dxa"/>
            <w:gridSpan w:val="3"/>
            <w:vAlign w:val="center"/>
          </w:tcPr>
          <w:p>
            <w:pPr>
              <w:keepNext w:val="0"/>
              <w:keepLines w:val="0"/>
              <w:suppressLineNumbers w:val="0"/>
              <w:spacing w:before="0" w:beforeAutospacing="0" w:after="0" w:afterAutospacing="0"/>
              <w:ind w:left="0" w:right="0" w:firstLine="482"/>
              <w:jc w:val="center"/>
              <w:rPr>
                <w:rFonts w:hint="eastAsia" w:eastAsia="宋体"/>
                <w:lang w:val="en-US"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19"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规划及规划环境影响评价符合性分析</w:t>
            </w:r>
          </w:p>
        </w:tc>
        <w:tc>
          <w:tcPr>
            <w:tcW w:w="7690" w:type="dxa"/>
            <w:gridSpan w:val="3"/>
            <w:vAlign w:val="center"/>
          </w:tcPr>
          <w:p>
            <w:pPr>
              <w:keepNext w:val="0"/>
              <w:keepLines w:val="0"/>
              <w:suppressLineNumbers w:val="0"/>
              <w:spacing w:before="0" w:beforeAutospacing="0" w:after="0" w:afterAutospacing="0"/>
              <w:ind w:left="0" w:right="0" w:firstLine="480"/>
              <w:jc w:val="center"/>
              <w:rPr>
                <w:rFonts w:hint="default" w:eastAsia="宋体"/>
                <w:lang w:val="en-US"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219" w:type="dxa"/>
            <w:vAlign w:val="center"/>
          </w:tcPr>
          <w:p>
            <w:pPr>
              <w:keepNext w:val="0"/>
              <w:keepLines w:val="0"/>
              <w:suppressLineNumbers w:val="0"/>
              <w:autoSpaceDE w:val="0"/>
              <w:autoSpaceDN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其他符合性分析</w:t>
            </w:r>
          </w:p>
        </w:tc>
        <w:tc>
          <w:tcPr>
            <w:tcW w:w="7690" w:type="dxa"/>
            <w:gridSpan w:val="3"/>
            <w:vAlign w:val="center"/>
          </w:tcPr>
          <w:p>
            <w:pPr>
              <w:keepNext w:val="0"/>
              <w:keepLines w:val="0"/>
              <w:suppressLineNumbers w:val="0"/>
              <w:spacing w:before="0" w:beforeAutospacing="0" w:after="0" w:afterAutospacing="0"/>
              <w:ind w:left="0" w:right="0" w:firstLine="482"/>
              <w:rPr>
                <w:rFonts w:hint="default"/>
                <w:b/>
                <w:highlight w:val="none"/>
              </w:rPr>
            </w:pPr>
            <w:r>
              <w:rPr>
                <w:rFonts w:hint="eastAsia"/>
                <w:b/>
                <w:highlight w:val="none"/>
              </w:rPr>
              <w:t>1、产业政策符合性分析</w:t>
            </w:r>
          </w:p>
          <w:p>
            <w:pPr>
              <w:keepNext w:val="0"/>
              <w:keepLines w:val="0"/>
              <w:suppressLineNumbers w:val="0"/>
              <w:spacing w:before="0" w:beforeAutospacing="0" w:after="0" w:afterAutospacing="0"/>
              <w:ind w:left="0" w:right="0" w:firstLine="480"/>
              <w:rPr>
                <w:rFonts w:hint="default"/>
                <w:color w:val="auto"/>
                <w:highlight w:val="none"/>
                <w:u w:val="none"/>
              </w:rPr>
            </w:pPr>
            <w:r>
              <w:rPr>
                <w:rFonts w:hint="eastAsia"/>
                <w:color w:val="auto"/>
                <w:highlight w:val="none"/>
                <w:u w:val="none"/>
              </w:rPr>
              <w:t>本项目为沥青混凝土拌合站建设项目，为C3099其他非金属矿物制品制造，根据《产业结构调整指导目录（20</w:t>
            </w:r>
            <w:r>
              <w:rPr>
                <w:rFonts w:hint="eastAsia"/>
                <w:color w:val="auto"/>
                <w:highlight w:val="none"/>
                <w:u w:val="none"/>
                <w:lang w:val="en-US" w:eastAsia="zh-CN"/>
              </w:rPr>
              <w:t>24</w:t>
            </w:r>
            <w:r>
              <w:rPr>
                <w:rFonts w:hint="eastAsia"/>
                <w:color w:val="auto"/>
                <w:highlight w:val="none"/>
                <w:u w:val="none"/>
              </w:rPr>
              <w:t>年本》</w:t>
            </w:r>
            <w:r>
              <w:rPr>
                <w:rFonts w:hint="eastAsia"/>
                <w:color w:val="auto"/>
                <w:highlight w:val="none"/>
                <w:u w:val="none"/>
                <w:lang w:eastAsia="zh-CN"/>
              </w:rPr>
              <w:t>，</w:t>
            </w:r>
            <w:r>
              <w:rPr>
                <w:rFonts w:hint="eastAsia"/>
                <w:color w:val="auto"/>
                <w:highlight w:val="none"/>
                <w:u w:val="none"/>
                <w:lang w:val="en-US" w:eastAsia="zh-CN"/>
              </w:rPr>
              <w:t>本项目</w:t>
            </w:r>
            <w:r>
              <w:rPr>
                <w:rFonts w:hint="eastAsia"/>
                <w:color w:val="auto"/>
                <w:highlight w:val="none"/>
                <w:u w:val="none"/>
              </w:rPr>
              <w:t>不属于规定的鼓励类、淘汰类、限制类生产项目，属于允许类项目</w:t>
            </w:r>
            <w:r>
              <w:rPr>
                <w:rFonts w:hint="eastAsia"/>
                <w:color w:val="auto"/>
                <w:highlight w:val="none"/>
                <w:u w:val="none"/>
                <w:lang w:eastAsia="zh-CN"/>
              </w:rPr>
              <w:t>；</w:t>
            </w:r>
            <w:r>
              <w:rPr>
                <w:rFonts w:hint="eastAsia"/>
                <w:color w:val="auto"/>
                <w:highlight w:val="none"/>
                <w:u w:val="none"/>
              </w:rPr>
              <w:t>此外，本项目已取得富民县发展和改革局的投资项目备案证（附件</w:t>
            </w:r>
            <w:r>
              <w:rPr>
                <w:rFonts w:hint="eastAsia"/>
                <w:color w:val="auto"/>
                <w:highlight w:val="none"/>
                <w:u w:val="none"/>
                <w:lang w:val="en-US" w:eastAsia="zh-CN"/>
              </w:rPr>
              <w:t>2</w:t>
            </w:r>
            <w:r>
              <w:rPr>
                <w:rFonts w:hint="eastAsia"/>
                <w:color w:val="auto"/>
                <w:highlight w:val="none"/>
                <w:u w:val="none"/>
              </w:rPr>
              <w:t>），备案号为：2308-530124-04-01-783395。</w:t>
            </w:r>
          </w:p>
          <w:p>
            <w:pPr>
              <w:keepNext w:val="0"/>
              <w:keepLines w:val="0"/>
              <w:suppressLineNumbers w:val="0"/>
              <w:spacing w:before="0" w:beforeAutospacing="0" w:after="0" w:afterAutospacing="0"/>
              <w:ind w:left="0" w:right="0" w:firstLine="480"/>
              <w:rPr>
                <w:rFonts w:hint="default"/>
                <w:color w:val="auto"/>
                <w:highlight w:val="none"/>
                <w:u w:val="none"/>
              </w:rPr>
            </w:pPr>
            <w:r>
              <w:rPr>
                <w:rFonts w:hint="eastAsia"/>
                <w:color w:val="auto"/>
                <w:highlight w:val="none"/>
                <w:u w:val="none"/>
              </w:rPr>
              <w:t>因此，本项目符合国家及地方产业政策。</w:t>
            </w:r>
          </w:p>
          <w:p>
            <w:pPr>
              <w:keepNext w:val="0"/>
              <w:keepLines w:val="0"/>
              <w:suppressLineNumbers w:val="0"/>
              <w:spacing w:before="0" w:beforeAutospacing="0" w:after="0" w:afterAutospacing="0"/>
              <w:ind w:left="0" w:right="0" w:firstLine="480"/>
              <w:rPr>
                <w:rFonts w:hint="eastAsia"/>
                <w:b/>
                <w:highlight w:val="none"/>
              </w:rPr>
            </w:pPr>
            <w:r>
              <w:rPr>
                <w:rFonts w:hint="eastAsia"/>
                <w:b/>
                <w:highlight w:val="none"/>
              </w:rPr>
              <w:t>2、选址合理性分析</w:t>
            </w:r>
          </w:p>
          <w:p>
            <w:pPr>
              <w:keepNext w:val="0"/>
              <w:keepLines w:val="0"/>
              <w:suppressLineNumbers w:val="0"/>
              <w:spacing w:before="0" w:beforeAutospacing="0" w:after="0" w:afterAutospacing="0"/>
              <w:ind w:left="0" w:right="0" w:firstLine="480"/>
              <w:rPr>
                <w:rFonts w:hint="eastAsia"/>
                <w:b/>
              </w:rPr>
            </w:pPr>
            <w:r>
              <w:rPr>
                <w:rFonts w:hint="eastAsia"/>
                <w:b w:val="0"/>
                <w:bCs/>
                <w:highlight w:val="none"/>
              </w:rPr>
              <w:t>项目位于富民县散旦镇散旦村委会白水塘村石头山，</w:t>
            </w:r>
            <w:r>
              <w:rPr>
                <w:rFonts w:hint="eastAsia"/>
                <w:b w:val="0"/>
                <w:bCs/>
                <w:highlight w:val="none"/>
                <w:lang w:val="en-US" w:eastAsia="zh-CN"/>
              </w:rPr>
              <w:t>用地类型为二类工业用地，根据《富民县自然资源局“三调”成果地类审查及“三区三线”划定成果核对情况通知书》（附件6），本项目不涉及占用永久基本农田、不涉及占用生态保护红线、不涉及占用城镇开发边界。项目西侧为入厂道路，于厂区北</w:t>
            </w:r>
            <w:r>
              <w:rPr>
                <w:rFonts w:hint="eastAsia"/>
                <w:b w:val="0"/>
                <w:bCs/>
                <w:highlight w:val="none"/>
              </w:rPr>
              <w:t>侧约</w:t>
            </w:r>
            <w:r>
              <w:rPr>
                <w:rFonts w:hint="eastAsia"/>
                <w:b w:val="0"/>
                <w:bCs/>
                <w:highlight w:val="none"/>
                <w:lang w:val="en-US" w:eastAsia="zh-CN"/>
              </w:rPr>
              <w:t>483</w:t>
            </w:r>
            <w:r>
              <w:rPr>
                <w:rFonts w:hint="eastAsia"/>
                <w:b w:val="0"/>
                <w:bCs/>
                <w:highlight w:val="none"/>
              </w:rPr>
              <w:t>m处并入</w:t>
            </w:r>
            <w:r>
              <w:rPr>
                <w:rFonts w:hint="eastAsia"/>
                <w:b w:val="0"/>
                <w:bCs/>
                <w:highlight w:val="none"/>
                <w:lang w:val="en-US" w:eastAsia="zh-CN"/>
              </w:rPr>
              <w:t>东散公路</w:t>
            </w:r>
            <w:r>
              <w:rPr>
                <w:rFonts w:hint="eastAsia"/>
                <w:b w:val="0"/>
                <w:bCs/>
                <w:highlight w:val="none"/>
              </w:rPr>
              <w:t>，利于原料及产品的运输，交通便利，周边主要为道路</w:t>
            </w:r>
            <w:r>
              <w:rPr>
                <w:rFonts w:hint="eastAsia"/>
                <w:b w:val="0"/>
                <w:bCs/>
                <w:highlight w:val="none"/>
                <w:lang w:val="en-US" w:eastAsia="zh-CN"/>
              </w:rPr>
              <w:t>和耕地</w:t>
            </w:r>
            <w:r>
              <w:rPr>
                <w:rFonts w:hint="eastAsia"/>
                <w:b w:val="0"/>
                <w:bCs/>
                <w:highlight w:val="none"/>
              </w:rPr>
              <w:t>，距离环境保护目标较远，项目所在区域未发现国家及省级重点保护的野生动植物。项目周边环境保护目标为</w:t>
            </w:r>
            <w:r>
              <w:rPr>
                <w:rFonts w:hint="eastAsia"/>
                <w:b w:val="0"/>
                <w:bCs/>
                <w:highlight w:val="none"/>
                <w:lang w:val="en-US" w:eastAsia="zh-CN"/>
              </w:rPr>
              <w:t>北侧402m的白水塘村、</w:t>
            </w:r>
            <w:r>
              <w:rPr>
                <w:rFonts w:hint="eastAsia"/>
                <w:b w:val="0"/>
                <w:bCs/>
                <w:highlight w:val="none"/>
              </w:rPr>
              <w:t>西</w:t>
            </w:r>
            <w:r>
              <w:rPr>
                <w:rFonts w:hint="eastAsia"/>
                <w:b w:val="0"/>
                <w:bCs/>
                <w:highlight w:val="none"/>
                <w:lang w:val="en-US" w:eastAsia="zh-CN"/>
              </w:rPr>
              <w:t>北</w:t>
            </w:r>
            <w:r>
              <w:rPr>
                <w:rFonts w:hint="eastAsia"/>
                <w:b w:val="0"/>
                <w:bCs/>
                <w:highlight w:val="none"/>
              </w:rPr>
              <w:t>侧</w:t>
            </w:r>
            <w:r>
              <w:rPr>
                <w:rFonts w:hint="eastAsia"/>
                <w:b w:val="0"/>
                <w:bCs/>
                <w:highlight w:val="none"/>
                <w:lang w:val="en-US" w:eastAsia="zh-CN"/>
              </w:rPr>
              <w:t>432</w:t>
            </w:r>
            <w:r>
              <w:rPr>
                <w:rFonts w:hint="eastAsia"/>
                <w:b w:val="0"/>
                <w:bCs/>
                <w:highlight w:val="none"/>
              </w:rPr>
              <w:t>m处的散户，各污染物经采取本项目提出的治理措施处理后均能做的达标排放。因此，本项目选址合理。</w:t>
            </w:r>
          </w:p>
          <w:p>
            <w:pPr>
              <w:keepNext w:val="0"/>
              <w:keepLines w:val="0"/>
              <w:suppressLineNumbers w:val="0"/>
              <w:spacing w:before="0" w:beforeAutospacing="0" w:after="0" w:afterAutospacing="0"/>
              <w:ind w:left="0" w:right="0" w:firstLine="480"/>
              <w:rPr>
                <w:rFonts w:hint="eastAsia"/>
                <w:b w:val="0"/>
                <w:bCs/>
                <w:lang w:val="en-US" w:eastAsia="zh-CN"/>
              </w:rPr>
            </w:pPr>
            <w:r>
              <w:rPr>
                <w:rFonts w:hint="eastAsia"/>
                <w:b/>
                <w:bCs w:val="0"/>
                <w:lang w:val="en-US" w:eastAsia="zh-CN"/>
              </w:rPr>
              <w:t>3、平面布置合理性分析</w:t>
            </w:r>
          </w:p>
          <w:p>
            <w:pPr>
              <w:keepNext w:val="0"/>
              <w:keepLines w:val="0"/>
              <w:suppressLineNumbers w:val="0"/>
              <w:spacing w:before="0" w:beforeAutospacing="0" w:after="0" w:afterAutospacing="0"/>
              <w:ind w:left="0" w:right="0" w:firstLine="480"/>
              <w:rPr>
                <w:rFonts w:hint="eastAsia" w:eastAsia="宋体"/>
                <w:b w:val="0"/>
                <w:bCs/>
                <w:lang w:val="en-US" w:eastAsia="zh-CN"/>
              </w:rPr>
            </w:pPr>
            <w:r>
              <w:rPr>
                <w:rFonts w:hint="eastAsia"/>
                <w:b w:val="0"/>
                <w:bCs/>
                <w:lang w:val="en-US" w:eastAsia="zh-CN"/>
              </w:rPr>
              <w:t>本项目位于富民县散旦镇散旦村委会白水塘村石头山，项目由南侧入厂，由南到北依次布置为办公生活区、设备区、材料堆放区。厂房布局简单合理，功能区分工明确，平面布置较合理。</w:t>
            </w:r>
          </w:p>
          <w:p>
            <w:pPr>
              <w:keepNext w:val="0"/>
              <w:keepLines w:val="0"/>
              <w:suppressLineNumbers w:val="0"/>
              <w:spacing w:before="0" w:beforeAutospacing="0" w:after="0" w:afterAutospacing="0"/>
              <w:ind w:left="0" w:right="0" w:firstLine="482"/>
              <w:rPr>
                <w:rFonts w:hint="default"/>
                <w:b/>
              </w:rPr>
            </w:pPr>
            <w:r>
              <w:rPr>
                <w:rFonts w:hint="eastAsia"/>
                <w:b/>
                <w:lang w:val="en-US" w:eastAsia="zh-CN"/>
              </w:rPr>
              <w:t>4</w:t>
            </w:r>
            <w:r>
              <w:rPr>
                <w:rFonts w:hint="eastAsia"/>
                <w:b/>
              </w:rPr>
              <w:t>、“三线一单”符合性分析</w:t>
            </w:r>
          </w:p>
          <w:p>
            <w:pPr>
              <w:keepNext w:val="0"/>
              <w:keepLines w:val="0"/>
              <w:suppressLineNumbers w:val="0"/>
              <w:spacing w:before="0" w:beforeAutospacing="0" w:after="0" w:afterAutospacing="0"/>
              <w:ind w:left="0" w:right="0" w:firstLine="480"/>
              <w:rPr>
                <w:rFonts w:hint="default"/>
              </w:rPr>
            </w:pPr>
            <w:r>
              <w:rPr>
                <w:rFonts w:hint="eastAsia"/>
              </w:rPr>
              <w:t>2021年11月25日，昆明市人民政府发布了《昆明市人民政府关于昆明市“三线一单”生态环境分区管控的实施意见》（昆政发〔2021〕21号），本项目该意见中关于生态保护红线、环境质量底线、资源利用上线、生态环境准入清单及生态环境分区管控体系的基本情况及符合性分析见表1-</w:t>
            </w:r>
            <w:r>
              <w:rPr>
                <w:rFonts w:hint="eastAsia"/>
                <w:lang w:val="en-US" w:eastAsia="zh-CN"/>
              </w:rPr>
              <w:t>2</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表1-</w:t>
            </w:r>
            <w:r>
              <w:rPr>
                <w:rFonts w:hint="eastAsia"/>
                <w:lang w:val="en-US" w:eastAsia="zh-CN"/>
              </w:rPr>
              <w:t>2</w:t>
            </w:r>
            <w:r>
              <w:rPr>
                <w:rFonts w:hint="default"/>
              </w:rPr>
              <w:t xml:space="preserve">  本项目与《昆明市人民政府关于昆明市“三线一单”生态环境分区管控的实施意见》符合性分析一览表</w:t>
            </w:r>
          </w:p>
          <w:tbl>
            <w:tblPr>
              <w:tblStyle w:val="6"/>
              <w:tblW w:w="7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3188"/>
              <w:gridCol w:w="219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类别</w:t>
                  </w:r>
                </w:p>
              </w:tc>
              <w:tc>
                <w:tcPr>
                  <w:tcW w:w="31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要求</w:t>
                  </w:r>
                </w:p>
              </w:tc>
              <w:tc>
                <w:tcPr>
                  <w:tcW w:w="21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本项目</w:t>
                  </w:r>
                </w:p>
              </w:tc>
              <w:tc>
                <w:tcPr>
                  <w:tcW w:w="9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生态保护红线和一般生态空间</w:t>
                  </w:r>
                </w:p>
              </w:tc>
              <w:tc>
                <w:tcPr>
                  <w:tcW w:w="31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执行云南省人民政府发布的《云南省生态保护红线》，将未划入生态保护红线的自然保护地、饮用水水源保护区、重要湿地、基本草原、生态公益林、天然林等生态功能重要、生态环境敏感区域划为一般生态空间。</w:t>
                  </w:r>
                </w:p>
              </w:tc>
              <w:tc>
                <w:tcPr>
                  <w:tcW w:w="21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本项目位于富民县散旦镇散旦村委会白水塘村石头山，</w:t>
                  </w:r>
                  <w:r>
                    <w:rPr>
                      <w:rFonts w:hint="eastAsia"/>
                      <w:color w:val="auto"/>
                      <w:szCs w:val="20"/>
                      <w:highlight w:val="none"/>
                    </w:rPr>
                    <w:t>用地性质属于</w:t>
                  </w:r>
                  <w:r>
                    <w:rPr>
                      <w:rFonts w:hint="eastAsia"/>
                      <w:color w:val="auto"/>
                      <w:szCs w:val="20"/>
                      <w:highlight w:val="none"/>
                      <w:lang w:val="en-US" w:eastAsia="zh-CN"/>
                    </w:rPr>
                    <w:t>二类</w:t>
                  </w:r>
                  <w:r>
                    <w:rPr>
                      <w:rFonts w:hint="eastAsia"/>
                      <w:color w:val="auto"/>
                      <w:szCs w:val="20"/>
                      <w:highlight w:val="none"/>
                    </w:rPr>
                    <w:t>工业用地</w:t>
                  </w:r>
                  <w:r>
                    <w:rPr>
                      <w:rFonts w:hint="eastAsia"/>
                      <w:szCs w:val="20"/>
                    </w:rPr>
                    <w:t>，</w:t>
                  </w:r>
                  <w:r>
                    <w:rPr>
                      <w:rFonts w:hint="eastAsia"/>
                      <w:szCs w:val="20"/>
                      <w:lang w:val="en-US" w:eastAsia="zh-CN"/>
                    </w:rPr>
                    <w:t>根据《富民县自然资源局“三调”成果地类审查及“三区三线”划定成果核对情况通知书》（附件6），本项目</w:t>
                  </w:r>
                  <w:r>
                    <w:rPr>
                      <w:rFonts w:hint="eastAsia"/>
                      <w:szCs w:val="20"/>
                    </w:rPr>
                    <w:t>不涉及生态红线。</w:t>
                  </w:r>
                </w:p>
              </w:tc>
              <w:tc>
                <w:tcPr>
                  <w:tcW w:w="9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环境质量底线</w:t>
                  </w:r>
                </w:p>
              </w:tc>
              <w:tc>
                <w:tcPr>
                  <w:tcW w:w="31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到2035年，地表水体水质优良率全面提升，各监测断面水质达到水环境功能要求，消除劣Ⅴ类水体，集中式饮用水水源水质稳定达标。</w:t>
                  </w:r>
                </w:p>
              </w:tc>
              <w:tc>
                <w:tcPr>
                  <w:tcW w:w="21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highlight w:val="none"/>
                    </w:rPr>
                    <w:t>本项目</w:t>
                  </w:r>
                  <w:r>
                    <w:rPr>
                      <w:rFonts w:hint="eastAsia"/>
                      <w:szCs w:val="20"/>
                      <w:highlight w:val="none"/>
                      <w:lang w:val="en-US" w:eastAsia="zh-CN"/>
                    </w:rPr>
                    <w:t>无生产废水产生；</w:t>
                  </w:r>
                  <w:r>
                    <w:rPr>
                      <w:rFonts w:hint="eastAsia"/>
                      <w:szCs w:val="20"/>
                      <w:highlight w:val="none"/>
                    </w:rPr>
                    <w:t>食堂废水经自建隔油池（1.0m</w:t>
                  </w:r>
                  <w:r>
                    <w:rPr>
                      <w:rFonts w:hint="eastAsia"/>
                      <w:szCs w:val="20"/>
                      <w:highlight w:val="none"/>
                      <w:vertAlign w:val="superscript"/>
                    </w:rPr>
                    <w:t>3</w:t>
                  </w:r>
                  <w:r>
                    <w:rPr>
                      <w:rFonts w:hint="eastAsia"/>
                      <w:szCs w:val="20"/>
                      <w:highlight w:val="none"/>
                    </w:rPr>
                    <w:t>）处理后与其他办公废水一起进入化粪池（2.0m</w:t>
                  </w:r>
                  <w:r>
                    <w:rPr>
                      <w:rFonts w:hint="eastAsia"/>
                      <w:szCs w:val="20"/>
                      <w:highlight w:val="none"/>
                      <w:vertAlign w:val="superscript"/>
                    </w:rPr>
                    <w:t>3</w:t>
                  </w:r>
                  <w:r>
                    <w:rPr>
                      <w:rFonts w:hint="eastAsia"/>
                      <w:szCs w:val="20"/>
                      <w:highlight w:val="none"/>
                    </w:rPr>
                    <w:t>）处理，回用于</w:t>
                  </w:r>
                  <w:r>
                    <w:rPr>
                      <w:rFonts w:hint="eastAsia"/>
                      <w:szCs w:val="20"/>
                      <w:highlight w:val="none"/>
                      <w:lang w:eastAsia="zh-CN"/>
                    </w:rPr>
                    <w:t>洒水降尘</w:t>
                  </w:r>
                  <w:r>
                    <w:rPr>
                      <w:rFonts w:hint="eastAsia"/>
                      <w:szCs w:val="20"/>
                      <w:highlight w:val="none"/>
                    </w:rPr>
                    <w:t>，不外排。不会突破当地水环境质量底线。</w:t>
                  </w:r>
                </w:p>
              </w:tc>
              <w:tc>
                <w:tcPr>
                  <w:tcW w:w="9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31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到2025年，全市环境空气质量总体保持优良，主城建成区空气质量优良天数占比达99%以上，二氧化硫（SO</w:t>
                  </w:r>
                  <w:r>
                    <w:rPr>
                      <w:rFonts w:hint="eastAsia"/>
                      <w:szCs w:val="20"/>
                      <w:vertAlign w:val="subscript"/>
                    </w:rPr>
                    <w:t>2</w:t>
                  </w:r>
                  <w:r>
                    <w:rPr>
                      <w:rFonts w:hint="eastAsia"/>
                      <w:szCs w:val="20"/>
                    </w:rPr>
                    <w:t>）和氮氧化物（NO</w:t>
                  </w:r>
                  <w:r>
                    <w:rPr>
                      <w:rFonts w:hint="eastAsia"/>
                      <w:szCs w:val="20"/>
                      <w:vertAlign w:val="subscript"/>
                    </w:rPr>
                    <w:t>X</w:t>
                  </w:r>
                  <w:r>
                    <w:rPr>
                      <w:rFonts w:hint="eastAsia"/>
                      <w:szCs w:val="20"/>
                    </w:rPr>
                    <w:t>）排放总量控制在省下达的目标以内，主城区空气中颗粒物（PM</w:t>
                  </w:r>
                  <w:r>
                    <w:rPr>
                      <w:rFonts w:hint="eastAsia"/>
                      <w:szCs w:val="20"/>
                      <w:vertAlign w:val="subscript"/>
                    </w:rPr>
                    <w:t>10</w:t>
                  </w:r>
                  <w:r>
                    <w:rPr>
                      <w:rFonts w:hint="eastAsia"/>
                      <w:szCs w:val="20"/>
                    </w:rPr>
                    <w:t>、PM</w:t>
                  </w:r>
                  <w:r>
                    <w:rPr>
                      <w:rFonts w:hint="eastAsia"/>
                      <w:szCs w:val="20"/>
                      <w:vertAlign w:val="subscript"/>
                    </w:rPr>
                    <w:t>2.5</w:t>
                  </w:r>
                  <w:r>
                    <w:rPr>
                      <w:rFonts w:hint="eastAsia"/>
                      <w:szCs w:val="20"/>
                    </w:rPr>
                    <w:t>）稳定达《环境空气质量标准》二级标准以上。</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到2035年，全市环境空气质量全面改善，各县（市）区、开发（度假）区环境空气质量稳定达到国家二级标准。</w:t>
                  </w:r>
                </w:p>
              </w:tc>
              <w:tc>
                <w:tcPr>
                  <w:tcW w:w="21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项目区属于环境空气质量达标区，本项目建设排放的废气均经过有效治理，实现达标排放，满足区域环境质量要求，不会改变区域大气环境功能区划，对大气环境质量影响较小，不会突破当地环境质量底线。</w:t>
                  </w:r>
                </w:p>
              </w:tc>
              <w:tc>
                <w:tcPr>
                  <w:tcW w:w="9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资源利用上线</w:t>
                  </w:r>
                </w:p>
              </w:tc>
              <w:tc>
                <w:tcPr>
                  <w:tcW w:w="31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21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项目不属于高耗能行业，能源消耗较低，不新增用地，项目的建设符合资源利用上线要求。</w:t>
                  </w:r>
                </w:p>
              </w:tc>
              <w:tc>
                <w:tcPr>
                  <w:tcW w:w="9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bl>
          <w:p>
            <w:pPr>
              <w:keepNext w:val="0"/>
              <w:keepLines w:val="0"/>
              <w:suppressLineNumbers w:val="0"/>
              <w:spacing w:before="0" w:beforeAutospacing="0" w:after="0" w:afterAutospacing="0"/>
              <w:ind w:left="0" w:right="0" w:firstLine="480"/>
              <w:rPr>
                <w:rFonts w:hint="default"/>
              </w:rPr>
            </w:pPr>
            <w:r>
              <w:rPr>
                <w:rFonts w:hint="eastAsia"/>
              </w:rPr>
              <w:t>根据区域生态环境特征，结合生态、水、大气、土壤等环境要素保护需要，划分不同类型生态环境管控单元，明确总体管控和分类管控要求，制定各类管控单元生态环境准入清单，实施差别化生态环境管控措施，构建全省生态环境分区管控体系。</w:t>
            </w:r>
          </w:p>
          <w:p>
            <w:pPr>
              <w:keepNext w:val="0"/>
              <w:keepLines w:val="0"/>
              <w:suppressLineNumbers w:val="0"/>
              <w:spacing w:before="0" w:beforeAutospacing="0" w:after="0" w:afterAutospacing="0"/>
              <w:ind w:left="0" w:right="0" w:firstLine="480"/>
              <w:rPr>
                <w:rFonts w:hint="default"/>
              </w:rPr>
            </w:pPr>
            <w:r>
              <w:rPr>
                <w:rFonts w:hint="eastAsia"/>
              </w:rPr>
              <w:t>生态环境管控单元划分。全省共划分1164个生态环境管控单元，分为优先保护、重点管控和一般管控3类。</w:t>
            </w:r>
          </w:p>
          <w:p>
            <w:pPr>
              <w:keepNext w:val="0"/>
              <w:keepLines w:val="0"/>
              <w:suppressLineNumbers w:val="0"/>
              <w:spacing w:before="0" w:beforeAutospacing="0" w:after="0" w:afterAutospacing="0"/>
              <w:ind w:left="0" w:right="0" w:firstLine="480"/>
              <w:rPr>
                <w:rFonts w:hint="default"/>
              </w:rPr>
            </w:pPr>
            <w:r>
              <w:rPr>
                <w:rFonts w:hint="eastAsia"/>
              </w:rPr>
              <w:t>A.优先保护单元。共383个，包含生态保护红线和一般生态空间，主要分布在滇西北山区、南部边境山区、哀牢山和无量山、滇东南喀斯特石漠化防治区、金沙江干热河谷、高原湖泊湖区等重点生态功能区域。</w:t>
            </w:r>
          </w:p>
          <w:p>
            <w:pPr>
              <w:keepNext w:val="0"/>
              <w:keepLines w:val="0"/>
              <w:suppressLineNumbers w:val="0"/>
              <w:spacing w:before="0" w:beforeAutospacing="0" w:after="0" w:afterAutospacing="0"/>
              <w:ind w:left="0" w:right="0" w:firstLine="480"/>
              <w:rPr>
                <w:rFonts w:hint="default"/>
              </w:rPr>
            </w:pPr>
            <w:r>
              <w:rPr>
                <w:rFonts w:hint="eastAsia"/>
              </w:rPr>
              <w:t>B.重点管控单元。共652个，包含开发强度高、污染物排放强度大、环境问题相对集中的区域和大气环境布局敏感、弱扩散区等，主要分布在滇中城市群、九大高原湖泊流域、各类开发区和工业集中区、城镇规划区及环境质量改善压力较大的区域。</w:t>
            </w:r>
          </w:p>
          <w:p>
            <w:pPr>
              <w:keepNext w:val="0"/>
              <w:keepLines w:val="0"/>
              <w:suppressLineNumbers w:val="0"/>
              <w:spacing w:before="0" w:beforeAutospacing="0" w:after="0" w:afterAutospacing="0"/>
              <w:ind w:left="0" w:right="0" w:firstLine="480"/>
              <w:rPr>
                <w:rFonts w:hint="default"/>
              </w:rPr>
            </w:pPr>
            <w:r>
              <w:rPr>
                <w:rFonts w:hint="eastAsia"/>
              </w:rPr>
              <w:t>C.一般管控单元。共129个，为优先保护、重点管控单元之外的区域。</w:t>
            </w:r>
          </w:p>
          <w:p>
            <w:pPr>
              <w:keepNext w:val="0"/>
              <w:keepLines w:val="0"/>
              <w:suppressLineNumbers w:val="0"/>
              <w:spacing w:before="0" w:beforeAutospacing="0" w:after="0" w:afterAutospacing="0"/>
              <w:ind w:left="0" w:right="0" w:firstLine="480"/>
              <w:rPr>
                <w:rFonts w:hint="default"/>
              </w:rPr>
            </w:pPr>
            <w:r>
              <w:rPr>
                <w:rFonts w:hint="eastAsia"/>
                <w:highlight w:val="none"/>
              </w:rPr>
              <w:t>本项目</w:t>
            </w:r>
            <w:r>
              <w:rPr>
                <w:rFonts w:hint="eastAsia"/>
                <w:highlight w:val="none"/>
                <w:lang w:val="en-US" w:eastAsia="zh-CN"/>
              </w:rPr>
              <w:t>位于富民县散旦镇散旦村委会白水塘村石头山，</w:t>
            </w:r>
            <w:r>
              <w:rPr>
                <w:rFonts w:hint="eastAsia"/>
                <w:highlight w:val="none"/>
              </w:rPr>
              <w:t>属于富民县一般管控单元（编号ZH53012430001），与昆明市环境管控单元位置关系见附图</w:t>
            </w:r>
            <w:r>
              <w:rPr>
                <w:rFonts w:hint="eastAsia"/>
                <w:highlight w:val="none"/>
                <w:lang w:val="en-US" w:eastAsia="zh-CN"/>
              </w:rPr>
              <w:t>2</w:t>
            </w:r>
            <w:r>
              <w:rPr>
                <w:rFonts w:hint="eastAsia"/>
                <w:highlight w:val="none"/>
              </w:rPr>
              <w:t>。本项目与（昆政发[2021]21号）中生态环境准入清单的相符性分析见表1-</w:t>
            </w:r>
            <w:r>
              <w:rPr>
                <w:rFonts w:hint="eastAsia"/>
                <w:highlight w:val="none"/>
                <w:lang w:val="en-US" w:eastAsia="zh-CN"/>
              </w:rPr>
              <w:t>3</w:t>
            </w:r>
            <w:r>
              <w:rPr>
                <w:rFonts w:hint="eastAsia"/>
                <w:highlight w:val="none"/>
              </w:rPr>
              <w:t>。</w:t>
            </w:r>
          </w:p>
          <w:p>
            <w:pPr>
              <w:pStyle w:val="11"/>
              <w:keepNext w:val="0"/>
              <w:keepLines w:val="0"/>
              <w:widowControl/>
              <w:suppressLineNumbers w:val="0"/>
              <w:bidi w:val="0"/>
              <w:spacing w:beforeAutospacing="0" w:after="0" w:afterAutospacing="0"/>
              <w:ind w:left="0" w:right="0"/>
              <w:rPr>
                <w:rFonts w:hint="default"/>
              </w:rPr>
            </w:pPr>
            <w:r>
              <w:rPr>
                <w:rFonts w:hint="default"/>
              </w:rPr>
              <w:t>表1-</w:t>
            </w:r>
            <w:r>
              <w:rPr>
                <w:rFonts w:hint="eastAsia"/>
                <w:lang w:val="en-US" w:eastAsia="zh-CN"/>
              </w:rPr>
              <w:t>3</w:t>
            </w:r>
            <w:r>
              <w:rPr>
                <w:rFonts w:hint="default"/>
              </w:rPr>
              <w:t xml:space="preserve">  项目与（昆政发[2021]21号）中生态环境准入清单的相符性分析一览表</w:t>
            </w:r>
          </w:p>
          <w:tbl>
            <w:tblPr>
              <w:tblStyle w:val="6"/>
              <w:tblW w:w="7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38"/>
              <w:gridCol w:w="2924"/>
              <w:gridCol w:w="209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管控单元</w:t>
                  </w:r>
                </w:p>
              </w:tc>
              <w:tc>
                <w:tcPr>
                  <w:tcW w:w="36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管控要求</w:t>
                  </w:r>
                </w:p>
              </w:tc>
              <w:tc>
                <w:tcPr>
                  <w:tcW w:w="2094"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本项目</w:t>
                  </w:r>
                </w:p>
              </w:tc>
              <w:tc>
                <w:tcPr>
                  <w:tcW w:w="893"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富民县一般管控单元</w:t>
                  </w:r>
                </w:p>
              </w:tc>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空间布局约束</w:t>
                  </w:r>
                </w:p>
              </w:tc>
              <w:tc>
                <w:tcPr>
                  <w:tcW w:w="2924"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1.禁止在林地、河湖管理范围内新建、改建、扩建房地产开发项目。</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2.禁止围湖造田和侵占江河滩地。不得破坏珍稀野生动植物的重要栖息地，不得阻碍野生动物的重要迁徙通道。</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3.禁止猎捕国家重点保护陆生野生动物，因特殊需要捕猎的，按照国家有关法规办理。</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4.禁止企业向滩涂、沼泽、荒地等未利用地非法排污、倾倒有毒有害物质。</w:t>
                  </w:r>
                </w:p>
              </w:tc>
              <w:tc>
                <w:tcPr>
                  <w:tcW w:w="2094"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eastAsia="宋体"/>
                      <w:szCs w:val="20"/>
                      <w:lang w:val="en-US" w:eastAsia="zh-CN"/>
                    </w:rPr>
                  </w:pPr>
                  <w:r>
                    <w:rPr>
                      <w:rFonts w:hint="eastAsia"/>
                      <w:szCs w:val="20"/>
                    </w:rPr>
                    <w:t>1.本项目</w:t>
                  </w:r>
                  <w:r>
                    <w:rPr>
                      <w:rFonts w:hint="eastAsia"/>
                      <w:szCs w:val="20"/>
                      <w:lang w:val="en-US" w:eastAsia="zh-CN"/>
                    </w:rPr>
                    <w:t>用地类型为二类工业用地，不属于房地产开发项目。</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lang w:val="en-US" w:eastAsia="zh-CN"/>
                    </w:rPr>
                  </w:pPr>
                  <w:r>
                    <w:rPr>
                      <w:rFonts w:hint="eastAsia"/>
                      <w:szCs w:val="20"/>
                    </w:rPr>
                    <w:t>2.本项目</w:t>
                  </w:r>
                  <w:r>
                    <w:rPr>
                      <w:rFonts w:hint="eastAsia"/>
                      <w:szCs w:val="20"/>
                      <w:lang w:val="en-US" w:eastAsia="zh-CN"/>
                    </w:rPr>
                    <w:t>不涉及围湖造田和侵占江河滩地。不会破坏珍稀野生动植物的重要栖息地，不会阻碍野生动物的重要迁徙通道。</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lang w:val="en-US" w:eastAsia="zh-CN"/>
                    </w:rPr>
                  </w:pPr>
                  <w:r>
                    <w:rPr>
                      <w:rFonts w:hint="eastAsia"/>
                      <w:szCs w:val="20"/>
                      <w:lang w:val="en-US" w:eastAsia="zh-CN"/>
                    </w:rPr>
                    <w:t>3.本项目为沥青混凝土拌合站建设项目。不涉及猎捕国家重点保护陆生野生动物。</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lang w:val="en-US" w:eastAsia="zh-CN"/>
                    </w:rPr>
                  </w:pPr>
                  <w:r>
                    <w:rPr>
                      <w:rFonts w:hint="eastAsia"/>
                      <w:szCs w:val="20"/>
                      <w:lang w:val="en-US" w:eastAsia="zh-CN"/>
                    </w:rPr>
                    <w:t>4.本项目危险废物定期由有资质单位处置，不涉及向滩涂、沼泽、荒地等未利用地非法排污、倾倒有毒有害物质。</w:t>
                  </w:r>
                </w:p>
              </w:tc>
              <w:tc>
                <w:tcPr>
                  <w:tcW w:w="893"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污染物排放管控区</w:t>
                  </w:r>
                </w:p>
              </w:tc>
              <w:tc>
                <w:tcPr>
                  <w:tcW w:w="2924"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1.严格控制“两高”行业新增产能，新、改、扩建项目要实行产能等量或减量置换。</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highlight w:val="none"/>
                    </w:rPr>
                    <w:t>2.严格用地准入，工业用地及物流仓储用地供地前，国土部门需对拟供地块进行土壤环境状况调查，评估环境污染风险后方可供地。</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3.禁止使用小于最小网目尺寸的网具进行捕捞，未依法取得捕捞许可证擅自捕捞。</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4.受重金属污染物或者其他有毒有害污染的农用场地，达不到国家有关标准的，禁止种植使用农产品。禁止在禁渔区、禁渔期进行捕捞。</w:t>
                  </w:r>
                </w:p>
              </w:tc>
              <w:tc>
                <w:tcPr>
                  <w:tcW w:w="2094"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highlight w:val="yellow"/>
                      <w:lang w:val="en-US" w:eastAsia="zh-CN"/>
                    </w:rPr>
                  </w:pPr>
                  <w:r>
                    <w:rPr>
                      <w:rFonts w:hint="eastAsia"/>
                      <w:szCs w:val="20"/>
                      <w:highlight w:val="none"/>
                    </w:rPr>
                    <w:t>1</w:t>
                  </w:r>
                  <w:r>
                    <w:rPr>
                      <w:rFonts w:hint="eastAsia"/>
                      <w:szCs w:val="20"/>
                      <w:highlight w:val="none"/>
                      <w:lang w:val="en-US" w:eastAsia="zh-CN"/>
                    </w:rPr>
                    <w:t>.</w:t>
                  </w:r>
                  <w:r>
                    <w:rPr>
                      <w:rFonts w:hint="eastAsia"/>
                      <w:szCs w:val="20"/>
                      <w:highlight w:val="none"/>
                    </w:rPr>
                    <w:t>本项目</w:t>
                  </w:r>
                  <w:r>
                    <w:rPr>
                      <w:rFonts w:hint="eastAsia"/>
                      <w:szCs w:val="20"/>
                      <w:highlight w:val="none"/>
                      <w:lang w:val="en-US" w:eastAsia="zh-CN"/>
                    </w:rPr>
                    <w:t>为沥青混凝土拌合站建设项目，不属于“两高”行业。</w:t>
                  </w:r>
                </w:p>
                <w:p>
                  <w:pPr>
                    <w:pStyle w:val="9"/>
                    <w:keepNext w:val="0"/>
                    <w:keepLines w:val="0"/>
                    <w:framePr w:wrap="auto" w:vAnchor="margin" w:hAnchor="text" w:xAlign="left" w:yAlign="inline"/>
                    <w:widowControl/>
                    <w:numPr>
                      <w:ilvl w:val="0"/>
                      <w:numId w:val="0"/>
                    </w:numPr>
                    <w:suppressLineNumbers w:val="0"/>
                    <w:spacing w:before="0" w:beforeAutospacing="0" w:after="0" w:afterAutospacing="0"/>
                    <w:ind w:left="0" w:right="0"/>
                    <w:jc w:val="both"/>
                    <w:rPr>
                      <w:rFonts w:hint="eastAsia"/>
                      <w:szCs w:val="20"/>
                      <w:lang w:val="en-US" w:eastAsia="zh-CN"/>
                    </w:rPr>
                  </w:pPr>
                  <w:r>
                    <w:rPr>
                      <w:rFonts w:hint="eastAsia"/>
                      <w:szCs w:val="20"/>
                      <w:highlight w:val="none"/>
                      <w:lang w:val="en-US" w:eastAsia="zh-CN"/>
                    </w:rPr>
                    <w:t>2.本项目用地类型为二类工业用地，根据《富民县自然资源局“三调”成果地类审查及“三区三线”划定成果核对情况通知书》（附件6），本项目不涉及占用永久基本农田、不涉及占用生态保护红线、不涉及占用城镇开发边界，用地符合要求。</w:t>
                  </w:r>
                </w:p>
                <w:p>
                  <w:pPr>
                    <w:pStyle w:val="9"/>
                    <w:keepNext w:val="0"/>
                    <w:keepLines w:val="0"/>
                    <w:framePr w:wrap="auto" w:vAnchor="margin" w:hAnchor="text" w:xAlign="left" w:yAlign="inline"/>
                    <w:widowControl/>
                    <w:numPr>
                      <w:ilvl w:val="0"/>
                      <w:numId w:val="0"/>
                    </w:numPr>
                    <w:suppressLineNumbers w:val="0"/>
                    <w:spacing w:before="0" w:beforeAutospacing="0" w:after="0" w:afterAutospacing="0"/>
                    <w:ind w:left="0" w:right="0"/>
                    <w:jc w:val="both"/>
                    <w:rPr>
                      <w:rFonts w:hint="default"/>
                      <w:szCs w:val="20"/>
                      <w:lang w:val="en-US" w:eastAsia="zh-CN"/>
                    </w:rPr>
                  </w:pPr>
                  <w:r>
                    <w:rPr>
                      <w:rFonts w:hint="eastAsia"/>
                      <w:szCs w:val="20"/>
                      <w:lang w:val="en-US" w:eastAsia="zh-CN"/>
                    </w:rPr>
                    <w:t>3.本项目不涉及捕捞。</w:t>
                  </w:r>
                </w:p>
                <w:p>
                  <w:pPr>
                    <w:pStyle w:val="9"/>
                    <w:keepNext w:val="0"/>
                    <w:keepLines w:val="0"/>
                    <w:framePr w:wrap="auto" w:vAnchor="margin" w:hAnchor="text" w:xAlign="left" w:yAlign="inline"/>
                    <w:widowControl/>
                    <w:numPr>
                      <w:ilvl w:val="0"/>
                      <w:numId w:val="0"/>
                    </w:numPr>
                    <w:suppressLineNumbers w:val="0"/>
                    <w:spacing w:before="0" w:beforeAutospacing="0" w:after="0" w:afterAutospacing="0"/>
                    <w:ind w:left="0" w:right="0"/>
                    <w:jc w:val="both"/>
                    <w:rPr>
                      <w:rFonts w:hint="default"/>
                      <w:szCs w:val="20"/>
                      <w:lang w:val="en-US" w:eastAsia="zh-CN"/>
                    </w:rPr>
                  </w:pPr>
                  <w:r>
                    <w:rPr>
                      <w:rFonts w:hint="eastAsia"/>
                      <w:szCs w:val="20"/>
                      <w:lang w:val="en-US" w:eastAsia="zh-CN"/>
                    </w:rPr>
                    <w:t>4.本项目用地类型为二类工业用地，不涉及在农用地种植农产品；也不涉及捕捞。</w:t>
                  </w:r>
                </w:p>
              </w:tc>
              <w:tc>
                <w:tcPr>
                  <w:tcW w:w="893"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环境风险防控</w:t>
                  </w:r>
                </w:p>
              </w:tc>
              <w:tc>
                <w:tcPr>
                  <w:tcW w:w="2924"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1.严格限制《环境保护综合名录》（2017年）中“高污染、高环境风险”产品与工艺装备。</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2.禁止使用剧毒、高残留以及可能二次中毒的农药。</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3.严格污染场地开发利用和流转审批，在影响健康地块修复达标之前，禁止建设居民区、学校、医疗和养老机构。</w:t>
                  </w:r>
                </w:p>
              </w:tc>
              <w:tc>
                <w:tcPr>
                  <w:tcW w:w="2094"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eastAsia="宋体"/>
                      <w:szCs w:val="20"/>
                      <w:lang w:val="en-US" w:eastAsia="zh-CN"/>
                    </w:rPr>
                  </w:pPr>
                  <w:r>
                    <w:rPr>
                      <w:rFonts w:hint="eastAsia"/>
                      <w:szCs w:val="20"/>
                      <w:lang w:val="en-US" w:eastAsia="zh-CN"/>
                    </w:rPr>
                    <w:t>本项目不属于化工项目，本评价已提出企业按相关要求编制突发环境事件应急预案，并报当地生态环境主管部门备案。</w:t>
                  </w:r>
                </w:p>
              </w:tc>
              <w:tc>
                <w:tcPr>
                  <w:tcW w:w="893"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7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资源开发效率要求</w:t>
                  </w:r>
                </w:p>
              </w:tc>
              <w:tc>
                <w:tcPr>
                  <w:tcW w:w="2924"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1.禁止新建、改扩建《高耗水工艺、技术和装备淘汰目录》中项目，现有企业应限期关停退出。禁止建设不符合《云南省用水定额》标准的项目。</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2.新建、扩建和改建《禁止用地项目目录（2012年本）》（国土资发〔2012〕）中建设项目或者采用所列工艺技术、装备、规模的建设项目，国土资源管理部门和投资管理部门不得办理相关手续。</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3.新建、改建和扩建《产业结构调整指导目录（2019年本）》（发改委发〔2019〕29号）明令淘汰的落后工艺技术，装备或者生产明令淘汰产品的建设项目，国土资源管理部门和投资管理部门一律不得办理相关手续。</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4.新建、扩建和改建《限制用地项目目录（2012年本）》（国土资发〔2012〕）中建设项目，必须符合目录规定条件，国土资源管理部门和投资管理部门方可办理相关手续。</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default"/>
                      <w:szCs w:val="20"/>
                    </w:rPr>
                    <w:t>5.新建、改建、扩建工业项目投资强度、容积率、建筑系数、行政办公及生活服务设施用地所占比重应符合《工业项目建设用地控制指标》（国土资发〔2008〕24号）禁止生产高耗能落后设备产品，现有工业企业应限期关停退出。</w:t>
                  </w:r>
                </w:p>
              </w:tc>
              <w:tc>
                <w:tcPr>
                  <w:tcW w:w="2094"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lang w:val="en-US" w:eastAsia="zh-CN"/>
                    </w:rPr>
                  </w:pPr>
                  <w:r>
                    <w:rPr>
                      <w:rFonts w:hint="eastAsia"/>
                      <w:szCs w:val="20"/>
                      <w:lang w:val="en-US" w:eastAsia="zh-CN"/>
                    </w:rPr>
                    <w:t>1.本项目为沥青混凝土拌合站建设项目，不属于《高耗水工艺、技术和装备淘汰目录》中项目，本项目用水定额符合《云南省用水定额》。</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lang w:val="en-US" w:eastAsia="zh-CN"/>
                    </w:rPr>
                  </w:pPr>
                  <w:r>
                    <w:rPr>
                      <w:rFonts w:hint="eastAsia"/>
                      <w:szCs w:val="20"/>
                      <w:lang w:val="en-US" w:eastAsia="zh-CN"/>
                    </w:rPr>
                    <w:t>2.本项目不属于《禁止用地项目目录（2012年本）》（国土资发〔2012〕）中建设项目或者采用所列工艺技术、装备、规模的建设项目。</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lang w:val="en-US" w:eastAsia="zh-CN"/>
                    </w:rPr>
                  </w:pPr>
                  <w:r>
                    <w:rPr>
                      <w:rFonts w:hint="eastAsia"/>
                      <w:szCs w:val="20"/>
                      <w:lang w:val="en-US" w:eastAsia="zh-CN"/>
                    </w:rPr>
                    <w:t>3.本项目为沥青混凝土拌合站建设项目，为C3099其他非金属矿物制品制造，根据《产业结构调整指导目录（2024年本》，本项目不属于规定的鼓励类、淘汰类、限制类生产项目，属于允许类项目。</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lang w:val="en-US" w:eastAsia="zh-CN"/>
                    </w:rPr>
                  </w:pPr>
                  <w:r>
                    <w:rPr>
                      <w:rFonts w:hint="eastAsia"/>
                      <w:szCs w:val="20"/>
                      <w:lang w:val="en-US" w:eastAsia="zh-CN"/>
                    </w:rPr>
                    <w:t>4.本项目不属于《限制用地项目目录（2012年本）》（国土资发〔2012〕）中建设项目。</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lang w:val="en-US" w:eastAsia="zh-CN"/>
                    </w:rPr>
                  </w:pPr>
                  <w:r>
                    <w:rPr>
                      <w:rFonts w:hint="eastAsia"/>
                      <w:szCs w:val="20"/>
                      <w:lang w:val="en-US" w:eastAsia="zh-CN"/>
                    </w:rPr>
                    <w:t>5.本项目消耗能源主要为柴油和电能，年消耗量分别为700t/a、300万KW h，消耗量较小，不属于《工业项目建设用地控制指标》（国土资发〔2008〕24号）禁止生产高耗能落后设备产品。</w:t>
                  </w:r>
                </w:p>
              </w:tc>
              <w:tc>
                <w:tcPr>
                  <w:tcW w:w="893"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bl>
          <w:p>
            <w:pPr>
              <w:keepNext w:val="0"/>
              <w:keepLines w:val="0"/>
              <w:suppressLineNumbers w:val="0"/>
              <w:spacing w:before="0" w:beforeAutospacing="0" w:after="0" w:afterAutospacing="0"/>
              <w:ind w:left="0" w:right="0" w:firstLine="480"/>
              <w:rPr>
                <w:rFonts w:hint="default"/>
              </w:rPr>
            </w:pPr>
            <w:r>
              <w:rPr>
                <w:rFonts w:hint="eastAsia"/>
              </w:rPr>
              <w:t>综上，项目符合《昆明市人民政府关于昆明市“三线一单”生态环境分区管控的实施意见》（昆政发〔2021〕21号）“三线一单”管理要求。</w:t>
            </w:r>
          </w:p>
          <w:p>
            <w:pPr>
              <w:keepNext w:val="0"/>
              <w:keepLines w:val="0"/>
              <w:suppressLineNumbers w:val="0"/>
              <w:spacing w:before="0" w:beforeAutospacing="0" w:after="0" w:afterAutospacing="0"/>
              <w:ind w:left="0" w:right="0" w:firstLine="482"/>
              <w:rPr>
                <w:rFonts w:hint="default"/>
              </w:rPr>
            </w:pPr>
            <w:r>
              <w:rPr>
                <w:rFonts w:hint="eastAsia"/>
                <w:b/>
              </w:rPr>
              <w:t>4、与《云南省长江经济带发展负面清单指南实施细则（试行）》相符性分析</w:t>
            </w:r>
          </w:p>
          <w:p>
            <w:pPr>
              <w:keepNext w:val="0"/>
              <w:keepLines w:val="0"/>
              <w:suppressLineNumbers w:val="0"/>
              <w:spacing w:before="0" w:beforeAutospacing="0" w:after="0" w:afterAutospacing="0"/>
              <w:ind w:left="0" w:right="0" w:firstLine="480"/>
              <w:rPr>
                <w:rFonts w:hint="default"/>
              </w:rPr>
            </w:pPr>
            <w:r>
              <w:rPr>
                <w:rFonts w:hint="eastAsia"/>
              </w:rPr>
              <w:t>根据云南省推动长江经济带发展领导小组办公室关于印发《云南省长江经济带发展负面清单指南实施细则（试行）》的通知。项目与《云南省长江经济带负面清单指南实施细则（试行）》详见表1-</w:t>
            </w:r>
            <w:r>
              <w:rPr>
                <w:rFonts w:hint="eastAsia"/>
                <w:lang w:val="en-US" w:eastAsia="zh-CN"/>
              </w:rPr>
              <w:t>4</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表1-</w:t>
            </w:r>
            <w:r>
              <w:rPr>
                <w:rFonts w:hint="eastAsia"/>
                <w:lang w:val="en-US" w:eastAsia="zh-CN"/>
              </w:rPr>
              <w:t>4</w:t>
            </w:r>
            <w:r>
              <w:rPr>
                <w:rFonts w:hint="default"/>
              </w:rPr>
              <w:t xml:space="preserve">  项目与《云南省长江经济带负面清单指南实施细则（试行）》符合性分析一览表</w:t>
            </w:r>
          </w:p>
          <w:tbl>
            <w:tblPr>
              <w:tblStyle w:val="6"/>
              <w:tblW w:w="7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228"/>
              <w:gridCol w:w="2806"/>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序号</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相关要求</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本项目</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46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b/>
                      <w:szCs w:val="20"/>
                    </w:rPr>
                    <w:t>一、各类功能区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（一）禁止一切不符合主体功能定位的投资建设项目，严禁任意改变用途，因国家重大战略资源勘查需要，在不影响主体功能定位的前提下，经依法批准后予以安排勘查项目。</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项目所在地规划为二类工业用地，符合主体功能定位。</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2</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二）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本项目不在长江岸线保护和开发利用总体规划》及《全国重要江河湖泊水功能区划》范围内。</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3</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三）禁止在生态保护红线范围内投资建设除国家重大战略资源勘查项目、生态保护修复和环境治理项目、重大基础设施项目、军事国防项目以及农牧民基本生产生活等必要的民生项目以外的项目。生态保护红线原则上按禁止开发区域的要求进行管理。</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项目所在地规划为二类工业用地，项目建设地块不涉及生态红线范围。</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4</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五）禁止擅自占用和调整已经划定的永久基本农田特别是城市周边永久基本农田，不得多预留永久基本农田为建设占用留有空间，严禁通过擅自整县乡土地利用总体规划规避占用永久基本农田的审批，严禁未经审批违法违规占用。禁止在永久基本农田范围内建窑、建房、建坟、挖沙、采石、采矿、取土、堆放固体废弃物或者进行其他破坏永久基本农田的活动;禁止任何单位和个人破坏永久基本农田耕作层;禁止任何单位和个人闲置、荒芜永久基本农田。禁止以设施农用地为名违规占用永久基本农田建设休闲旅游、仓储厂房等设施，坚决防止永久基本农田“非农化”。</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项目所在地规划为二类工业用地，不占用基本农田。</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5</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（六）禁止在金沙江、长江一级支流建设除党中央、国务院、国家投资主管部、省级有部门批复同意以外的过江基础设施项目。</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项目不在金沙江、长江一级支流范围内。</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b/>
                      <w:szCs w:val="20"/>
                    </w:rPr>
                    <w:t>二、各类保护区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6</w:t>
                  </w:r>
                </w:p>
              </w:tc>
              <w:tc>
                <w:tcPr>
                  <w:tcW w:w="60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项目的建设不涉及基本农田、生态红线、饮用水源保护区、自然保护区、风景名胜区等各类保护区。</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b/>
                      <w:szCs w:val="20"/>
                    </w:rPr>
                    <w:t>三、工业布局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7</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十一）禁止在金沙江、长江一级支流岸线边界1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项目不在金沙江、长江一级支流岸线边界1公里范围内。</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8</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（十二）禁止新建不符合非煤矿山转型升级有关准入标准的非煤矿山。禁止在金沙江岸线3公里、长江一级支流岸线1公里范围内新建、改建、扩建尾矿库。</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项目不属于非煤矿山转型升级及尾矿库项目。</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9</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十三）禁止在合规园区（详见附件2）外新建、扩建钢铁、石化、化工、焦化、建材、有色等高污染项目。禁止新增钢铁、水泥、平板玻璃等行业建设产能，确有必要建设的，应按规定实施产能等量或减量置换。</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w:t>
                  </w:r>
                  <w:r>
                    <w:rPr>
                      <w:rFonts w:hint="eastAsia"/>
                      <w:szCs w:val="20"/>
                      <w:lang w:val="en-US" w:eastAsia="zh-CN"/>
                    </w:rPr>
                    <w:t>为沥青混凝土搅拌站建设项目，不属于</w:t>
                  </w:r>
                  <w:r>
                    <w:rPr>
                      <w:rFonts w:hint="eastAsia"/>
                      <w:szCs w:val="20"/>
                    </w:rPr>
                    <w:t>钢铁、石化、化工、焦化、建材、有色等高污染项目</w:t>
                  </w:r>
                  <w:r>
                    <w:rPr>
                      <w:rFonts w:hint="eastAsia"/>
                      <w:szCs w:val="20"/>
                      <w:lang w:eastAsia="zh-CN"/>
                    </w:rPr>
                    <w:t>，</w:t>
                  </w:r>
                  <w:r>
                    <w:rPr>
                      <w:rFonts w:hint="eastAsia"/>
                      <w:szCs w:val="20"/>
                      <w:lang w:val="en-US" w:eastAsia="zh-CN"/>
                    </w:rPr>
                    <w:t>不属于</w:t>
                  </w:r>
                  <w:r>
                    <w:rPr>
                      <w:rFonts w:hint="eastAsia"/>
                      <w:szCs w:val="20"/>
                    </w:rPr>
                    <w:t>钢铁、水泥、平板玻璃等行业</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10</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（十四）禁止新建、扩建不符合国家石化、现代煤化工等产业布局规划的项目。</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项目不属于国家石化、现代煤化工等产业。</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11</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十五）禁止新建、扩建法律法规和相关政策明令禁止的落后产能项目，依法依规淘汰不符合要求的电石炉及开放式电石炉、无化产回收的单一炼焦生产设施，依法依规淘汰不符合要求的硫铁矿制酸、硫磺制酸、黄磷生产、有钙焙烧铬化合物生产装置和有机—无机复混肥料、过磷酸钙和钙镁磷肥生产线。</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根据《产业结构调整指导目录</w:t>
                  </w:r>
                  <w:r>
                    <w:rPr>
                      <w:rFonts w:hint="eastAsia"/>
                      <w:szCs w:val="20"/>
                      <w:lang w:eastAsia="zh-CN"/>
                    </w:rPr>
                    <w:t>（</w:t>
                  </w:r>
                  <w:r>
                    <w:rPr>
                      <w:rFonts w:hint="eastAsia"/>
                      <w:szCs w:val="20"/>
                      <w:lang w:val="en-US" w:eastAsia="zh-CN"/>
                    </w:rPr>
                    <w:t>2024年本</w:t>
                  </w:r>
                  <w:r>
                    <w:rPr>
                      <w:rFonts w:hint="eastAsia"/>
                      <w:szCs w:val="20"/>
                      <w:lang w:eastAsia="zh-CN"/>
                    </w:rPr>
                    <w:t>）</w:t>
                  </w:r>
                  <w:r>
                    <w:rPr>
                      <w:rFonts w:hint="eastAsia"/>
                      <w:szCs w:val="20"/>
                    </w:rPr>
                    <w:t>》的有关规定，项目不属于鼓励类、限制类和淘汰类，为允许类。此外，</w:t>
                  </w:r>
                  <w:r>
                    <w:rPr>
                      <w:rFonts w:hint="eastAsia"/>
                      <w:szCs w:val="20"/>
                      <w:highlight w:val="none"/>
                    </w:rPr>
                    <w:t>本项目已取得富民县发展和改革局的投资项目备案证，备案号为：2308-530124-04-01-783395。</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12</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（十六）禁止建设高毒高残留以及对环境影响大的农药原药生产装置，严格控制尿素、磷铵、电石、焦炭、黄磷、烧碱、纯碱、聚氯乙烯等行业新增产能。</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项目不属于高毒高残留以及对环境影响大的项目。</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13</w:t>
                  </w:r>
                </w:p>
              </w:tc>
              <w:tc>
                <w:tcPr>
                  <w:tcW w:w="322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十七）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2806"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项目不属于列入《云南省城镇人口密集区危险化学品生产企业搬迁改造名单》的搬迁改造企业在原址新建、扩建危险化学品生产项目。</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bl>
          <w:p>
            <w:pPr>
              <w:keepNext w:val="0"/>
              <w:keepLines w:val="0"/>
              <w:suppressLineNumbers w:val="0"/>
              <w:spacing w:before="0" w:beforeAutospacing="0" w:after="0" w:afterAutospacing="0"/>
              <w:ind w:left="0" w:right="0" w:firstLine="480"/>
              <w:rPr>
                <w:rFonts w:hint="default"/>
              </w:rPr>
            </w:pPr>
            <w:r>
              <w:rPr>
                <w:rFonts w:hint="eastAsia"/>
              </w:rPr>
              <w:t>综上，项目符合《云南省长江经济带发展负面清单指南实施细则（试行）》的要求。</w:t>
            </w:r>
          </w:p>
          <w:p>
            <w:pPr>
              <w:keepNext w:val="0"/>
              <w:keepLines w:val="0"/>
              <w:suppressLineNumbers w:val="0"/>
              <w:spacing w:before="0" w:beforeAutospacing="0" w:after="0" w:afterAutospacing="0"/>
              <w:ind w:left="0" w:right="0" w:firstLine="480"/>
              <w:rPr>
                <w:rFonts w:hint="eastAsia"/>
                <w:lang w:val="en-US" w:eastAsia="zh-CN"/>
              </w:rPr>
            </w:pPr>
            <w:r>
              <w:rPr>
                <w:rFonts w:hint="eastAsia"/>
                <w:b/>
                <w:bCs/>
                <w:lang w:val="en-US" w:eastAsia="zh-CN"/>
              </w:rPr>
              <w:t>5、与《中华人民共和国大气污染防治法》相关要求符合性分析</w:t>
            </w:r>
          </w:p>
          <w:p>
            <w:pPr>
              <w:keepNext w:val="0"/>
              <w:keepLines w:val="0"/>
              <w:suppressLineNumbers w:val="0"/>
              <w:spacing w:before="0" w:beforeAutospacing="0" w:after="0" w:afterAutospacing="0"/>
              <w:ind w:left="0" w:right="0" w:firstLine="480"/>
              <w:rPr>
                <w:rFonts w:hint="eastAsia"/>
                <w:lang w:val="en-US" w:eastAsia="zh-CN"/>
              </w:rPr>
            </w:pPr>
            <w:r>
              <w:rPr>
                <w:rFonts w:hint="eastAsia"/>
                <w:lang w:val="en-US" w:eastAsia="zh-CN"/>
              </w:rPr>
              <w:t>根据《中华人民共和国大气污染防治法》相关要求，本项目大气污染防治法相关要求符合性分析见表1-5。</w:t>
            </w:r>
          </w:p>
          <w:p>
            <w:pPr>
              <w:pStyle w:val="11"/>
              <w:keepNext w:val="0"/>
              <w:keepLines w:val="0"/>
              <w:widowControl/>
              <w:suppressLineNumbers w:val="0"/>
              <w:bidi w:val="0"/>
              <w:spacing w:beforeAutospacing="0" w:after="0" w:afterAutospacing="0"/>
              <w:ind w:left="0" w:right="0"/>
              <w:rPr>
                <w:rFonts w:hint="default"/>
                <w:lang w:val="en-US" w:eastAsia="zh-CN"/>
              </w:rPr>
            </w:pPr>
            <w:r>
              <w:rPr>
                <w:rFonts w:hint="eastAsia"/>
                <w:lang w:val="en-US" w:eastAsia="zh-CN"/>
              </w:rPr>
              <w:t>表1-5  本项目与《中华人民共和国大气污染防治法》符合性分析</w:t>
            </w:r>
          </w:p>
          <w:tbl>
            <w:tblPr>
              <w:tblStyle w:val="6"/>
              <w:tblW w:w="73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20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5"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rPr>
                  </w:pPr>
                  <w:r>
                    <w:rPr>
                      <w:rFonts w:hint="default"/>
                      <w:b/>
                      <w:bCs/>
                      <w:szCs w:val="20"/>
                    </w:rPr>
                    <w:t>序号</w:t>
                  </w:r>
                </w:p>
              </w:tc>
              <w:tc>
                <w:tcPr>
                  <w:tcW w:w="5206"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rPr>
                  </w:pPr>
                  <w:r>
                    <w:rPr>
                      <w:rFonts w:hint="default"/>
                      <w:b/>
                      <w:bCs/>
                      <w:szCs w:val="20"/>
                      <w:lang w:eastAsia="zh-CN"/>
                    </w:rPr>
                    <w:t>污染控制区</w:t>
                  </w:r>
                  <w:r>
                    <w:rPr>
                      <w:rFonts w:hint="default"/>
                      <w:b/>
                      <w:bCs/>
                      <w:szCs w:val="20"/>
                    </w:rPr>
                    <w:t>内禁止行为</w:t>
                  </w:r>
                </w:p>
              </w:tc>
              <w:tc>
                <w:tcPr>
                  <w:tcW w:w="1547"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rPr>
                  </w:pPr>
                  <w:r>
                    <w:rPr>
                      <w:rFonts w:hint="default"/>
                      <w:b/>
                      <w:bCs/>
                      <w:szCs w:val="2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5"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w:t>
                  </w:r>
                </w:p>
              </w:tc>
              <w:tc>
                <w:tcPr>
                  <w:tcW w:w="5206"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eastAsia="zh-CN"/>
                    </w:rPr>
                  </w:pPr>
                  <w:r>
                    <w:rPr>
                      <w:rFonts w:hint="eastAsia"/>
                      <w:szCs w:val="20"/>
                    </w:rPr>
                    <w:t>第七条</w:t>
                  </w:r>
                  <w:r>
                    <w:rPr>
                      <w:rFonts w:hint="eastAsia"/>
                      <w:szCs w:val="20"/>
                      <w:lang w:val="en-US" w:eastAsia="zh-CN"/>
                    </w:rPr>
                    <w:t xml:space="preserve"> </w:t>
                  </w:r>
                  <w:r>
                    <w:rPr>
                      <w:rFonts w:hint="eastAsia"/>
                      <w:szCs w:val="20"/>
                    </w:rPr>
                    <w:t>企业事业单位和其他生产经营者应当采取有效措施，防止、减少大气污染，对所造成的损害依法承担责任</w:t>
                  </w:r>
                </w:p>
              </w:tc>
              <w:tc>
                <w:tcPr>
                  <w:tcW w:w="1547" w:type="dxa"/>
                  <w:vMerge w:val="restart"/>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项目产生的废气污染物经采取本环评提出的措施处置后能达标排放且排放量较小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5"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w:t>
                  </w:r>
                </w:p>
              </w:tc>
              <w:tc>
                <w:tcPr>
                  <w:tcW w:w="5206"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rPr>
                  </w:pPr>
                  <w:r>
                    <w:rPr>
                      <w:rFonts w:hint="eastAsia"/>
                      <w:szCs w:val="20"/>
                    </w:rPr>
                    <w:t>第十八条</w:t>
                  </w:r>
                  <w:r>
                    <w:rPr>
                      <w:rFonts w:hint="eastAsia"/>
                      <w:szCs w:val="20"/>
                      <w:lang w:val="en-US" w:eastAsia="zh-CN"/>
                    </w:rPr>
                    <w:t xml:space="preserve"> </w:t>
                  </w:r>
                  <w:r>
                    <w:rPr>
                      <w:rFonts w:hint="eastAsia"/>
                      <w:szCs w:val="20"/>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1547" w:type="dxa"/>
                  <w:vMerge w:val="continue"/>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5"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3</w:t>
                  </w:r>
                </w:p>
              </w:tc>
              <w:tc>
                <w:tcPr>
                  <w:tcW w:w="5206"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rPr>
                  </w:pPr>
                  <w:r>
                    <w:rPr>
                      <w:rFonts w:hint="eastAsia"/>
                      <w:szCs w:val="20"/>
                      <w:lang w:val="en-US" w:eastAsia="zh-CN"/>
                    </w:rPr>
                    <w:t>第二十条 企业事业单位和其他生产经营者向大气排放污染物的，应当依照法律法规和国务院环境保护主管部门的规定设置大气污染物排放口。禁止通过偷排、篡改或者伪造监测数据、以逃避现场检查为目的的临时停产、非紧急情况下开启应急排放通道、不正常运行大气污染防治设施等逃避监管的方式排放大气污染物</w:t>
                  </w:r>
                </w:p>
              </w:tc>
              <w:tc>
                <w:tcPr>
                  <w:tcW w:w="1547"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highlight w:val="none"/>
                      <w:lang w:val="en-US" w:eastAsia="zh-CN"/>
                    </w:rPr>
                  </w:pPr>
                  <w:r>
                    <w:rPr>
                      <w:rFonts w:hint="eastAsia"/>
                      <w:szCs w:val="20"/>
                      <w:highlight w:val="none"/>
                      <w:lang w:val="en-US" w:eastAsia="zh-CN"/>
                    </w:rPr>
                    <w:t>项目设置3个废气排放口，废气经各自处理设施处理后达标排放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5"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eastAsia="zh-CN"/>
                    </w:rPr>
                  </w:pPr>
                  <w:r>
                    <w:rPr>
                      <w:rFonts w:hint="eastAsia"/>
                      <w:szCs w:val="20"/>
                      <w:lang w:val="en-US" w:eastAsia="zh-CN"/>
                    </w:rPr>
                    <w:t>4</w:t>
                  </w:r>
                </w:p>
              </w:tc>
              <w:tc>
                <w:tcPr>
                  <w:tcW w:w="5206"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rPr>
                  </w:pPr>
                  <w:r>
                    <w:rPr>
                      <w:rFonts w:hint="eastAsia"/>
                      <w:szCs w:val="20"/>
                    </w:rPr>
                    <w:t>第三十二条</w:t>
                  </w:r>
                  <w:r>
                    <w:rPr>
                      <w:rFonts w:hint="eastAsia"/>
                      <w:szCs w:val="20"/>
                      <w:lang w:val="en-US" w:eastAsia="zh-CN"/>
                    </w:rPr>
                    <w:t xml:space="preserve"> </w:t>
                  </w:r>
                  <w:r>
                    <w:rPr>
                      <w:rFonts w:hint="eastAsia"/>
                      <w:szCs w:val="20"/>
                    </w:rPr>
                    <w:t>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tc>
              <w:tc>
                <w:tcPr>
                  <w:tcW w:w="1547"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rPr>
                  </w:pPr>
                  <w:r>
                    <w:rPr>
                      <w:rFonts w:hint="default"/>
                      <w:szCs w:val="20"/>
                    </w:rPr>
                    <w:t>本项目</w:t>
                  </w:r>
                  <w:r>
                    <w:rPr>
                      <w:rFonts w:hint="eastAsia"/>
                      <w:szCs w:val="20"/>
                      <w:lang w:val="en-US" w:eastAsia="zh-CN"/>
                    </w:rPr>
                    <w:t>为沥青混凝土建设项目，运营过程中使用柴油、水、电，不使用燃煤</w:t>
                  </w:r>
                  <w:r>
                    <w:rPr>
                      <w:rFonts w:hint="default"/>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5"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eastAsia="zh-CN"/>
                    </w:rPr>
                  </w:pPr>
                  <w:r>
                    <w:rPr>
                      <w:rFonts w:hint="eastAsia"/>
                      <w:szCs w:val="20"/>
                      <w:lang w:val="en-US" w:eastAsia="zh-CN"/>
                    </w:rPr>
                    <w:t>5</w:t>
                  </w:r>
                </w:p>
              </w:tc>
              <w:tc>
                <w:tcPr>
                  <w:tcW w:w="5206"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rPr>
                  </w:pPr>
                  <w:r>
                    <w:rPr>
                      <w:rFonts w:hint="eastAsia"/>
                      <w:szCs w:val="20"/>
                    </w:rPr>
                    <w:t>第四十三条</w:t>
                  </w:r>
                  <w:r>
                    <w:rPr>
                      <w:rFonts w:hint="eastAsia"/>
                      <w:szCs w:val="20"/>
                      <w:lang w:val="en-US" w:eastAsia="zh-CN"/>
                    </w:rPr>
                    <w:t xml:space="preserve"> </w:t>
                  </w:r>
                  <w:r>
                    <w:rPr>
                      <w:rFonts w:hint="eastAsia"/>
                      <w:szCs w:val="20"/>
                    </w:rPr>
                    <w:t>钢铁、建材、有色金属、石油、化工等企业生产过程中排放粉尘、硫化物和氮氧化物的，应当采用清洁生产工艺，配套建设除尘、脱硫、脱硝等装置，或者采取技术改造等其他控制大气污染物排放的措施。</w:t>
                  </w:r>
                </w:p>
              </w:tc>
              <w:tc>
                <w:tcPr>
                  <w:tcW w:w="1547"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rPr>
                  </w:pPr>
                  <w:r>
                    <w:rPr>
                      <w:rFonts w:hint="eastAsia"/>
                      <w:szCs w:val="20"/>
                      <w:lang w:val="en-US" w:eastAsia="zh-CN"/>
                    </w:rPr>
                    <w:t>项目使用柴油为燃料，采用低氮燃烧技术，产生的二氧化硫、氮氧化物较少，均采取措施治理后能够达标排放</w:t>
                  </w:r>
                  <w:r>
                    <w:rPr>
                      <w:rFonts w:hint="default"/>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5"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w:t>
                  </w:r>
                </w:p>
              </w:tc>
              <w:tc>
                <w:tcPr>
                  <w:tcW w:w="5206"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rPr>
                  </w:pPr>
                  <w:r>
                    <w:rPr>
                      <w:rFonts w:hint="eastAsia"/>
                      <w:szCs w:val="20"/>
                      <w:lang w:val="en-US" w:eastAsia="zh-CN"/>
                    </w:rPr>
                    <w:t>第四十八条 钢铁、建材、有色金属、石油、化工、制药、矿产开采等企业，应当加强精细化管理，采取集中收集处理等措施，严格控制粉尘和气态污染物的排放。工业生产企业应当采取密闭、围挡、遮盖、清扫、洒水等措施，减少内部物料的堆存、传输、装卸等环节产生的粉尘和气态污染物的排放。</w:t>
                  </w:r>
                </w:p>
              </w:tc>
              <w:tc>
                <w:tcPr>
                  <w:tcW w:w="1547" w:type="dxa"/>
                  <w:vMerge w:val="restart"/>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项目设置原料库，并配套洒水降尘设施，可有效降低原料堆存、装卸过程中产生的粉尘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5"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eastAsia="zh-CN"/>
                    </w:rPr>
                  </w:pPr>
                  <w:r>
                    <w:rPr>
                      <w:rFonts w:hint="eastAsia"/>
                      <w:szCs w:val="20"/>
                      <w:lang w:val="en-US" w:eastAsia="zh-CN"/>
                    </w:rPr>
                    <w:t>7</w:t>
                  </w:r>
                </w:p>
              </w:tc>
              <w:tc>
                <w:tcPr>
                  <w:tcW w:w="5206"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rPr>
                  </w:pPr>
                  <w:r>
                    <w:rPr>
                      <w:rFonts w:hint="eastAsia"/>
                      <w:szCs w:val="20"/>
                      <w:lang w:val="en-US" w:eastAsia="zh-CN"/>
                    </w:rPr>
                    <w:t>第七十二条 贮存煤炭、煤矸石、煤渣、煤灰、水泥、石灰、石膏、砂土等易产生扬尘的物料应当密闭；不能密闭的，应当设置不低于堆放物高度的严密围挡，并采取有效覆盖措施防治扬尘污染。</w:t>
                  </w:r>
                </w:p>
              </w:tc>
              <w:tc>
                <w:tcPr>
                  <w:tcW w:w="1547" w:type="dxa"/>
                  <w:vMerge w:val="continue"/>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rPr>
                  </w:pPr>
                </w:p>
              </w:tc>
            </w:tr>
          </w:tbl>
          <w:p>
            <w:pPr>
              <w:keepNext w:val="0"/>
              <w:keepLines w:val="0"/>
              <w:suppressLineNumbers w:val="0"/>
              <w:spacing w:before="0" w:beforeAutospacing="0" w:after="0" w:afterAutospacing="0"/>
              <w:ind w:left="0" w:right="0" w:firstLine="480"/>
              <w:rPr>
                <w:rFonts w:hint="default" w:eastAsia="宋体"/>
                <w:lang w:val="en-US" w:eastAsia="zh-CN"/>
              </w:rPr>
            </w:pPr>
            <w:r>
              <w:rPr>
                <w:rFonts w:hint="eastAsia"/>
                <w:lang w:val="en-US" w:eastAsia="zh-CN"/>
              </w:rPr>
              <w:t>综上，本项目符合《中华人民共和国大气污染防治法》相关要求。</w:t>
            </w:r>
          </w:p>
          <w:p>
            <w:pPr>
              <w:keepNext w:val="0"/>
              <w:keepLines w:val="0"/>
              <w:suppressLineNumbers w:val="0"/>
              <w:spacing w:before="0" w:beforeAutospacing="0" w:after="0" w:afterAutospacing="0"/>
              <w:ind w:left="0" w:right="0" w:firstLine="482"/>
              <w:rPr>
                <w:rFonts w:hint="default"/>
                <w:b/>
              </w:rPr>
            </w:pPr>
            <w:r>
              <w:rPr>
                <w:rFonts w:hint="eastAsia"/>
                <w:b/>
                <w:lang w:val="en-US" w:eastAsia="zh-CN"/>
              </w:rPr>
              <w:t>6</w:t>
            </w:r>
            <w:r>
              <w:rPr>
                <w:rFonts w:hint="eastAsia"/>
                <w:b/>
              </w:rPr>
              <w:t>、与《昆明市大气污染防治条例》相符性分析</w:t>
            </w:r>
          </w:p>
          <w:p>
            <w:pPr>
              <w:keepNext w:val="0"/>
              <w:keepLines w:val="0"/>
              <w:suppressLineNumbers w:val="0"/>
              <w:spacing w:before="0" w:beforeAutospacing="0" w:after="0" w:afterAutospacing="0"/>
              <w:ind w:left="0" w:right="0" w:firstLine="480"/>
              <w:rPr>
                <w:rFonts w:hint="default"/>
              </w:rPr>
            </w:pPr>
            <w:r>
              <w:rPr>
                <w:rFonts w:hint="eastAsia"/>
              </w:rPr>
              <w:t>项目与《昆明市大气污染防治条例》相符性分析见表1-</w:t>
            </w:r>
            <w:r>
              <w:rPr>
                <w:rFonts w:hint="eastAsia"/>
                <w:lang w:val="en-US" w:eastAsia="zh-CN"/>
              </w:rPr>
              <w:t>6</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表1-</w:t>
            </w:r>
            <w:r>
              <w:rPr>
                <w:rFonts w:hint="eastAsia"/>
                <w:lang w:val="en-US" w:eastAsia="zh-CN"/>
              </w:rPr>
              <w:t>6</w:t>
            </w:r>
            <w:r>
              <w:rPr>
                <w:rFonts w:hint="default"/>
              </w:rPr>
              <w:t xml:space="preserve">  项目与《昆明市大气污染防治条例》符合性分析一览表</w:t>
            </w:r>
          </w:p>
          <w:tbl>
            <w:tblPr>
              <w:tblStyle w:val="6"/>
              <w:tblW w:w="7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296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昆明市大气污染防治条例要求</w:t>
                  </w:r>
                </w:p>
              </w:tc>
              <w:tc>
                <w:tcPr>
                  <w:tcW w:w="296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项目情况</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szCs w:val="20"/>
                    </w:rPr>
                  </w:pPr>
                  <w:r>
                    <w:rPr>
                      <w:rFonts w:hint="eastAsia"/>
                      <w:b/>
                      <w:szCs w:val="20"/>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jc w:val="center"/>
              </w:trPr>
              <w:tc>
                <w:tcPr>
                  <w:tcW w:w="35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第十二条：禁止排放超过排放标准或者超过重点大气污染物排放总量控制指标的大气污染物。</w:t>
                  </w:r>
                </w:p>
              </w:tc>
              <w:tc>
                <w:tcPr>
                  <w:tcW w:w="2960" w:type="dxa"/>
                  <w:vMerge w:val="restart"/>
                  <w:tcBorders>
                    <w:top w:val="single" w:color="auto" w:sz="4" w:space="0"/>
                    <w:left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highlight w:val="none"/>
                    </w:rPr>
                    <w:t>本项目加热烘干、热料提升、筛分粉尘设备均为密闭设备，该粉尘经密闭收集后进入搅拌站除尘系统（袋式除尘）处理后通过一根15m高排气筒（DA001）排放；柴油</w:t>
                  </w:r>
                  <w:r>
                    <w:rPr>
                      <w:rFonts w:hint="eastAsia"/>
                      <w:szCs w:val="20"/>
                      <w:highlight w:val="none"/>
                      <w:lang w:val="en-US" w:eastAsia="zh-CN"/>
                    </w:rPr>
                    <w:t>和导热油炉</w:t>
                  </w:r>
                  <w:r>
                    <w:rPr>
                      <w:rFonts w:hint="eastAsia"/>
                      <w:szCs w:val="20"/>
                      <w:highlight w:val="none"/>
                    </w:rPr>
                    <w:t>燃烧废气采用低氮燃烧，经密闭收集后汇入搅拌站除尘系统（袋式除尘）后通过一根15m高排气筒（DA00</w:t>
                  </w:r>
                  <w:r>
                    <w:rPr>
                      <w:rFonts w:hint="eastAsia"/>
                      <w:szCs w:val="20"/>
                      <w:highlight w:val="none"/>
                      <w:lang w:val="en-US" w:eastAsia="zh-CN"/>
                    </w:rPr>
                    <w:t>2</w:t>
                  </w:r>
                  <w:r>
                    <w:rPr>
                      <w:rFonts w:hint="eastAsia"/>
                      <w:szCs w:val="20"/>
                      <w:highlight w:val="none"/>
                    </w:rPr>
                    <w:t>）排放；沥青加热、搅拌混合过程烟气先采用冷凝器冷凝回收（冷凝器回流率可达95%以上），未凝气再通过密闭管道输送入沥青烟气处理系统“喷淋+活性炭吸附”处理装置（对沥青烟气去除效率为65%）处理后通过一根15m高排气筒（DA00</w:t>
                  </w:r>
                  <w:r>
                    <w:rPr>
                      <w:rFonts w:hint="eastAsia"/>
                      <w:szCs w:val="20"/>
                      <w:highlight w:val="none"/>
                      <w:lang w:val="en-US" w:eastAsia="zh-CN"/>
                    </w:rPr>
                    <w:t>3</w:t>
                  </w:r>
                  <w:r>
                    <w:rPr>
                      <w:rFonts w:hint="eastAsia"/>
                      <w:szCs w:val="20"/>
                      <w:highlight w:val="none"/>
                    </w:rPr>
                    <w:t>）排放；成品出料泄漏出来的沥青烟用引风收集装置收集，装料完毕后，车辆严密遮盖后驶出，收集效率可达90%，经收集后引入沥青烟气处理系统“喷淋+活性炭吸附装置”处理装置处理（对收集的沥青烟气去除效率为65%）后通过一根15m高排气筒（DA00</w:t>
                  </w:r>
                  <w:r>
                    <w:rPr>
                      <w:rFonts w:hint="eastAsia"/>
                      <w:szCs w:val="20"/>
                      <w:highlight w:val="none"/>
                      <w:lang w:val="en-US" w:eastAsia="zh-CN"/>
                    </w:rPr>
                    <w:t>3</w:t>
                  </w:r>
                  <w:r>
                    <w:rPr>
                      <w:rFonts w:hint="eastAsia"/>
                      <w:szCs w:val="20"/>
                      <w:highlight w:val="none"/>
                    </w:rPr>
                    <w:t>）排放。本项目废气均设置合理的处置措施处理后达标排放，</w:t>
                  </w:r>
                  <w:r>
                    <w:rPr>
                      <w:rFonts w:hint="eastAsia"/>
                      <w:szCs w:val="20"/>
                      <w:highlight w:val="none"/>
                      <w:u w:val="none"/>
                    </w:rPr>
                    <w:t>不存在偷排和超标排放等违法行为。</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4" w:hRule="atLeast"/>
                <w:jc w:val="center"/>
              </w:trPr>
              <w:tc>
                <w:tcPr>
                  <w:tcW w:w="35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第十五条：排放大气污染物的企业事业单位和其他生产经营者应当加强精细化管理，严格按照有关规定，配套建设、使用和维护大气污染防治装备。</w:t>
                  </w:r>
                </w:p>
              </w:tc>
              <w:tc>
                <w:tcPr>
                  <w:tcW w:w="2960" w:type="dxa"/>
                  <w:vMerge w:val="continue"/>
                  <w:tcBorders>
                    <w:left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第十六条：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2960" w:type="dxa"/>
                  <w:vMerge w:val="continue"/>
                  <w:tcBorders>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第</w:t>
                  </w:r>
                  <w:r>
                    <w:rPr>
                      <w:rFonts w:hint="eastAsia"/>
                      <w:szCs w:val="20"/>
                      <w:lang w:val="en-US" w:eastAsia="zh-CN"/>
                    </w:rPr>
                    <w:t>十七</w:t>
                  </w:r>
                  <w:r>
                    <w:rPr>
                      <w:rFonts w:hint="eastAsia"/>
                      <w:szCs w:val="20"/>
                    </w:rPr>
                    <w:t>条：根据国家规定开展自行监测的排污单位应当对监测数据的真实性、准确性负责，自行监测的原始记录保存期限不得少于3年。</w:t>
                  </w:r>
                </w:p>
              </w:tc>
              <w:tc>
                <w:tcPr>
                  <w:tcW w:w="296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项目建成后严格按照国家</w:t>
                  </w:r>
                  <w:r>
                    <w:rPr>
                      <w:rFonts w:hint="eastAsia"/>
                      <w:szCs w:val="20"/>
                      <w:lang w:val="en-US" w:eastAsia="zh-CN"/>
                    </w:rPr>
                    <w:t>规定</w:t>
                  </w:r>
                  <w:r>
                    <w:rPr>
                      <w:rFonts w:hint="eastAsia"/>
                      <w:szCs w:val="20"/>
                    </w:rPr>
                    <w:t>进行排污监测。</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第</w:t>
                  </w:r>
                  <w:r>
                    <w:rPr>
                      <w:rFonts w:hint="eastAsia"/>
                      <w:szCs w:val="20"/>
                      <w:lang w:val="en-US" w:eastAsia="zh-CN"/>
                    </w:rPr>
                    <w:t>二十五</w:t>
                  </w:r>
                  <w:r>
                    <w:rPr>
                      <w:rFonts w:hint="eastAsia"/>
                      <w:szCs w:val="20"/>
                    </w:rPr>
                    <w:t>条：在禁燃区内，禁止销售、燃用高污染燃料；禁止新建、扩建燃用高污染燃料的设施，已建成的，应当在规定的期限内改用天然气、液化石油气、电或者其他清洁能源。</w:t>
                  </w:r>
                </w:p>
              </w:tc>
              <w:tc>
                <w:tcPr>
                  <w:tcW w:w="296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项目不在禁燃区内，</w:t>
                  </w:r>
                  <w:r>
                    <w:rPr>
                      <w:rFonts w:hint="eastAsia"/>
                      <w:szCs w:val="20"/>
                      <w:highlight w:val="none"/>
                    </w:rPr>
                    <w:t>项目使用的能源主要为电能</w:t>
                  </w:r>
                  <w:r>
                    <w:rPr>
                      <w:rFonts w:hint="eastAsia"/>
                      <w:szCs w:val="20"/>
                    </w:rPr>
                    <w:t>，为清洁能源</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9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eastAsia="宋体"/>
                      <w:szCs w:val="20"/>
                      <w:lang w:val="en-US" w:eastAsia="zh-CN"/>
                    </w:rPr>
                  </w:pPr>
                  <w:r>
                    <w:rPr>
                      <w:rFonts w:hint="eastAsia"/>
                      <w:szCs w:val="20"/>
                      <w:lang w:val="en-US" w:eastAsia="zh-CN"/>
                    </w:rPr>
                    <w:t>第三十七条：运输煤炭、垃圾、渣土、砂石、土方、灰浆等散装、流体物料的车辆应当采取密闭或者其他措施防止物料遗撒造成扬尘污染，并按照规定的路线和时间行驶。</w:t>
                  </w:r>
                </w:p>
              </w:tc>
              <w:tc>
                <w:tcPr>
                  <w:tcW w:w="296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rPr>
                  </w:pPr>
                  <w:r>
                    <w:rPr>
                      <w:rFonts w:hint="eastAsia"/>
                      <w:szCs w:val="20"/>
                    </w:rPr>
                    <w:t>项目</w:t>
                  </w:r>
                  <w:r>
                    <w:rPr>
                      <w:rFonts w:hint="eastAsia"/>
                      <w:szCs w:val="20"/>
                      <w:lang w:val="en-US" w:eastAsia="zh-CN"/>
                    </w:rPr>
                    <w:t>原料</w:t>
                  </w:r>
                  <w:r>
                    <w:rPr>
                      <w:rFonts w:hint="eastAsia"/>
                      <w:szCs w:val="20"/>
                    </w:rPr>
                    <w:t>运输车辆严格采取密闭等措施防止物料遗撒造成扬尘污染，并按照规定的路线和时间行驶。</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r>
          </w:tbl>
          <w:p>
            <w:pPr>
              <w:keepNext w:val="0"/>
              <w:keepLines w:val="0"/>
              <w:suppressLineNumbers w:val="0"/>
              <w:spacing w:before="0" w:beforeAutospacing="0" w:after="0" w:afterAutospacing="0"/>
              <w:ind w:left="0" w:right="0" w:firstLine="480"/>
              <w:rPr>
                <w:rFonts w:hint="eastAsia" w:ascii="Times New Roman" w:hAnsi="Times New Roman" w:eastAsia="宋体" w:cs="Times New Roman"/>
              </w:rPr>
            </w:pPr>
            <w:r>
              <w:rPr>
                <w:rFonts w:hint="eastAsia" w:ascii="Times New Roman" w:hAnsi="Times New Roman" w:eastAsia="宋体" w:cs="Times New Roman"/>
              </w:rPr>
              <w:t>综上，项目符合《昆明市大气污染防治条例》要求。</w:t>
            </w:r>
          </w:p>
          <w:p>
            <w:pPr>
              <w:keepNext w:val="0"/>
              <w:keepLines w:val="0"/>
              <w:suppressLineNumbers w:val="0"/>
              <w:spacing w:before="0" w:beforeAutospacing="0" w:after="0" w:afterAutospacing="0"/>
              <w:ind w:left="0" w:right="0" w:firstLine="480"/>
              <w:rPr>
                <w:rFonts w:hint="eastAsia" w:ascii="Times New Roman" w:hAnsi="Times New Roman" w:eastAsia="宋体" w:cs="Times New Roman"/>
                <w:lang w:val="en-US" w:eastAsia="zh-CN"/>
              </w:rPr>
            </w:pPr>
            <w:r>
              <w:rPr>
                <w:rFonts w:hint="eastAsia" w:ascii="Times New Roman" w:hAnsi="Times New Roman" w:eastAsia="宋体" w:cs="Times New Roman"/>
                <w:b/>
                <w:bCs/>
                <w:lang w:val="en-US" w:eastAsia="zh-CN"/>
              </w:rPr>
              <w:t>8、与《中共中央国务院关于深入打好污染防治攻坚战的意见》相关要求符合性分析</w:t>
            </w:r>
          </w:p>
          <w:p>
            <w:pPr>
              <w:keepNext w:val="0"/>
              <w:keepLines w:val="0"/>
              <w:suppressLineNumbers w:val="0"/>
              <w:spacing w:before="0" w:beforeAutospacing="0" w:after="0" w:afterAutospacing="0"/>
              <w:ind w:left="0" w:right="0" w:firstLine="480"/>
              <w:rPr>
                <w:rFonts w:hint="eastAsia"/>
                <w:lang w:val="en-US" w:eastAsia="zh-CN"/>
              </w:rPr>
            </w:pPr>
            <w:r>
              <w:rPr>
                <w:rFonts w:hint="eastAsia" w:ascii="Times New Roman" w:hAnsi="Times New Roman" w:eastAsia="宋体" w:cs="Times New Roman"/>
                <w:lang w:val="en-US" w:eastAsia="zh-CN"/>
              </w:rPr>
              <w:t>根据《中共中央国务院关于深入打好污染防治攻坚战的意见》相关要求，本项目大气污染防治法相关要求符合性分析见表1-7。</w:t>
            </w:r>
          </w:p>
          <w:p>
            <w:pPr>
              <w:pStyle w:val="11"/>
              <w:keepNext w:val="0"/>
              <w:keepLines w:val="0"/>
              <w:widowControl/>
              <w:suppressLineNumbers w:val="0"/>
              <w:bidi w:val="0"/>
              <w:spacing w:beforeAutospacing="0" w:after="0" w:afterAutospacing="0"/>
              <w:ind w:left="0" w:right="0"/>
              <w:rPr>
                <w:rFonts w:hint="eastAsia"/>
                <w:lang w:val="en-US" w:eastAsia="zh-CN"/>
              </w:rPr>
            </w:pPr>
            <w:r>
              <w:rPr>
                <w:rFonts w:hint="eastAsia"/>
                <w:lang w:val="en-US" w:eastAsia="zh-CN"/>
              </w:rPr>
              <w:t>表1-7 项目与《中共中央国务院关于深入打好污染防治攻坚战的意见》相关要求符合性分析</w:t>
            </w:r>
          </w:p>
          <w:tbl>
            <w:tblPr>
              <w:tblStyle w:val="7"/>
              <w:tblW w:w="7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3293"/>
              <w:gridCol w:w="281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21"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rPr>
                    <w:t>序号</w:t>
                  </w:r>
                </w:p>
              </w:tc>
              <w:tc>
                <w:tcPr>
                  <w:tcW w:w="3293"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相关要求</w:t>
                  </w:r>
                </w:p>
              </w:tc>
              <w:tc>
                <w:tcPr>
                  <w:tcW w:w="2816"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本项目</w:t>
                  </w:r>
                </w:p>
              </w:tc>
              <w:tc>
                <w:tcPr>
                  <w:tcW w:w="830"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21"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w:t>
                  </w:r>
                </w:p>
              </w:tc>
              <w:tc>
                <w:tcPr>
                  <w:tcW w:w="3293"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推动能源清洁低碳转型。在保障能源安全的前提下，加快煤炭减量步伐，实施可再生能源替代行动</w:t>
                  </w:r>
                </w:p>
              </w:tc>
              <w:tc>
                <w:tcPr>
                  <w:tcW w:w="2816" w:type="dxa"/>
                  <w:noWrap w:val="0"/>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val="en-US" w:eastAsia="zh-CN"/>
                    </w:rPr>
                  </w:pPr>
                  <w:r>
                    <w:rPr>
                      <w:rFonts w:hint="eastAsia"/>
                      <w:szCs w:val="20"/>
                    </w:rPr>
                    <w:t>本项目</w:t>
                  </w:r>
                  <w:r>
                    <w:rPr>
                      <w:rFonts w:hint="eastAsia"/>
                      <w:szCs w:val="20"/>
                      <w:lang w:val="en-US" w:eastAsia="zh-CN"/>
                    </w:rPr>
                    <w:t>为沥青混凝土建设项目，运营过程中使用柴油、水、电，不使用燃煤。</w:t>
                  </w:r>
                </w:p>
              </w:tc>
              <w:tc>
                <w:tcPr>
                  <w:tcW w:w="830"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21"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w:t>
                  </w:r>
                </w:p>
              </w:tc>
              <w:tc>
                <w:tcPr>
                  <w:tcW w:w="3293"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坚决遏制高耗能高排放项目盲目发展。严把高耗能高排放项目准入关口，严格落实污染物排放区域削减要求，对不符合规定的项目坚决停批停建。依法依规淘汰落后产能和化解过剩产能。</w:t>
                  </w:r>
                </w:p>
              </w:tc>
              <w:tc>
                <w:tcPr>
                  <w:tcW w:w="2816"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项目为沥青混凝土建设项目，不属于高耗能、高污染项目，符合国家产业政策。</w:t>
                  </w:r>
                </w:p>
              </w:tc>
              <w:tc>
                <w:tcPr>
                  <w:tcW w:w="830"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21"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w:t>
                  </w:r>
                </w:p>
              </w:tc>
              <w:tc>
                <w:tcPr>
                  <w:tcW w:w="3293"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加强生态环境分区管控。衔接国土空间规划分区和用途管制要求，将生态保护红线、环境质量底线、资源利用上线的硬约束落实到环境管控单元，建立差别化的生态环境准入清单，加强“三线一单”成果在政策制定、环境准入、园区管理、执法监管等方 面的应用。健全以环评制度为主体的源头预防体系，严格规划环评审查和项目环评准入，开展重大经济技术政策的生态环境影响分析和重大生态环境政策的社会经济影响评估</w:t>
                  </w:r>
                </w:p>
              </w:tc>
              <w:tc>
                <w:tcPr>
                  <w:tcW w:w="2816"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本项目建设符合</w:t>
                  </w:r>
                  <w:r>
                    <w:rPr>
                      <w:rFonts w:hint="eastAsia"/>
                      <w:szCs w:val="20"/>
                    </w:rPr>
                    <w:t>昆明市人民政府关于昆明市“三线一单”生态环境分区管控的实施意见》（昆政发〔2021〕21号）“三线一单”管理要求。</w:t>
                  </w:r>
                </w:p>
              </w:tc>
              <w:tc>
                <w:tcPr>
                  <w:tcW w:w="830"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21"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4</w:t>
                  </w:r>
                </w:p>
              </w:tc>
              <w:tc>
                <w:tcPr>
                  <w:tcW w:w="3293"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加强大气面源和噪声污染治理。强化施工、道路、堆场、裸露地面等扬尘管控，加强城市保洁和清扫</w:t>
                  </w:r>
                </w:p>
              </w:tc>
              <w:tc>
                <w:tcPr>
                  <w:tcW w:w="2816"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项目砂石投料、堆放及运输车辆装卸过程设置洒水降尘设施，区域地面硬化，扬尘产生量较小。</w:t>
                  </w:r>
                </w:p>
              </w:tc>
              <w:tc>
                <w:tcPr>
                  <w:tcW w:w="830"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21"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5</w:t>
                  </w:r>
                </w:p>
              </w:tc>
              <w:tc>
                <w:tcPr>
                  <w:tcW w:w="3293"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持续打好城市黑臭水体治理攻坚战。统筹好上下游、左右岸、干支流、城市和乡村，系统推进城市黑臭水体治理。加强农业农村和工业企业污染防治，有效控制入河污染物排放</w:t>
                  </w:r>
                </w:p>
              </w:tc>
              <w:tc>
                <w:tcPr>
                  <w:tcW w:w="2816"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b w:val="0"/>
                      <w:bCs w:val="0"/>
                      <w:szCs w:val="20"/>
                      <w:highlight w:val="none"/>
                      <w:lang w:val="en-US" w:eastAsia="zh-CN"/>
                    </w:rPr>
                    <w:t>项目食堂</w:t>
                  </w:r>
                  <w:r>
                    <w:rPr>
                      <w:rFonts w:hint="eastAsia"/>
                      <w:b w:val="0"/>
                      <w:bCs w:val="0"/>
                      <w:szCs w:val="20"/>
                      <w:highlight w:val="none"/>
                    </w:rPr>
                    <w:t>废水经自建隔油池（1.0m</w:t>
                  </w:r>
                  <w:r>
                    <w:rPr>
                      <w:rFonts w:hint="eastAsia"/>
                      <w:b w:val="0"/>
                      <w:bCs w:val="0"/>
                      <w:szCs w:val="20"/>
                      <w:highlight w:val="none"/>
                      <w:vertAlign w:val="superscript"/>
                    </w:rPr>
                    <w:t>3</w:t>
                  </w:r>
                  <w:r>
                    <w:rPr>
                      <w:rFonts w:hint="eastAsia"/>
                      <w:b w:val="0"/>
                      <w:bCs w:val="0"/>
                      <w:szCs w:val="20"/>
                      <w:highlight w:val="none"/>
                    </w:rPr>
                    <w:t>）处理后与</w:t>
                  </w:r>
                  <w:r>
                    <w:rPr>
                      <w:rFonts w:hint="eastAsia"/>
                      <w:b w:val="0"/>
                      <w:bCs w:val="0"/>
                      <w:szCs w:val="20"/>
                      <w:highlight w:val="none"/>
                      <w:lang w:val="en-US" w:eastAsia="zh-CN"/>
                    </w:rPr>
                    <w:t>其他办公</w:t>
                  </w:r>
                  <w:r>
                    <w:rPr>
                      <w:rFonts w:hint="eastAsia"/>
                      <w:b w:val="0"/>
                      <w:bCs w:val="0"/>
                      <w:szCs w:val="20"/>
                      <w:highlight w:val="none"/>
                    </w:rPr>
                    <w:t>废水一起进入化粪池（2.0m</w:t>
                  </w:r>
                  <w:r>
                    <w:rPr>
                      <w:rFonts w:hint="eastAsia"/>
                      <w:b w:val="0"/>
                      <w:bCs w:val="0"/>
                      <w:szCs w:val="20"/>
                      <w:highlight w:val="none"/>
                      <w:vertAlign w:val="superscript"/>
                    </w:rPr>
                    <w:t>3</w:t>
                  </w:r>
                  <w:r>
                    <w:rPr>
                      <w:rFonts w:hint="eastAsia"/>
                      <w:b w:val="0"/>
                      <w:bCs w:val="0"/>
                      <w:szCs w:val="20"/>
                      <w:highlight w:val="none"/>
                    </w:rPr>
                    <w:t>）处理，</w:t>
                  </w:r>
                  <w:r>
                    <w:rPr>
                      <w:rFonts w:hint="eastAsia"/>
                      <w:b w:val="0"/>
                      <w:bCs w:val="0"/>
                      <w:szCs w:val="20"/>
                      <w:highlight w:val="none"/>
                      <w:lang w:val="en-US" w:eastAsia="zh-CN"/>
                    </w:rPr>
                    <w:t>回用于洒水降尘</w:t>
                  </w:r>
                  <w:r>
                    <w:rPr>
                      <w:rFonts w:hint="eastAsia"/>
                      <w:b w:val="0"/>
                      <w:bCs w:val="0"/>
                      <w:szCs w:val="20"/>
                      <w:highlight w:val="none"/>
                    </w:rPr>
                    <w:t>，不外排</w:t>
                  </w:r>
                  <w:r>
                    <w:rPr>
                      <w:rFonts w:hint="default"/>
                      <w:color w:val="auto"/>
                      <w:szCs w:val="20"/>
                      <w:highlight w:val="none"/>
                      <w:u w:val="none"/>
                    </w:rPr>
                    <w:t>。</w:t>
                  </w:r>
                </w:p>
              </w:tc>
              <w:tc>
                <w:tcPr>
                  <w:tcW w:w="830"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b w:val="0"/>
                      <w:bCs w:val="0"/>
                      <w:szCs w:val="20"/>
                      <w:highlight w:val="none"/>
                      <w:lang w:val="en-US" w:eastAsia="zh-CN"/>
                    </w:rPr>
                  </w:pPr>
                  <w:r>
                    <w:rPr>
                      <w:rFonts w:hint="eastAsia"/>
                      <w:b w:val="0"/>
                      <w:bCs w:val="0"/>
                      <w:szCs w:val="20"/>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21"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w:t>
                  </w:r>
                </w:p>
              </w:tc>
              <w:tc>
                <w:tcPr>
                  <w:tcW w:w="3293"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有效管控建设用地土壤污染风险。严格建设用地土壤污染风险管控和修复名录内地块的准入管理。未依法完成土壤污染状况调查和风险评估的地块，不得开工建设与风险管控和修复无关的项目</w:t>
                  </w:r>
                </w:p>
              </w:tc>
              <w:tc>
                <w:tcPr>
                  <w:tcW w:w="2816"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项目所在区域不属于《</w:t>
                  </w:r>
                  <w:r>
                    <w:rPr>
                      <w:rFonts w:hint="eastAsia"/>
                      <w:szCs w:val="20"/>
                    </w:rPr>
                    <w:fldChar w:fldCharType="begin"/>
                  </w:r>
                  <w:r>
                    <w:rPr>
                      <w:rFonts w:hint="eastAsia"/>
                      <w:szCs w:val="20"/>
                    </w:rPr>
                    <w:instrText xml:space="preserve"> HYPERLINK "http://sthjt.yn.gov.cn/trgl/trhjgl/202005/W020200522650497294937.docx" </w:instrText>
                  </w:r>
                  <w:r>
                    <w:rPr>
                      <w:rFonts w:hint="eastAsia"/>
                      <w:szCs w:val="20"/>
                    </w:rPr>
                    <w:fldChar w:fldCharType="separate"/>
                  </w:r>
                  <w:r>
                    <w:rPr>
                      <w:rFonts w:hint="eastAsia"/>
                      <w:szCs w:val="20"/>
                    </w:rPr>
                    <w:t>云南省建设用地土壤污染风险管控和治理修复名录</w:t>
                  </w:r>
                  <w:r>
                    <w:rPr>
                      <w:rFonts w:hint="eastAsia"/>
                      <w:szCs w:val="20"/>
                    </w:rPr>
                    <w:fldChar w:fldCharType="end"/>
                  </w:r>
                  <w:r>
                    <w:rPr>
                      <w:rFonts w:hint="eastAsia"/>
                      <w:szCs w:val="20"/>
                      <w:lang w:val="en-US" w:eastAsia="zh-CN"/>
                    </w:rPr>
                    <w:t>》内所列地块。</w:t>
                  </w:r>
                </w:p>
              </w:tc>
              <w:tc>
                <w:tcPr>
                  <w:tcW w:w="830" w:type="dxa"/>
                  <w:noWrap w:val="0"/>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符合</w:t>
                  </w:r>
                </w:p>
              </w:tc>
            </w:tr>
          </w:tbl>
          <w:p>
            <w:pPr>
              <w:keepNext w:val="0"/>
              <w:keepLines w:val="0"/>
              <w:suppressLineNumbers w:val="0"/>
              <w:spacing w:before="0" w:beforeAutospacing="0" w:after="0" w:afterAutospacing="0"/>
              <w:ind w:left="0" w:right="0" w:firstLine="480"/>
              <w:rPr>
                <w:rFonts w:hint="default" w:eastAsia="宋体"/>
                <w:lang w:val="en-US" w:eastAsia="zh-CN"/>
              </w:rPr>
            </w:pPr>
            <w:r>
              <w:rPr>
                <w:rFonts w:hint="eastAsia"/>
                <w:lang w:val="en-US" w:eastAsia="zh-CN"/>
              </w:rPr>
              <w:t>综上，本项目建设符合《中共中央国务院关于深入打好污染防治攻坚战的意见》相关要求。</w:t>
            </w:r>
          </w:p>
          <w:p>
            <w:pPr>
              <w:keepNext w:val="0"/>
              <w:keepLines w:val="0"/>
              <w:suppressLineNumbers w:val="0"/>
              <w:spacing w:before="0" w:beforeAutospacing="0" w:after="0" w:afterAutospacing="0"/>
              <w:ind w:left="0" w:right="0" w:firstLine="480"/>
              <w:rPr>
                <w:rFonts w:hint="eastAsia"/>
              </w:rPr>
            </w:pPr>
          </w:p>
          <w:p>
            <w:pPr>
              <w:keepNext w:val="0"/>
              <w:keepLines w:val="0"/>
              <w:suppressLineNumbers w:val="0"/>
              <w:spacing w:before="0" w:beforeAutospacing="0" w:after="0" w:afterAutospacing="0"/>
              <w:ind w:left="0" w:right="0" w:firstLine="480"/>
              <w:rPr>
                <w:rFonts w:hint="eastAsia"/>
              </w:rPr>
            </w:pPr>
          </w:p>
          <w:p>
            <w:pPr>
              <w:keepNext w:val="0"/>
              <w:keepLines w:val="0"/>
              <w:suppressLineNumbers w:val="0"/>
              <w:spacing w:before="0" w:beforeAutospacing="0" w:after="0" w:afterAutospacing="0"/>
              <w:ind w:left="0" w:right="0" w:firstLine="480"/>
              <w:rPr>
                <w:rFonts w:hint="default"/>
              </w:rPr>
            </w:pPr>
          </w:p>
        </w:tc>
      </w:tr>
    </w:tbl>
    <w:p>
      <w:pPr>
        <w:ind w:firstLine="600"/>
        <w:outlineLvl w:val="0"/>
        <w:rPr>
          <w:rFonts w:eastAsia="黑体"/>
          <w:sz w:val="30"/>
        </w:rPr>
        <w:sectPr>
          <w:footerReference r:id="rId5" w:type="default"/>
          <w:pgSz w:w="11906" w:h="16838"/>
          <w:pgMar w:top="1701" w:right="1531" w:bottom="1701" w:left="1531" w:header="851" w:footer="1077" w:gutter="0"/>
          <w:pgNumType w:start="1"/>
          <w:cols w:space="720" w:num="1"/>
          <w:docGrid w:linePitch="312" w:charSpace="0"/>
        </w:sectPr>
      </w:pPr>
    </w:p>
    <w:p>
      <w:pPr>
        <w:pStyle w:val="2"/>
        <w:ind w:firstLine="602"/>
        <w:rPr>
          <w:snapToGrid w:val="0"/>
        </w:rPr>
      </w:pPr>
      <w:bookmarkStart w:id="3" w:name="_Toc5573"/>
      <w:r>
        <w:rPr>
          <w:rFonts w:hint="eastAsia"/>
          <w:snapToGrid w:val="0"/>
        </w:rPr>
        <w:t>二、建设项目工程分析</w:t>
      </w:r>
      <w:bookmarkEnd w:id="3"/>
    </w:p>
    <w:tbl>
      <w:tblPr>
        <w:tblStyle w:val="6"/>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3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7" w:type="dxa"/>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建设内容</w:t>
            </w:r>
          </w:p>
        </w:tc>
        <w:tc>
          <w:tcPr>
            <w:tcW w:w="8357" w:type="dxa"/>
          </w:tcPr>
          <w:p>
            <w:pPr>
              <w:keepNext w:val="0"/>
              <w:keepLines w:val="0"/>
              <w:suppressLineNumbers w:val="0"/>
              <w:spacing w:before="0" w:beforeAutospacing="0" w:after="0" w:afterAutospacing="0"/>
              <w:ind w:left="0" w:right="0" w:firstLine="482"/>
              <w:rPr>
                <w:rFonts w:hint="default"/>
              </w:rPr>
            </w:pPr>
            <w:r>
              <w:rPr>
                <w:rFonts w:hint="eastAsia"/>
                <w:b/>
                <w:bCs/>
                <w:lang w:val="en-US" w:eastAsia="zh-CN"/>
              </w:rPr>
              <w:t>1</w:t>
            </w:r>
            <w:r>
              <w:rPr>
                <w:rFonts w:hint="eastAsia"/>
                <w:b/>
                <w:bCs/>
              </w:rPr>
              <w:t>、项目概况</w:t>
            </w:r>
          </w:p>
          <w:p>
            <w:pPr>
              <w:keepNext w:val="0"/>
              <w:keepLines w:val="0"/>
              <w:suppressLineNumbers w:val="0"/>
              <w:spacing w:before="0" w:beforeAutospacing="0" w:after="0" w:afterAutospacing="0"/>
              <w:ind w:left="0" w:right="0" w:firstLine="482"/>
              <w:rPr>
                <w:rFonts w:hint="eastAsia"/>
                <w:b/>
                <w:bCs/>
                <w:highlight w:val="none"/>
              </w:rPr>
            </w:pPr>
            <w:r>
              <w:rPr>
                <w:rFonts w:hint="eastAsia"/>
                <w:b/>
                <w:bCs/>
                <w:highlight w:val="none"/>
              </w:rPr>
              <w:t>项目名称：</w:t>
            </w:r>
            <w:r>
              <w:rPr>
                <w:rFonts w:hint="eastAsia"/>
                <w:b w:val="0"/>
                <w:bCs w:val="0"/>
                <w:highlight w:val="none"/>
              </w:rPr>
              <w:t>年产10万吨特种砂浆及沥青混凝土生产建设项目；</w:t>
            </w:r>
          </w:p>
          <w:p>
            <w:pPr>
              <w:keepNext w:val="0"/>
              <w:keepLines w:val="0"/>
              <w:suppressLineNumbers w:val="0"/>
              <w:spacing w:before="0" w:beforeAutospacing="0" w:after="0" w:afterAutospacing="0"/>
              <w:ind w:left="0" w:right="0" w:firstLine="482"/>
              <w:rPr>
                <w:rFonts w:hint="eastAsia"/>
                <w:b/>
                <w:bCs/>
                <w:highlight w:val="none"/>
              </w:rPr>
            </w:pPr>
            <w:r>
              <w:rPr>
                <w:rFonts w:hint="eastAsia"/>
                <w:b/>
                <w:bCs/>
                <w:highlight w:val="none"/>
              </w:rPr>
              <w:t>建设地点：</w:t>
            </w:r>
            <w:r>
              <w:rPr>
                <w:rFonts w:hint="eastAsia"/>
                <w:b w:val="0"/>
                <w:bCs w:val="0"/>
                <w:highlight w:val="none"/>
              </w:rPr>
              <w:t>云南省昆明市富民县散旦镇散旦村委会白水塘村石头山；</w:t>
            </w:r>
          </w:p>
          <w:p>
            <w:pPr>
              <w:keepNext w:val="0"/>
              <w:keepLines w:val="0"/>
              <w:suppressLineNumbers w:val="0"/>
              <w:spacing w:before="0" w:beforeAutospacing="0" w:after="0" w:afterAutospacing="0"/>
              <w:ind w:left="0" w:right="0" w:firstLine="482"/>
              <w:rPr>
                <w:rFonts w:hint="eastAsia"/>
                <w:b/>
                <w:bCs/>
                <w:highlight w:val="none"/>
              </w:rPr>
            </w:pPr>
            <w:r>
              <w:rPr>
                <w:rFonts w:hint="eastAsia"/>
                <w:b/>
                <w:bCs/>
                <w:highlight w:val="none"/>
              </w:rPr>
              <w:t>建设单位：</w:t>
            </w:r>
            <w:r>
              <w:rPr>
                <w:rFonts w:hint="eastAsia"/>
                <w:b w:val="0"/>
                <w:bCs w:val="0"/>
                <w:highlight w:val="none"/>
              </w:rPr>
              <w:t>云南汇晨建材有限公司；</w:t>
            </w:r>
          </w:p>
          <w:p>
            <w:pPr>
              <w:keepNext w:val="0"/>
              <w:keepLines w:val="0"/>
              <w:suppressLineNumbers w:val="0"/>
              <w:spacing w:before="0" w:beforeAutospacing="0" w:after="0" w:afterAutospacing="0"/>
              <w:ind w:left="0" w:right="0" w:firstLine="482"/>
              <w:rPr>
                <w:rFonts w:hint="eastAsia"/>
                <w:b/>
                <w:bCs/>
              </w:rPr>
            </w:pPr>
            <w:r>
              <w:rPr>
                <w:rFonts w:hint="eastAsia"/>
                <w:b/>
                <w:bCs/>
                <w:highlight w:val="none"/>
              </w:rPr>
              <w:t>建设性质：</w:t>
            </w:r>
            <w:r>
              <w:rPr>
                <w:rFonts w:hint="eastAsia"/>
                <w:b w:val="0"/>
                <w:bCs w:val="0"/>
                <w:highlight w:val="none"/>
              </w:rPr>
              <w:t>新建；</w:t>
            </w:r>
          </w:p>
          <w:p>
            <w:pPr>
              <w:keepNext w:val="0"/>
              <w:keepLines w:val="0"/>
              <w:suppressLineNumbers w:val="0"/>
              <w:spacing w:before="0" w:beforeAutospacing="0" w:after="0" w:afterAutospacing="0"/>
              <w:ind w:left="0" w:right="0" w:firstLine="482"/>
              <w:rPr>
                <w:rFonts w:hint="eastAsia"/>
                <w:b/>
                <w:bCs/>
              </w:rPr>
            </w:pPr>
            <w:r>
              <w:rPr>
                <w:rFonts w:hint="eastAsia"/>
                <w:b/>
                <w:bCs/>
              </w:rPr>
              <w:t>主要产品及产能：</w:t>
            </w:r>
            <w:r>
              <w:rPr>
                <w:rFonts w:hint="eastAsia"/>
                <w:b w:val="0"/>
                <w:bCs w:val="0"/>
              </w:rPr>
              <w:t>年产10万吨沥青混凝土；</w:t>
            </w:r>
          </w:p>
          <w:p>
            <w:pPr>
              <w:keepNext w:val="0"/>
              <w:keepLines w:val="0"/>
              <w:suppressLineNumbers w:val="0"/>
              <w:spacing w:before="0" w:beforeAutospacing="0" w:after="0" w:afterAutospacing="0"/>
              <w:ind w:left="0" w:right="0" w:firstLine="482"/>
              <w:rPr>
                <w:rFonts w:hint="eastAsia"/>
                <w:b/>
                <w:bCs/>
                <w:highlight w:val="yellow"/>
              </w:rPr>
            </w:pPr>
            <w:r>
              <w:rPr>
                <w:rFonts w:hint="eastAsia"/>
                <w:b/>
                <w:bCs/>
                <w:highlight w:val="none"/>
              </w:rPr>
              <w:t>占地面积：</w:t>
            </w:r>
            <w:r>
              <w:rPr>
                <w:rFonts w:hint="eastAsia"/>
                <w:b w:val="0"/>
                <w:bCs w:val="0"/>
                <w:highlight w:val="none"/>
                <w:lang w:val="en-US" w:eastAsia="zh-CN"/>
              </w:rPr>
              <w:t>13868.7m</w:t>
            </w:r>
            <w:r>
              <w:rPr>
                <w:rFonts w:hint="eastAsia"/>
                <w:b w:val="0"/>
                <w:bCs w:val="0"/>
                <w:highlight w:val="none"/>
                <w:vertAlign w:val="superscript"/>
                <w:lang w:val="en-US" w:eastAsia="zh-CN"/>
              </w:rPr>
              <w:t>2</w:t>
            </w:r>
            <w:r>
              <w:rPr>
                <w:rFonts w:hint="eastAsia"/>
                <w:b w:val="0"/>
                <w:bCs w:val="0"/>
                <w:highlight w:val="none"/>
              </w:rPr>
              <w:t>；</w:t>
            </w:r>
          </w:p>
          <w:p>
            <w:pPr>
              <w:keepNext w:val="0"/>
              <w:keepLines w:val="0"/>
              <w:suppressLineNumbers w:val="0"/>
              <w:spacing w:before="0" w:beforeAutospacing="0" w:after="0" w:afterAutospacing="0"/>
              <w:ind w:left="0" w:right="0" w:firstLine="482"/>
              <w:rPr>
                <w:rFonts w:hint="default"/>
                <w:highlight w:val="yellow"/>
              </w:rPr>
            </w:pPr>
            <w:r>
              <w:rPr>
                <w:rFonts w:hint="eastAsia"/>
                <w:b/>
                <w:bCs/>
                <w:highlight w:val="none"/>
              </w:rPr>
              <w:t>投资总额：</w:t>
            </w:r>
            <w:r>
              <w:rPr>
                <w:rFonts w:hint="eastAsia"/>
                <w:b w:val="0"/>
                <w:bCs w:val="0"/>
                <w:highlight w:val="none"/>
              </w:rPr>
              <w:t>总投资为</w:t>
            </w:r>
            <w:r>
              <w:rPr>
                <w:rFonts w:hint="eastAsia"/>
                <w:b w:val="0"/>
                <w:bCs w:val="0"/>
                <w:highlight w:val="none"/>
                <w:lang w:val="en-US" w:eastAsia="zh-CN"/>
              </w:rPr>
              <w:t>10500</w:t>
            </w:r>
            <w:r>
              <w:rPr>
                <w:rFonts w:hint="eastAsia"/>
                <w:b w:val="0"/>
                <w:bCs w:val="0"/>
                <w:highlight w:val="none"/>
              </w:rPr>
              <w:t>万元，其中环保投资</w:t>
            </w:r>
            <w:r>
              <w:rPr>
                <w:rFonts w:hint="eastAsia"/>
                <w:b w:val="0"/>
                <w:bCs w:val="0"/>
                <w:highlight w:val="none"/>
                <w:lang w:val="en-US" w:eastAsia="zh-CN"/>
              </w:rPr>
              <w:t>27.5</w:t>
            </w:r>
            <w:r>
              <w:rPr>
                <w:rFonts w:hint="eastAsia"/>
                <w:b w:val="0"/>
                <w:bCs w:val="0"/>
                <w:highlight w:val="none"/>
              </w:rPr>
              <w:t>万元，占总投资</w:t>
            </w:r>
            <w:r>
              <w:rPr>
                <w:rFonts w:hint="eastAsia"/>
                <w:b w:val="0"/>
                <w:bCs w:val="0"/>
                <w:highlight w:val="none"/>
                <w:lang w:val="en-US" w:eastAsia="zh-CN"/>
              </w:rPr>
              <w:t>0.26</w:t>
            </w:r>
            <w:r>
              <w:rPr>
                <w:rFonts w:hint="eastAsia"/>
                <w:b w:val="0"/>
                <w:bCs w:val="0"/>
                <w:highlight w:val="none"/>
              </w:rPr>
              <w:t>%。</w:t>
            </w:r>
          </w:p>
          <w:p>
            <w:pPr>
              <w:keepNext w:val="0"/>
              <w:keepLines w:val="0"/>
              <w:suppressLineNumbers w:val="0"/>
              <w:spacing w:before="0" w:beforeAutospacing="0" w:after="0" w:afterAutospacing="0"/>
              <w:ind w:left="0" w:right="0" w:firstLine="482"/>
              <w:rPr>
                <w:rFonts w:hint="default"/>
                <w:b/>
                <w:bCs/>
              </w:rPr>
            </w:pPr>
            <w:r>
              <w:rPr>
                <w:rFonts w:hint="eastAsia"/>
                <w:b/>
                <w:bCs/>
              </w:rPr>
              <w:t>3、建设内容</w:t>
            </w:r>
          </w:p>
          <w:p>
            <w:pPr>
              <w:keepNext w:val="0"/>
              <w:keepLines w:val="0"/>
              <w:suppressLineNumbers w:val="0"/>
              <w:spacing w:before="0" w:beforeAutospacing="0" w:after="0" w:afterAutospacing="0"/>
              <w:ind w:left="0" w:right="0" w:firstLine="480"/>
              <w:rPr>
                <w:rFonts w:hint="default"/>
              </w:rPr>
            </w:pPr>
            <w:r>
              <w:rPr>
                <w:rFonts w:hint="eastAsia"/>
                <w:lang w:val="en-US" w:eastAsia="zh-CN"/>
              </w:rPr>
              <w:t>本</w:t>
            </w:r>
            <w:r>
              <w:rPr>
                <w:rFonts w:hint="eastAsia"/>
              </w:rPr>
              <w:t>项目组成情况见下表2-1。</w:t>
            </w:r>
          </w:p>
          <w:p>
            <w:pPr>
              <w:pStyle w:val="11"/>
              <w:keepNext w:val="0"/>
              <w:keepLines w:val="0"/>
              <w:widowControl/>
              <w:suppressLineNumbers w:val="0"/>
              <w:bidi w:val="0"/>
              <w:spacing w:beforeAutospacing="0" w:after="0" w:afterAutospacing="0"/>
              <w:ind w:left="0" w:right="0"/>
              <w:rPr>
                <w:rFonts w:hint="default"/>
              </w:rPr>
            </w:pPr>
            <w:r>
              <w:rPr>
                <w:rFonts w:hint="default"/>
              </w:rPr>
              <w:t>表2-1  本项目主要建设内容一览表</w:t>
            </w:r>
          </w:p>
          <w:tbl>
            <w:tblPr>
              <w:tblStyle w:val="6"/>
              <w:tblW w:w="8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57"/>
              <w:gridCol w:w="1081"/>
              <w:gridCol w:w="521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jc w:val="center"/>
              </w:trPr>
              <w:tc>
                <w:tcPr>
                  <w:tcW w:w="691" w:type="dxa"/>
                  <w:noWrap w:val="0"/>
                  <w:vAlign w:val="center"/>
                </w:tcPr>
                <w:p>
                  <w:pPr>
                    <w:pStyle w:val="9"/>
                    <w:keepNext w:val="0"/>
                    <w:keepLines w:val="0"/>
                    <w:widowControl/>
                    <w:suppressLineNumbers w:val="0"/>
                    <w:bidi w:val="0"/>
                    <w:spacing w:before="0" w:beforeAutospacing="0" w:after="0" w:afterAutospacing="0"/>
                    <w:ind w:left="0" w:right="0"/>
                    <w:rPr>
                      <w:rFonts w:hint="eastAsia"/>
                      <w:b/>
                      <w:bCs/>
                      <w:szCs w:val="20"/>
                    </w:rPr>
                  </w:pPr>
                  <w:r>
                    <w:rPr>
                      <w:rFonts w:hint="eastAsia"/>
                      <w:b/>
                      <w:bCs/>
                      <w:szCs w:val="20"/>
                    </w:rPr>
                    <w:t>类别</w:t>
                  </w:r>
                </w:p>
              </w:tc>
              <w:tc>
                <w:tcPr>
                  <w:tcW w:w="1538" w:type="dxa"/>
                  <w:gridSpan w:val="2"/>
                  <w:noWrap w:val="0"/>
                  <w:vAlign w:val="center"/>
                </w:tcPr>
                <w:p>
                  <w:pPr>
                    <w:pStyle w:val="9"/>
                    <w:keepNext w:val="0"/>
                    <w:keepLines w:val="0"/>
                    <w:widowControl/>
                    <w:suppressLineNumbers w:val="0"/>
                    <w:bidi w:val="0"/>
                    <w:spacing w:before="0" w:beforeAutospacing="0" w:after="0" w:afterAutospacing="0"/>
                    <w:ind w:left="0" w:right="0"/>
                    <w:rPr>
                      <w:rFonts w:hint="eastAsia"/>
                      <w:b/>
                      <w:bCs/>
                      <w:szCs w:val="20"/>
                    </w:rPr>
                  </w:pPr>
                  <w:r>
                    <w:rPr>
                      <w:rFonts w:hint="eastAsia"/>
                      <w:b/>
                      <w:bCs/>
                      <w:szCs w:val="20"/>
                    </w:rPr>
                    <w:t>工程名称</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eastAsia"/>
                      <w:b/>
                      <w:bCs/>
                      <w:szCs w:val="20"/>
                    </w:rPr>
                  </w:pPr>
                  <w:r>
                    <w:rPr>
                      <w:rFonts w:hint="eastAsia"/>
                      <w:b/>
                      <w:bCs/>
                      <w:szCs w:val="20"/>
                    </w:rPr>
                    <w:t>建设内容及规模</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eastAsia"/>
                      <w:b/>
                      <w:bCs/>
                      <w:szCs w:val="20"/>
                      <w:lang w:eastAsia="zh-CN"/>
                    </w:rPr>
                  </w:pPr>
                  <w:r>
                    <w:rPr>
                      <w:rFonts w:hint="eastAsia"/>
                      <w:b/>
                      <w:bCs/>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691" w:type="dxa"/>
                  <w:noWrap w:val="0"/>
                  <w:vAlign w:val="center"/>
                </w:tcPr>
                <w:p>
                  <w:pPr>
                    <w:pStyle w:val="9"/>
                    <w:keepNext w:val="0"/>
                    <w:keepLines w:val="0"/>
                    <w:widowControl/>
                    <w:suppressLineNumbers w:val="0"/>
                    <w:bidi w:val="0"/>
                    <w:spacing w:before="0" w:beforeAutospacing="0" w:after="0" w:afterAutospacing="0"/>
                    <w:ind w:left="0" w:right="0"/>
                    <w:rPr>
                      <w:rFonts w:hint="default" w:eastAsia="宋体"/>
                      <w:szCs w:val="20"/>
                      <w:lang w:val="en-US" w:eastAsia="zh-CN"/>
                    </w:rPr>
                  </w:pPr>
                  <w:r>
                    <w:rPr>
                      <w:rFonts w:hint="eastAsia"/>
                      <w:szCs w:val="20"/>
                      <w:lang w:val="en-US" w:eastAsia="zh-CN"/>
                    </w:rPr>
                    <w:t>主体工程</w:t>
                  </w:r>
                </w:p>
              </w:tc>
              <w:tc>
                <w:tcPr>
                  <w:tcW w:w="1538" w:type="dxa"/>
                  <w:gridSpan w:val="2"/>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eastAsia="zh-CN"/>
                    </w:rPr>
                    <w:t>沥青混凝土搅拌</w:t>
                  </w:r>
                  <w:r>
                    <w:rPr>
                      <w:rFonts w:hint="eastAsia"/>
                      <w:szCs w:val="20"/>
                      <w:lang w:val="en-US" w:eastAsia="zh-CN"/>
                    </w:rPr>
                    <w:t>楼</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设置一套均华筑机LB—4000型整体式沥青混合料搅拌设备，包括括搅拌主楼1套、冷料供给系统1套、干燥系统1套、粉料供给系统1套、热再生系统1套、除尘系统1套、成品系统1套等，占地面积约20m</w:t>
                  </w:r>
                  <w:r>
                    <w:rPr>
                      <w:rFonts w:hint="eastAsia"/>
                      <w:szCs w:val="20"/>
                      <w:vertAlign w:val="superscript"/>
                      <w:lang w:val="en-US" w:eastAsia="zh-CN"/>
                    </w:rPr>
                    <w:t>2</w:t>
                  </w:r>
                  <w:r>
                    <w:rPr>
                      <w:rFonts w:hint="eastAsia"/>
                      <w:szCs w:val="20"/>
                      <w:lang w:val="en-US" w:eastAsia="zh-CN"/>
                    </w:rPr>
                    <w:t>。</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restart"/>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lang w:val="en-US" w:eastAsia="zh-CN"/>
                    </w:rPr>
                    <w:t>仓储</w:t>
                  </w:r>
                  <w:r>
                    <w:rPr>
                      <w:rFonts w:hint="eastAsia"/>
                      <w:szCs w:val="20"/>
                    </w:rPr>
                    <w:t>工程</w:t>
                  </w:r>
                </w:p>
              </w:tc>
              <w:tc>
                <w:tcPr>
                  <w:tcW w:w="1538" w:type="dxa"/>
                  <w:gridSpan w:val="2"/>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砂石堆场</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位于厂区北侧，面积为1300m</w:t>
                  </w:r>
                  <w:r>
                    <w:rPr>
                      <w:rFonts w:hint="eastAsia"/>
                      <w:szCs w:val="20"/>
                      <w:vertAlign w:val="superscript"/>
                      <w:lang w:val="en-US" w:eastAsia="zh-CN"/>
                    </w:rPr>
                    <w:t>2</w:t>
                  </w:r>
                  <w:r>
                    <w:rPr>
                      <w:rFonts w:hint="eastAsia"/>
                      <w:szCs w:val="20"/>
                      <w:lang w:val="en-US" w:eastAsia="zh-CN"/>
                    </w:rPr>
                    <w:t>，采用搭建大厂房结构，上方均设有钢板顶棚、三面至顶围墙，防雨，降低骨料含水率。</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val="en-US" w:eastAsia="zh-CN"/>
                    </w:rPr>
                  </w:pPr>
                </w:p>
              </w:tc>
              <w:tc>
                <w:tcPr>
                  <w:tcW w:w="1538" w:type="dxa"/>
                  <w:gridSpan w:val="2"/>
                  <w:noWrap w:val="0"/>
                  <w:vAlign w:val="center"/>
                </w:tcPr>
                <w:p>
                  <w:pPr>
                    <w:pStyle w:val="9"/>
                    <w:keepNext w:val="0"/>
                    <w:keepLines w:val="0"/>
                    <w:widowControl/>
                    <w:suppressLineNumbers w:val="0"/>
                    <w:bidi w:val="0"/>
                    <w:spacing w:before="0" w:beforeAutospacing="0" w:after="0" w:afterAutospacing="0"/>
                    <w:ind w:left="0" w:right="0"/>
                    <w:rPr>
                      <w:rFonts w:hint="default" w:eastAsia="宋体"/>
                      <w:szCs w:val="20"/>
                      <w:lang w:val="en-US" w:eastAsia="zh-CN"/>
                    </w:rPr>
                  </w:pPr>
                  <w:r>
                    <w:rPr>
                      <w:rFonts w:hint="eastAsia"/>
                      <w:szCs w:val="20"/>
                      <w:lang w:val="en-US" w:eastAsia="zh-CN"/>
                    </w:rPr>
                    <w:t>沥青罐区</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卧式沥青储罐6个，每个容积50m</w:t>
                  </w:r>
                  <w:r>
                    <w:rPr>
                      <w:rFonts w:hint="eastAsia"/>
                      <w:szCs w:val="20"/>
                      <w:vertAlign w:val="superscript"/>
                      <w:lang w:val="en-US" w:eastAsia="zh-CN"/>
                    </w:rPr>
                    <w:t>3</w:t>
                  </w:r>
                  <w:r>
                    <w:rPr>
                      <w:rFonts w:hint="eastAsia"/>
                      <w:szCs w:val="20"/>
                      <w:lang w:val="en-US" w:eastAsia="zh-CN"/>
                    </w:rPr>
                    <w:t>。</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val="en-US" w:eastAsia="zh-CN"/>
                    </w:rPr>
                  </w:pPr>
                </w:p>
              </w:tc>
              <w:tc>
                <w:tcPr>
                  <w:tcW w:w="1538" w:type="dxa"/>
                  <w:gridSpan w:val="2"/>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柴油储罐</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柴油储罐1个，容积50m</w:t>
                  </w:r>
                  <w:r>
                    <w:rPr>
                      <w:rFonts w:hint="eastAsia"/>
                      <w:szCs w:val="20"/>
                      <w:vertAlign w:val="superscript"/>
                      <w:lang w:val="en-US" w:eastAsia="zh-CN"/>
                    </w:rPr>
                    <w:t>3</w:t>
                  </w:r>
                  <w:r>
                    <w:rPr>
                      <w:rFonts w:hint="eastAsia"/>
                      <w:szCs w:val="20"/>
                      <w:lang w:val="en-US" w:eastAsia="zh-CN"/>
                    </w:rPr>
                    <w:t>。</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restart"/>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辅助工程</w:t>
                  </w:r>
                </w:p>
              </w:tc>
              <w:tc>
                <w:tcPr>
                  <w:tcW w:w="1538" w:type="dxa"/>
                  <w:gridSpan w:val="2"/>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生活区</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在厂区南侧设置一个生活区，用于员工食宿。</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val="en-US" w:eastAsia="zh-CN"/>
                    </w:rPr>
                  </w:pPr>
                </w:p>
              </w:tc>
              <w:tc>
                <w:tcPr>
                  <w:tcW w:w="1538" w:type="dxa"/>
                  <w:gridSpan w:val="2"/>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办公区</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在厂区南侧设置一个办公区，用于日常办公。</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restart"/>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rPr>
                    <w:t>公用</w:t>
                  </w:r>
                </w:p>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rPr>
                    <w:t>工程</w:t>
                  </w:r>
                </w:p>
              </w:tc>
              <w:tc>
                <w:tcPr>
                  <w:tcW w:w="1538" w:type="dxa"/>
                  <w:gridSpan w:val="2"/>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rPr>
                    <w:t>供电</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市政电网统一供给</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538" w:type="dxa"/>
                  <w:gridSpan w:val="2"/>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供水</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生活用水依托附近村庄由水罐车拉运</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538" w:type="dxa"/>
                  <w:gridSpan w:val="2"/>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rPr>
                    <w:t>排水</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项目无生产废水外排</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restart"/>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rPr>
                    <w:t>环保工程</w:t>
                  </w:r>
                </w:p>
              </w:tc>
              <w:tc>
                <w:tcPr>
                  <w:tcW w:w="457" w:type="dxa"/>
                  <w:vMerge w:val="restart"/>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rPr>
                    <w:t>废气</w:t>
                  </w: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砂石骨料堆场、上料输送粉尘</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砂石骨料堆放于半封闭仓库，堆场定期洒水降尘，上料输送机为全封闭式，无粉尘逸出。</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加热烘干、热料提升、筛分粉尘</w:t>
                  </w:r>
                </w:p>
              </w:tc>
              <w:tc>
                <w:tcPr>
                  <w:tcW w:w="521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加热烘干、热料提升、筛分粉尘设备均为密闭设备，该粉尘经密闭收集后进入搅拌站除尘系统（袋式除尘TA001）处理后通过一根15m高排气筒（DA001）排放。</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燃烧废气</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柴油、导热油炉燃烧废气采用低氮燃烧，经收集后进入一套袋式除尘（TA002）处理后通过一根15m高排气筒（DA002）排放</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lang w:eastAsia="zh-CN"/>
                    </w:rPr>
                  </w:pPr>
                  <w:r>
                    <w:rPr>
                      <w:rFonts w:hint="eastAsia"/>
                      <w:szCs w:val="20"/>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沥青加热、搅拌混合烟气</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沥青加热、搅拌混合过程设备均为全密闭设备，通过烟气冷凝器冷凝回收沥青烟，未凝气通过密闭管道输送入沥青烟气处理系统（喷淋+活性炭吸附装置TA003）统一处理达标后通过其15m高的排气筒DA003排放。</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lang w:eastAsia="zh-CN"/>
                    </w:rPr>
                  </w:pPr>
                  <w:r>
                    <w:rPr>
                      <w:rFonts w:hint="eastAsia"/>
                      <w:szCs w:val="20"/>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成品出料废气</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成品出料泄漏出来的沥青烟用引风收集装置收集，装料完毕后，车辆严密遮盖后驶出，收集效率可达90%，经收集后送入沥青烟气处理系统（喷淋+活性炭吸附装置TA003）统一处理达标后通过其15m高的排气筒DA003排放。</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lang w:eastAsia="zh-CN"/>
                    </w:rPr>
                  </w:pPr>
                  <w:r>
                    <w:rPr>
                      <w:rFonts w:hint="eastAsia"/>
                      <w:szCs w:val="20"/>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矿粉储罐呼吸粉尘</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产生量较小，以无组织形式排放</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食堂油烟</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t>食堂油烟经油烟净化器+专用烟道，油烟净化器净化效率不低于60%。</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restart"/>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rPr>
                    <w:t>固废</w:t>
                  </w: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废石料</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暂存于一般固废暂存场所，定期由石料生产商回收破碎利用</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除尘器收集粉尘</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t>暂存于一般固废暂存场所，定期回用到沥青混凝土生产。</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eastAsia="zh-CN"/>
                    </w:rPr>
                  </w:pPr>
                  <w:r>
                    <w:rPr>
                      <w:rFonts w:hint="eastAsia"/>
                      <w:szCs w:val="20"/>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滴漏沥青及残渣</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收集后暂存于一般固废暂存场所内，定期回用到沥青混凝土生产。</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生活垃圾</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收集后由环卫部门统一清运处理。</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eastAsia="zh-CN"/>
                    </w:rPr>
                  </w:pPr>
                  <w:r>
                    <w:rPr>
                      <w:rFonts w:hint="eastAsia"/>
                      <w:szCs w:val="20"/>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rPr>
                  </w:pPr>
                  <w:r>
                    <w:rPr>
                      <w:rFonts w:hint="eastAsia"/>
                      <w:szCs w:val="20"/>
                      <w:highlight w:val="none"/>
                    </w:rPr>
                    <w:t>危险废物</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default"/>
                      <w:szCs w:val="20"/>
                      <w:highlight w:val="none"/>
                    </w:rPr>
                    <w:t>本项目建设一座面积</w:t>
                  </w:r>
                  <w:r>
                    <w:rPr>
                      <w:rFonts w:hint="eastAsia"/>
                      <w:szCs w:val="20"/>
                      <w:highlight w:val="none"/>
                    </w:rPr>
                    <w:t>4</w:t>
                  </w:r>
                  <w:r>
                    <w:rPr>
                      <w:rFonts w:hint="default"/>
                      <w:szCs w:val="20"/>
                      <w:highlight w:val="none"/>
                    </w:rPr>
                    <w:t>m</w:t>
                  </w:r>
                  <w:r>
                    <w:rPr>
                      <w:rFonts w:hint="default"/>
                      <w:szCs w:val="20"/>
                      <w:highlight w:val="none"/>
                      <w:vertAlign w:val="superscript"/>
                    </w:rPr>
                    <w:t>2</w:t>
                  </w:r>
                  <w:r>
                    <w:rPr>
                      <w:rFonts w:hint="default"/>
                      <w:szCs w:val="20"/>
                      <w:highlight w:val="none"/>
                    </w:rPr>
                    <w:t>的危废暂存间。用于</w:t>
                  </w:r>
                  <w:r>
                    <w:rPr>
                      <w:rFonts w:hint="eastAsia"/>
                      <w:szCs w:val="20"/>
                      <w:highlight w:val="none"/>
                    </w:rPr>
                    <w:t>废活性炭</w:t>
                  </w:r>
                  <w:r>
                    <w:rPr>
                      <w:rFonts w:hint="eastAsia"/>
                      <w:szCs w:val="20"/>
                      <w:highlight w:val="none"/>
                      <w:lang w:eastAsia="zh-CN"/>
                    </w:rPr>
                    <w:t>、</w:t>
                  </w:r>
                  <w:r>
                    <w:rPr>
                      <w:rFonts w:hint="eastAsia"/>
                      <w:szCs w:val="20"/>
                      <w:highlight w:val="none"/>
                    </w:rPr>
                    <w:t>废导热油</w:t>
                  </w:r>
                  <w:r>
                    <w:rPr>
                      <w:rFonts w:hint="eastAsia"/>
                      <w:szCs w:val="20"/>
                      <w:highlight w:val="none"/>
                      <w:lang w:eastAsia="zh-CN"/>
                    </w:rPr>
                    <w:t>、</w:t>
                  </w:r>
                  <w:r>
                    <w:rPr>
                      <w:rFonts w:hint="eastAsia"/>
                      <w:szCs w:val="20"/>
                      <w:highlight w:val="none"/>
                    </w:rPr>
                    <w:t>废机油</w:t>
                  </w:r>
                  <w:r>
                    <w:rPr>
                      <w:rFonts w:hint="eastAsia"/>
                      <w:szCs w:val="20"/>
                      <w:highlight w:val="none"/>
                      <w:lang w:eastAsia="zh-CN"/>
                    </w:rPr>
                    <w:t>、</w:t>
                  </w:r>
                  <w:r>
                    <w:rPr>
                      <w:rFonts w:hint="eastAsia"/>
                      <w:szCs w:val="20"/>
                      <w:highlight w:val="none"/>
                    </w:rPr>
                    <w:t>废机油桶</w:t>
                  </w:r>
                  <w:r>
                    <w:rPr>
                      <w:rFonts w:hint="eastAsia"/>
                      <w:szCs w:val="20"/>
                      <w:highlight w:val="none"/>
                      <w:lang w:eastAsia="zh-CN"/>
                    </w:rPr>
                    <w:t>、</w:t>
                  </w:r>
                  <w:r>
                    <w:rPr>
                      <w:rFonts w:hint="eastAsia"/>
                      <w:szCs w:val="20"/>
                      <w:highlight w:val="none"/>
                    </w:rPr>
                    <w:t>导热油空桶</w:t>
                  </w:r>
                  <w:r>
                    <w:rPr>
                      <w:rFonts w:hint="default"/>
                      <w:szCs w:val="20"/>
                      <w:highlight w:val="none"/>
                    </w:rPr>
                    <w:t>暂存，定期委托有资质单位处置。</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eastAsia="zh-CN"/>
                    </w:rPr>
                  </w:pPr>
                  <w:r>
                    <w:rPr>
                      <w:rFonts w:hint="eastAsia"/>
                      <w:szCs w:val="20"/>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废水</w:t>
                  </w: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default" w:ascii="Times New Roman" w:hAnsi="Times New Roman" w:eastAsia="宋体" w:cs="Times New Roman"/>
                      <w:sz w:val="21"/>
                      <w:szCs w:val="20"/>
                      <w:highlight w:val="none"/>
                      <w:lang w:val="en-US" w:eastAsia="zh-CN" w:bidi="ar-SA"/>
                    </w:rPr>
                  </w:pPr>
                  <w:r>
                    <w:rPr>
                      <w:rFonts w:hint="eastAsia"/>
                      <w:szCs w:val="20"/>
                      <w:highlight w:val="none"/>
                      <w:lang w:val="en-US" w:eastAsia="zh-CN"/>
                    </w:rPr>
                    <w:t>生活污水</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eastAsia" w:ascii="Times New Roman" w:hAnsi="Times New Roman" w:eastAsia="宋体" w:cs="Times New Roman"/>
                      <w:sz w:val="21"/>
                      <w:szCs w:val="20"/>
                      <w:highlight w:val="none"/>
                      <w:lang w:val="en-US" w:eastAsia="zh-CN" w:bidi="ar-SA"/>
                    </w:rPr>
                  </w:pPr>
                  <w:r>
                    <w:rPr>
                      <w:rFonts w:hint="eastAsia"/>
                      <w:b w:val="0"/>
                      <w:bCs w:val="0"/>
                      <w:szCs w:val="20"/>
                      <w:highlight w:val="none"/>
                      <w:lang w:val="en-US" w:eastAsia="zh-CN"/>
                    </w:rPr>
                    <w:t>食堂</w:t>
                  </w:r>
                  <w:r>
                    <w:rPr>
                      <w:rFonts w:hint="eastAsia"/>
                      <w:b w:val="0"/>
                      <w:bCs w:val="0"/>
                      <w:szCs w:val="20"/>
                      <w:highlight w:val="none"/>
                    </w:rPr>
                    <w:t>废水经自建隔油池（1.0m</w:t>
                  </w:r>
                  <w:r>
                    <w:rPr>
                      <w:rFonts w:hint="eastAsia"/>
                      <w:b w:val="0"/>
                      <w:bCs w:val="0"/>
                      <w:szCs w:val="20"/>
                      <w:highlight w:val="none"/>
                      <w:vertAlign w:val="superscript"/>
                    </w:rPr>
                    <w:t>3</w:t>
                  </w:r>
                  <w:r>
                    <w:rPr>
                      <w:rFonts w:hint="eastAsia"/>
                      <w:b w:val="0"/>
                      <w:bCs w:val="0"/>
                      <w:szCs w:val="20"/>
                      <w:highlight w:val="none"/>
                    </w:rPr>
                    <w:t>）处理后与</w:t>
                  </w:r>
                  <w:r>
                    <w:rPr>
                      <w:rFonts w:hint="eastAsia"/>
                      <w:b w:val="0"/>
                      <w:bCs w:val="0"/>
                      <w:szCs w:val="20"/>
                      <w:highlight w:val="none"/>
                      <w:lang w:val="en-US" w:eastAsia="zh-CN"/>
                    </w:rPr>
                    <w:t>其他办公</w:t>
                  </w:r>
                  <w:r>
                    <w:rPr>
                      <w:rFonts w:hint="eastAsia"/>
                      <w:b w:val="0"/>
                      <w:bCs w:val="0"/>
                      <w:szCs w:val="20"/>
                      <w:highlight w:val="none"/>
                    </w:rPr>
                    <w:t>废水一起进入化粪池（2.0m</w:t>
                  </w:r>
                  <w:r>
                    <w:rPr>
                      <w:rFonts w:hint="eastAsia"/>
                      <w:b w:val="0"/>
                      <w:bCs w:val="0"/>
                      <w:szCs w:val="20"/>
                      <w:highlight w:val="none"/>
                      <w:vertAlign w:val="superscript"/>
                    </w:rPr>
                    <w:t>3</w:t>
                  </w:r>
                  <w:r>
                    <w:rPr>
                      <w:rFonts w:hint="eastAsia"/>
                      <w:b w:val="0"/>
                      <w:bCs w:val="0"/>
                      <w:szCs w:val="20"/>
                      <w:highlight w:val="none"/>
                    </w:rPr>
                    <w:t>）处理，</w:t>
                  </w:r>
                  <w:r>
                    <w:rPr>
                      <w:rFonts w:hint="eastAsia"/>
                      <w:b w:val="0"/>
                      <w:bCs w:val="0"/>
                      <w:szCs w:val="20"/>
                      <w:highlight w:val="none"/>
                      <w:lang w:val="en-US" w:eastAsia="zh-CN"/>
                    </w:rPr>
                    <w:t>回用于洒水降尘</w:t>
                  </w:r>
                  <w:r>
                    <w:rPr>
                      <w:rFonts w:hint="eastAsia"/>
                      <w:b w:val="0"/>
                      <w:bCs w:val="0"/>
                      <w:szCs w:val="20"/>
                      <w:highlight w:val="none"/>
                    </w:rPr>
                    <w:t>，不外排</w:t>
                  </w:r>
                  <w:r>
                    <w:rPr>
                      <w:rFonts w:hint="default"/>
                      <w:color w:val="auto"/>
                      <w:szCs w:val="20"/>
                      <w:highlight w:val="none"/>
                      <w:u w:val="none"/>
                    </w:rPr>
                    <w:t>。</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91" w:type="dxa"/>
                  <w:vMerge w:val="continue"/>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p>
              </w:tc>
              <w:tc>
                <w:tcPr>
                  <w:tcW w:w="457"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rPr>
                    <w:t>噪声</w:t>
                  </w:r>
                </w:p>
              </w:tc>
              <w:tc>
                <w:tcPr>
                  <w:tcW w:w="1081"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lang w:eastAsia="zh-CN"/>
                    </w:rPr>
                  </w:pPr>
                  <w:r>
                    <w:rPr>
                      <w:rFonts w:hint="eastAsia"/>
                      <w:szCs w:val="20"/>
                      <w:highlight w:val="none"/>
                      <w:lang w:eastAsia="zh-CN"/>
                    </w:rPr>
                    <w:t>减震垫</w:t>
                  </w:r>
                </w:p>
              </w:tc>
              <w:tc>
                <w:tcPr>
                  <w:tcW w:w="5216"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rPr>
                  </w:pPr>
                  <w:r>
                    <w:rPr>
                      <w:rFonts w:hint="eastAsia"/>
                      <w:szCs w:val="20"/>
                      <w:highlight w:val="none"/>
                    </w:rPr>
                    <w:t>对设备进行基础减震处理、加垫橡胶圈减震、厂房隔声、合理安排生产时间</w:t>
                  </w:r>
                  <w:r>
                    <w:rPr>
                      <w:rFonts w:hint="eastAsia"/>
                      <w:szCs w:val="20"/>
                      <w:highlight w:val="none"/>
                      <w:lang w:eastAsia="zh-CN"/>
                    </w:rPr>
                    <w:t>，</w:t>
                  </w:r>
                  <w:r>
                    <w:rPr>
                      <w:rFonts w:hint="eastAsia"/>
                      <w:szCs w:val="20"/>
                      <w:highlight w:val="none"/>
                    </w:rPr>
                    <w:t>加强设备维护保养</w:t>
                  </w:r>
                </w:p>
              </w:tc>
              <w:tc>
                <w:tcPr>
                  <w:tcW w:w="683"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rPr>
                  </w:pPr>
                  <w:r>
                    <w:rPr>
                      <w:rFonts w:hint="eastAsia"/>
                      <w:szCs w:val="20"/>
                      <w:lang w:eastAsia="zh-CN"/>
                    </w:rPr>
                    <w:t>新建</w:t>
                  </w:r>
                </w:p>
              </w:tc>
            </w:tr>
          </w:tbl>
          <w:p>
            <w:pPr>
              <w:keepNext w:val="0"/>
              <w:keepLines w:val="0"/>
              <w:suppressLineNumbers w:val="0"/>
              <w:spacing w:before="120" w:beforeLines="50" w:beforeAutospacing="0" w:after="0" w:afterAutospacing="0"/>
              <w:ind w:left="0" w:right="0" w:firstLine="482"/>
              <w:rPr>
                <w:rFonts w:hint="default"/>
                <w:b/>
                <w:bCs/>
              </w:rPr>
            </w:pPr>
            <w:r>
              <w:rPr>
                <w:rFonts w:hint="eastAsia"/>
                <w:b/>
                <w:bCs/>
                <w:lang w:val="en-US" w:eastAsia="zh-CN"/>
              </w:rPr>
              <w:t>3</w:t>
            </w:r>
            <w:r>
              <w:rPr>
                <w:rFonts w:hint="eastAsia"/>
                <w:b/>
                <w:bCs/>
              </w:rPr>
              <w:t>、产品方案</w:t>
            </w:r>
          </w:p>
          <w:p>
            <w:pPr>
              <w:keepNext w:val="0"/>
              <w:keepLines w:val="0"/>
              <w:suppressLineNumbers w:val="0"/>
              <w:spacing w:before="0" w:beforeAutospacing="0" w:after="0" w:afterAutospacing="0"/>
              <w:ind w:left="0" w:right="0" w:firstLine="482"/>
              <w:rPr>
                <w:rFonts w:hint="eastAsia"/>
              </w:rPr>
            </w:pPr>
            <w:r>
              <w:rPr>
                <w:rFonts w:hint="eastAsia"/>
              </w:rPr>
              <w:t>项目建成后，年产10万吨沥青混凝土。</w:t>
            </w:r>
          </w:p>
          <w:p>
            <w:pPr>
              <w:keepNext w:val="0"/>
              <w:keepLines w:val="0"/>
              <w:suppressLineNumbers w:val="0"/>
              <w:spacing w:before="0" w:beforeAutospacing="0" w:after="0" w:afterAutospacing="0"/>
              <w:ind w:left="0" w:right="0" w:firstLine="482"/>
              <w:rPr>
                <w:rFonts w:hint="default"/>
                <w:b/>
                <w:bCs/>
              </w:rPr>
            </w:pPr>
            <w:r>
              <w:rPr>
                <w:rFonts w:hint="eastAsia"/>
                <w:b/>
                <w:bCs/>
                <w:lang w:val="en-US" w:eastAsia="zh-CN"/>
              </w:rPr>
              <w:t>4</w:t>
            </w:r>
            <w:r>
              <w:rPr>
                <w:rFonts w:hint="eastAsia"/>
                <w:b/>
                <w:bCs/>
              </w:rPr>
              <w:t>、劳动定员及工作时间</w:t>
            </w:r>
          </w:p>
          <w:p>
            <w:pPr>
              <w:keepNext w:val="0"/>
              <w:keepLines w:val="0"/>
              <w:suppressLineNumbers w:val="0"/>
              <w:spacing w:before="0" w:beforeAutospacing="0" w:after="0" w:afterAutospacing="0"/>
              <w:ind w:left="0" w:right="0" w:firstLine="480"/>
              <w:rPr>
                <w:rFonts w:hint="default" w:eastAsia="宋体"/>
                <w:lang w:val="en-US" w:eastAsia="zh-CN"/>
              </w:rPr>
            </w:pPr>
            <w:r>
              <w:rPr>
                <w:rFonts w:hint="eastAsia"/>
              </w:rPr>
              <w:t>本项目劳动定员为</w:t>
            </w:r>
            <w:r>
              <w:rPr>
                <w:rFonts w:hint="eastAsia"/>
                <w:lang w:val="en-US" w:eastAsia="zh-CN"/>
              </w:rPr>
              <w:t>8</w:t>
            </w:r>
            <w:r>
              <w:rPr>
                <w:rFonts w:hint="eastAsia"/>
              </w:rPr>
              <w:t>人，均在项目内食宿。项目实施后，年生产300天，每天生产8小时</w:t>
            </w:r>
            <w:r>
              <w:rPr>
                <w:rFonts w:hint="eastAsia"/>
                <w:color w:val="auto"/>
                <w:u w:val="none"/>
              </w:rPr>
              <w:t>。</w:t>
            </w:r>
          </w:p>
          <w:p>
            <w:pPr>
              <w:keepNext w:val="0"/>
              <w:keepLines w:val="0"/>
              <w:suppressLineNumbers w:val="0"/>
              <w:spacing w:before="0" w:beforeAutospacing="0" w:after="0" w:afterAutospacing="0"/>
              <w:ind w:left="0" w:right="0" w:firstLine="482"/>
              <w:rPr>
                <w:rFonts w:hint="default"/>
                <w:b/>
                <w:bCs/>
              </w:rPr>
            </w:pPr>
            <w:r>
              <w:rPr>
                <w:rFonts w:hint="eastAsia"/>
                <w:b/>
                <w:bCs/>
                <w:lang w:val="en-US" w:eastAsia="zh-CN"/>
              </w:rPr>
              <w:t>5</w:t>
            </w:r>
            <w:r>
              <w:rPr>
                <w:rFonts w:hint="eastAsia"/>
                <w:b/>
                <w:bCs/>
              </w:rPr>
              <w:t>、主要生产设备</w:t>
            </w:r>
          </w:p>
          <w:p>
            <w:pPr>
              <w:keepNext w:val="0"/>
              <w:keepLines w:val="0"/>
              <w:suppressLineNumbers w:val="0"/>
              <w:spacing w:before="0" w:beforeAutospacing="0" w:after="0" w:afterAutospacing="0"/>
              <w:ind w:left="0" w:right="0" w:firstLine="480"/>
              <w:rPr>
                <w:rFonts w:hint="default"/>
              </w:rPr>
            </w:pPr>
            <w:r>
              <w:rPr>
                <w:rFonts w:hint="eastAsia"/>
              </w:rPr>
              <w:t>本项目主要生产设备见表2-</w:t>
            </w:r>
            <w:r>
              <w:rPr>
                <w:rFonts w:hint="eastAsia"/>
                <w:lang w:val="en-US" w:eastAsia="zh-CN"/>
              </w:rPr>
              <w:t>2</w:t>
            </w:r>
            <w:r>
              <w:rPr>
                <w:rFonts w:hint="eastAsia"/>
              </w:rPr>
              <w:t>。</w:t>
            </w:r>
          </w:p>
          <w:p>
            <w:pPr>
              <w:pStyle w:val="11"/>
              <w:keepNext w:val="0"/>
              <w:keepLines w:val="0"/>
              <w:widowControl/>
              <w:suppressLineNumbers w:val="0"/>
              <w:bidi w:val="0"/>
              <w:spacing w:beforeAutospacing="0" w:after="0" w:afterAutospacing="0"/>
              <w:ind w:left="0" w:right="0"/>
              <w:rPr>
                <w:rFonts w:hint="default"/>
                <w:highlight w:val="none"/>
              </w:rPr>
            </w:pPr>
            <w:r>
              <w:rPr>
                <w:rFonts w:hint="default"/>
                <w:highlight w:val="none"/>
              </w:rPr>
              <w:t>表2-</w:t>
            </w:r>
            <w:r>
              <w:rPr>
                <w:rFonts w:hint="eastAsia"/>
                <w:highlight w:val="none"/>
                <w:lang w:val="en-US" w:eastAsia="zh-CN"/>
              </w:rPr>
              <w:t>2</w:t>
            </w:r>
            <w:r>
              <w:rPr>
                <w:rFonts w:hint="default"/>
                <w:highlight w:val="none"/>
              </w:rPr>
              <w:t xml:space="preserve">  项目主要生产设备一览表</w:t>
            </w:r>
          </w:p>
          <w:tbl>
            <w:tblPr>
              <w:tblStyle w:val="7"/>
              <w:tblW w:w="8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899"/>
              <w:gridCol w:w="2461"/>
              <w:gridCol w:w="148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序号</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设备名称</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bCs/>
                      <w:szCs w:val="20"/>
                      <w:lang w:val="en-US" w:eastAsia="zh-CN"/>
                    </w:rPr>
                  </w:pPr>
                  <w:r>
                    <w:rPr>
                      <w:rFonts w:hint="eastAsia"/>
                      <w:b/>
                      <w:bCs/>
                      <w:szCs w:val="20"/>
                      <w:lang w:val="en-US" w:eastAsia="zh-CN"/>
                    </w:rPr>
                    <w:t>型号规格</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数量（台）</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1</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料斗</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1</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上料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2</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锅炉</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YY（Q）W-1200Y（Q）</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1</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保温/加热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3</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烘干机</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1</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加热烘干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4</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筛分机</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1</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筛分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5</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搅拌机</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lang w:val="en-US" w:eastAsia="zh-CN"/>
                    </w:rPr>
                    <w:t>均华筑机LB—4000型</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1</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搅拌混合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6</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沥青料仓</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1</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7</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沥青罐</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35t/个</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6</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8</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柴油</w:t>
                  </w:r>
                  <w:r>
                    <w:rPr>
                      <w:rFonts w:hint="eastAsia"/>
                      <w:szCs w:val="20"/>
                    </w:rPr>
                    <w:t>储罐</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60t/个</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1</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lang w:val="en-US" w:eastAsia="zh-CN"/>
                    </w:rPr>
                    <w:t>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9</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提升机</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热料提升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10</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计量称</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3</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11</w:t>
                  </w:r>
                </w:p>
              </w:tc>
              <w:tc>
                <w:tcPr>
                  <w:tcW w:w="189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矿粉储罐</w:t>
                  </w:r>
                </w:p>
              </w:tc>
              <w:tc>
                <w:tcPr>
                  <w:tcW w:w="24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45t/个</w:t>
                  </w:r>
                </w:p>
              </w:tc>
              <w:tc>
                <w:tcPr>
                  <w:tcW w:w="14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1</w:t>
                  </w:r>
                </w:p>
              </w:tc>
              <w:tc>
                <w:tcPr>
                  <w:tcW w:w="14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储存</w:t>
                  </w:r>
                </w:p>
              </w:tc>
            </w:tr>
          </w:tbl>
          <w:p>
            <w:pPr>
              <w:keepNext w:val="0"/>
              <w:keepLines w:val="0"/>
              <w:suppressLineNumbers w:val="0"/>
              <w:spacing w:before="120" w:beforeLines="50" w:beforeAutospacing="0" w:after="0" w:afterAutospacing="0"/>
              <w:ind w:left="0" w:right="0" w:firstLine="482"/>
              <w:rPr>
                <w:rFonts w:hint="default"/>
                <w:b/>
                <w:bCs/>
              </w:rPr>
            </w:pPr>
            <w:r>
              <w:rPr>
                <w:rFonts w:hint="eastAsia"/>
                <w:b/>
                <w:bCs/>
                <w:lang w:val="en-US" w:eastAsia="zh-CN"/>
              </w:rPr>
              <w:t>6</w:t>
            </w:r>
            <w:r>
              <w:rPr>
                <w:rFonts w:hint="eastAsia"/>
                <w:b/>
                <w:bCs/>
              </w:rPr>
              <w:t>、主要原辅材料</w:t>
            </w:r>
          </w:p>
          <w:p>
            <w:pPr>
              <w:pStyle w:val="11"/>
              <w:keepNext w:val="0"/>
              <w:keepLines w:val="0"/>
              <w:widowControl/>
              <w:suppressLineNumbers w:val="0"/>
              <w:bidi w:val="0"/>
              <w:spacing w:beforeAutospacing="0" w:after="0" w:afterAutospacing="0"/>
              <w:ind w:left="0" w:right="0"/>
              <w:rPr>
                <w:rFonts w:hint="eastAsia"/>
                <w:lang w:eastAsia="zh-CN"/>
              </w:rPr>
            </w:pPr>
            <w:r>
              <w:rPr>
                <w:rFonts w:hint="eastAsia"/>
                <w:lang w:eastAsia="zh-CN"/>
              </w:rPr>
              <w:t>表</w:t>
            </w:r>
            <w:r>
              <w:rPr>
                <w:rFonts w:hint="eastAsia"/>
                <w:lang w:val="en-US" w:eastAsia="zh-CN"/>
              </w:rPr>
              <w:t xml:space="preserve">2-3 </w:t>
            </w:r>
            <w:r>
              <w:rPr>
                <w:rFonts w:hint="eastAsia"/>
                <w:lang w:eastAsia="zh-CN"/>
              </w:rPr>
              <w:t>主要原辅材料消耗指标表</w:t>
            </w:r>
          </w:p>
          <w:tbl>
            <w:tblPr>
              <w:tblStyle w:val="6"/>
              <w:tblW w:w="8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793"/>
              <w:gridCol w:w="1193"/>
              <w:gridCol w:w="1383"/>
              <w:gridCol w:w="1129"/>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35" w:type="dxa"/>
                  <w:noWrap w:val="0"/>
                  <w:vAlign w:val="center"/>
                </w:tcPr>
                <w:p>
                  <w:pPr>
                    <w:pStyle w:val="9"/>
                    <w:keepNext w:val="0"/>
                    <w:keepLines w:val="0"/>
                    <w:widowControl/>
                    <w:suppressLineNumbers w:val="0"/>
                    <w:bidi w:val="0"/>
                    <w:spacing w:before="0" w:beforeAutospacing="0" w:after="0" w:afterAutospacing="0"/>
                    <w:ind w:left="0" w:right="0"/>
                    <w:rPr>
                      <w:rFonts w:hint="eastAsia"/>
                      <w:b/>
                      <w:bCs/>
                      <w:szCs w:val="20"/>
                      <w:lang w:eastAsia="zh-CN"/>
                    </w:rPr>
                  </w:pPr>
                  <w:r>
                    <w:rPr>
                      <w:rFonts w:hint="eastAsia"/>
                      <w:b/>
                      <w:bCs/>
                      <w:szCs w:val="20"/>
                      <w:lang w:eastAsia="zh-CN"/>
                    </w:rPr>
                    <w:t>序号</w:t>
                  </w:r>
                </w:p>
              </w:tc>
              <w:tc>
                <w:tcPr>
                  <w:tcW w:w="1793" w:type="dxa"/>
                  <w:noWrap w:val="0"/>
                  <w:vAlign w:val="center"/>
                </w:tcPr>
                <w:p>
                  <w:pPr>
                    <w:pStyle w:val="9"/>
                    <w:keepNext w:val="0"/>
                    <w:keepLines w:val="0"/>
                    <w:widowControl/>
                    <w:suppressLineNumbers w:val="0"/>
                    <w:bidi w:val="0"/>
                    <w:spacing w:before="0" w:beforeAutospacing="0" w:after="0" w:afterAutospacing="0"/>
                    <w:ind w:left="0" w:right="0"/>
                    <w:rPr>
                      <w:rFonts w:hint="eastAsia"/>
                      <w:b/>
                      <w:bCs/>
                      <w:szCs w:val="20"/>
                      <w:lang w:eastAsia="zh-CN"/>
                    </w:rPr>
                  </w:pPr>
                  <w:r>
                    <w:rPr>
                      <w:rFonts w:hint="eastAsia"/>
                      <w:b/>
                      <w:bCs/>
                      <w:szCs w:val="20"/>
                      <w:lang w:eastAsia="zh-CN"/>
                    </w:rPr>
                    <w:t>名称</w:t>
                  </w:r>
                </w:p>
              </w:tc>
              <w:tc>
                <w:tcPr>
                  <w:tcW w:w="1193" w:type="dxa"/>
                  <w:noWrap w:val="0"/>
                  <w:vAlign w:val="center"/>
                </w:tcPr>
                <w:p>
                  <w:pPr>
                    <w:pStyle w:val="9"/>
                    <w:keepNext w:val="0"/>
                    <w:keepLines w:val="0"/>
                    <w:widowControl/>
                    <w:suppressLineNumbers w:val="0"/>
                    <w:bidi w:val="0"/>
                    <w:spacing w:before="0" w:beforeAutospacing="0" w:after="0" w:afterAutospacing="0"/>
                    <w:ind w:left="0" w:right="0"/>
                    <w:rPr>
                      <w:rFonts w:hint="eastAsia"/>
                      <w:b/>
                      <w:bCs/>
                      <w:szCs w:val="20"/>
                      <w:lang w:eastAsia="zh-CN"/>
                    </w:rPr>
                  </w:pPr>
                  <w:r>
                    <w:rPr>
                      <w:rFonts w:hint="eastAsia"/>
                      <w:b/>
                      <w:bCs/>
                      <w:szCs w:val="20"/>
                      <w:lang w:eastAsia="zh-CN"/>
                    </w:rPr>
                    <w:t>年用量</w:t>
                  </w:r>
                </w:p>
              </w:tc>
              <w:tc>
                <w:tcPr>
                  <w:tcW w:w="1383" w:type="dxa"/>
                  <w:noWrap w:val="0"/>
                  <w:vAlign w:val="center"/>
                </w:tcPr>
                <w:p>
                  <w:pPr>
                    <w:pStyle w:val="9"/>
                    <w:keepNext w:val="0"/>
                    <w:keepLines w:val="0"/>
                    <w:widowControl/>
                    <w:suppressLineNumbers w:val="0"/>
                    <w:bidi w:val="0"/>
                    <w:spacing w:before="0" w:beforeAutospacing="0" w:after="0" w:afterAutospacing="0"/>
                    <w:ind w:left="0" w:right="0"/>
                    <w:rPr>
                      <w:rFonts w:hint="eastAsia"/>
                      <w:b/>
                      <w:bCs/>
                      <w:szCs w:val="20"/>
                      <w:lang w:eastAsia="zh-CN"/>
                    </w:rPr>
                  </w:pPr>
                  <w:r>
                    <w:rPr>
                      <w:rFonts w:hint="eastAsia"/>
                      <w:b/>
                      <w:bCs/>
                      <w:szCs w:val="20"/>
                      <w:lang w:eastAsia="zh-CN"/>
                    </w:rPr>
                    <w:t>最大储存量</w:t>
                  </w:r>
                </w:p>
              </w:tc>
              <w:tc>
                <w:tcPr>
                  <w:tcW w:w="1129" w:type="dxa"/>
                  <w:noWrap w:val="0"/>
                  <w:vAlign w:val="center"/>
                </w:tcPr>
                <w:p>
                  <w:pPr>
                    <w:pStyle w:val="9"/>
                    <w:keepNext w:val="0"/>
                    <w:keepLines w:val="0"/>
                    <w:widowControl/>
                    <w:suppressLineNumbers w:val="0"/>
                    <w:bidi w:val="0"/>
                    <w:spacing w:before="0" w:beforeAutospacing="0" w:after="0" w:afterAutospacing="0"/>
                    <w:ind w:left="0" w:right="0"/>
                    <w:rPr>
                      <w:rFonts w:hint="eastAsia"/>
                      <w:b/>
                      <w:bCs/>
                      <w:szCs w:val="20"/>
                      <w:lang w:val="en-US" w:eastAsia="zh-CN"/>
                    </w:rPr>
                  </w:pPr>
                  <w:r>
                    <w:rPr>
                      <w:rFonts w:hint="eastAsia"/>
                      <w:b/>
                      <w:bCs/>
                      <w:szCs w:val="20"/>
                      <w:lang w:val="en-US" w:eastAsia="zh-CN"/>
                    </w:rPr>
                    <w:t>单位</w:t>
                  </w:r>
                </w:p>
              </w:tc>
              <w:tc>
                <w:tcPr>
                  <w:tcW w:w="1695" w:type="dxa"/>
                  <w:noWrap w:val="0"/>
                  <w:vAlign w:val="center"/>
                </w:tcPr>
                <w:p>
                  <w:pPr>
                    <w:pStyle w:val="9"/>
                    <w:keepNext w:val="0"/>
                    <w:keepLines w:val="0"/>
                    <w:widowControl/>
                    <w:suppressLineNumbers w:val="0"/>
                    <w:bidi w:val="0"/>
                    <w:spacing w:before="0" w:beforeAutospacing="0" w:after="0" w:afterAutospacing="0"/>
                    <w:ind w:left="0" w:right="0"/>
                    <w:rPr>
                      <w:rFonts w:hint="eastAsia"/>
                      <w:b/>
                      <w:bCs/>
                      <w:szCs w:val="20"/>
                      <w:lang w:eastAsia="zh-CN"/>
                    </w:rPr>
                  </w:pPr>
                  <w:r>
                    <w:rPr>
                      <w:rFonts w:hint="eastAsia"/>
                      <w:b/>
                      <w:bCs/>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5"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1</w:t>
                  </w:r>
                </w:p>
              </w:tc>
              <w:tc>
                <w:tcPr>
                  <w:tcW w:w="17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砂石料</w:t>
                  </w:r>
                </w:p>
              </w:tc>
              <w:tc>
                <w:tcPr>
                  <w:tcW w:w="11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100000</w:t>
                  </w:r>
                </w:p>
              </w:tc>
              <w:tc>
                <w:tcPr>
                  <w:tcW w:w="13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3000</w:t>
                  </w:r>
                </w:p>
              </w:tc>
              <w:tc>
                <w:tcPr>
                  <w:tcW w:w="1129"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t</w:t>
                  </w:r>
                </w:p>
              </w:tc>
              <w:tc>
                <w:tcPr>
                  <w:tcW w:w="1695"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砂石堆场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2</w:t>
                  </w:r>
                </w:p>
              </w:tc>
              <w:tc>
                <w:tcPr>
                  <w:tcW w:w="17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矿粉</w:t>
                  </w:r>
                </w:p>
              </w:tc>
              <w:tc>
                <w:tcPr>
                  <w:tcW w:w="11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500</w:t>
                  </w:r>
                </w:p>
              </w:tc>
              <w:tc>
                <w:tcPr>
                  <w:tcW w:w="13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45</w:t>
                  </w:r>
                </w:p>
              </w:tc>
              <w:tc>
                <w:tcPr>
                  <w:tcW w:w="1129"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t</w:t>
                  </w:r>
                </w:p>
              </w:tc>
              <w:tc>
                <w:tcPr>
                  <w:tcW w:w="169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矿粉储罐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3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3</w:t>
                  </w:r>
                </w:p>
              </w:tc>
              <w:tc>
                <w:tcPr>
                  <w:tcW w:w="17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沥青</w:t>
                  </w:r>
                </w:p>
              </w:tc>
              <w:tc>
                <w:tcPr>
                  <w:tcW w:w="11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5000</w:t>
                  </w:r>
                </w:p>
              </w:tc>
              <w:tc>
                <w:tcPr>
                  <w:tcW w:w="13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200</w:t>
                  </w:r>
                </w:p>
              </w:tc>
              <w:tc>
                <w:tcPr>
                  <w:tcW w:w="1129"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t</w:t>
                  </w:r>
                </w:p>
              </w:tc>
              <w:tc>
                <w:tcPr>
                  <w:tcW w:w="169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沥青罐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3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4</w:t>
                  </w:r>
                </w:p>
              </w:tc>
              <w:tc>
                <w:tcPr>
                  <w:tcW w:w="17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柴油</w:t>
                  </w:r>
                </w:p>
              </w:tc>
              <w:tc>
                <w:tcPr>
                  <w:tcW w:w="11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700</w:t>
                  </w:r>
                </w:p>
              </w:tc>
              <w:tc>
                <w:tcPr>
                  <w:tcW w:w="13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60</w:t>
                  </w:r>
                </w:p>
              </w:tc>
              <w:tc>
                <w:tcPr>
                  <w:tcW w:w="1129"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t</w:t>
                  </w:r>
                </w:p>
              </w:tc>
              <w:tc>
                <w:tcPr>
                  <w:tcW w:w="169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柴油罐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3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5</w:t>
                  </w:r>
                </w:p>
              </w:tc>
              <w:tc>
                <w:tcPr>
                  <w:tcW w:w="1793"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t>导热油</w:t>
                  </w:r>
                </w:p>
              </w:tc>
              <w:tc>
                <w:tcPr>
                  <w:tcW w:w="11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4</w:t>
                  </w:r>
                </w:p>
              </w:tc>
              <w:tc>
                <w:tcPr>
                  <w:tcW w:w="13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w:t>
                  </w:r>
                </w:p>
              </w:tc>
              <w:tc>
                <w:tcPr>
                  <w:tcW w:w="1129"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t</w:t>
                  </w:r>
                </w:p>
              </w:tc>
              <w:tc>
                <w:tcPr>
                  <w:tcW w:w="169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导热油炉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3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6</w:t>
                  </w:r>
                </w:p>
              </w:tc>
              <w:tc>
                <w:tcPr>
                  <w:tcW w:w="17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水</w:t>
                  </w:r>
                </w:p>
              </w:tc>
              <w:tc>
                <w:tcPr>
                  <w:tcW w:w="11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1218</w:t>
                  </w:r>
                </w:p>
              </w:tc>
              <w:tc>
                <w:tcPr>
                  <w:tcW w:w="13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w:t>
                  </w:r>
                </w:p>
              </w:tc>
              <w:tc>
                <w:tcPr>
                  <w:tcW w:w="1129"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t</w:t>
                  </w:r>
                </w:p>
              </w:tc>
              <w:tc>
                <w:tcPr>
                  <w:tcW w:w="169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7</w:t>
                  </w:r>
                </w:p>
              </w:tc>
              <w:tc>
                <w:tcPr>
                  <w:tcW w:w="17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电</w:t>
                  </w:r>
                </w:p>
              </w:tc>
              <w:tc>
                <w:tcPr>
                  <w:tcW w:w="119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300</w:t>
                  </w:r>
                </w:p>
              </w:tc>
              <w:tc>
                <w:tcPr>
                  <w:tcW w:w="1383"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w:t>
                  </w:r>
                </w:p>
              </w:tc>
              <w:tc>
                <w:tcPr>
                  <w:tcW w:w="1129" w:type="dxa"/>
                  <w:noWrap w:val="0"/>
                  <w:vAlign w:val="center"/>
                </w:tcPr>
                <w:p>
                  <w:pPr>
                    <w:pStyle w:val="9"/>
                    <w:keepNext w:val="0"/>
                    <w:keepLines w:val="0"/>
                    <w:widowControl/>
                    <w:suppressLineNumbers w:val="0"/>
                    <w:bidi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t>万kW/h</w:t>
                  </w:r>
                </w:p>
              </w:tc>
              <w:tc>
                <w:tcPr>
                  <w:tcW w:w="1695" w:type="dxa"/>
                  <w:noWrap w:val="0"/>
                  <w:vAlign w:val="center"/>
                </w:tcPr>
                <w:p>
                  <w:pPr>
                    <w:pStyle w:val="9"/>
                    <w:keepNext w:val="0"/>
                    <w:keepLines w:val="0"/>
                    <w:widowControl/>
                    <w:suppressLineNumbers w:val="0"/>
                    <w:bidi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项目使用原辅材料情况如下：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rPr>
              <w:t>（1）砂石料：</w:t>
            </w:r>
            <w:r>
              <w:rPr>
                <w:rFonts w:hint="eastAsia" w:ascii="Times New Roman" w:hAnsi="Times New Roman" w:eastAsia="宋体" w:cs="Times New Roman"/>
                <w:color w:val="auto"/>
                <w:sz w:val="24"/>
                <w:szCs w:val="24"/>
                <w:lang w:val="en-US" w:eastAsia="zh-CN"/>
              </w:rPr>
              <w:t>来自</w:t>
            </w:r>
            <w:r>
              <w:rPr>
                <w:rFonts w:hint="eastAsia" w:cs="Times New Roman"/>
                <w:color w:val="auto"/>
                <w:sz w:val="24"/>
                <w:szCs w:val="24"/>
                <w:lang w:val="en-US" w:eastAsia="zh-CN"/>
              </w:rPr>
              <w:t>附近</w:t>
            </w:r>
            <w:r>
              <w:rPr>
                <w:rFonts w:hint="eastAsia" w:ascii="Times New Roman" w:hAnsi="Times New Roman" w:eastAsia="宋体" w:cs="Times New Roman"/>
                <w:color w:val="auto"/>
                <w:sz w:val="24"/>
                <w:szCs w:val="24"/>
                <w:lang w:val="en-US" w:eastAsia="zh-CN"/>
              </w:rPr>
              <w:t>采石场，为不同粒径规格产品，是沥青混凝土的骨料，经采购后运至项目区原料库分仓暂存。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rPr>
              <w:t>（2）沥青：</w:t>
            </w:r>
            <w:r>
              <w:rPr>
                <w:rFonts w:hint="eastAsia" w:ascii="Times New Roman" w:hAnsi="Times New Roman" w:eastAsia="宋体" w:cs="Times New Roman"/>
                <w:color w:val="auto"/>
                <w:sz w:val="24"/>
                <w:szCs w:val="24"/>
                <w:lang w:val="en-US" w:eastAsia="zh-CN"/>
              </w:rPr>
              <w:t>项目使用的沥青为石油沥青，粘稠的液体、半固体或固体，主要组分为油分、树脂、地沥青质。油分为淡黄色至红褐色的油状液体，其分子量为100~500，密度为0.71～1.00g/cm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,沥青中油分的含量为40%~60%;树脂又称脂胶，为黄色至黑褐色半固体粘稠物质，分子量600~1000，密度为 1.0~1.1g/cm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，沥青中树脂的含量为15%~30%，它使石油沥青具有良好的塑性和粘结性。地沥青质为深褐色至黑色固态无定性的超细颗粒固体粉末，分子量为2000~6000，密度大于1.0g/cm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沥青中地沥青质含量在10%~30%之间，其含量愈多，则软化点愈高，黏性越大，也愈硬脆；石油沥青中还含2%~3%的沥青碳和似碳物（黑色固体粉末)，是石油沥青中分子量最大的，它会降低石油沥青的粘结力。石油沥青中还含有蜡，它会降低石油沥青的粘结性和塑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3</w:t>
            </w:r>
            <w:r>
              <w:rPr>
                <w:rFonts w:hint="eastAsia" w:ascii="Times New Roman" w:hAnsi="Times New Roman" w:eastAsia="宋体" w:cs="Times New Roman"/>
                <w:b/>
                <w:bCs/>
                <w:color w:val="auto"/>
                <w:sz w:val="24"/>
                <w:szCs w:val="24"/>
                <w:lang w:val="en-US" w:eastAsia="zh-CN"/>
              </w:rPr>
              <w:t>）柴油：</w:t>
            </w:r>
            <w:r>
              <w:rPr>
                <w:rFonts w:hint="default"/>
                <w:color w:val="auto"/>
                <w:sz w:val="24"/>
                <w:szCs w:val="24"/>
                <w:lang w:eastAsia="zh-CN"/>
              </w:rPr>
              <w:t>柴油为轻质石油产品，主要是由烷经、烯经、环烷经、芳香经、多环芳经与少量硫（2～60g/kg）、氮(&lt;1gkg）及添加剂组成的混合物。与汽油相比，柴油能量密度高，燃油消耗率低，但废气中含有害成分(NO，颗粒物等）较多。本项目的柴油为导热油锅炉燃料，含硫率约为0.01%</w:t>
            </w:r>
            <w:r>
              <w:rPr>
                <w:rFonts w:hint="eastAsia"/>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bCs/>
                <w:color w:val="auto"/>
                <w:sz w:val="24"/>
                <w:szCs w:val="24"/>
                <w:lang w:val="en-US" w:eastAsia="zh-CN"/>
              </w:rPr>
              <w:t>（</w:t>
            </w:r>
            <w:r>
              <w:rPr>
                <w:rFonts w:hint="eastAsia" w:cs="Times New Roman"/>
                <w:b/>
                <w:bCs/>
                <w:color w:val="auto"/>
                <w:sz w:val="24"/>
                <w:szCs w:val="24"/>
                <w:lang w:val="en-US" w:eastAsia="zh-CN"/>
              </w:rPr>
              <w:t>4</w:t>
            </w:r>
            <w:r>
              <w:rPr>
                <w:rFonts w:hint="eastAsia" w:ascii="Times New Roman" w:hAnsi="Times New Roman" w:eastAsia="宋体" w:cs="Times New Roman"/>
                <w:b/>
                <w:bCs/>
                <w:color w:val="auto"/>
                <w:sz w:val="24"/>
                <w:szCs w:val="24"/>
                <w:lang w:val="en-US" w:eastAsia="zh-CN"/>
              </w:rPr>
              <w:t>）导热油：</w:t>
            </w:r>
            <w:r>
              <w:rPr>
                <w:rFonts w:hint="eastAsia" w:ascii="Times New Roman" w:hAnsi="Times New Roman" w:eastAsia="宋体" w:cs="Times New Roman"/>
                <w:b w:val="0"/>
                <w:bCs w:val="0"/>
                <w:color w:val="auto"/>
                <w:sz w:val="24"/>
                <w:szCs w:val="24"/>
                <w:lang w:val="en-US" w:eastAsia="zh-CN"/>
              </w:rPr>
              <w:t>为琥珀色室温下液体，沸点为280-536℃，可燃，在正常条件下使用不应会成为健康危险源。长期或持续接触皮肤，而不适当清洗，可能会阻塞皮肤毛孔，导致油脂性粉刺/毛囊炎等疾病。用过的油可能包含有害杂质。危险特性：危险燃烧物品可能包括气载固体与液体微粒及气体（烟）的复杂混合物、一氧化碳、未被识别的有机、无机化合物。灭火介质：泡沫，洒水或喷雾。干化学灭火粉、二氧化碳、沙或泥土仅宜用于小规模火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7</w:t>
            </w:r>
            <w:r>
              <w:rPr>
                <w:rFonts w:hint="eastAsia" w:ascii="Times New Roman" w:hAnsi="Times New Roman" w:eastAsia="宋体" w:cs="Times New Roman"/>
                <w:b/>
                <w:bCs/>
                <w:color w:val="auto"/>
                <w:sz w:val="24"/>
                <w:szCs w:val="24"/>
                <w:lang w:val="en-US" w:eastAsia="zh-CN"/>
              </w:rPr>
              <w:t>、项目平面布置情况</w:t>
            </w:r>
          </w:p>
          <w:p>
            <w:pPr>
              <w:keepNext w:val="0"/>
              <w:keepLines w:val="0"/>
              <w:suppressLineNumbers w:val="0"/>
              <w:spacing w:before="120" w:beforeLines="50" w:beforeAutospacing="0" w:after="0" w:afterAutospacing="0"/>
              <w:ind w:left="0" w:right="0" w:firstLine="482"/>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本项目位于云南省昆明市富民县散旦镇散旦村委会白水塘村石头山，占地面积13868.7m</w:t>
            </w:r>
            <w:r>
              <w:rPr>
                <w:rFonts w:hint="eastAsia" w:ascii="Times New Roman" w:hAnsi="Times New Roman" w:eastAsia="宋体" w:cs="Times New Roman"/>
                <w:color w:val="auto"/>
                <w:sz w:val="24"/>
                <w:szCs w:val="24"/>
                <w:highlight w:val="none"/>
                <w:vertAlign w:val="superscript"/>
                <w:lang w:val="en-US" w:eastAsia="zh-CN"/>
              </w:rPr>
              <w:t>2</w:t>
            </w:r>
            <w:r>
              <w:rPr>
                <w:rFonts w:hint="eastAsia" w:ascii="Times New Roman" w:hAnsi="Times New Roman" w:eastAsia="宋体" w:cs="Times New Roman"/>
                <w:color w:val="auto"/>
                <w:sz w:val="24"/>
                <w:szCs w:val="24"/>
                <w:highlight w:val="none"/>
                <w:lang w:val="en-US" w:eastAsia="zh-CN"/>
              </w:rPr>
              <w:t>，项目由南侧入厂，由南到北依次布置为</w:t>
            </w:r>
            <w:r>
              <w:rPr>
                <w:rFonts w:hint="eastAsia" w:cs="Times New Roman"/>
                <w:color w:val="auto"/>
                <w:sz w:val="24"/>
                <w:szCs w:val="24"/>
                <w:highlight w:val="none"/>
                <w:lang w:val="en-US" w:eastAsia="zh-CN"/>
              </w:rPr>
              <w:t>生活区、办公区、沥青混凝土搅拌楼、砂石堆场，沥青罐、柴油罐、柴油罐均围绕搅拌楼设置</w:t>
            </w:r>
            <w:r>
              <w:rPr>
                <w:rFonts w:hint="eastAsia" w:ascii="Times New Roman" w:hAnsi="Times New Roman" w:eastAsia="宋体" w:cs="Times New Roman"/>
                <w:color w:val="auto"/>
                <w:sz w:val="24"/>
                <w:szCs w:val="24"/>
                <w:highlight w:val="none"/>
                <w:lang w:val="en-US" w:eastAsia="zh-CN"/>
              </w:rPr>
              <w:t>。项目平面布置情况见附图</w:t>
            </w:r>
            <w:r>
              <w:rPr>
                <w:rFonts w:hint="eastAsia"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w:t>
            </w:r>
          </w:p>
          <w:p>
            <w:pPr>
              <w:keepNext w:val="0"/>
              <w:keepLines w:val="0"/>
              <w:suppressLineNumbers w:val="0"/>
              <w:spacing w:before="0" w:beforeAutospacing="0" w:after="0" w:afterAutospacing="0"/>
              <w:ind w:left="0" w:right="0" w:firstLine="482"/>
              <w:rPr>
                <w:rFonts w:hint="default"/>
                <w:b/>
                <w:bCs/>
              </w:rPr>
            </w:pPr>
            <w:r>
              <w:rPr>
                <w:rFonts w:hint="eastAsia"/>
                <w:b/>
                <w:bCs/>
                <w:lang w:val="en-US" w:eastAsia="zh-CN"/>
              </w:rPr>
              <w:t>8</w:t>
            </w:r>
            <w:r>
              <w:rPr>
                <w:rFonts w:hint="eastAsia"/>
                <w:b/>
                <w:bCs/>
              </w:rPr>
              <w:t>、公用工程</w:t>
            </w:r>
          </w:p>
          <w:p>
            <w:pPr>
              <w:keepNext w:val="0"/>
              <w:keepLines w:val="0"/>
              <w:suppressLineNumbers w:val="0"/>
              <w:spacing w:before="0" w:beforeAutospacing="0" w:after="0" w:afterAutospacing="0"/>
              <w:ind w:left="0" w:right="0" w:firstLine="480"/>
              <w:rPr>
                <w:rFonts w:hint="default"/>
              </w:rPr>
            </w:pPr>
            <w:r>
              <w:rPr>
                <w:rFonts w:hint="eastAsia"/>
              </w:rPr>
              <w:t>（</w:t>
            </w:r>
            <w:r>
              <w:rPr>
                <w:rFonts w:hint="default"/>
              </w:rPr>
              <w:t>1）供电</w:t>
            </w:r>
          </w:p>
          <w:p>
            <w:pPr>
              <w:keepNext w:val="0"/>
              <w:keepLines w:val="0"/>
              <w:suppressLineNumbers w:val="0"/>
              <w:spacing w:before="0" w:beforeAutospacing="0" w:after="0" w:afterAutospacing="0"/>
              <w:ind w:left="0" w:right="0" w:firstLine="480"/>
              <w:rPr>
                <w:rFonts w:hint="default"/>
              </w:rPr>
            </w:pPr>
            <w:r>
              <w:rPr>
                <w:rFonts w:hint="default"/>
              </w:rPr>
              <w:t>由市政电网供给。</w:t>
            </w:r>
          </w:p>
          <w:p>
            <w:pPr>
              <w:keepNext w:val="0"/>
              <w:keepLines w:val="0"/>
              <w:suppressLineNumbers w:val="0"/>
              <w:spacing w:before="0" w:beforeAutospacing="0" w:after="0" w:afterAutospacing="0"/>
              <w:ind w:left="0" w:right="0" w:firstLine="480"/>
              <w:rPr>
                <w:rFonts w:hint="default"/>
              </w:rPr>
            </w:pPr>
            <w:r>
              <w:rPr>
                <w:rFonts w:hint="default"/>
              </w:rPr>
              <w:t>（2）给排水</w:t>
            </w:r>
          </w:p>
          <w:p>
            <w:pPr>
              <w:keepNext w:val="0"/>
              <w:keepLines w:val="0"/>
              <w:suppressLineNumbers w:val="0"/>
              <w:spacing w:before="0" w:beforeAutospacing="0" w:after="0" w:afterAutospacing="0"/>
              <w:ind w:left="0" w:right="0" w:firstLine="480"/>
              <w:rPr>
                <w:rFonts w:hint="eastAsia" w:eastAsia="宋体"/>
                <w:lang w:eastAsia="zh-CN"/>
              </w:rPr>
            </w:pPr>
            <w:r>
              <w:rPr>
                <w:rFonts w:hint="eastAsia"/>
              </w:rPr>
              <w:t>生活用水依托附近村庄由水罐车拉运</w:t>
            </w:r>
            <w:r>
              <w:rPr>
                <w:rFonts w:hint="eastAsia"/>
                <w:lang w:eastAsia="zh-CN"/>
              </w:rPr>
              <w:t>。</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①生活用水</w:t>
            </w:r>
          </w:p>
          <w:p>
            <w:pPr>
              <w:keepNext w:val="0"/>
              <w:keepLines w:val="0"/>
              <w:suppressLineNumbers w:val="0"/>
              <w:spacing w:before="0" w:beforeAutospacing="0" w:after="0" w:afterAutospacing="0"/>
              <w:ind w:left="0" w:right="0" w:firstLine="480"/>
              <w:rPr>
                <w:rFonts w:hint="eastAsia"/>
                <w:color w:val="auto"/>
                <w:u w:val="none"/>
                <w:lang w:val="en-US" w:eastAsia="zh-CN"/>
              </w:rPr>
            </w:pPr>
            <w:r>
              <w:rPr>
                <w:rFonts w:hint="default"/>
                <w:color w:val="auto"/>
                <w:u w:val="none"/>
              </w:rPr>
              <w:t>项目员工</w:t>
            </w:r>
            <w:r>
              <w:rPr>
                <w:rFonts w:hint="eastAsia"/>
                <w:color w:val="auto"/>
                <w:u w:val="none"/>
                <w:lang w:val="en-US" w:eastAsia="zh-CN"/>
              </w:rPr>
              <w:t>均在厂区</w:t>
            </w:r>
            <w:r>
              <w:rPr>
                <w:rFonts w:hint="default"/>
                <w:color w:val="auto"/>
                <w:u w:val="none"/>
              </w:rPr>
              <w:t>食宿，项目有员工</w:t>
            </w:r>
            <w:r>
              <w:rPr>
                <w:rFonts w:hint="eastAsia"/>
                <w:color w:val="auto"/>
                <w:u w:val="none"/>
                <w:lang w:val="en-US" w:eastAsia="zh-CN"/>
              </w:rPr>
              <w:t>8</w:t>
            </w:r>
            <w:r>
              <w:rPr>
                <w:rFonts w:hint="default"/>
                <w:color w:val="auto"/>
                <w:u w:val="none"/>
              </w:rPr>
              <w:t>人，年工作300天</w:t>
            </w:r>
            <w:r>
              <w:rPr>
                <w:rFonts w:hint="eastAsia"/>
                <w:color w:val="auto"/>
                <w:u w:val="none"/>
                <w:lang w:val="en-US" w:eastAsia="zh-CN"/>
              </w:rPr>
              <w:t>，用水主要为食堂用水和其它办公生活用水。根据《云南省地方标准用水定额》（DB53/T168-2019）表12城镇居民生活用水定额，用水定额按100L/（人·d）计，则办公生活区用水量为0.8m</w:t>
            </w:r>
            <w:r>
              <w:rPr>
                <w:rFonts w:hint="eastAsia"/>
                <w:color w:val="auto"/>
                <w:u w:val="none"/>
                <w:vertAlign w:val="superscript"/>
                <w:lang w:val="en-US" w:eastAsia="zh-CN"/>
              </w:rPr>
              <w:t>3</w:t>
            </w:r>
            <w:r>
              <w:rPr>
                <w:rFonts w:hint="eastAsia"/>
                <w:color w:val="auto"/>
                <w:u w:val="none"/>
                <w:lang w:val="en-US" w:eastAsia="zh-CN"/>
              </w:rPr>
              <w:t>/d、240m</w:t>
            </w:r>
            <w:r>
              <w:rPr>
                <w:rFonts w:hint="eastAsia"/>
                <w:color w:val="auto"/>
                <w:u w:val="none"/>
                <w:vertAlign w:val="superscript"/>
                <w:lang w:val="en-US" w:eastAsia="zh-CN"/>
              </w:rPr>
              <w:t>3</w:t>
            </w:r>
            <w:r>
              <w:rPr>
                <w:rFonts w:hint="eastAsia"/>
                <w:color w:val="auto"/>
                <w:u w:val="none"/>
                <w:lang w:val="en-US" w:eastAsia="zh-CN"/>
              </w:rPr>
              <w:t>/a，产污系数按0.8计算，废水量为0.64m</w:t>
            </w:r>
            <w:r>
              <w:rPr>
                <w:rFonts w:hint="eastAsia"/>
                <w:color w:val="auto"/>
                <w:u w:val="none"/>
                <w:vertAlign w:val="superscript"/>
                <w:lang w:val="en-US" w:eastAsia="zh-CN"/>
              </w:rPr>
              <w:t>3</w:t>
            </w:r>
            <w:r>
              <w:rPr>
                <w:rFonts w:hint="eastAsia"/>
                <w:color w:val="auto"/>
                <w:u w:val="none"/>
                <w:lang w:val="en-US" w:eastAsia="zh-CN"/>
              </w:rPr>
              <w:t>/d、192m</w:t>
            </w:r>
            <w:r>
              <w:rPr>
                <w:rFonts w:hint="eastAsia"/>
                <w:color w:val="auto"/>
                <w:u w:val="none"/>
                <w:vertAlign w:val="superscript"/>
                <w:lang w:val="en-US" w:eastAsia="zh-CN"/>
              </w:rPr>
              <w:t>3</w:t>
            </w:r>
            <w:r>
              <w:rPr>
                <w:rFonts w:hint="eastAsia"/>
                <w:color w:val="auto"/>
                <w:u w:val="none"/>
                <w:lang w:val="en-US" w:eastAsia="zh-CN"/>
              </w:rPr>
              <w:t>/a。</w:t>
            </w:r>
          </w:p>
          <w:p>
            <w:pPr>
              <w:keepNext w:val="0"/>
              <w:keepLines w:val="0"/>
              <w:suppressLineNumbers w:val="0"/>
              <w:spacing w:before="0" w:beforeAutospacing="0" w:after="0" w:afterAutospacing="0"/>
              <w:ind w:left="0" w:right="0" w:firstLine="480"/>
              <w:rPr>
                <w:rFonts w:hint="default"/>
              </w:rPr>
            </w:pPr>
            <w:r>
              <w:rPr>
                <w:rFonts w:hint="eastAsia"/>
                <w:color w:val="auto"/>
                <w:u w:val="none"/>
                <w:lang w:val="en-US" w:eastAsia="zh-CN"/>
              </w:rPr>
              <w:t>其中食堂用水量占生活总用水量的20%，其他办公生活用水占80%，则食堂用水量为0.16m3/d、48m</w:t>
            </w:r>
            <w:r>
              <w:rPr>
                <w:rFonts w:hint="eastAsia"/>
                <w:color w:val="auto"/>
                <w:u w:val="none"/>
                <w:vertAlign w:val="superscript"/>
                <w:lang w:val="en-US" w:eastAsia="zh-CN"/>
              </w:rPr>
              <w:t>3</w:t>
            </w:r>
            <w:r>
              <w:rPr>
                <w:rFonts w:hint="eastAsia"/>
                <w:color w:val="auto"/>
                <w:u w:val="none"/>
                <w:lang w:val="en-US" w:eastAsia="zh-CN"/>
              </w:rPr>
              <w:t>/a，废水量为0.128m</w:t>
            </w:r>
            <w:r>
              <w:rPr>
                <w:rFonts w:hint="eastAsia"/>
                <w:color w:val="auto"/>
                <w:u w:val="none"/>
                <w:vertAlign w:val="superscript"/>
                <w:lang w:val="en-US" w:eastAsia="zh-CN"/>
              </w:rPr>
              <w:t>3</w:t>
            </w:r>
            <w:r>
              <w:rPr>
                <w:rFonts w:hint="eastAsia"/>
                <w:color w:val="auto"/>
                <w:u w:val="none"/>
                <w:lang w:val="en-US" w:eastAsia="zh-CN"/>
              </w:rPr>
              <w:t>/d、38.4m</w:t>
            </w:r>
            <w:r>
              <w:rPr>
                <w:rFonts w:hint="eastAsia"/>
                <w:color w:val="auto"/>
                <w:u w:val="none"/>
                <w:vertAlign w:val="superscript"/>
                <w:lang w:val="en-US" w:eastAsia="zh-CN"/>
              </w:rPr>
              <w:t>3</w:t>
            </w:r>
            <w:r>
              <w:rPr>
                <w:rFonts w:hint="eastAsia"/>
                <w:color w:val="auto"/>
                <w:u w:val="none"/>
                <w:lang w:val="en-US" w:eastAsia="zh-CN"/>
              </w:rPr>
              <w:t>/a；其他办公生活用水量为0.64m</w:t>
            </w:r>
            <w:r>
              <w:rPr>
                <w:rFonts w:hint="eastAsia"/>
                <w:color w:val="auto"/>
                <w:u w:val="none"/>
                <w:vertAlign w:val="superscript"/>
                <w:lang w:val="en-US" w:eastAsia="zh-CN"/>
              </w:rPr>
              <w:t>3</w:t>
            </w:r>
            <w:r>
              <w:rPr>
                <w:rFonts w:hint="eastAsia"/>
                <w:color w:val="auto"/>
                <w:u w:val="none"/>
                <w:lang w:val="en-US" w:eastAsia="zh-CN"/>
              </w:rPr>
              <w:t>/d、192m</w:t>
            </w:r>
            <w:r>
              <w:rPr>
                <w:rFonts w:hint="eastAsia"/>
                <w:color w:val="auto"/>
                <w:u w:val="none"/>
                <w:vertAlign w:val="superscript"/>
                <w:lang w:val="en-US" w:eastAsia="zh-CN"/>
              </w:rPr>
              <w:t>3</w:t>
            </w:r>
            <w:r>
              <w:rPr>
                <w:rFonts w:hint="eastAsia"/>
                <w:color w:val="auto"/>
                <w:u w:val="none"/>
                <w:lang w:val="en-US" w:eastAsia="zh-CN"/>
              </w:rPr>
              <w:t>/a，废水量为0.512m</w:t>
            </w:r>
            <w:r>
              <w:rPr>
                <w:rFonts w:hint="eastAsia"/>
                <w:color w:val="auto"/>
                <w:u w:val="none"/>
                <w:vertAlign w:val="superscript"/>
                <w:lang w:val="en-US" w:eastAsia="zh-CN"/>
              </w:rPr>
              <w:t>3</w:t>
            </w:r>
            <w:r>
              <w:rPr>
                <w:rFonts w:hint="eastAsia"/>
                <w:color w:val="auto"/>
                <w:u w:val="none"/>
                <w:lang w:val="en-US" w:eastAsia="zh-CN"/>
              </w:rPr>
              <w:t>/d、153.6m</w:t>
            </w:r>
            <w:r>
              <w:rPr>
                <w:rFonts w:hint="eastAsia"/>
                <w:color w:val="auto"/>
                <w:u w:val="none"/>
                <w:vertAlign w:val="superscript"/>
                <w:lang w:val="en-US" w:eastAsia="zh-CN"/>
              </w:rPr>
              <w:t>3</w:t>
            </w:r>
            <w:r>
              <w:rPr>
                <w:rFonts w:hint="eastAsia"/>
                <w:color w:val="auto"/>
                <w:u w:val="none"/>
                <w:lang w:val="en-US" w:eastAsia="zh-CN"/>
              </w:rPr>
              <w:t>/a。</w:t>
            </w:r>
          </w:p>
          <w:p>
            <w:pPr>
              <w:keepNext w:val="0"/>
              <w:keepLines w:val="0"/>
              <w:suppressLineNumbers w:val="0"/>
              <w:spacing w:before="0" w:beforeAutospacing="0" w:after="0" w:afterAutospacing="0"/>
              <w:ind w:left="0" w:right="0" w:firstLine="480"/>
              <w:rPr>
                <w:rFonts w:hint="default"/>
                <w:highlight w:val="none"/>
              </w:rPr>
            </w:pPr>
            <w:r>
              <w:rPr>
                <w:rFonts w:hint="default"/>
                <w:highlight w:val="none"/>
              </w:rPr>
              <w:t>②生产用水</w:t>
            </w:r>
          </w:p>
          <w:p>
            <w:pPr>
              <w:keepNext w:val="0"/>
              <w:keepLines w:val="0"/>
              <w:suppressLineNumbers w:val="0"/>
              <w:spacing w:before="0" w:beforeAutospacing="0" w:after="0" w:afterAutospacing="0"/>
              <w:ind w:left="0" w:right="0" w:firstLine="480"/>
              <w:rPr>
                <w:rFonts w:hint="eastAsia" w:eastAsia="宋体"/>
                <w:highlight w:val="none"/>
                <w:lang w:eastAsia="zh-CN"/>
              </w:rPr>
            </w:pPr>
            <w:r>
              <w:rPr>
                <w:rFonts w:hint="eastAsia" w:eastAsia="宋体"/>
                <w:highlight w:val="none"/>
                <w:lang w:eastAsia="zh-CN"/>
              </w:rPr>
              <w:t>项目砂石投料、堆放及运输车辆装卸过程会产生粉尘，建设单位拟于砂石堆场库、下料区等位置</w:t>
            </w:r>
            <w:r>
              <w:rPr>
                <w:rFonts w:hint="eastAsia"/>
                <w:highlight w:val="none"/>
                <w:lang w:val="en-US" w:eastAsia="zh-CN"/>
              </w:rPr>
              <w:t>洒水</w:t>
            </w:r>
            <w:r>
              <w:rPr>
                <w:rFonts w:hint="eastAsia" w:eastAsia="宋体"/>
                <w:highlight w:val="none"/>
                <w:lang w:eastAsia="zh-CN"/>
              </w:rPr>
              <w:t>降尘，用水量以3.0L/m</w:t>
            </w:r>
            <w:r>
              <w:rPr>
                <w:rFonts w:hint="eastAsia" w:eastAsia="宋体"/>
                <w:highlight w:val="none"/>
                <w:vertAlign w:val="superscript"/>
                <w:lang w:eastAsia="zh-CN"/>
              </w:rPr>
              <w:t>2</w:t>
            </w:r>
            <w:r>
              <w:rPr>
                <w:rFonts w:hint="eastAsia" w:eastAsia="宋体"/>
                <w:highlight w:val="none"/>
                <w:lang w:eastAsia="zh-CN"/>
              </w:rPr>
              <w:t>计，砂石堆场面积约为</w:t>
            </w:r>
            <w:r>
              <w:rPr>
                <w:rFonts w:hint="eastAsia"/>
                <w:highlight w:val="none"/>
                <w:lang w:val="en-US" w:eastAsia="zh-CN"/>
              </w:rPr>
              <w:t>1300</w:t>
            </w:r>
            <w:r>
              <w:rPr>
                <w:rFonts w:hint="eastAsia" w:eastAsia="宋体"/>
                <w:highlight w:val="none"/>
                <w:lang w:eastAsia="zh-CN"/>
              </w:rPr>
              <w:t>m</w:t>
            </w:r>
            <w:r>
              <w:rPr>
                <w:rFonts w:hint="eastAsia" w:eastAsia="宋体"/>
                <w:highlight w:val="none"/>
                <w:vertAlign w:val="superscript"/>
                <w:lang w:eastAsia="zh-CN"/>
              </w:rPr>
              <w:t>2</w:t>
            </w:r>
            <w:r>
              <w:rPr>
                <w:rFonts w:hint="eastAsia" w:eastAsia="宋体"/>
                <w:highlight w:val="none"/>
                <w:lang w:eastAsia="zh-CN"/>
              </w:rPr>
              <w:t>，则</w:t>
            </w:r>
            <w:r>
              <w:rPr>
                <w:rFonts w:hint="eastAsia"/>
                <w:highlight w:val="none"/>
                <w:lang w:val="en-US" w:eastAsia="zh-CN"/>
              </w:rPr>
              <w:t>降尘</w:t>
            </w:r>
            <w:r>
              <w:rPr>
                <w:rFonts w:hint="eastAsia" w:eastAsia="宋体"/>
                <w:highlight w:val="none"/>
                <w:lang w:eastAsia="zh-CN"/>
              </w:rPr>
              <w:t>用水量约为</w:t>
            </w:r>
            <w:r>
              <w:rPr>
                <w:rFonts w:hint="eastAsia"/>
                <w:highlight w:val="none"/>
                <w:lang w:val="en-US" w:eastAsia="zh-CN"/>
              </w:rPr>
              <w:t>3.9</w:t>
            </w:r>
            <w:r>
              <w:rPr>
                <w:rFonts w:hint="eastAsia" w:eastAsia="宋体"/>
                <w:highlight w:val="none"/>
                <w:lang w:eastAsia="zh-CN"/>
              </w:rPr>
              <w:t>t/d（</w:t>
            </w:r>
            <w:r>
              <w:rPr>
                <w:rFonts w:hint="eastAsia"/>
                <w:highlight w:val="none"/>
                <w:lang w:val="en-US" w:eastAsia="zh-CN"/>
              </w:rPr>
              <w:t>1170</w:t>
            </w:r>
            <w:r>
              <w:rPr>
                <w:rFonts w:hint="eastAsia" w:eastAsia="宋体"/>
                <w:highlight w:val="none"/>
                <w:lang w:eastAsia="zh-CN"/>
              </w:rPr>
              <w:t>t/a），降尘用水均被原料带走或蒸发，不外排。</w:t>
            </w:r>
          </w:p>
          <w:p>
            <w:pPr>
              <w:keepNext w:val="0"/>
              <w:keepLines w:val="0"/>
              <w:suppressLineNumbers w:val="0"/>
              <w:spacing w:before="0" w:beforeAutospacing="0" w:after="0" w:afterAutospacing="0"/>
              <w:ind w:left="0" w:right="0" w:firstLine="480"/>
              <w:rPr>
                <w:rFonts w:hint="default"/>
              </w:rPr>
            </w:pPr>
            <w:r>
              <w:rPr>
                <w:rFonts w:hint="eastAsia"/>
              </w:rPr>
              <w:t>综上，本项目用排水情况见表2-</w:t>
            </w:r>
            <w:r>
              <w:rPr>
                <w:rFonts w:hint="eastAsia"/>
                <w:lang w:val="en-US" w:eastAsia="zh-CN"/>
              </w:rPr>
              <w:t>4</w:t>
            </w:r>
            <w:r>
              <w:rPr>
                <w:rFonts w:hint="eastAsia"/>
              </w:rPr>
              <w:t>，排水平衡图见图2-1。</w:t>
            </w:r>
          </w:p>
          <w:p>
            <w:pPr>
              <w:pStyle w:val="11"/>
              <w:keepNext w:val="0"/>
              <w:keepLines w:val="0"/>
              <w:widowControl/>
              <w:suppressLineNumbers w:val="0"/>
              <w:bidi w:val="0"/>
              <w:spacing w:beforeAutospacing="0" w:after="0" w:afterAutospacing="0"/>
              <w:ind w:left="0" w:right="0"/>
              <w:rPr>
                <w:rFonts w:hint="default"/>
              </w:rPr>
            </w:pPr>
            <w:r>
              <w:rPr>
                <w:rFonts w:hint="default"/>
              </w:rPr>
              <w:t>表2-</w:t>
            </w:r>
            <w:r>
              <w:rPr>
                <w:rFonts w:hint="eastAsia"/>
                <w:lang w:val="en-US" w:eastAsia="zh-CN"/>
              </w:rPr>
              <w:t>4</w:t>
            </w:r>
            <w:r>
              <w:rPr>
                <w:rFonts w:hint="default"/>
              </w:rPr>
              <w:t xml:space="preserve">  本项目用排水平衡表     单位</w:t>
            </w:r>
            <w:r>
              <w:rPr>
                <w:rFonts w:hint="eastAsia"/>
                <w:lang w:val="en-US" w:eastAsia="zh-CN"/>
              </w:rPr>
              <w:t>t</w:t>
            </w:r>
            <w:r>
              <w:rPr>
                <w:rFonts w:hint="default"/>
              </w:rPr>
              <w:t>/d</w:t>
            </w:r>
          </w:p>
          <w:tbl>
            <w:tblPr>
              <w:tblStyle w:val="7"/>
              <w:tblW w:w="8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583"/>
              <w:gridCol w:w="945"/>
              <w:gridCol w:w="2712"/>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56" w:type="dxa"/>
                  <w:gridSpan w:val="3"/>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投入</w:t>
                  </w:r>
                </w:p>
              </w:tc>
              <w:tc>
                <w:tcPr>
                  <w:tcW w:w="4075" w:type="dxa"/>
                  <w:gridSpan w:val="2"/>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用水项目</w:t>
                  </w:r>
                </w:p>
              </w:tc>
              <w:tc>
                <w:tcPr>
                  <w:tcW w:w="158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来源</w:t>
                  </w:r>
                </w:p>
              </w:tc>
              <w:tc>
                <w:tcPr>
                  <w:tcW w:w="94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水量</w:t>
                  </w:r>
                </w:p>
              </w:tc>
              <w:tc>
                <w:tcPr>
                  <w:tcW w:w="271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去向</w:t>
                  </w:r>
                </w:p>
              </w:tc>
              <w:tc>
                <w:tcPr>
                  <w:tcW w:w="13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生活用水</w:t>
                  </w:r>
                </w:p>
              </w:tc>
              <w:tc>
                <w:tcPr>
                  <w:tcW w:w="1583"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依托附近村庄由水罐车拉运</w:t>
                  </w:r>
                </w:p>
              </w:tc>
              <w:tc>
                <w:tcPr>
                  <w:tcW w:w="94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0.8</w:t>
                  </w:r>
                </w:p>
              </w:tc>
              <w:tc>
                <w:tcPr>
                  <w:tcW w:w="271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食堂废水</w:t>
                  </w:r>
                </w:p>
              </w:tc>
              <w:tc>
                <w:tcPr>
                  <w:tcW w:w="13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c>
                <w:tcPr>
                  <w:tcW w:w="158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c>
                <w:tcPr>
                  <w:tcW w:w="94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271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rPr>
                    <w:t>其他办公生活</w:t>
                  </w:r>
                  <w:r>
                    <w:rPr>
                      <w:rFonts w:hint="eastAsia"/>
                      <w:szCs w:val="20"/>
                      <w:lang w:val="en-US" w:eastAsia="zh-CN"/>
                    </w:rPr>
                    <w:t>废</w:t>
                  </w:r>
                  <w:r>
                    <w:rPr>
                      <w:rFonts w:hint="eastAsia"/>
                      <w:szCs w:val="20"/>
                    </w:rPr>
                    <w:t>水</w:t>
                  </w:r>
                </w:p>
              </w:tc>
              <w:tc>
                <w:tcPr>
                  <w:tcW w:w="13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52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降尘用水</w:t>
                  </w:r>
                </w:p>
              </w:tc>
              <w:tc>
                <w:tcPr>
                  <w:tcW w:w="158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处理后的生活污水、附近村庄由水罐车拉运</w:t>
                  </w:r>
                </w:p>
              </w:tc>
              <w:tc>
                <w:tcPr>
                  <w:tcW w:w="94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3.26</w:t>
                  </w:r>
                </w:p>
              </w:tc>
              <w:tc>
                <w:tcPr>
                  <w:tcW w:w="271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原料带走或蒸发</w:t>
                  </w:r>
                </w:p>
              </w:tc>
              <w:tc>
                <w:tcPr>
                  <w:tcW w:w="13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58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94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271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蒸发损耗</w:t>
                  </w:r>
                </w:p>
              </w:tc>
              <w:tc>
                <w:tcPr>
                  <w:tcW w:w="13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1" w:type="dxa"/>
                  <w:gridSpan w:val="2"/>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b/>
                      <w:bCs/>
                      <w:szCs w:val="20"/>
                    </w:rPr>
                    <w:t>合计</w:t>
                  </w:r>
                </w:p>
              </w:tc>
              <w:tc>
                <w:tcPr>
                  <w:tcW w:w="94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4.06</w:t>
                  </w:r>
                </w:p>
              </w:tc>
              <w:tc>
                <w:tcPr>
                  <w:tcW w:w="271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3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4.06</w:t>
                  </w:r>
                </w:p>
              </w:tc>
            </w:tr>
          </w:tbl>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leftChars="0" w:right="0" w:firstLine="0" w:firstLineChars="0"/>
              <w:rPr>
                <w:rFonts w:hint="eastAsia" w:eastAsia="宋体"/>
                <w:lang w:eastAsia="zh-CN"/>
              </w:rPr>
            </w:pPr>
            <w:r>
              <w:rPr>
                <w:rFonts w:hint="eastAsia" w:eastAsia="宋体"/>
                <w:lang w:eastAsia="zh-CN"/>
              </w:rPr>
              <w:drawing>
                <wp:inline distT="0" distB="0" distL="114300" distR="114300">
                  <wp:extent cx="5163185" cy="2903855"/>
                  <wp:effectExtent l="0" t="0" r="3175" b="6985"/>
                  <wp:docPr id="8" name="图片 8" descr="未命名文件(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命名文件(105)"/>
                          <pic:cNvPicPr>
                            <a:picLocks noChangeAspect="1"/>
                          </pic:cNvPicPr>
                        </pic:nvPicPr>
                        <pic:blipFill>
                          <a:blip r:embed="rId9"/>
                          <a:stretch>
                            <a:fillRect/>
                          </a:stretch>
                        </pic:blipFill>
                        <pic:spPr>
                          <a:xfrm>
                            <a:off x="0" y="0"/>
                            <a:ext cx="5163185" cy="2903855"/>
                          </a:xfrm>
                          <a:prstGeom prst="rect">
                            <a:avLst/>
                          </a:prstGeom>
                        </pic:spPr>
                      </pic:pic>
                    </a:graphicData>
                  </a:graphic>
                </wp:inline>
              </w:drawing>
            </w:r>
          </w:p>
          <w:p>
            <w:pPr>
              <w:pStyle w:val="10"/>
              <w:keepNext w:val="0"/>
              <w:keepLines w:val="0"/>
              <w:suppressLineNumbers w:val="0"/>
              <w:spacing w:before="0" w:beforeAutospacing="0" w:after="120" w:afterAutospacing="0"/>
              <w:ind w:left="0" w:right="0"/>
              <w:rPr>
                <w:rFonts w:hint="default"/>
              </w:rPr>
            </w:pPr>
            <w:r>
              <w:rPr>
                <w:rFonts w:hint="eastAsia"/>
              </w:rPr>
              <w:t xml:space="preserve">图2-1  本项目用、排水日水平衡图     </w:t>
            </w:r>
            <w:r>
              <w:rPr>
                <w:rFonts w:hint="eastAsia"/>
                <w:lang w:val="en-US" w:eastAsia="zh-CN"/>
              </w:rPr>
              <w:t>t</w:t>
            </w:r>
            <w:r>
              <w:rPr>
                <w:rFonts w:hint="eastAsia"/>
              </w:rPr>
              <w:t>/d</w:t>
            </w:r>
          </w:p>
          <w:p>
            <w:pPr>
              <w:keepNext w:val="0"/>
              <w:keepLines w:val="0"/>
              <w:suppressLineNumbers w:val="0"/>
              <w:spacing w:before="0" w:beforeAutospacing="0" w:after="0" w:afterAutospacing="0"/>
              <w:ind w:left="0" w:right="0" w:firstLine="482"/>
              <w:rPr>
                <w:rFonts w:hint="default"/>
                <w:b/>
                <w:bCs/>
              </w:rPr>
            </w:pPr>
            <w:r>
              <w:rPr>
                <w:rFonts w:hint="eastAsia"/>
                <w:b/>
                <w:bCs/>
                <w:lang w:val="en-US" w:eastAsia="zh-CN"/>
              </w:rPr>
              <w:t>9</w:t>
            </w:r>
            <w:r>
              <w:rPr>
                <w:rFonts w:hint="eastAsia"/>
                <w:b/>
                <w:bCs/>
              </w:rPr>
              <w:t>、环保投资</w:t>
            </w:r>
          </w:p>
          <w:p>
            <w:pPr>
              <w:keepNext w:val="0"/>
              <w:keepLines w:val="0"/>
              <w:suppressLineNumbers w:val="0"/>
              <w:spacing w:before="0" w:beforeAutospacing="0" w:after="0" w:afterAutospacing="0"/>
              <w:ind w:left="0" w:right="0" w:firstLine="480"/>
              <w:rPr>
                <w:rFonts w:hint="default"/>
                <w:highlight w:val="none"/>
              </w:rPr>
            </w:pPr>
            <w:r>
              <w:rPr>
                <w:rFonts w:hint="eastAsia"/>
              </w:rPr>
              <w:t>本项目总投资</w:t>
            </w:r>
            <w:r>
              <w:rPr>
                <w:rFonts w:hint="eastAsia"/>
                <w:lang w:val="en-US" w:eastAsia="zh-CN"/>
              </w:rPr>
              <w:t>10500</w:t>
            </w:r>
            <w:r>
              <w:rPr>
                <w:rFonts w:hint="eastAsia"/>
              </w:rPr>
              <w:t>万元，</w:t>
            </w:r>
            <w:r>
              <w:rPr>
                <w:rFonts w:hint="eastAsia"/>
                <w:highlight w:val="none"/>
              </w:rPr>
              <w:t>其中环保投资</w:t>
            </w:r>
            <w:r>
              <w:rPr>
                <w:rFonts w:hint="eastAsia"/>
                <w:highlight w:val="none"/>
                <w:lang w:val="en-US" w:eastAsia="zh-CN"/>
              </w:rPr>
              <w:t>27.5</w:t>
            </w:r>
            <w:r>
              <w:rPr>
                <w:rFonts w:hint="eastAsia"/>
                <w:highlight w:val="none"/>
              </w:rPr>
              <w:t>万元，占总投资的</w:t>
            </w:r>
            <w:r>
              <w:rPr>
                <w:rFonts w:hint="eastAsia"/>
                <w:highlight w:val="none"/>
                <w:lang w:val="en-US" w:eastAsia="zh-CN"/>
              </w:rPr>
              <w:t>0.26</w:t>
            </w:r>
            <w:r>
              <w:rPr>
                <w:rFonts w:hint="eastAsia"/>
                <w:highlight w:val="none"/>
              </w:rPr>
              <w:t>%，具体环保投资见表2-</w:t>
            </w:r>
            <w:r>
              <w:rPr>
                <w:rFonts w:hint="eastAsia"/>
                <w:highlight w:val="none"/>
                <w:lang w:val="en-US" w:eastAsia="zh-CN"/>
              </w:rPr>
              <w:t>5</w:t>
            </w:r>
            <w:r>
              <w:rPr>
                <w:rFonts w:hint="eastAsia"/>
                <w:highlight w:val="none"/>
              </w:rPr>
              <w:t>。</w:t>
            </w:r>
          </w:p>
          <w:p>
            <w:pPr>
              <w:pStyle w:val="11"/>
              <w:keepNext w:val="0"/>
              <w:keepLines w:val="0"/>
              <w:widowControl/>
              <w:suppressLineNumbers w:val="0"/>
              <w:bidi w:val="0"/>
              <w:spacing w:beforeAutospacing="0" w:after="0" w:afterAutospacing="0"/>
              <w:ind w:left="0" w:right="0"/>
              <w:rPr>
                <w:rFonts w:hint="default"/>
              </w:rPr>
            </w:pPr>
            <w:r>
              <w:rPr>
                <w:rFonts w:hint="default"/>
              </w:rPr>
              <w:t>表2-</w:t>
            </w:r>
            <w:r>
              <w:rPr>
                <w:rFonts w:hint="eastAsia"/>
                <w:lang w:val="en-US" w:eastAsia="zh-CN"/>
              </w:rPr>
              <w:t>5</w:t>
            </w:r>
            <w:r>
              <w:rPr>
                <w:rFonts w:hint="default"/>
              </w:rPr>
              <w:t xml:space="preserve">  项目环保投资一览表</w:t>
            </w:r>
          </w:p>
          <w:tbl>
            <w:tblPr>
              <w:tblStyle w:val="7"/>
              <w:tblW w:w="8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384"/>
              <w:gridCol w:w="4244"/>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5" w:type="dxa"/>
                  <w:gridSpan w:val="2"/>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环保措施</w:t>
                  </w: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措施内容</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施工期</w:t>
                  </w:r>
                </w:p>
              </w:tc>
              <w:tc>
                <w:tcPr>
                  <w:tcW w:w="138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废水</w:t>
                  </w: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rPr>
                    <w:t>生活污水依托</w:t>
                  </w:r>
                  <w:r>
                    <w:rPr>
                      <w:rFonts w:hint="eastAsia"/>
                      <w:szCs w:val="20"/>
                      <w:lang w:val="en-US" w:eastAsia="zh-CN"/>
                    </w:rPr>
                    <w:t>已建化粪池</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384"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固废</w:t>
                  </w: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生活垃圾委托环卫部门清运处置</w:t>
                  </w:r>
                </w:p>
              </w:tc>
              <w:tc>
                <w:tcPr>
                  <w:tcW w:w="1332"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38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建筑垃圾分类后清运至当地建设部门指定的地点处理</w:t>
                  </w:r>
                </w:p>
              </w:tc>
              <w:tc>
                <w:tcPr>
                  <w:tcW w:w="1332"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运营期</w:t>
                  </w:r>
                </w:p>
              </w:tc>
              <w:tc>
                <w:tcPr>
                  <w:tcW w:w="1384"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废气</w:t>
                  </w: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加热烘干、热料提升、筛分粉尘设备均为密闭设备，该粉尘经密闭收集后进入搅拌站除尘系统（袋式除尘）处理后通过一根15m高排气筒（DA001）排放</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38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color w:val="auto"/>
                      <w:szCs w:val="20"/>
                      <w:u w:val="none"/>
                    </w:rPr>
                    <w:t>柴油</w:t>
                  </w:r>
                  <w:r>
                    <w:rPr>
                      <w:rFonts w:hint="eastAsia"/>
                      <w:color w:val="auto"/>
                      <w:szCs w:val="20"/>
                      <w:u w:val="none"/>
                      <w:lang w:eastAsia="zh-CN"/>
                    </w:rPr>
                    <w:t>、</w:t>
                  </w:r>
                  <w:r>
                    <w:rPr>
                      <w:rFonts w:hint="eastAsia"/>
                      <w:color w:val="auto"/>
                      <w:szCs w:val="20"/>
                      <w:u w:val="none"/>
                      <w:lang w:val="en-US" w:eastAsia="zh-CN"/>
                    </w:rPr>
                    <w:t>导热油炉</w:t>
                  </w:r>
                  <w:r>
                    <w:rPr>
                      <w:rFonts w:hint="eastAsia"/>
                      <w:color w:val="auto"/>
                      <w:szCs w:val="20"/>
                      <w:u w:val="none"/>
                    </w:rPr>
                    <w:t>燃烧废气采用低氮燃烧，经收集后</w:t>
                  </w:r>
                  <w:r>
                    <w:rPr>
                      <w:rFonts w:hint="eastAsia"/>
                      <w:color w:val="auto"/>
                      <w:szCs w:val="20"/>
                      <w:u w:val="none"/>
                      <w:lang w:val="en-US" w:eastAsia="zh-CN"/>
                    </w:rPr>
                    <w:t>进入一套</w:t>
                  </w:r>
                  <w:r>
                    <w:rPr>
                      <w:rFonts w:hint="eastAsia"/>
                      <w:color w:val="auto"/>
                      <w:szCs w:val="20"/>
                      <w:u w:val="none"/>
                    </w:rPr>
                    <w:t>袋式除尘（</w:t>
                  </w:r>
                  <w:r>
                    <w:rPr>
                      <w:rFonts w:hint="eastAsia"/>
                      <w:color w:val="auto"/>
                      <w:szCs w:val="20"/>
                      <w:u w:val="none"/>
                      <w:lang w:val="en-US" w:eastAsia="zh-CN"/>
                    </w:rPr>
                    <w:t>TA002</w:t>
                  </w:r>
                  <w:r>
                    <w:rPr>
                      <w:rFonts w:hint="eastAsia"/>
                      <w:color w:val="auto"/>
                      <w:szCs w:val="20"/>
                      <w:u w:val="none"/>
                    </w:rPr>
                    <w:t>）</w:t>
                  </w:r>
                  <w:r>
                    <w:rPr>
                      <w:rFonts w:hint="eastAsia"/>
                      <w:color w:val="auto"/>
                      <w:szCs w:val="20"/>
                      <w:u w:val="none"/>
                      <w:lang w:val="en-US" w:eastAsia="zh-CN"/>
                    </w:rPr>
                    <w:t>处理</w:t>
                  </w:r>
                  <w:r>
                    <w:rPr>
                      <w:rFonts w:hint="eastAsia"/>
                      <w:color w:val="auto"/>
                      <w:szCs w:val="20"/>
                      <w:u w:val="none"/>
                    </w:rPr>
                    <w:t>后通过一根15m高排气筒（DA00</w:t>
                  </w:r>
                  <w:r>
                    <w:rPr>
                      <w:rFonts w:hint="eastAsia"/>
                      <w:color w:val="auto"/>
                      <w:szCs w:val="20"/>
                      <w:u w:val="none"/>
                      <w:lang w:val="en-US" w:eastAsia="zh-CN"/>
                    </w:rPr>
                    <w:t>2</w:t>
                  </w:r>
                  <w:r>
                    <w:rPr>
                      <w:rFonts w:hint="eastAsia"/>
                      <w:color w:val="auto"/>
                      <w:szCs w:val="20"/>
                      <w:u w:val="none"/>
                    </w:rPr>
                    <w:t>）排放</w:t>
                  </w:r>
                  <w:r>
                    <w:rPr>
                      <w:rFonts w:hint="eastAsia"/>
                      <w:color w:val="auto"/>
                      <w:szCs w:val="20"/>
                      <w:u w:val="none"/>
                      <w:lang w:eastAsia="zh-CN"/>
                    </w:rPr>
                    <w:t>。</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5</w:t>
                  </w:r>
                  <w:r>
                    <w:rPr>
                      <w:rFonts w:hint="eastAsia"/>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38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color w:val="auto"/>
                      <w:szCs w:val="20"/>
                      <w:u w:val="none"/>
                    </w:rPr>
                  </w:pPr>
                  <w:r>
                    <w:rPr>
                      <w:rFonts w:hint="eastAsia"/>
                      <w:color w:val="auto"/>
                      <w:szCs w:val="20"/>
                      <w:u w:val="none"/>
                    </w:rPr>
                    <w:t>沥青加热、搅拌混合过程烟气先采用冷凝器冷凝回收（冷凝器回流率可达95%以上），未凝气再通过密闭管道输送入沥青烟气处理系统“喷淋+活性炭吸附”处理装置（对沥青烟气去除效率为65%）处理后通过一根15m高排气筒（DA00</w:t>
                  </w:r>
                  <w:r>
                    <w:rPr>
                      <w:rFonts w:hint="eastAsia"/>
                      <w:color w:val="auto"/>
                      <w:szCs w:val="20"/>
                      <w:u w:val="none"/>
                      <w:lang w:val="en-US" w:eastAsia="zh-CN"/>
                    </w:rPr>
                    <w:t>3</w:t>
                  </w:r>
                  <w:r>
                    <w:rPr>
                      <w:rFonts w:hint="eastAsia"/>
                      <w:color w:val="auto"/>
                      <w:szCs w:val="20"/>
                      <w:u w:val="none"/>
                    </w:rPr>
                    <w:t>）排放</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38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color w:val="auto"/>
                      <w:szCs w:val="20"/>
                      <w:u w:val="none"/>
                    </w:rPr>
                  </w:pPr>
                  <w:r>
                    <w:rPr>
                      <w:rFonts w:hint="eastAsia"/>
                      <w:color w:val="auto"/>
                      <w:szCs w:val="20"/>
                      <w:u w:val="none"/>
                    </w:rPr>
                    <w:t>成品出料泄漏出来的沥青烟用引风收集装置收集，装料完毕后，车辆严密遮盖后驶出，收集效率可达90%，经收集后引入沥青烟气处理系统“喷淋+活性炭吸附装置”处理装置处理（对收集的沥青烟气去除效率为65%）后通过一根15m高排气筒（DA00</w:t>
                  </w:r>
                  <w:r>
                    <w:rPr>
                      <w:rFonts w:hint="eastAsia"/>
                      <w:color w:val="auto"/>
                      <w:szCs w:val="20"/>
                      <w:u w:val="none"/>
                      <w:lang w:val="en-US" w:eastAsia="zh-CN"/>
                    </w:rPr>
                    <w:t>3</w:t>
                  </w:r>
                  <w:r>
                    <w:rPr>
                      <w:rFonts w:hint="eastAsia"/>
                      <w:color w:val="auto"/>
                      <w:szCs w:val="20"/>
                      <w:u w:val="none"/>
                    </w:rPr>
                    <w:t>）排放</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38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color w:val="auto"/>
                      <w:szCs w:val="20"/>
                      <w:u w:val="none"/>
                    </w:rPr>
                  </w:pPr>
                  <w:r>
                    <w:rPr>
                      <w:rFonts w:hint="eastAsia"/>
                      <w:color w:val="auto"/>
                      <w:szCs w:val="20"/>
                      <w:u w:val="none"/>
                    </w:rPr>
                    <w:t>食堂油烟</w:t>
                  </w:r>
                  <w:r>
                    <w:rPr>
                      <w:rFonts w:hint="eastAsia"/>
                      <w:color w:val="auto"/>
                      <w:szCs w:val="20"/>
                      <w:u w:val="none"/>
                      <w:lang w:val="en-US" w:eastAsia="zh-CN"/>
                    </w:rPr>
                    <w:t>经油烟净化器+专用烟道，油烟净化器净化效率不低于60%</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38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废水</w:t>
                  </w: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b w:val="0"/>
                      <w:bCs w:val="0"/>
                      <w:szCs w:val="20"/>
                      <w:highlight w:val="none"/>
                      <w:lang w:val="en-US" w:eastAsia="zh-CN"/>
                    </w:rPr>
                    <w:t>食堂</w:t>
                  </w:r>
                  <w:r>
                    <w:rPr>
                      <w:rFonts w:hint="eastAsia"/>
                      <w:b w:val="0"/>
                      <w:bCs w:val="0"/>
                      <w:szCs w:val="20"/>
                      <w:highlight w:val="none"/>
                    </w:rPr>
                    <w:t>废水经自建隔油池（1.0m</w:t>
                  </w:r>
                  <w:r>
                    <w:rPr>
                      <w:rFonts w:hint="eastAsia"/>
                      <w:b w:val="0"/>
                      <w:bCs w:val="0"/>
                      <w:szCs w:val="20"/>
                      <w:highlight w:val="none"/>
                      <w:vertAlign w:val="superscript"/>
                    </w:rPr>
                    <w:t>3</w:t>
                  </w:r>
                  <w:r>
                    <w:rPr>
                      <w:rFonts w:hint="eastAsia"/>
                      <w:b w:val="0"/>
                      <w:bCs w:val="0"/>
                      <w:szCs w:val="20"/>
                      <w:highlight w:val="none"/>
                    </w:rPr>
                    <w:t>）处理后与</w:t>
                  </w:r>
                  <w:r>
                    <w:rPr>
                      <w:rFonts w:hint="eastAsia"/>
                      <w:b w:val="0"/>
                      <w:bCs w:val="0"/>
                      <w:szCs w:val="20"/>
                      <w:highlight w:val="none"/>
                      <w:lang w:val="en-US" w:eastAsia="zh-CN"/>
                    </w:rPr>
                    <w:t>其他办公</w:t>
                  </w:r>
                  <w:r>
                    <w:rPr>
                      <w:rFonts w:hint="eastAsia"/>
                      <w:b w:val="0"/>
                      <w:bCs w:val="0"/>
                      <w:szCs w:val="20"/>
                      <w:highlight w:val="none"/>
                    </w:rPr>
                    <w:t>废水一起进入化粪池（2.0m</w:t>
                  </w:r>
                  <w:r>
                    <w:rPr>
                      <w:rFonts w:hint="eastAsia"/>
                      <w:b w:val="0"/>
                      <w:bCs w:val="0"/>
                      <w:szCs w:val="20"/>
                      <w:highlight w:val="none"/>
                      <w:vertAlign w:val="superscript"/>
                    </w:rPr>
                    <w:t>3</w:t>
                  </w:r>
                  <w:r>
                    <w:rPr>
                      <w:rFonts w:hint="eastAsia"/>
                      <w:b w:val="0"/>
                      <w:bCs w:val="0"/>
                      <w:szCs w:val="20"/>
                      <w:highlight w:val="none"/>
                    </w:rPr>
                    <w:t>）处理，</w:t>
                  </w:r>
                  <w:r>
                    <w:rPr>
                      <w:rFonts w:hint="eastAsia"/>
                      <w:b w:val="0"/>
                      <w:bCs w:val="0"/>
                      <w:szCs w:val="20"/>
                      <w:highlight w:val="none"/>
                      <w:lang w:val="en-US" w:eastAsia="zh-CN"/>
                    </w:rPr>
                    <w:t>回用于洒水降尘</w:t>
                  </w:r>
                  <w:r>
                    <w:rPr>
                      <w:rFonts w:hint="eastAsia"/>
                      <w:b w:val="0"/>
                      <w:bCs w:val="0"/>
                      <w:szCs w:val="20"/>
                      <w:highlight w:val="none"/>
                    </w:rPr>
                    <w:t>，不外排</w:t>
                  </w:r>
                  <w:r>
                    <w:rPr>
                      <w:rFonts w:hint="default"/>
                      <w:color w:val="auto"/>
                      <w:szCs w:val="20"/>
                      <w:highlight w:val="none"/>
                      <w:u w:val="none"/>
                    </w:rPr>
                    <w:t>。</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38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噪声</w:t>
                  </w: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厂房隔声、基础减震</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384"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固废</w:t>
                  </w: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新建一座</w:t>
                  </w:r>
                  <w:r>
                    <w:rPr>
                      <w:rFonts w:hint="default"/>
                      <w:szCs w:val="20"/>
                    </w:rPr>
                    <w:t>面积</w:t>
                  </w:r>
                  <w:r>
                    <w:rPr>
                      <w:rFonts w:hint="eastAsia"/>
                      <w:szCs w:val="20"/>
                      <w:lang w:val="en-US" w:eastAsia="zh-CN"/>
                    </w:rPr>
                    <w:t>10</w:t>
                  </w:r>
                  <w:r>
                    <w:rPr>
                      <w:rFonts w:hint="default"/>
                      <w:szCs w:val="20"/>
                    </w:rPr>
                    <w:t>m</w:t>
                  </w:r>
                  <w:r>
                    <w:rPr>
                      <w:rFonts w:hint="default"/>
                      <w:szCs w:val="20"/>
                      <w:vertAlign w:val="superscript"/>
                    </w:rPr>
                    <w:t>2</w:t>
                  </w:r>
                  <w:r>
                    <w:rPr>
                      <w:rFonts w:hint="default"/>
                      <w:szCs w:val="20"/>
                    </w:rPr>
                    <w:t>的一般固废暂存间</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38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4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新建一座面积</w:t>
                  </w:r>
                  <w:r>
                    <w:rPr>
                      <w:rFonts w:hint="eastAsia"/>
                      <w:szCs w:val="20"/>
                      <w:lang w:val="en-US" w:eastAsia="zh-CN"/>
                    </w:rPr>
                    <w:t>4</w:t>
                  </w:r>
                  <w:r>
                    <w:rPr>
                      <w:rFonts w:hint="default"/>
                      <w:szCs w:val="20"/>
                    </w:rPr>
                    <w:t>m</w:t>
                  </w:r>
                  <w:r>
                    <w:rPr>
                      <w:rFonts w:hint="default"/>
                      <w:szCs w:val="20"/>
                      <w:vertAlign w:val="superscript"/>
                    </w:rPr>
                    <w:t>2</w:t>
                  </w:r>
                  <w:r>
                    <w:rPr>
                      <w:rFonts w:hint="default"/>
                      <w:szCs w:val="20"/>
                    </w:rPr>
                    <w:t>的</w:t>
                  </w:r>
                  <w:r>
                    <w:rPr>
                      <w:rFonts w:hint="eastAsia"/>
                      <w:szCs w:val="20"/>
                    </w:rPr>
                    <w:t>危</w:t>
                  </w:r>
                  <w:r>
                    <w:rPr>
                      <w:rFonts w:hint="default"/>
                      <w:szCs w:val="20"/>
                    </w:rPr>
                    <w:t>废暂存间</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99" w:type="dxa"/>
                  <w:gridSpan w:val="3"/>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b/>
                      <w:bCs/>
                      <w:szCs w:val="20"/>
                    </w:rPr>
                    <w:t>合计</w:t>
                  </w:r>
                </w:p>
              </w:tc>
              <w:tc>
                <w:tcPr>
                  <w:tcW w:w="13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27.5</w:t>
                  </w:r>
                </w:p>
              </w:tc>
            </w:tr>
          </w:tbl>
          <w:p>
            <w:pPr>
              <w:keepNext w:val="0"/>
              <w:keepLines w:val="0"/>
              <w:suppressLineNumbers w:val="0"/>
              <w:spacing w:before="0" w:beforeAutospacing="0" w:after="0" w:afterAutospacing="0"/>
              <w:ind w:left="0" w:right="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7" w:type="dxa"/>
            <w:vAlign w:val="center"/>
          </w:tcPr>
          <w:p>
            <w:pPr>
              <w:keepNext w:val="0"/>
              <w:keepLines w:val="0"/>
              <w:suppressLineNumbers w:val="0"/>
              <w:spacing w:before="0" w:beforeAutospacing="0" w:after="0" w:afterAutospacing="0"/>
              <w:ind w:left="0" w:right="0" w:firstLine="0" w:firstLineChars="0"/>
              <w:jc w:val="center"/>
              <w:rPr>
                <w:rFonts w:hint="eastAsia"/>
              </w:rPr>
            </w:pPr>
            <w:r>
              <w:rPr>
                <w:rFonts w:hint="eastAsia"/>
              </w:rPr>
              <w:t>工艺流程和产排污环节</w:t>
            </w:r>
          </w:p>
        </w:tc>
        <w:tc>
          <w:tcPr>
            <w:tcW w:w="8357" w:type="dxa"/>
          </w:tcPr>
          <w:p>
            <w:pPr>
              <w:keepNext w:val="0"/>
              <w:keepLines w:val="0"/>
              <w:suppressLineNumbers w:val="0"/>
              <w:spacing w:before="0" w:beforeAutospacing="0" w:after="0" w:afterAutospacing="0"/>
              <w:ind w:left="0" w:right="0" w:firstLine="482"/>
              <w:rPr>
                <w:rFonts w:hint="default"/>
                <w:b/>
                <w:bCs/>
              </w:rPr>
            </w:pPr>
            <w:r>
              <w:rPr>
                <w:rFonts w:hint="eastAsia"/>
                <w:b/>
                <w:bCs/>
              </w:rPr>
              <w:t>一、施工期</w:t>
            </w:r>
          </w:p>
          <w:p>
            <w:pPr>
              <w:keepNext w:val="0"/>
              <w:keepLines w:val="0"/>
              <w:suppressLineNumbers w:val="0"/>
              <w:spacing w:before="0" w:beforeAutospacing="0" w:after="0" w:afterAutospacing="0"/>
              <w:ind w:left="0" w:right="0" w:firstLine="480"/>
              <w:rPr>
                <w:rFonts w:hint="eastAsia"/>
              </w:rPr>
            </w:pPr>
            <w:r>
              <w:rPr>
                <w:rFonts w:hint="eastAsia"/>
              </w:rPr>
              <w:t>本项目目前已建设完成并投入运营。现为完善环评手续，本环评对已施工部分进行简要回顾性分析，同时对需完善的环保设施进行施工。</w:t>
            </w:r>
          </w:p>
          <w:p>
            <w:pPr>
              <w:keepNext w:val="0"/>
              <w:keepLines w:val="0"/>
              <w:suppressLineNumbers w:val="0"/>
              <w:spacing w:before="0" w:beforeAutospacing="0" w:after="0" w:afterAutospacing="0"/>
              <w:ind w:left="0" w:right="0" w:firstLine="480"/>
              <w:rPr>
                <w:rFonts w:hint="eastAsia"/>
                <w:b/>
                <w:bCs/>
              </w:rPr>
            </w:pPr>
            <w:r>
              <w:rPr>
                <w:rFonts w:hint="eastAsia"/>
                <w:b/>
                <w:bCs/>
              </w:rPr>
              <w:t>1、已施工部分—回顾性分析</w:t>
            </w:r>
          </w:p>
          <w:p>
            <w:pPr>
              <w:keepNext w:val="0"/>
              <w:keepLines w:val="0"/>
              <w:suppressLineNumbers w:val="0"/>
              <w:spacing w:before="0" w:beforeAutospacing="0" w:after="0" w:afterAutospacing="0"/>
              <w:ind w:left="0" w:right="0" w:firstLine="480"/>
              <w:rPr>
                <w:rFonts w:hint="eastAsia"/>
              </w:rPr>
            </w:pPr>
            <w:r>
              <w:rPr>
                <w:rFonts w:hint="eastAsia"/>
              </w:rPr>
              <w:t>根据现场踏勘，项目现已施工完成并投入运营，建设过程中产生的少量废气、废水、噪声及固废均已得到妥善处置，对周围环境影响较小。</w:t>
            </w:r>
          </w:p>
          <w:p>
            <w:pPr>
              <w:keepNext w:val="0"/>
              <w:keepLines w:val="0"/>
              <w:suppressLineNumbers w:val="0"/>
              <w:spacing w:before="0" w:beforeAutospacing="0" w:after="0" w:afterAutospacing="0"/>
              <w:ind w:left="0" w:right="0" w:firstLine="480"/>
              <w:rPr>
                <w:rFonts w:hint="eastAsia"/>
              </w:rPr>
            </w:pPr>
            <w:r>
              <w:rPr>
                <w:rFonts w:hint="eastAsia"/>
              </w:rPr>
              <w:t>项目建设方在施工期间严格遵守了相关施工作业要求，施工期环境影响已经消失，项目施工期未出现相关环保扰民投诉事件，也未遗留相关环境问题。</w:t>
            </w:r>
          </w:p>
          <w:p>
            <w:pPr>
              <w:keepNext w:val="0"/>
              <w:keepLines w:val="0"/>
              <w:suppressLineNumbers w:val="0"/>
              <w:spacing w:before="0" w:beforeAutospacing="0" w:after="0" w:afterAutospacing="0"/>
              <w:ind w:left="0" w:right="0" w:firstLine="480"/>
              <w:rPr>
                <w:rFonts w:hint="eastAsia"/>
                <w:b/>
                <w:bCs/>
              </w:rPr>
            </w:pPr>
            <w:r>
              <w:rPr>
                <w:rFonts w:hint="eastAsia"/>
                <w:b/>
                <w:bCs/>
              </w:rPr>
              <w:t>2、后续施工工程分析</w:t>
            </w:r>
          </w:p>
          <w:p>
            <w:pPr>
              <w:keepNext w:val="0"/>
              <w:keepLines w:val="0"/>
              <w:suppressLineNumbers w:val="0"/>
              <w:spacing w:before="0" w:beforeAutospacing="0" w:after="0" w:afterAutospacing="0"/>
              <w:ind w:left="0" w:right="0" w:firstLine="480"/>
              <w:rPr>
                <w:rFonts w:hint="eastAsia"/>
              </w:rPr>
            </w:pPr>
            <w:r>
              <w:rPr>
                <w:rFonts w:hint="eastAsia"/>
              </w:rPr>
              <w:t>（1）施工主要工作内容</w:t>
            </w:r>
          </w:p>
          <w:p>
            <w:pPr>
              <w:keepNext w:val="0"/>
              <w:keepLines w:val="0"/>
              <w:suppressLineNumbers w:val="0"/>
              <w:spacing w:before="0" w:beforeAutospacing="0" w:after="0" w:afterAutospacing="0"/>
              <w:ind w:left="0" w:right="0" w:firstLine="480"/>
              <w:rPr>
                <w:rFonts w:hint="eastAsia"/>
              </w:rPr>
            </w:pPr>
            <w:r>
              <w:rPr>
                <w:rFonts w:hint="eastAsia"/>
              </w:rPr>
              <w:t>项目后续施工主要为环保设施的安装及调试，不涉及土建工程，施工期较短，施工期产生的环境影响随施工结束而消失。</w:t>
            </w:r>
          </w:p>
          <w:p>
            <w:pPr>
              <w:keepNext w:val="0"/>
              <w:keepLines w:val="0"/>
              <w:suppressLineNumbers w:val="0"/>
              <w:spacing w:before="0" w:beforeAutospacing="0" w:after="0" w:afterAutospacing="0"/>
              <w:ind w:left="0" w:right="0" w:firstLine="480"/>
              <w:rPr>
                <w:rFonts w:hint="eastAsia"/>
              </w:rPr>
            </w:pPr>
            <w:r>
              <w:rPr>
                <w:rFonts w:hint="eastAsia"/>
              </w:rPr>
              <w:t>（2）施工组织安排</w:t>
            </w:r>
          </w:p>
          <w:p>
            <w:pPr>
              <w:keepNext w:val="0"/>
              <w:keepLines w:val="0"/>
              <w:suppressLineNumbers w:val="0"/>
              <w:spacing w:before="0" w:beforeAutospacing="0" w:after="0" w:afterAutospacing="0"/>
              <w:ind w:left="0" w:right="0" w:firstLine="480"/>
              <w:rPr>
                <w:rFonts w:hint="eastAsia"/>
              </w:rPr>
            </w:pPr>
            <w:r>
              <w:rPr>
                <w:rFonts w:hint="eastAsia"/>
              </w:rPr>
              <w:t>项目施工周期为1个月，施工高峰期施工人员总量约为10人，施工场地内不设置施工生活营地，施工人员均不在项目区食宿。</w:t>
            </w:r>
          </w:p>
          <w:p>
            <w:pPr>
              <w:keepNext w:val="0"/>
              <w:keepLines w:val="0"/>
              <w:suppressLineNumbers w:val="0"/>
              <w:spacing w:before="0" w:beforeAutospacing="0" w:after="0" w:afterAutospacing="0"/>
              <w:ind w:left="0" w:right="0" w:firstLine="480"/>
              <w:rPr>
                <w:rFonts w:hint="eastAsia"/>
              </w:rPr>
            </w:pPr>
            <w:r>
              <w:rPr>
                <w:rFonts w:hint="eastAsia"/>
              </w:rPr>
              <w:t>（3）施工产污环节分析</w:t>
            </w:r>
          </w:p>
          <w:p>
            <w:pPr>
              <w:keepNext w:val="0"/>
              <w:keepLines w:val="0"/>
              <w:suppressLineNumbers w:val="0"/>
              <w:spacing w:before="0" w:beforeAutospacing="0" w:after="0" w:afterAutospacing="0"/>
              <w:ind w:left="0" w:right="0" w:firstLine="480"/>
              <w:rPr>
                <w:rFonts w:hint="eastAsia"/>
              </w:rPr>
            </w:pPr>
            <w:r>
              <w:rPr>
                <w:rFonts w:hint="eastAsia"/>
              </w:rPr>
              <w:t>项目施工期主要污染工序及产污情况见图2-</w:t>
            </w:r>
            <w:r>
              <w:rPr>
                <w:rFonts w:hint="eastAsia"/>
                <w:lang w:val="en-US" w:eastAsia="zh-CN"/>
              </w:rPr>
              <w:t>2</w:t>
            </w:r>
            <w:r>
              <w:rPr>
                <w:rFonts w:hint="eastAsia"/>
              </w:rPr>
              <w:t>。</w:t>
            </w:r>
          </w:p>
          <w:p>
            <w:pPr>
              <w:keepNext w:val="0"/>
              <w:keepLines w:val="0"/>
              <w:suppressLineNumbers w:val="0"/>
              <w:spacing w:before="0" w:beforeAutospacing="0" w:after="0" w:afterAutospacing="0"/>
              <w:ind w:left="0" w:right="0" w:firstLine="480"/>
              <w:jc w:val="center"/>
              <w:rPr>
                <w:rFonts w:hint="eastAsia"/>
              </w:rPr>
            </w:pPr>
            <w:r>
              <w:rPr>
                <w:rFonts w:hint="default"/>
              </w:rPr>
              <w:object>
                <v:shape id="_x0000_i1025" o:spt="75" type="#_x0000_t75" style="height:123.6pt;width:276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10"/>
              <w:keepNext w:val="0"/>
              <w:keepLines w:val="0"/>
              <w:suppressLineNumbers w:val="0"/>
              <w:bidi w:val="0"/>
              <w:spacing w:before="0" w:beforeAutospacing="0" w:afterAutospacing="0"/>
              <w:ind w:left="0" w:right="0"/>
              <w:rPr>
                <w:rFonts w:hint="eastAsia"/>
              </w:rPr>
            </w:pPr>
            <w:r>
              <w:rPr>
                <w:rFonts w:hint="eastAsia"/>
              </w:rPr>
              <w:t>图2-</w:t>
            </w:r>
            <w:r>
              <w:rPr>
                <w:rFonts w:hint="eastAsia"/>
                <w:lang w:val="en-US" w:eastAsia="zh-CN"/>
              </w:rPr>
              <w:t>2</w:t>
            </w:r>
            <w:r>
              <w:rPr>
                <w:rFonts w:hint="eastAsia"/>
              </w:rPr>
              <w:t xml:space="preserve">   项目施工期工艺流程及产污节点图</w:t>
            </w:r>
          </w:p>
          <w:p>
            <w:pPr>
              <w:keepNext w:val="0"/>
              <w:keepLines w:val="0"/>
              <w:suppressLineNumbers w:val="0"/>
              <w:spacing w:before="0" w:beforeAutospacing="0" w:after="0" w:afterAutospacing="0"/>
              <w:ind w:left="0" w:right="0"/>
              <w:rPr>
                <w:rFonts w:hint="eastAsia"/>
              </w:rPr>
            </w:pPr>
            <w:r>
              <w:rPr>
                <w:rFonts w:hint="eastAsia"/>
              </w:rPr>
              <w:t>项目施工期产生的污染物主要为施工废水、扬尘、固废、噪声及施工人员生活污水、生活垃圾等。</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tc>
      </w:tr>
    </w:tbl>
    <w:p>
      <w:pPr>
        <w:ind w:firstLine="0" w:firstLineChars="0"/>
        <w:jc w:val="center"/>
        <w:rPr>
          <w:rFonts w:hint="eastAsia"/>
        </w:rPr>
        <w:sectPr>
          <w:pgSz w:w="11906" w:h="16838"/>
          <w:pgMar w:top="1701" w:right="1531" w:bottom="1701" w:left="1531" w:header="851" w:footer="851" w:gutter="0"/>
          <w:cols w:space="720" w:num="1"/>
          <w:docGrid w:linePitch="312" w:charSpace="0"/>
        </w:sectPr>
      </w:pPr>
    </w:p>
    <w:tbl>
      <w:tblPr>
        <w:tblStyle w:val="7"/>
        <w:tblW w:w="13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9" w:type="dxa"/>
          </w:tcPr>
          <w:p>
            <w:pPr>
              <w:keepNext w:val="0"/>
              <w:keepLines w:val="0"/>
              <w:suppressLineNumbers w:val="0"/>
              <w:spacing w:before="0" w:beforeAutospacing="0" w:after="0" w:afterAutospacing="0"/>
              <w:ind w:left="0" w:right="0"/>
              <w:rPr>
                <w:rFonts w:hint="eastAsia"/>
              </w:rPr>
            </w:pPr>
          </w:p>
        </w:tc>
        <w:tc>
          <w:tcPr>
            <w:tcW w:w="12978" w:type="dxa"/>
          </w:tcPr>
          <w:p>
            <w:pPr>
              <w:keepNext w:val="0"/>
              <w:keepLines w:val="0"/>
              <w:suppressLineNumbers w:val="0"/>
              <w:spacing w:before="0" w:beforeAutospacing="0" w:after="0" w:afterAutospacing="0"/>
              <w:ind w:left="0" w:right="0" w:firstLine="482"/>
              <w:rPr>
                <w:rFonts w:hint="default"/>
                <w:b/>
                <w:bCs/>
                <w:highlight w:val="yellow"/>
              </w:rPr>
            </w:pPr>
            <w:r>
              <w:rPr>
                <w:rFonts w:hint="eastAsia"/>
                <w:b/>
                <w:bCs/>
                <w:highlight w:val="none"/>
              </w:rPr>
              <w:t>二、运营期</w:t>
            </w:r>
          </w:p>
          <w:p>
            <w:pPr>
              <w:keepNext w:val="0"/>
              <w:keepLines w:val="0"/>
              <w:suppressLineNumbers w:val="0"/>
              <w:spacing w:before="0" w:beforeAutospacing="0" w:after="0" w:afterAutospacing="0"/>
              <w:ind w:left="0" w:right="0"/>
              <w:rPr>
                <w:rFonts w:hint="eastAsia"/>
                <w:color w:val="auto"/>
                <w:highlight w:val="none"/>
                <w:u w:val="none"/>
              </w:rPr>
            </w:pPr>
            <w:r>
              <w:rPr>
                <w:rFonts w:hint="eastAsia"/>
                <w:color w:val="auto"/>
                <w:highlight w:val="none"/>
                <w:u w:val="none"/>
                <w:lang w:val="en-US" w:eastAsia="zh-CN"/>
              </w:rPr>
              <w:t>项目运营期</w:t>
            </w:r>
            <w:r>
              <w:rPr>
                <w:rFonts w:hint="eastAsia"/>
                <w:color w:val="auto"/>
                <w:highlight w:val="none"/>
                <w:u w:val="none"/>
              </w:rPr>
              <w:t>工艺流程及产污节点见下图2-</w:t>
            </w:r>
            <w:r>
              <w:rPr>
                <w:rFonts w:hint="eastAsia"/>
                <w:color w:val="auto"/>
                <w:highlight w:val="none"/>
                <w:u w:val="none"/>
                <w:lang w:val="en-US" w:eastAsia="zh-CN"/>
              </w:rPr>
              <w:t>3</w:t>
            </w:r>
            <w:r>
              <w:rPr>
                <w:rFonts w:hint="eastAsia"/>
                <w:color w:val="auto"/>
                <w:highlight w:val="none"/>
                <w:u w:val="none"/>
              </w:rPr>
              <w:t>。</w:t>
            </w:r>
          </w:p>
          <w:p>
            <w:pPr>
              <w:keepNext w:val="0"/>
              <w:keepLines w:val="0"/>
              <w:suppressLineNumbers w:val="0"/>
              <w:spacing w:before="0" w:beforeAutospacing="0" w:after="0" w:afterAutospacing="0"/>
              <w:ind w:left="0" w:right="0"/>
              <w:rPr>
                <w:rFonts w:hint="eastAsia" w:eastAsia="宋体"/>
                <w:color w:val="auto"/>
                <w:u w:val="none"/>
                <w:lang w:eastAsia="zh-CN"/>
              </w:rPr>
            </w:pPr>
            <w:r>
              <w:rPr>
                <w:rFonts w:hint="eastAsia" w:eastAsia="宋体"/>
                <w:color w:val="auto"/>
                <w:u w:val="none"/>
                <w:lang w:eastAsia="zh-CN"/>
              </w:rPr>
              <w:drawing>
                <wp:inline distT="0" distB="0" distL="114300" distR="114300">
                  <wp:extent cx="7461250" cy="4352290"/>
                  <wp:effectExtent l="9525" t="9525" r="15875" b="19685"/>
                  <wp:docPr id="4" name="ECB019B1-382A-4266-B25C-5B523AA43C14-1" descr="C:/Users/dell/AppData/Local/Temp/wps.qLJbc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dell/AppData/Local/Temp/wps.qLJbcqwps"/>
                          <pic:cNvPicPr>
                            <a:picLocks noChangeAspect="1"/>
                          </pic:cNvPicPr>
                        </pic:nvPicPr>
                        <pic:blipFill>
                          <a:blip r:embed="rId12"/>
                          <a:stretch>
                            <a:fillRect/>
                          </a:stretch>
                        </pic:blipFill>
                        <pic:spPr>
                          <a:xfrm>
                            <a:off x="0" y="0"/>
                            <a:ext cx="7461250" cy="4352290"/>
                          </a:xfrm>
                          <a:prstGeom prst="rect">
                            <a:avLst/>
                          </a:prstGeom>
                          <a:ln>
                            <a:solidFill>
                              <a:schemeClr val="tx1"/>
                            </a:solidFill>
                          </a:ln>
                        </pic:spPr>
                      </pic:pic>
                    </a:graphicData>
                  </a:graphic>
                </wp:inline>
              </w:drawing>
            </w:r>
          </w:p>
          <w:p>
            <w:pPr>
              <w:pStyle w:val="10"/>
              <w:keepNext w:val="0"/>
              <w:keepLines w:val="0"/>
              <w:suppressLineNumbers w:val="0"/>
              <w:bidi w:val="0"/>
              <w:spacing w:before="0" w:beforeAutospacing="0" w:afterAutospacing="0"/>
              <w:ind w:left="0" w:right="0"/>
              <w:rPr>
                <w:rFonts w:hint="eastAsia"/>
                <w:color w:val="auto"/>
                <w:u w:val="none"/>
              </w:rPr>
            </w:pPr>
            <w:r>
              <w:rPr>
                <w:rFonts w:hint="eastAsia"/>
                <w:lang w:val="en-US" w:eastAsia="zh-CN"/>
              </w:rPr>
              <w:t>图2-3  项目运营期工艺流程及产污节点图</w:t>
            </w:r>
          </w:p>
        </w:tc>
      </w:tr>
    </w:tbl>
    <w:p>
      <w:pPr>
        <w:ind w:firstLine="0" w:firstLineChars="0"/>
        <w:jc w:val="center"/>
        <w:sectPr>
          <w:pgSz w:w="16838" w:h="11906" w:orient="landscape"/>
          <w:pgMar w:top="1531" w:right="1701" w:bottom="1531" w:left="1701" w:header="851" w:footer="851" w:gutter="0"/>
          <w:cols w:space="720" w:num="1"/>
          <w:docGrid w:linePitch="312" w:charSpace="0"/>
        </w:sectPr>
      </w:pPr>
    </w:p>
    <w:tbl>
      <w:tblPr>
        <w:tblStyle w:val="6"/>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3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7" w:type="dxa"/>
            <w:vAlign w:val="center"/>
          </w:tcPr>
          <w:p>
            <w:pPr>
              <w:keepNext w:val="0"/>
              <w:keepLines w:val="0"/>
              <w:suppressLineNumbers w:val="0"/>
              <w:spacing w:before="0" w:beforeAutospacing="0" w:after="0" w:afterAutospacing="0"/>
              <w:ind w:left="0" w:right="0"/>
              <w:rPr>
                <w:rFonts w:hint="default"/>
              </w:rPr>
            </w:pPr>
          </w:p>
        </w:tc>
        <w:tc>
          <w:tcPr>
            <w:tcW w:w="8357" w:type="dxa"/>
          </w:tcPr>
          <w:p>
            <w:pPr>
              <w:keepNext w:val="0"/>
              <w:keepLines w:val="0"/>
              <w:suppressLineNumbers w:val="0"/>
              <w:spacing w:before="0" w:beforeAutospacing="0" w:after="0" w:afterAutospacing="0"/>
              <w:ind w:left="0" w:right="0" w:firstLine="480"/>
              <w:rPr>
                <w:rFonts w:hint="eastAsia"/>
                <w:b/>
                <w:bCs/>
                <w:color w:val="auto"/>
                <w:u w:val="none"/>
              </w:rPr>
            </w:pPr>
            <w:r>
              <w:rPr>
                <w:rFonts w:hint="eastAsia"/>
                <w:b/>
                <w:bCs/>
                <w:color w:val="auto"/>
                <w:u w:val="none"/>
              </w:rPr>
              <w:t>工艺流程简况：</w:t>
            </w:r>
          </w:p>
          <w:p>
            <w:pPr>
              <w:keepNext w:val="0"/>
              <w:keepLines w:val="0"/>
              <w:suppressLineNumbers w:val="0"/>
              <w:spacing w:before="0" w:beforeAutospacing="0" w:after="0" w:afterAutospacing="0"/>
              <w:ind w:left="0" w:right="0" w:firstLine="480"/>
              <w:rPr>
                <w:rFonts w:hint="eastAsia"/>
                <w:color w:val="auto"/>
                <w:u w:val="none"/>
              </w:rPr>
            </w:pPr>
            <w:r>
              <w:rPr>
                <w:rFonts w:hint="eastAsia"/>
                <w:color w:val="auto"/>
                <w:u w:val="none"/>
              </w:rPr>
              <w:t>沥青混凝土主要由沥青和石料混合拌制而成。本项目工艺流程包括砂石骨料预处理、普通沥青预处理环节，以及主拌站（筛分、搅拌、成品装车）主要生产环节。</w:t>
            </w:r>
          </w:p>
          <w:p>
            <w:pPr>
              <w:keepNext w:val="0"/>
              <w:keepLines w:val="0"/>
              <w:suppressLineNumbers w:val="0"/>
              <w:spacing w:before="0" w:beforeAutospacing="0" w:after="0" w:afterAutospacing="0"/>
              <w:ind w:left="0" w:right="0" w:firstLine="480"/>
              <w:rPr>
                <w:rFonts w:hint="eastAsia"/>
                <w:b/>
                <w:bCs/>
                <w:color w:val="auto"/>
                <w:u w:val="none"/>
              </w:rPr>
            </w:pPr>
            <w:r>
              <w:rPr>
                <w:rFonts w:hint="eastAsia"/>
                <w:b/>
                <w:bCs/>
                <w:color w:val="auto"/>
                <w:u w:val="none"/>
              </w:rPr>
              <w:t>（1）砂石骨料预处理</w:t>
            </w:r>
          </w:p>
          <w:p>
            <w:pPr>
              <w:keepNext w:val="0"/>
              <w:keepLines w:val="0"/>
              <w:suppressLineNumbers w:val="0"/>
              <w:spacing w:before="0" w:beforeAutospacing="0" w:after="0" w:afterAutospacing="0"/>
              <w:ind w:left="0" w:right="0" w:firstLine="480"/>
              <w:rPr>
                <w:rFonts w:hint="eastAsia" w:eastAsia="宋体"/>
                <w:color w:val="auto"/>
                <w:u w:val="none"/>
                <w:lang w:val="en-US" w:eastAsia="zh-CN"/>
              </w:rPr>
            </w:pPr>
            <w:r>
              <w:rPr>
                <w:rFonts w:hint="eastAsia"/>
                <w:color w:val="auto"/>
                <w:u w:val="none"/>
              </w:rPr>
              <w:t>外购破碎筛分后得到的成品砂石骨料进厂后暂存于砂石堆场，以斗车送入搅拌站冷骨料配料系统，根据产品要求进行配料。为使沥青混合料不至于因过快冷却而带来运输上的不便，配料后的冷骨料通过密闭式皮带输送至干燥滚筒进行烘干加热处理。烘干滚筒采用逆料流加热方式，燃烧器火焰自烘干滚筒出料口一端喷入，热气流逆着料流方向穿过滚筒时被骨料吸走热量，燃烧器以</w:t>
            </w:r>
            <w:r>
              <w:rPr>
                <w:rFonts w:hint="eastAsia"/>
                <w:color w:val="auto"/>
                <w:u w:val="none"/>
                <w:lang w:val="en-US" w:eastAsia="zh-CN"/>
              </w:rPr>
              <w:t>柴油</w:t>
            </w:r>
            <w:r>
              <w:rPr>
                <w:rFonts w:hint="eastAsia"/>
                <w:color w:val="auto"/>
                <w:u w:val="none"/>
              </w:rPr>
              <w:t>作为燃料。加热后的砂石骨料通过提升机送到主拌站的筛分系统进行振动筛分，让符合产品要求的石料通过，经计量后送入搅拌缸；少数不合规格的石料被分离后由专门出口筛出。</w:t>
            </w:r>
          </w:p>
          <w:p>
            <w:pPr>
              <w:keepNext w:val="0"/>
              <w:keepLines w:val="0"/>
              <w:suppressLineNumbers w:val="0"/>
              <w:spacing w:before="0" w:beforeAutospacing="0" w:after="0" w:afterAutospacing="0"/>
              <w:ind w:left="0" w:right="0" w:firstLine="480"/>
              <w:rPr>
                <w:rFonts w:hint="eastAsia"/>
                <w:color w:val="auto"/>
                <w:u w:val="none"/>
              </w:rPr>
            </w:pPr>
            <w:r>
              <w:rPr>
                <w:rFonts w:hint="eastAsia"/>
                <w:b/>
                <w:bCs/>
                <w:color w:val="auto"/>
                <w:u w:val="none"/>
                <w:lang w:val="en-US" w:eastAsia="zh-CN"/>
              </w:rPr>
              <w:t>产污环节：</w:t>
            </w:r>
            <w:r>
              <w:rPr>
                <w:rFonts w:hint="eastAsia"/>
                <w:color w:val="auto"/>
                <w:u w:val="none"/>
              </w:rPr>
              <w:t>该过程主要产生堆场扬尘（G1-1）、上料输送粉尘（G1-2）、混料（烘干）粉尘（G1-3）、热料提升粉尘（G1-4）、筛分粉尘（G1-5）以及</w:t>
            </w:r>
            <w:r>
              <w:rPr>
                <w:rFonts w:hint="eastAsia"/>
                <w:color w:val="auto"/>
                <w:u w:val="none"/>
                <w:lang w:val="en-US" w:eastAsia="zh-CN"/>
              </w:rPr>
              <w:t>柴油</w:t>
            </w:r>
            <w:r>
              <w:rPr>
                <w:rFonts w:hint="eastAsia"/>
                <w:color w:val="auto"/>
                <w:u w:val="none"/>
              </w:rPr>
              <w:t>燃烧废气（G2-1）；筛分出的不合格废石料（S1）。</w:t>
            </w:r>
          </w:p>
          <w:p>
            <w:pPr>
              <w:keepNext w:val="0"/>
              <w:keepLines w:val="0"/>
              <w:suppressLineNumbers w:val="0"/>
              <w:spacing w:before="0" w:beforeAutospacing="0" w:after="0" w:afterAutospacing="0"/>
              <w:ind w:left="0" w:right="0" w:firstLine="480"/>
              <w:rPr>
                <w:rFonts w:hint="default" w:eastAsia="宋体"/>
                <w:b/>
                <w:bCs/>
                <w:color w:val="auto"/>
                <w:u w:val="none"/>
                <w:lang w:val="en-US" w:eastAsia="zh-CN"/>
              </w:rPr>
            </w:pPr>
            <w:r>
              <w:rPr>
                <w:rFonts w:hint="eastAsia"/>
                <w:b/>
                <w:bCs/>
                <w:color w:val="auto"/>
                <w:u w:val="none"/>
                <w:lang w:eastAsia="zh-CN"/>
              </w:rPr>
              <w:t>（</w:t>
            </w:r>
            <w:r>
              <w:rPr>
                <w:rFonts w:hint="eastAsia"/>
                <w:b/>
                <w:bCs/>
                <w:color w:val="auto"/>
                <w:u w:val="none"/>
                <w:lang w:val="en-US" w:eastAsia="zh-CN"/>
              </w:rPr>
              <w:t>2）沥青加热</w:t>
            </w:r>
          </w:p>
          <w:p>
            <w:pPr>
              <w:keepNext w:val="0"/>
              <w:keepLines w:val="0"/>
              <w:suppressLineNumbers w:val="0"/>
              <w:spacing w:before="0" w:beforeAutospacing="0" w:after="0" w:afterAutospacing="0"/>
              <w:ind w:left="0" w:right="0" w:firstLine="480"/>
              <w:rPr>
                <w:rFonts w:hint="eastAsia"/>
                <w:color w:val="auto"/>
                <w:u w:val="none"/>
              </w:rPr>
            </w:pPr>
            <w:r>
              <w:rPr>
                <w:rFonts w:hint="eastAsia"/>
                <w:color w:val="auto"/>
                <w:u w:val="none"/>
              </w:rPr>
              <w:t>沥青是石油气工厂热解石油气原料时得到的副产品，进厂时为散装沥青（温度约为40～60℃，为液态），由专用沥青运输车通过密闭沥青管道输送至沥青储罐，使用时利用导热油炉的导热油作为间接加热工质将沥青升温至150～180℃，再经沥青泵输送至沥青计量器，按一定的配合比分重量后通过专门管道送入拌和站的搅拌缸内与骨料、粉料混合。</w:t>
            </w:r>
          </w:p>
          <w:p>
            <w:pPr>
              <w:keepNext w:val="0"/>
              <w:keepLines w:val="0"/>
              <w:suppressLineNumbers w:val="0"/>
              <w:spacing w:before="0" w:beforeAutospacing="0" w:after="0" w:afterAutospacing="0"/>
              <w:ind w:left="0" w:right="0" w:firstLine="480"/>
              <w:rPr>
                <w:rFonts w:hint="eastAsia" w:eastAsia="宋体"/>
                <w:color w:val="auto"/>
                <w:u w:val="none"/>
                <w:lang w:eastAsia="zh-CN"/>
              </w:rPr>
            </w:pPr>
            <w:r>
              <w:rPr>
                <w:rFonts w:hint="eastAsia"/>
                <w:b/>
                <w:bCs/>
                <w:color w:val="auto"/>
                <w:u w:val="none"/>
                <w:lang w:val="en-US" w:eastAsia="zh-CN"/>
              </w:rPr>
              <w:t>产污环节：</w:t>
            </w:r>
            <w:r>
              <w:rPr>
                <w:rFonts w:hint="eastAsia"/>
                <w:color w:val="auto"/>
                <w:u w:val="none"/>
              </w:rPr>
              <w:t>该过程主要产生沥青罐呼吸废气（G3-1）、</w:t>
            </w:r>
            <w:r>
              <w:rPr>
                <w:rFonts w:hint="eastAsia"/>
                <w:color w:val="auto"/>
                <w:u w:val="none"/>
                <w:lang w:val="en-US" w:eastAsia="zh-CN"/>
              </w:rPr>
              <w:t>导热油炉</w:t>
            </w:r>
            <w:r>
              <w:rPr>
                <w:rFonts w:hint="eastAsia"/>
                <w:color w:val="auto"/>
                <w:u w:val="none"/>
              </w:rPr>
              <w:t>废气（G2-2）</w:t>
            </w:r>
            <w:r>
              <w:rPr>
                <w:rFonts w:hint="eastAsia"/>
                <w:color w:val="auto"/>
                <w:u w:val="none"/>
                <w:lang w:eastAsia="zh-CN"/>
              </w:rPr>
              <w:t>。</w:t>
            </w:r>
          </w:p>
          <w:p>
            <w:pPr>
              <w:keepNext w:val="0"/>
              <w:keepLines w:val="0"/>
              <w:suppressLineNumbers w:val="0"/>
              <w:spacing w:before="0" w:beforeAutospacing="0" w:after="0" w:afterAutospacing="0"/>
              <w:ind w:left="0" w:right="0" w:firstLine="480"/>
              <w:rPr>
                <w:rFonts w:hint="default" w:eastAsia="宋体"/>
                <w:b/>
                <w:bCs/>
                <w:color w:val="auto"/>
                <w:u w:val="none"/>
                <w:lang w:val="en-US" w:eastAsia="zh-CN"/>
              </w:rPr>
            </w:pPr>
            <w:r>
              <w:rPr>
                <w:rFonts w:hint="eastAsia"/>
                <w:b/>
                <w:bCs/>
                <w:color w:val="auto"/>
                <w:u w:val="none"/>
                <w:lang w:eastAsia="zh-CN"/>
              </w:rPr>
              <w:t>（</w:t>
            </w:r>
            <w:r>
              <w:rPr>
                <w:rFonts w:hint="eastAsia"/>
                <w:b/>
                <w:bCs/>
                <w:color w:val="auto"/>
                <w:u w:val="none"/>
                <w:lang w:val="en-US" w:eastAsia="zh-CN"/>
              </w:rPr>
              <w:t>3）矿粉供应</w:t>
            </w:r>
          </w:p>
          <w:p>
            <w:pPr>
              <w:keepNext w:val="0"/>
              <w:keepLines w:val="0"/>
              <w:suppressLineNumbers w:val="0"/>
              <w:spacing w:before="0" w:beforeAutospacing="0" w:after="0" w:afterAutospacing="0"/>
              <w:ind w:left="0" w:right="0" w:firstLine="480"/>
              <w:rPr>
                <w:rFonts w:hint="eastAsia"/>
                <w:color w:val="auto"/>
                <w:u w:val="none"/>
              </w:rPr>
            </w:pPr>
            <w:r>
              <w:rPr>
                <w:rFonts w:hint="eastAsia"/>
                <w:color w:val="auto"/>
                <w:u w:val="none"/>
              </w:rPr>
              <w:t>外购矿粉进厂后直接泵入</w:t>
            </w:r>
            <w:r>
              <w:rPr>
                <w:rFonts w:hint="eastAsia"/>
                <w:color w:val="auto"/>
                <w:u w:val="none"/>
                <w:lang w:val="en-US" w:eastAsia="zh-CN"/>
              </w:rPr>
              <w:t>矿粉储罐</w:t>
            </w:r>
            <w:r>
              <w:rPr>
                <w:rFonts w:hint="eastAsia"/>
                <w:color w:val="auto"/>
                <w:u w:val="none"/>
              </w:rPr>
              <w:t>，通过计量后由密闭管道打入搅拌缸。</w:t>
            </w:r>
          </w:p>
          <w:p>
            <w:pPr>
              <w:keepNext w:val="0"/>
              <w:keepLines w:val="0"/>
              <w:suppressLineNumbers w:val="0"/>
              <w:spacing w:before="0" w:beforeAutospacing="0" w:after="0" w:afterAutospacing="0"/>
              <w:ind w:left="0" w:right="0" w:firstLine="480"/>
              <w:rPr>
                <w:rFonts w:hint="eastAsia" w:eastAsia="宋体"/>
                <w:color w:val="auto"/>
                <w:u w:val="none"/>
                <w:lang w:eastAsia="zh-CN"/>
              </w:rPr>
            </w:pPr>
            <w:r>
              <w:rPr>
                <w:rFonts w:hint="eastAsia"/>
                <w:b/>
                <w:bCs/>
                <w:color w:val="auto"/>
                <w:u w:val="none"/>
                <w:lang w:val="en-US" w:eastAsia="zh-CN"/>
              </w:rPr>
              <w:t>产污环节：</w:t>
            </w:r>
            <w:r>
              <w:rPr>
                <w:rFonts w:hint="eastAsia"/>
                <w:color w:val="auto"/>
                <w:u w:val="none"/>
              </w:rPr>
              <w:t>该过程主要产生</w:t>
            </w:r>
            <w:r>
              <w:rPr>
                <w:rFonts w:hint="eastAsia"/>
                <w:color w:val="auto"/>
                <w:u w:val="none"/>
                <w:lang w:val="en-US" w:eastAsia="zh-CN"/>
              </w:rPr>
              <w:t>矿粉储罐</w:t>
            </w:r>
            <w:r>
              <w:rPr>
                <w:rFonts w:hint="eastAsia"/>
                <w:color w:val="auto"/>
                <w:u w:val="none"/>
              </w:rPr>
              <w:t>（G1-6）</w:t>
            </w:r>
            <w:r>
              <w:rPr>
                <w:rFonts w:hint="eastAsia"/>
                <w:color w:val="auto"/>
                <w:u w:val="none"/>
                <w:lang w:eastAsia="zh-CN"/>
              </w:rPr>
              <w:t>。</w:t>
            </w:r>
          </w:p>
          <w:p>
            <w:pPr>
              <w:keepNext w:val="0"/>
              <w:keepLines w:val="0"/>
              <w:suppressLineNumbers w:val="0"/>
              <w:spacing w:before="0" w:beforeAutospacing="0" w:after="0" w:afterAutospacing="0"/>
              <w:ind w:left="0" w:right="0" w:firstLine="480"/>
              <w:rPr>
                <w:rFonts w:hint="default" w:eastAsia="宋体"/>
                <w:b/>
                <w:bCs/>
                <w:color w:val="auto"/>
                <w:u w:val="none"/>
                <w:lang w:val="en-US" w:eastAsia="zh-CN"/>
              </w:rPr>
            </w:pPr>
            <w:r>
              <w:rPr>
                <w:rFonts w:hint="eastAsia"/>
                <w:b/>
                <w:bCs/>
                <w:color w:val="auto"/>
                <w:u w:val="none"/>
                <w:lang w:eastAsia="zh-CN"/>
              </w:rPr>
              <w:t>（</w:t>
            </w:r>
            <w:r>
              <w:rPr>
                <w:rFonts w:hint="eastAsia"/>
                <w:b/>
                <w:bCs/>
                <w:color w:val="auto"/>
                <w:u w:val="none"/>
                <w:lang w:val="en-US" w:eastAsia="zh-CN"/>
              </w:rPr>
              <w:t>4）搅拌混合</w:t>
            </w:r>
          </w:p>
          <w:p>
            <w:pPr>
              <w:keepNext w:val="0"/>
              <w:keepLines w:val="0"/>
              <w:suppressLineNumbers w:val="0"/>
              <w:spacing w:before="0" w:beforeAutospacing="0" w:after="0" w:afterAutospacing="0"/>
              <w:ind w:left="0" w:right="0"/>
              <w:rPr>
                <w:rFonts w:hint="eastAsia"/>
                <w:color w:val="auto"/>
                <w:u w:val="none"/>
              </w:rPr>
            </w:pPr>
            <w:r>
              <w:rPr>
                <w:rFonts w:hint="eastAsia"/>
                <w:color w:val="auto"/>
                <w:u w:val="none"/>
              </w:rPr>
              <w:t>进入搅拌缸的沥青、砂石骨料、矿粉等经机械搅拌混合得到沥青混凝土成品，整个生产工艺在密闭系统中进行。</w:t>
            </w:r>
          </w:p>
          <w:p>
            <w:pPr>
              <w:keepNext w:val="0"/>
              <w:keepLines w:val="0"/>
              <w:suppressLineNumbers w:val="0"/>
              <w:spacing w:before="0" w:beforeAutospacing="0" w:after="0" w:afterAutospacing="0"/>
              <w:ind w:left="0" w:right="0"/>
              <w:rPr>
                <w:rFonts w:hint="eastAsia"/>
                <w:color w:val="auto"/>
                <w:u w:val="none"/>
              </w:rPr>
            </w:pPr>
            <w:r>
              <w:rPr>
                <w:rFonts w:hint="eastAsia"/>
                <w:b/>
                <w:bCs/>
                <w:color w:val="auto"/>
                <w:u w:val="none"/>
                <w:lang w:val="en-US" w:eastAsia="zh-CN"/>
              </w:rPr>
              <w:t>产污环节：</w:t>
            </w:r>
            <w:r>
              <w:rPr>
                <w:rFonts w:hint="eastAsia"/>
                <w:color w:val="auto"/>
                <w:u w:val="none"/>
              </w:rPr>
              <w:t>该过程主要产生搅拌混合废气（G3-</w:t>
            </w:r>
            <w:r>
              <w:rPr>
                <w:rFonts w:hint="eastAsia"/>
                <w:color w:val="auto"/>
                <w:u w:val="none"/>
                <w:lang w:val="en-US" w:eastAsia="zh-CN"/>
              </w:rPr>
              <w:t>2</w:t>
            </w:r>
            <w:r>
              <w:rPr>
                <w:rFonts w:hint="eastAsia"/>
                <w:color w:val="auto"/>
                <w:u w:val="none"/>
              </w:rPr>
              <w:t>）。</w:t>
            </w:r>
          </w:p>
          <w:p>
            <w:pPr>
              <w:keepNext w:val="0"/>
              <w:keepLines w:val="0"/>
              <w:suppressLineNumbers w:val="0"/>
              <w:spacing w:before="0" w:beforeAutospacing="0" w:after="0" w:afterAutospacing="0"/>
              <w:ind w:left="0" w:right="0"/>
              <w:rPr>
                <w:rFonts w:hint="eastAsia"/>
                <w:b/>
                <w:bCs/>
                <w:color w:val="auto"/>
                <w:u w:val="none"/>
              </w:rPr>
            </w:pPr>
            <w:r>
              <w:rPr>
                <w:rFonts w:hint="eastAsia"/>
                <w:b/>
                <w:bCs/>
                <w:color w:val="auto"/>
                <w:u w:val="none"/>
                <w:lang w:eastAsia="zh-CN"/>
              </w:rPr>
              <w:t>（</w:t>
            </w:r>
            <w:r>
              <w:rPr>
                <w:rFonts w:hint="eastAsia"/>
                <w:b/>
                <w:bCs/>
                <w:color w:val="auto"/>
                <w:u w:val="none"/>
                <w:lang w:val="en-US" w:eastAsia="zh-CN"/>
              </w:rPr>
              <w:t>5）</w:t>
            </w:r>
            <w:r>
              <w:rPr>
                <w:rFonts w:hint="eastAsia"/>
                <w:b/>
                <w:bCs/>
                <w:color w:val="auto"/>
                <w:u w:val="none"/>
              </w:rPr>
              <w:t>卸料装车</w:t>
            </w:r>
          </w:p>
          <w:p>
            <w:pPr>
              <w:keepNext w:val="0"/>
              <w:keepLines w:val="0"/>
              <w:suppressLineNumbers w:val="0"/>
              <w:spacing w:before="0" w:beforeAutospacing="0" w:after="0" w:afterAutospacing="0"/>
              <w:ind w:left="0" w:right="0"/>
              <w:rPr>
                <w:rFonts w:hint="eastAsia"/>
                <w:color w:val="auto"/>
                <w:u w:val="none"/>
              </w:rPr>
            </w:pPr>
            <w:r>
              <w:rPr>
                <w:rFonts w:hint="eastAsia"/>
                <w:color w:val="auto"/>
                <w:u w:val="none"/>
              </w:rPr>
              <w:t>成品出料由小车经溜道提升到成品仓后装入运输车辆外运，生产出料过程为间歇式。</w:t>
            </w:r>
          </w:p>
          <w:p>
            <w:pPr>
              <w:keepNext w:val="0"/>
              <w:keepLines w:val="0"/>
              <w:suppressLineNumbers w:val="0"/>
              <w:spacing w:before="0" w:beforeAutospacing="0" w:after="0" w:afterAutospacing="0"/>
              <w:ind w:left="0" w:right="0"/>
              <w:rPr>
                <w:rFonts w:hint="eastAsia"/>
                <w:color w:val="auto"/>
                <w:u w:val="none"/>
              </w:rPr>
            </w:pPr>
            <w:r>
              <w:rPr>
                <w:rFonts w:hint="eastAsia"/>
                <w:b/>
                <w:bCs/>
                <w:color w:val="auto"/>
                <w:u w:val="none"/>
                <w:lang w:val="en-US" w:eastAsia="zh-CN"/>
              </w:rPr>
              <w:t>产污环节：</w:t>
            </w:r>
            <w:r>
              <w:rPr>
                <w:rFonts w:hint="eastAsia"/>
                <w:color w:val="auto"/>
                <w:u w:val="none"/>
              </w:rPr>
              <w:t>该过程主要产生出料装车废气（G3-</w:t>
            </w:r>
            <w:r>
              <w:rPr>
                <w:rFonts w:hint="eastAsia"/>
                <w:color w:val="auto"/>
                <w:u w:val="none"/>
                <w:lang w:val="en-US" w:eastAsia="zh-CN"/>
              </w:rPr>
              <w:t>3</w:t>
            </w:r>
            <w:r>
              <w:rPr>
                <w:rFonts w:hint="eastAsia"/>
                <w:color w:val="auto"/>
                <w:u w:val="none"/>
              </w:rPr>
              <w:t>）。</w:t>
            </w:r>
          </w:p>
          <w:p>
            <w:pPr>
              <w:keepNext w:val="0"/>
              <w:keepLines w:val="0"/>
              <w:suppressLineNumbers w:val="0"/>
              <w:spacing w:before="0" w:beforeAutospacing="0" w:after="0" w:afterAutospacing="0"/>
              <w:ind w:left="0" w:right="0" w:firstLine="480"/>
              <w:rPr>
                <w:rFonts w:hint="default"/>
              </w:rPr>
            </w:pPr>
            <w:r>
              <w:rPr>
                <w:rFonts w:hint="default"/>
                <w:color w:val="auto"/>
                <w:u w:val="none"/>
              </w:rPr>
              <w:t>本项目生产过程中污染物产污环节及措施情况见表2-</w:t>
            </w:r>
            <w:r>
              <w:rPr>
                <w:rFonts w:hint="eastAsia"/>
                <w:color w:val="auto"/>
                <w:u w:val="none"/>
                <w:lang w:val="en-US" w:eastAsia="zh-CN"/>
              </w:rPr>
              <w:t>6</w:t>
            </w:r>
            <w:r>
              <w:rPr>
                <w:rFonts w:hint="default"/>
                <w:color w:val="auto"/>
                <w:u w:val="none"/>
              </w:rPr>
              <w:t>。</w:t>
            </w:r>
          </w:p>
          <w:p>
            <w:pPr>
              <w:pStyle w:val="11"/>
              <w:keepNext w:val="0"/>
              <w:keepLines w:val="0"/>
              <w:widowControl/>
              <w:suppressLineNumbers w:val="0"/>
              <w:bidi w:val="0"/>
              <w:spacing w:beforeAutospacing="0" w:after="0" w:afterAutospacing="0"/>
              <w:ind w:left="0" w:right="0"/>
              <w:rPr>
                <w:rFonts w:hint="default"/>
              </w:rPr>
            </w:pPr>
            <w:r>
              <w:rPr>
                <w:rFonts w:hint="default"/>
              </w:rPr>
              <w:t>表2-</w:t>
            </w:r>
            <w:r>
              <w:rPr>
                <w:rFonts w:hint="eastAsia"/>
                <w:lang w:val="en-US" w:eastAsia="zh-CN"/>
              </w:rPr>
              <w:t>6</w:t>
            </w:r>
            <w:r>
              <w:rPr>
                <w:rFonts w:hint="default"/>
              </w:rPr>
              <w:t xml:space="preserve">  项目生产过程各类污染物产污环节、因子和治理措施</w:t>
            </w:r>
          </w:p>
          <w:tbl>
            <w:tblPr>
              <w:tblStyle w:val="6"/>
              <w:tblW w:w="8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96"/>
              <w:gridCol w:w="1157"/>
              <w:gridCol w:w="1617"/>
              <w:gridCol w:w="72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污染</w:t>
                  </w:r>
                  <w:r>
                    <w:rPr>
                      <w:rFonts w:hint="eastAsia"/>
                      <w:b/>
                      <w:bCs/>
                      <w:szCs w:val="20"/>
                    </w:rPr>
                    <w:t>类型</w:t>
                  </w: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产污环节</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污染源</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污染因子</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编号</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highlight w:val="none"/>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废水</w:t>
                  </w:r>
                </w:p>
              </w:tc>
              <w:tc>
                <w:tcPr>
                  <w:tcW w:w="1496"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职工生活</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生活污水</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rPr>
                    <w:t>COD、BOD</w:t>
                  </w:r>
                  <w:r>
                    <w:rPr>
                      <w:rFonts w:hint="eastAsia"/>
                      <w:b w:val="0"/>
                      <w:bCs w:val="0"/>
                      <w:szCs w:val="20"/>
                      <w:vertAlign w:val="subscript"/>
                    </w:rPr>
                    <w:t>5</w:t>
                  </w:r>
                  <w:r>
                    <w:rPr>
                      <w:rFonts w:hint="eastAsia"/>
                      <w:b w:val="0"/>
                      <w:bCs w:val="0"/>
                      <w:szCs w:val="20"/>
                    </w:rPr>
                    <w:t>、NH</w:t>
                  </w:r>
                  <w:r>
                    <w:rPr>
                      <w:rFonts w:hint="eastAsia" w:ascii="Times New Roman" w:hAnsi="Times New Roman" w:cs="Times New Roman"/>
                      <w:b w:val="0"/>
                      <w:bCs w:val="0"/>
                      <w:szCs w:val="20"/>
                      <w:vertAlign w:val="subscript"/>
                    </w:rPr>
                    <w:t>3</w:t>
                  </w:r>
                  <w:r>
                    <w:rPr>
                      <w:rFonts w:hint="eastAsia"/>
                      <w:b w:val="0"/>
                      <w:bCs w:val="0"/>
                      <w:szCs w:val="20"/>
                    </w:rPr>
                    <w:t>-N、SS、TP</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w:t>
                  </w:r>
                </w:p>
              </w:tc>
              <w:tc>
                <w:tcPr>
                  <w:tcW w:w="2376"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highlight w:val="none"/>
                      <w:lang w:val="en-US" w:eastAsia="zh-CN"/>
                    </w:rPr>
                    <w:t>食堂</w:t>
                  </w:r>
                  <w:r>
                    <w:rPr>
                      <w:rFonts w:hint="eastAsia"/>
                      <w:b w:val="0"/>
                      <w:bCs w:val="0"/>
                      <w:szCs w:val="20"/>
                      <w:highlight w:val="none"/>
                    </w:rPr>
                    <w:t>废水经自建隔油池（1.0m</w:t>
                  </w:r>
                  <w:r>
                    <w:rPr>
                      <w:rFonts w:hint="eastAsia"/>
                      <w:b w:val="0"/>
                      <w:bCs w:val="0"/>
                      <w:szCs w:val="20"/>
                      <w:highlight w:val="none"/>
                      <w:vertAlign w:val="superscript"/>
                    </w:rPr>
                    <w:t>3</w:t>
                  </w:r>
                  <w:r>
                    <w:rPr>
                      <w:rFonts w:hint="eastAsia"/>
                      <w:b w:val="0"/>
                      <w:bCs w:val="0"/>
                      <w:szCs w:val="20"/>
                      <w:highlight w:val="none"/>
                    </w:rPr>
                    <w:t>）处理后与</w:t>
                  </w:r>
                  <w:r>
                    <w:rPr>
                      <w:rFonts w:hint="eastAsia"/>
                      <w:b w:val="0"/>
                      <w:bCs w:val="0"/>
                      <w:szCs w:val="20"/>
                      <w:highlight w:val="none"/>
                      <w:lang w:val="en-US" w:eastAsia="zh-CN"/>
                    </w:rPr>
                    <w:t>其他办公</w:t>
                  </w:r>
                  <w:r>
                    <w:rPr>
                      <w:rFonts w:hint="eastAsia"/>
                      <w:b w:val="0"/>
                      <w:bCs w:val="0"/>
                      <w:szCs w:val="20"/>
                      <w:highlight w:val="none"/>
                    </w:rPr>
                    <w:t>废水一起进入化粪池（2.0m</w:t>
                  </w:r>
                  <w:r>
                    <w:rPr>
                      <w:rFonts w:hint="eastAsia"/>
                      <w:b w:val="0"/>
                      <w:bCs w:val="0"/>
                      <w:szCs w:val="20"/>
                      <w:highlight w:val="none"/>
                      <w:vertAlign w:val="superscript"/>
                    </w:rPr>
                    <w:t>3</w:t>
                  </w:r>
                  <w:r>
                    <w:rPr>
                      <w:rFonts w:hint="eastAsia"/>
                      <w:b w:val="0"/>
                      <w:bCs w:val="0"/>
                      <w:szCs w:val="20"/>
                      <w:highlight w:val="none"/>
                    </w:rPr>
                    <w:t>）处理，</w:t>
                  </w:r>
                  <w:r>
                    <w:rPr>
                      <w:rFonts w:hint="eastAsia"/>
                      <w:b w:val="0"/>
                      <w:bCs w:val="0"/>
                      <w:szCs w:val="20"/>
                      <w:highlight w:val="none"/>
                      <w:lang w:val="en-US" w:eastAsia="zh-CN"/>
                    </w:rPr>
                    <w:t>回用于洒水降尘</w:t>
                  </w:r>
                  <w:r>
                    <w:rPr>
                      <w:rFonts w:hint="eastAsia"/>
                      <w:b w:val="0"/>
                      <w:bCs w:val="0"/>
                      <w:szCs w:val="20"/>
                      <w:highlight w:val="none"/>
                    </w:rPr>
                    <w:t>，不外排</w:t>
                  </w:r>
                  <w:r>
                    <w:rPr>
                      <w:rFonts w:hint="default"/>
                      <w:color w:val="auto"/>
                      <w:szCs w:val="20"/>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食堂废水</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rPr>
                    <w:t>COD、BOD</w:t>
                  </w:r>
                  <w:r>
                    <w:rPr>
                      <w:rFonts w:hint="eastAsia"/>
                      <w:b w:val="0"/>
                      <w:bCs w:val="0"/>
                      <w:szCs w:val="20"/>
                      <w:vertAlign w:val="subscript"/>
                    </w:rPr>
                    <w:t>5</w:t>
                  </w:r>
                  <w:r>
                    <w:rPr>
                      <w:rFonts w:hint="eastAsia"/>
                      <w:b w:val="0"/>
                      <w:bCs w:val="0"/>
                      <w:szCs w:val="20"/>
                    </w:rPr>
                    <w:t>、NH</w:t>
                  </w:r>
                  <w:r>
                    <w:rPr>
                      <w:rFonts w:hint="eastAsia" w:ascii="Times New Roman" w:hAnsi="Times New Roman" w:cs="Times New Roman"/>
                      <w:b w:val="0"/>
                      <w:bCs w:val="0"/>
                      <w:szCs w:val="20"/>
                      <w:vertAlign w:val="subscript"/>
                    </w:rPr>
                    <w:t>3</w:t>
                  </w:r>
                  <w:r>
                    <w:rPr>
                      <w:rFonts w:hint="eastAsia"/>
                      <w:b w:val="0"/>
                      <w:bCs w:val="0"/>
                      <w:szCs w:val="20"/>
                    </w:rPr>
                    <w:t>-N、SS、TP</w:t>
                  </w:r>
                  <w:r>
                    <w:rPr>
                      <w:rFonts w:hint="eastAsia"/>
                      <w:b w:val="0"/>
                      <w:bCs w:val="0"/>
                      <w:szCs w:val="20"/>
                      <w:lang w:eastAsia="zh-CN"/>
                    </w:rPr>
                    <w:t>、</w:t>
                  </w:r>
                  <w:r>
                    <w:rPr>
                      <w:rFonts w:hint="eastAsia"/>
                      <w:b w:val="0"/>
                      <w:bCs w:val="0"/>
                      <w:szCs w:val="20"/>
                      <w:lang w:val="en-US" w:eastAsia="zh-CN"/>
                    </w:rPr>
                    <w:t>动植物油</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w:t>
                  </w:r>
                </w:p>
              </w:tc>
              <w:tc>
                <w:tcPr>
                  <w:tcW w:w="23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废气</w:t>
                  </w: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rPr>
                    <w:t>砂石骨料堆场扬尘</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堆场扬尘</w:t>
                  </w:r>
                </w:p>
              </w:tc>
              <w:tc>
                <w:tcPr>
                  <w:tcW w:w="1617"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lang w:val="en-US" w:eastAsia="zh-CN"/>
                    </w:rPr>
                    <w:t>颗粒物</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G1-1</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eastAsia="zh-CN"/>
                    </w:rPr>
                  </w:pPr>
                  <w:r>
                    <w:rPr>
                      <w:rFonts w:hint="eastAsia"/>
                      <w:b w:val="0"/>
                      <w:bCs w:val="0"/>
                      <w:szCs w:val="20"/>
                      <w:lang w:val="en-US" w:eastAsia="zh-CN"/>
                    </w:rPr>
                    <w:t>堆放于半封闭仓库，</w:t>
                  </w:r>
                  <w:r>
                    <w:rPr>
                      <w:rFonts w:hint="eastAsia"/>
                      <w:b w:val="0"/>
                      <w:bCs w:val="0"/>
                      <w:szCs w:val="20"/>
                    </w:rPr>
                    <w:t>堆场定期洒水降尘</w:t>
                  </w:r>
                  <w:r>
                    <w:rPr>
                      <w:rFonts w:hint="eastAsia"/>
                      <w:b w:val="0"/>
                      <w:bCs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上料输送</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上料粉尘</w:t>
                  </w:r>
                </w:p>
              </w:tc>
              <w:tc>
                <w:tcPr>
                  <w:tcW w:w="161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G1-2</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rPr>
                    <w:t>采用喷雾降尘</w:t>
                  </w:r>
                  <w:r>
                    <w:rPr>
                      <w:rFonts w:hint="eastAsia"/>
                      <w:b w:val="0"/>
                      <w:bCs w:val="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加热烘干</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烘干滚筒混料粉尘</w:t>
                  </w:r>
                </w:p>
              </w:tc>
              <w:tc>
                <w:tcPr>
                  <w:tcW w:w="161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G1-3</w:t>
                  </w:r>
                </w:p>
              </w:tc>
              <w:tc>
                <w:tcPr>
                  <w:tcW w:w="2376"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r>
                    <w:rPr>
                      <w:rFonts w:hint="eastAsia"/>
                      <w:b w:val="0"/>
                      <w:bCs w:val="0"/>
                      <w:szCs w:val="20"/>
                    </w:rPr>
                    <w:t>设备均为密闭设备，粉尘经密闭收集后进入</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eastAsia="zh-CN"/>
                    </w:rPr>
                  </w:pPr>
                  <w:r>
                    <w:rPr>
                      <w:rFonts w:hint="eastAsia"/>
                      <w:b w:val="0"/>
                      <w:bCs w:val="0"/>
                      <w:szCs w:val="20"/>
                    </w:rPr>
                    <w:t>搅拌站除尘系统（袋式除尘</w:t>
                  </w:r>
                  <w:r>
                    <w:rPr>
                      <w:rFonts w:hint="eastAsia"/>
                      <w:b w:val="0"/>
                      <w:bCs w:val="0"/>
                      <w:szCs w:val="20"/>
                      <w:lang w:val="en-US" w:eastAsia="zh-CN"/>
                    </w:rPr>
                    <w:t>TA001</w:t>
                  </w:r>
                  <w:r>
                    <w:rPr>
                      <w:rFonts w:hint="eastAsia"/>
                      <w:b w:val="0"/>
                      <w:bCs w:val="0"/>
                      <w:szCs w:val="20"/>
                    </w:rPr>
                    <w:t>）处理后通过一根15m高排气筒（DA001）排放</w:t>
                  </w:r>
                  <w:r>
                    <w:rPr>
                      <w:rFonts w:hint="eastAsia"/>
                      <w:b w:val="0"/>
                      <w:bCs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热料提升</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r>
                    <w:rPr>
                      <w:rFonts w:hint="eastAsia"/>
                      <w:b w:val="0"/>
                      <w:bCs w:val="0"/>
                      <w:szCs w:val="20"/>
                    </w:rPr>
                    <w:t>热料提升粉尘</w:t>
                  </w:r>
                </w:p>
              </w:tc>
              <w:tc>
                <w:tcPr>
                  <w:tcW w:w="161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G1-4</w:t>
                  </w:r>
                </w:p>
              </w:tc>
              <w:tc>
                <w:tcPr>
                  <w:tcW w:w="23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筛分</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筛分粉尘</w:t>
                  </w:r>
                </w:p>
              </w:tc>
              <w:tc>
                <w:tcPr>
                  <w:tcW w:w="161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G1-5</w:t>
                  </w:r>
                </w:p>
              </w:tc>
              <w:tc>
                <w:tcPr>
                  <w:tcW w:w="23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矿粉储罐呼吸粉尘</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矿粉供给粉尘</w:t>
                  </w:r>
                </w:p>
              </w:tc>
              <w:tc>
                <w:tcPr>
                  <w:tcW w:w="161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G1-6</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rPr>
                    <w:t>密闭</w:t>
                  </w:r>
                  <w:r>
                    <w:rPr>
                      <w:rFonts w:hint="eastAsia"/>
                      <w:b w:val="0"/>
                      <w:bCs w:val="0"/>
                      <w:szCs w:val="20"/>
                      <w:lang w:val="en-US" w:eastAsia="zh-CN"/>
                    </w:rPr>
                    <w:t>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highlight w:val="none"/>
                      <w:lang w:val="en-US" w:eastAsia="zh-CN"/>
                    </w:rPr>
                  </w:pPr>
                  <w:r>
                    <w:rPr>
                      <w:rFonts w:hint="eastAsia"/>
                      <w:b w:val="0"/>
                      <w:bCs w:val="0"/>
                      <w:szCs w:val="20"/>
                      <w:highlight w:val="none"/>
                      <w:lang w:val="en-US" w:eastAsia="zh-CN"/>
                    </w:rPr>
                    <w:t>加热烘干</w:t>
                  </w:r>
                </w:p>
              </w:tc>
              <w:tc>
                <w:tcPr>
                  <w:tcW w:w="1157"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r>
                    <w:rPr>
                      <w:rFonts w:hint="eastAsia"/>
                      <w:b w:val="0"/>
                      <w:bCs w:val="0"/>
                      <w:szCs w:val="20"/>
                      <w:lang w:val="en-US" w:eastAsia="zh-CN"/>
                    </w:rPr>
                    <w:t>柴油燃烧</w:t>
                  </w:r>
                </w:p>
              </w:tc>
              <w:tc>
                <w:tcPr>
                  <w:tcW w:w="1617"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颗粒物、氮氧化物、二氧化硫</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G2-1</w:t>
                  </w:r>
                </w:p>
              </w:tc>
              <w:tc>
                <w:tcPr>
                  <w:tcW w:w="2376"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eastAsia="zh-CN"/>
                    </w:rPr>
                  </w:pPr>
                  <w:r>
                    <w:rPr>
                      <w:rFonts w:hint="eastAsia"/>
                      <w:b w:val="0"/>
                      <w:bCs w:val="0"/>
                      <w:szCs w:val="20"/>
                      <w:lang w:val="en-US" w:eastAsia="zh-CN"/>
                    </w:rPr>
                    <w:t>低氮燃烧，</w:t>
                  </w:r>
                  <w:r>
                    <w:rPr>
                      <w:rFonts w:hint="eastAsia"/>
                      <w:b w:val="0"/>
                      <w:bCs w:val="0"/>
                      <w:szCs w:val="20"/>
                    </w:rPr>
                    <w:t>经收集后</w:t>
                  </w:r>
                  <w:r>
                    <w:rPr>
                      <w:rFonts w:hint="eastAsia"/>
                      <w:b w:val="0"/>
                      <w:bCs w:val="0"/>
                      <w:szCs w:val="20"/>
                      <w:lang w:val="en-US" w:eastAsia="zh-CN"/>
                    </w:rPr>
                    <w:t>进入一套</w:t>
                  </w:r>
                  <w:r>
                    <w:rPr>
                      <w:rFonts w:hint="eastAsia"/>
                      <w:b w:val="0"/>
                      <w:bCs w:val="0"/>
                      <w:szCs w:val="20"/>
                    </w:rPr>
                    <w:t>袋式除尘（</w:t>
                  </w:r>
                  <w:r>
                    <w:rPr>
                      <w:rFonts w:hint="eastAsia"/>
                      <w:b w:val="0"/>
                      <w:bCs w:val="0"/>
                      <w:szCs w:val="20"/>
                      <w:lang w:val="en-US" w:eastAsia="zh-CN"/>
                    </w:rPr>
                    <w:t>TA002</w:t>
                  </w:r>
                  <w:r>
                    <w:rPr>
                      <w:rFonts w:hint="eastAsia"/>
                      <w:b w:val="0"/>
                      <w:bCs w:val="0"/>
                      <w:szCs w:val="20"/>
                    </w:rPr>
                    <w:t>）</w:t>
                  </w:r>
                  <w:r>
                    <w:rPr>
                      <w:rFonts w:hint="eastAsia"/>
                      <w:b w:val="0"/>
                      <w:bCs w:val="0"/>
                      <w:szCs w:val="20"/>
                      <w:lang w:val="en-US" w:eastAsia="zh-CN"/>
                    </w:rPr>
                    <w:t>处理</w:t>
                  </w:r>
                  <w:r>
                    <w:rPr>
                      <w:rFonts w:hint="eastAsia"/>
                      <w:b w:val="0"/>
                      <w:bCs w:val="0"/>
                      <w:szCs w:val="20"/>
                    </w:rPr>
                    <w:t>后通过一根15m高排气筒（DA00</w:t>
                  </w:r>
                  <w:r>
                    <w:rPr>
                      <w:rFonts w:hint="eastAsia"/>
                      <w:b w:val="0"/>
                      <w:bCs w:val="0"/>
                      <w:szCs w:val="20"/>
                      <w:lang w:val="en-US" w:eastAsia="zh-CN"/>
                    </w:rPr>
                    <w:t>2</w:t>
                  </w:r>
                  <w:r>
                    <w:rPr>
                      <w:rFonts w:hint="eastAsia"/>
                      <w:b w:val="0"/>
                      <w:bCs w:val="0"/>
                      <w:szCs w:val="20"/>
                    </w:rPr>
                    <w:t>）排放</w:t>
                  </w:r>
                  <w:r>
                    <w:rPr>
                      <w:rFonts w:hint="eastAsia"/>
                      <w:b w:val="0"/>
                      <w:bCs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highlight w:val="none"/>
                      <w:lang w:val="en-US" w:eastAsia="zh-CN"/>
                    </w:rPr>
                  </w:pPr>
                  <w:r>
                    <w:rPr>
                      <w:rFonts w:hint="eastAsia"/>
                      <w:b w:val="0"/>
                      <w:bCs w:val="0"/>
                      <w:szCs w:val="20"/>
                      <w:highlight w:val="none"/>
                      <w:lang w:val="en-US" w:eastAsia="zh-CN"/>
                    </w:rPr>
                    <w:t>导热油炉供热</w:t>
                  </w:r>
                </w:p>
              </w:tc>
              <w:tc>
                <w:tcPr>
                  <w:tcW w:w="115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p>
              </w:tc>
              <w:tc>
                <w:tcPr>
                  <w:tcW w:w="161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G2-2</w:t>
                  </w:r>
                </w:p>
              </w:tc>
              <w:tc>
                <w:tcPr>
                  <w:tcW w:w="23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沥青加热</w:t>
                  </w:r>
                </w:p>
              </w:tc>
              <w:tc>
                <w:tcPr>
                  <w:tcW w:w="1157"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沥青烟气</w:t>
                  </w:r>
                </w:p>
              </w:tc>
              <w:tc>
                <w:tcPr>
                  <w:tcW w:w="1617"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rPr>
                    <w:t>沥青烟、苯并[a]芘</w:t>
                  </w:r>
                  <w:r>
                    <w:rPr>
                      <w:rFonts w:hint="eastAsia"/>
                      <w:b w:val="0"/>
                      <w:bCs w:val="0"/>
                      <w:szCs w:val="20"/>
                      <w:lang w:eastAsia="zh-CN"/>
                    </w:rPr>
                    <w:t>、</w:t>
                  </w:r>
                  <w:r>
                    <w:rPr>
                      <w:rFonts w:hint="eastAsia"/>
                      <w:b w:val="0"/>
                      <w:bCs w:val="0"/>
                      <w:szCs w:val="20"/>
                      <w:lang w:val="en-US" w:eastAsia="zh-CN"/>
                    </w:rPr>
                    <w:t>非甲烷总烃</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G3-1</w:t>
                  </w:r>
                </w:p>
              </w:tc>
              <w:tc>
                <w:tcPr>
                  <w:tcW w:w="2376"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eastAsia="zh-CN"/>
                    </w:rPr>
                  </w:pPr>
                  <w:r>
                    <w:rPr>
                      <w:rFonts w:hint="eastAsia"/>
                      <w:b w:val="0"/>
                      <w:bCs w:val="0"/>
                      <w:szCs w:val="20"/>
                    </w:rPr>
                    <w:t>设备均为全密闭设备，通过烟气冷凝器冷凝回收沥青烟，未凝气通过密闭管道输送入沥青烟气处理系统（喷淋+活性炭吸附装置</w:t>
                  </w:r>
                  <w:r>
                    <w:rPr>
                      <w:rFonts w:hint="eastAsia"/>
                      <w:b w:val="0"/>
                      <w:bCs w:val="0"/>
                      <w:szCs w:val="20"/>
                      <w:lang w:val="en-US" w:eastAsia="zh-CN"/>
                    </w:rPr>
                    <w:t>TA003</w:t>
                  </w:r>
                  <w:r>
                    <w:rPr>
                      <w:rFonts w:hint="eastAsia"/>
                      <w:b w:val="0"/>
                      <w:bCs w:val="0"/>
                      <w:szCs w:val="20"/>
                    </w:rPr>
                    <w:t>）统一处理达标后通过其15m高的排气筒DA00</w:t>
                  </w:r>
                  <w:r>
                    <w:rPr>
                      <w:rFonts w:hint="eastAsia"/>
                      <w:b w:val="0"/>
                      <w:bCs w:val="0"/>
                      <w:szCs w:val="20"/>
                      <w:lang w:val="en-US" w:eastAsia="zh-CN"/>
                    </w:rPr>
                    <w:t>3</w:t>
                  </w:r>
                  <w:r>
                    <w:rPr>
                      <w:rFonts w:hint="eastAsia"/>
                      <w:b w:val="0"/>
                      <w:bCs w:val="0"/>
                      <w:szCs w:val="20"/>
                    </w:rPr>
                    <w:t>排放</w:t>
                  </w:r>
                  <w:r>
                    <w:rPr>
                      <w:rFonts w:hint="eastAsia"/>
                      <w:b w:val="0"/>
                      <w:bCs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搅拌混合</w:t>
                  </w:r>
                </w:p>
              </w:tc>
              <w:tc>
                <w:tcPr>
                  <w:tcW w:w="115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p>
              </w:tc>
              <w:tc>
                <w:tcPr>
                  <w:tcW w:w="161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G3-2</w:t>
                  </w:r>
                </w:p>
              </w:tc>
              <w:tc>
                <w:tcPr>
                  <w:tcW w:w="23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卸料装车</w:t>
                  </w:r>
                </w:p>
              </w:tc>
              <w:tc>
                <w:tcPr>
                  <w:tcW w:w="115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p>
              </w:tc>
              <w:tc>
                <w:tcPr>
                  <w:tcW w:w="1617"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G3-3</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rPr>
                    <w:t>密闭管道送入沥青烟气处理系统（喷淋+活性炭吸附装置</w:t>
                  </w:r>
                  <w:r>
                    <w:rPr>
                      <w:rFonts w:hint="eastAsia"/>
                      <w:b w:val="0"/>
                      <w:bCs w:val="0"/>
                      <w:szCs w:val="20"/>
                      <w:lang w:val="en-US" w:eastAsia="zh-CN"/>
                    </w:rPr>
                    <w:t>TA003</w:t>
                  </w:r>
                  <w:r>
                    <w:rPr>
                      <w:rFonts w:hint="eastAsia"/>
                      <w:b w:val="0"/>
                      <w:bCs w:val="0"/>
                      <w:szCs w:val="20"/>
                    </w:rPr>
                    <w:t>）统一处理达标后通过其15m高的排气筒DA00</w:t>
                  </w:r>
                  <w:r>
                    <w:rPr>
                      <w:rFonts w:hint="eastAsia"/>
                      <w:b w:val="0"/>
                      <w:bCs w:val="0"/>
                      <w:szCs w:val="20"/>
                      <w:lang w:val="en-US" w:eastAsia="zh-CN"/>
                    </w:rPr>
                    <w:t>3</w:t>
                  </w:r>
                  <w:r>
                    <w:rPr>
                      <w:rFonts w:hint="eastAsia"/>
                      <w:b w:val="0"/>
                      <w:bCs w:val="0"/>
                      <w:szCs w:val="20"/>
                    </w:rPr>
                    <w:t>排放</w:t>
                  </w:r>
                  <w:r>
                    <w:rPr>
                      <w:rFonts w:hint="eastAsia"/>
                      <w:b w:val="0"/>
                      <w:bCs w:val="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固废</w:t>
                  </w: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筛分</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筛分废石料</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废石料</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S1</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rPr>
                    <w:t>集中收集后，由石料供应商回收破碎利用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rPr>
                    <w:t>沥青输送、沥青混凝土拌和、搅拌缸和成品仓清理</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r>
                    <w:rPr>
                      <w:rFonts w:hint="eastAsia"/>
                      <w:b w:val="0"/>
                      <w:bCs w:val="0"/>
                      <w:szCs w:val="20"/>
                    </w:rPr>
                    <w:t>滴漏沥青及残渣</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废沥青、废沥青混凝土</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rPr>
                    <w:t>集中收集后，回用于生产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除尘器收集粉尘</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布袋除尘</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颗粒物</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活性炭吸附</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废活性炭</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废活性炭</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w:t>
                  </w:r>
                </w:p>
              </w:tc>
              <w:tc>
                <w:tcPr>
                  <w:tcW w:w="2376"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按照危险废物管理要求暂存，定期由有资质单位处置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rPr>
                    <w:t>导热油炉更换的废导热油</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废导热油</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lang w:val="en-US" w:eastAsia="zh-CN"/>
                    </w:rPr>
                    <w:t>废导热油</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w:t>
                  </w:r>
                </w:p>
              </w:tc>
              <w:tc>
                <w:tcPr>
                  <w:tcW w:w="23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lang w:val="en-US" w:eastAsia="zh-CN"/>
                    </w:rPr>
                  </w:pPr>
                  <w:r>
                    <w:rPr>
                      <w:rFonts w:hint="eastAsia"/>
                      <w:b w:val="0"/>
                      <w:bCs w:val="0"/>
                      <w:szCs w:val="20"/>
                      <w:lang w:val="en-US" w:eastAsia="zh-CN"/>
                    </w:rPr>
                    <w:t>导热油空桶</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lang w:val="en-US" w:eastAsia="zh-CN"/>
                    </w:rPr>
                  </w:pPr>
                  <w:r>
                    <w:rPr>
                      <w:rFonts w:hint="eastAsia"/>
                      <w:b w:val="0"/>
                      <w:bCs w:val="0"/>
                      <w:szCs w:val="20"/>
                      <w:lang w:val="en-US" w:eastAsia="zh-CN"/>
                    </w:rPr>
                    <w:t>导热油空桶</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lang w:val="en-US" w:eastAsia="zh-CN"/>
                    </w:rPr>
                  </w:pPr>
                </w:p>
              </w:tc>
              <w:tc>
                <w:tcPr>
                  <w:tcW w:w="23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设备维护、保养</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废机油桶</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lang w:val="en-US" w:eastAsia="zh-CN"/>
                    </w:rPr>
                    <w:t>废机油桶</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w:t>
                  </w:r>
                </w:p>
              </w:tc>
              <w:tc>
                <w:tcPr>
                  <w:tcW w:w="23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员工生活</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r>
                    <w:rPr>
                      <w:rFonts w:hint="eastAsia"/>
                      <w:b w:val="0"/>
                      <w:bCs w:val="0"/>
                      <w:szCs w:val="20"/>
                      <w:lang w:val="en-US" w:eastAsia="zh-CN"/>
                    </w:rPr>
                    <w:t>生活垃圾</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val="0"/>
                      <w:bCs w:val="0"/>
                      <w:szCs w:val="20"/>
                      <w:lang w:val="en-US" w:eastAsia="zh-CN"/>
                    </w:rPr>
                  </w:pPr>
                  <w:r>
                    <w:rPr>
                      <w:rFonts w:hint="eastAsia"/>
                      <w:b w:val="0"/>
                      <w:bCs w:val="0"/>
                      <w:szCs w:val="20"/>
                      <w:lang w:val="en-US" w:eastAsia="zh-CN"/>
                    </w:rPr>
                    <w:t>生活垃圾</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rPr>
                    <w:t>由环卫部统一清运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r>
                    <w:rPr>
                      <w:rFonts w:hint="eastAsia"/>
                      <w:b w:val="0"/>
                      <w:bCs w:val="0"/>
                      <w:szCs w:val="20"/>
                      <w:lang w:val="en-US" w:eastAsia="zh-CN"/>
                    </w:rPr>
                    <w:t>生活污水处理</w:t>
                  </w: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r>
                    <w:rPr>
                      <w:rFonts w:hint="eastAsia"/>
                      <w:b w:val="0"/>
                      <w:bCs w:val="0"/>
                      <w:szCs w:val="20"/>
                      <w:lang w:val="en-US" w:eastAsia="zh-CN"/>
                    </w:rPr>
                    <w:t>隔油池废油脂</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lang w:val="en-US" w:eastAsia="zh-CN"/>
                    </w:rPr>
                    <w:t>隔油池废油脂</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default"/>
                      <w:b w:val="0"/>
                      <w:bCs w:val="0"/>
                      <w:szCs w:val="20"/>
                    </w:rPr>
                    <w:t>收集后交由特许经营企业收运处理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p>
              </w:tc>
              <w:tc>
                <w:tcPr>
                  <w:tcW w:w="149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p>
              </w:tc>
              <w:tc>
                <w:tcPr>
                  <w:tcW w:w="115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val="0"/>
                      <w:bCs w:val="0"/>
                      <w:szCs w:val="20"/>
                    </w:rPr>
                  </w:pPr>
                  <w:r>
                    <w:rPr>
                      <w:rFonts w:hint="eastAsia"/>
                      <w:b w:val="0"/>
                      <w:bCs w:val="0"/>
                      <w:szCs w:val="20"/>
                      <w:lang w:val="en-US" w:eastAsia="zh-CN"/>
                    </w:rPr>
                    <w:t>化粪池污泥</w:t>
                  </w:r>
                </w:p>
              </w:tc>
              <w:tc>
                <w:tcPr>
                  <w:tcW w:w="1617"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eastAsia"/>
                      <w:b w:val="0"/>
                      <w:bCs w:val="0"/>
                      <w:szCs w:val="20"/>
                      <w:lang w:val="en-US" w:eastAsia="zh-CN"/>
                    </w:rPr>
                    <w:t>化粪池污泥</w:t>
                  </w:r>
                </w:p>
              </w:tc>
              <w:tc>
                <w:tcPr>
                  <w:tcW w:w="72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val="0"/>
                      <w:bCs w:val="0"/>
                      <w:szCs w:val="20"/>
                      <w:lang w:val="en-US" w:eastAsia="zh-CN"/>
                    </w:rPr>
                  </w:pPr>
                  <w:r>
                    <w:rPr>
                      <w:rFonts w:hint="eastAsia"/>
                      <w:b w:val="0"/>
                      <w:bCs w:val="0"/>
                      <w:szCs w:val="20"/>
                      <w:lang w:val="en-US" w:eastAsia="zh-CN"/>
                    </w:rPr>
                    <w:t>/</w:t>
                  </w:r>
                </w:p>
              </w:tc>
              <w:tc>
                <w:tcPr>
                  <w:tcW w:w="23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val="0"/>
                      <w:bCs w:val="0"/>
                      <w:szCs w:val="20"/>
                    </w:rPr>
                  </w:pPr>
                  <w:r>
                    <w:rPr>
                      <w:rFonts w:hint="default"/>
                      <w:b w:val="0"/>
                      <w:bCs w:val="0"/>
                      <w:szCs w:val="20"/>
                    </w:rPr>
                    <w:t>委托环卫部门定期清运处置</w:t>
                  </w:r>
                </w:p>
              </w:tc>
            </w:tr>
          </w:tbl>
          <w:p>
            <w:pPr>
              <w:keepNext w:val="0"/>
              <w:keepLines w:val="0"/>
              <w:suppressLineNumbers w:val="0"/>
              <w:spacing w:before="0" w:beforeAutospacing="0" w:after="0" w:afterAutospacing="0"/>
              <w:ind w:left="0" w:right="0" w:firstLine="48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7" w:type="dxa"/>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与项目有关的原有环境污染问题</w:t>
            </w:r>
          </w:p>
        </w:tc>
        <w:tc>
          <w:tcPr>
            <w:tcW w:w="8357" w:type="dxa"/>
            <w:vAlign w:val="center"/>
          </w:tcPr>
          <w:p>
            <w:pPr>
              <w:keepNext w:val="0"/>
              <w:keepLines w:val="0"/>
              <w:suppressLineNumbers w:val="0"/>
              <w:spacing w:before="0" w:beforeAutospacing="0" w:after="0" w:afterAutospacing="0"/>
              <w:ind w:left="0" w:right="0" w:firstLine="480"/>
              <w:jc w:val="left"/>
              <w:rPr>
                <w:rFonts w:hint="default"/>
              </w:rPr>
            </w:pPr>
            <w:r>
              <w:rPr>
                <w:rFonts w:hint="eastAsia"/>
              </w:rPr>
              <w:t>本项目为</w:t>
            </w:r>
            <w:r>
              <w:rPr>
                <w:rFonts w:hint="eastAsia"/>
                <w:lang w:val="en-US" w:eastAsia="zh-CN"/>
              </w:rPr>
              <w:t>未批先建</w:t>
            </w:r>
            <w:r>
              <w:rPr>
                <w:rFonts w:hint="eastAsia"/>
              </w:rPr>
              <w:t>项目，经现场调研，</w:t>
            </w:r>
            <w:r>
              <w:rPr>
                <w:rFonts w:hint="eastAsia"/>
                <w:lang w:val="en-US" w:eastAsia="zh-CN"/>
              </w:rPr>
              <w:t>目前厂区仅进行设备安装，未开始生产，</w:t>
            </w:r>
            <w:r>
              <w:rPr>
                <w:rFonts w:hint="eastAsia"/>
              </w:rPr>
              <w:t>现场不存在原有污染。</w:t>
            </w:r>
          </w:p>
        </w:tc>
      </w:tr>
    </w:tbl>
    <w:p>
      <w:pPr>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pPr>
        <w:adjustRightInd w:val="0"/>
        <w:snapToGrid w:val="0"/>
        <w:spacing w:line="14" w:lineRule="auto"/>
        <w:ind w:firstLine="600"/>
        <w:jc w:val="center"/>
        <w:rPr>
          <w:rFonts w:ascii="黑体" w:hAnsi="黑体" w:eastAsia="黑体"/>
          <w:snapToGrid w:val="0"/>
          <w:sz w:val="30"/>
          <w:szCs w:val="30"/>
        </w:rPr>
      </w:pPr>
    </w:p>
    <w:p>
      <w:pPr>
        <w:pStyle w:val="2"/>
        <w:ind w:firstLine="602"/>
        <w:rPr>
          <w:snapToGrid w:val="0"/>
        </w:rPr>
      </w:pPr>
      <w:bookmarkStart w:id="4" w:name="_Toc10962"/>
      <w:r>
        <w:rPr>
          <w:rFonts w:hint="eastAsia"/>
          <w:snapToGrid w:val="0"/>
        </w:rPr>
        <w:t>三、区域环境质量现状、环境保护目标及评价标准</w:t>
      </w:r>
      <w:bookmarkEnd w:id="4"/>
    </w:p>
    <w:tbl>
      <w:tblPr>
        <w:tblStyle w:val="6"/>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00"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区域</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环境</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质量</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现状</w:t>
            </w:r>
          </w:p>
        </w:tc>
        <w:tc>
          <w:tcPr>
            <w:tcW w:w="8190" w:type="dxa"/>
            <w:vAlign w:val="center"/>
          </w:tcPr>
          <w:p>
            <w:pPr>
              <w:keepNext w:val="0"/>
              <w:keepLines w:val="0"/>
              <w:suppressLineNumbers w:val="0"/>
              <w:spacing w:before="0" w:beforeAutospacing="0" w:after="0" w:afterAutospacing="0"/>
              <w:ind w:left="0" w:right="0" w:firstLine="482"/>
              <w:rPr>
                <w:rFonts w:hint="default"/>
                <w:b/>
                <w:bCs/>
              </w:rPr>
            </w:pPr>
            <w:r>
              <w:rPr>
                <w:rFonts w:hint="eastAsia"/>
                <w:b/>
                <w:bCs/>
              </w:rPr>
              <w:t>1、大气环境质量现状</w:t>
            </w:r>
          </w:p>
          <w:p>
            <w:pPr>
              <w:keepNext w:val="0"/>
              <w:keepLines w:val="0"/>
              <w:suppressLineNumbers w:val="0"/>
              <w:spacing w:before="0" w:beforeAutospacing="0" w:after="0" w:afterAutospacing="0"/>
              <w:ind w:left="0" w:right="0" w:firstLine="480"/>
              <w:rPr>
                <w:rFonts w:hint="default"/>
              </w:rPr>
            </w:pPr>
            <w:r>
              <w:rPr>
                <w:rFonts w:hint="eastAsia"/>
              </w:rPr>
              <w:t>（1）区域环境空气质量现状</w:t>
            </w:r>
          </w:p>
          <w:p>
            <w:pPr>
              <w:keepNext w:val="0"/>
              <w:keepLines w:val="0"/>
              <w:suppressLineNumbers w:val="0"/>
              <w:spacing w:before="0" w:beforeAutospacing="0" w:after="0" w:afterAutospacing="0"/>
              <w:ind w:left="0" w:right="0" w:firstLine="480"/>
              <w:rPr>
                <w:rFonts w:hint="default"/>
                <w:color w:val="FF0000"/>
                <w:u w:val="single"/>
              </w:rPr>
            </w:pPr>
            <w:r>
              <w:rPr>
                <w:rFonts w:hint="eastAsia"/>
              </w:rPr>
              <w:t>本项目位于云南省昆明市富民县散旦镇散旦村委会白水塘村石头山，环境空气质量功能区属于《环境空气质量标准》（GB3095-2012）中的二类区。</w:t>
            </w:r>
          </w:p>
          <w:p>
            <w:pPr>
              <w:keepNext w:val="0"/>
              <w:keepLines w:val="0"/>
              <w:suppressLineNumbers w:val="0"/>
              <w:spacing w:before="0" w:beforeAutospacing="0" w:after="0" w:afterAutospacing="0"/>
              <w:ind w:left="0" w:right="0" w:firstLine="480"/>
              <w:rPr>
                <w:rFonts w:hint="default"/>
              </w:rPr>
            </w:pPr>
            <w:r>
              <w:rPr>
                <w:rFonts w:hint="eastAsia"/>
              </w:rPr>
              <w:t>根据昆明市生态环境局2023年6月1日发布的《2022年度昆明市生态环境状况公报》，2022年昆明市主城区环境空气优良率达100%，其中优246天、良119天。与2021年相比，优级天数增加37天，环境空气污染综合指数降低13.68%，空气质量大幅度改善，全市环境空气质量达到国家二级标准。</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（2）特征污染物补充监测</w:t>
            </w:r>
          </w:p>
          <w:p>
            <w:pPr>
              <w:keepNext w:val="0"/>
              <w:keepLines w:val="0"/>
              <w:suppressLineNumbers w:val="0"/>
              <w:spacing w:before="0" w:beforeAutospacing="0" w:after="0" w:afterAutospacing="0"/>
              <w:ind w:left="0" w:right="0" w:firstLine="480"/>
              <w:rPr>
                <w:rFonts w:hint="default"/>
              </w:rPr>
            </w:pPr>
            <w:r>
              <w:rPr>
                <w:rFonts w:hint="eastAsia"/>
                <w:color w:val="auto"/>
                <w:u w:val="none"/>
              </w:rPr>
              <w:t>本项目大气污染物特征</w:t>
            </w:r>
            <w:r>
              <w:rPr>
                <w:rFonts w:hint="eastAsia"/>
                <w:color w:val="auto"/>
                <w:u w:val="none"/>
                <w:lang w:val="en-US" w:eastAsia="zh-CN"/>
              </w:rPr>
              <w:t>污染物为TSP、非甲烷总烃、苯并[a]芘，为了解该项目区域大气特征污染物的环境质量现状，建设单位委托云南坤发环境科技有限公司于2024年3月21~23日（连续3天）对项目区域特征污染物TSP、苯并[a]芘、非甲烷总烃进行现状监测，</w:t>
            </w:r>
            <w:r>
              <w:rPr>
                <w:rFonts w:hint="eastAsia"/>
                <w:color w:val="auto"/>
                <w:highlight w:val="none"/>
                <w:u w:val="none"/>
                <w:lang w:val="en-US" w:eastAsia="zh-CN"/>
              </w:rPr>
              <w:t>监测报告见附件5</w:t>
            </w:r>
            <w:r>
              <w:rPr>
                <w:rFonts w:hint="eastAsia"/>
                <w:color w:val="auto"/>
                <w:u w:val="none"/>
                <w:lang w:val="en-US" w:eastAsia="zh-CN"/>
              </w:rPr>
              <w:t>，</w:t>
            </w:r>
            <w:r>
              <w:rPr>
                <w:rFonts w:hint="eastAsia"/>
              </w:rPr>
              <w:t>监测数据见表3-</w:t>
            </w:r>
            <w:r>
              <w:rPr>
                <w:rFonts w:hint="eastAsia"/>
                <w:lang w:val="en-US" w:eastAsia="zh-CN"/>
              </w:rPr>
              <w:t>1</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表3-</w:t>
            </w:r>
            <w:r>
              <w:rPr>
                <w:rFonts w:hint="eastAsia"/>
                <w:lang w:val="en-US" w:eastAsia="zh-CN"/>
              </w:rPr>
              <w:t>1</w:t>
            </w:r>
            <w:r>
              <w:rPr>
                <w:rFonts w:hint="default"/>
              </w:rPr>
              <w:t xml:space="preserve">  特征污染因子监测数据     单位：mg/m</w:t>
            </w:r>
            <w:r>
              <w:rPr>
                <w:rFonts w:hint="default"/>
                <w:vertAlign w:val="superscript"/>
              </w:rPr>
              <w:t>3</w:t>
            </w:r>
          </w:p>
          <w:tbl>
            <w:tblPr>
              <w:tblStyle w:val="7"/>
              <w:tblW w:w="7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178"/>
              <w:gridCol w:w="1103"/>
              <w:gridCol w:w="1066"/>
              <w:gridCol w:w="1307"/>
              <w:gridCol w:w="108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监测点位</w:t>
                  </w:r>
                </w:p>
              </w:tc>
              <w:tc>
                <w:tcPr>
                  <w:tcW w:w="117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监测因子</w:t>
                  </w:r>
                </w:p>
              </w:tc>
              <w:tc>
                <w:tcPr>
                  <w:tcW w:w="110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采样日期</w:t>
                  </w:r>
                </w:p>
              </w:tc>
              <w:tc>
                <w:tcPr>
                  <w:tcW w:w="106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采样时段</w:t>
                  </w:r>
                </w:p>
              </w:tc>
              <w:tc>
                <w:tcPr>
                  <w:tcW w:w="130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监测数据</w:t>
                  </w:r>
                </w:p>
              </w:tc>
              <w:tc>
                <w:tcPr>
                  <w:tcW w:w="10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标准限值</w:t>
                  </w:r>
                </w:p>
              </w:tc>
              <w:tc>
                <w:tcPr>
                  <w:tcW w:w="11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厂址东北侧G1</w:t>
                  </w:r>
                </w:p>
              </w:tc>
              <w:tc>
                <w:tcPr>
                  <w:tcW w:w="117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非甲烷总烃（</w:t>
                  </w:r>
                  <w:r>
                    <w:rPr>
                      <w:rFonts w:hint="default"/>
                      <w:szCs w:val="20"/>
                    </w:rPr>
                    <w:t>mg/m</w:t>
                  </w:r>
                  <w:r>
                    <w:rPr>
                      <w:rFonts w:hint="default"/>
                      <w:szCs w:val="20"/>
                      <w:vertAlign w:val="superscript"/>
                    </w:rPr>
                    <w:t>3</w:t>
                  </w:r>
                  <w:r>
                    <w:rPr>
                      <w:rFonts w:hint="eastAsia"/>
                      <w:szCs w:val="20"/>
                      <w:lang w:val="en-US" w:eastAsia="zh-CN"/>
                    </w:rPr>
                    <w:t>）</w:t>
                  </w:r>
                </w:p>
              </w:tc>
              <w:tc>
                <w:tcPr>
                  <w:tcW w:w="1103"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2024.3.21</w:t>
                  </w: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07</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1.18</w:t>
                  </w:r>
                </w:p>
              </w:tc>
              <w:tc>
                <w:tcPr>
                  <w:tcW w:w="108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w:t>
                  </w:r>
                  <w:r>
                    <w:rPr>
                      <w:rFonts w:hint="default"/>
                      <w:szCs w:val="20"/>
                    </w:rPr>
                    <w:t>mg/m</w:t>
                  </w:r>
                  <w:r>
                    <w:rPr>
                      <w:rFonts w:hint="default"/>
                      <w:szCs w:val="20"/>
                      <w:vertAlign w:val="superscript"/>
                    </w:rPr>
                    <w:t>3</w:t>
                  </w:r>
                </w:p>
              </w:tc>
              <w:tc>
                <w:tcPr>
                  <w:tcW w:w="113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0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13</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1.26</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0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17</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1.36</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0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20</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1.26</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03"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lang w:val="en-US" w:eastAsia="zh-CN"/>
                    </w:rPr>
                  </w:pPr>
                  <w:r>
                    <w:rPr>
                      <w:rFonts w:hint="eastAsia"/>
                      <w:szCs w:val="20"/>
                      <w:lang w:val="en-US" w:eastAsia="zh-CN"/>
                    </w:rPr>
                    <w:t>2024.3.22</w:t>
                  </w: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20</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1.57</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0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24</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1.52</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0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27</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1.48</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0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30</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1.57</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03"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lang w:val="en-US" w:eastAsia="zh-CN"/>
                    </w:rPr>
                  </w:pPr>
                  <w:r>
                    <w:rPr>
                      <w:rFonts w:hint="eastAsia"/>
                      <w:szCs w:val="20"/>
                      <w:lang w:val="en-US" w:eastAsia="zh-CN"/>
                    </w:rPr>
                    <w:t>2024.3.23</w:t>
                  </w: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22</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1.37</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0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25</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1.41</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0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29</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1.46</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0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14</w:t>
                  </w:r>
                  <w:r>
                    <w:rPr>
                      <w:rFonts w:hint="default"/>
                      <w:szCs w:val="20"/>
                    </w:rPr>
                    <w:t>:</w:t>
                  </w:r>
                  <w:r>
                    <w:rPr>
                      <w:rFonts w:hint="eastAsia"/>
                      <w:szCs w:val="20"/>
                    </w:rPr>
                    <w:t>34</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rPr>
                    <w:t>1.38</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苯并[a]芘（</w:t>
                  </w:r>
                  <w:r>
                    <w:rPr>
                      <w:rFonts w:hint="default"/>
                      <w:szCs w:val="20"/>
                    </w:rPr>
                    <w:t>mg/m</w:t>
                  </w:r>
                  <w:r>
                    <w:rPr>
                      <w:rFonts w:hint="default"/>
                      <w:szCs w:val="20"/>
                      <w:vertAlign w:val="superscript"/>
                    </w:rPr>
                    <w:t>3</w:t>
                  </w:r>
                  <w:r>
                    <w:rPr>
                      <w:rFonts w:hint="eastAsia"/>
                      <w:szCs w:val="20"/>
                      <w:lang w:val="en-US" w:eastAsia="zh-CN"/>
                    </w:rPr>
                    <w:t>）</w:t>
                  </w:r>
                </w:p>
              </w:tc>
              <w:tc>
                <w:tcPr>
                  <w:tcW w:w="110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rPr>
                  </w:pPr>
                  <w:r>
                    <w:rPr>
                      <w:rFonts w:hint="eastAsia"/>
                      <w:szCs w:val="20"/>
                      <w:lang w:val="en-US" w:eastAsia="zh-CN"/>
                    </w:rPr>
                    <w:t>2024.3.21</w:t>
                  </w: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日均</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rPr>
                  </w:pPr>
                  <w:r>
                    <w:rPr>
                      <w:rFonts w:hint="eastAsia"/>
                      <w:szCs w:val="20"/>
                    </w:rPr>
                    <w:t>＜1.4×10</w:t>
                  </w:r>
                  <w:r>
                    <w:rPr>
                      <w:rFonts w:hint="eastAsia"/>
                      <w:szCs w:val="20"/>
                      <w:vertAlign w:val="superscript"/>
                    </w:rPr>
                    <w:t>-7</w:t>
                  </w:r>
                </w:p>
              </w:tc>
              <w:tc>
                <w:tcPr>
                  <w:tcW w:w="108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0.0025ug/m</w:t>
                  </w:r>
                  <w:r>
                    <w:rPr>
                      <w:rFonts w:hint="eastAsia"/>
                      <w:szCs w:val="20"/>
                      <w:vertAlign w:val="superscript"/>
                      <w:lang w:val="en-US" w:eastAsia="zh-CN"/>
                    </w:rPr>
                    <w:t>3</w:t>
                  </w:r>
                </w:p>
              </w:tc>
              <w:tc>
                <w:tcPr>
                  <w:tcW w:w="113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0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rPr>
                  </w:pPr>
                  <w:r>
                    <w:rPr>
                      <w:rFonts w:hint="eastAsia"/>
                      <w:szCs w:val="20"/>
                      <w:lang w:val="en-US" w:eastAsia="zh-CN"/>
                    </w:rPr>
                    <w:t>2024.3.22</w:t>
                  </w: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rPr>
                  </w:pPr>
                  <w:r>
                    <w:rPr>
                      <w:rFonts w:hint="eastAsia"/>
                      <w:szCs w:val="20"/>
                      <w:lang w:val="en-US" w:eastAsia="zh-CN"/>
                    </w:rPr>
                    <w:t>日均</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rPr>
                  </w:pPr>
                  <w:r>
                    <w:rPr>
                      <w:rFonts w:hint="eastAsia"/>
                      <w:szCs w:val="20"/>
                    </w:rPr>
                    <w:t>＜1.4×10</w:t>
                  </w:r>
                  <w:r>
                    <w:rPr>
                      <w:rFonts w:hint="eastAsia"/>
                      <w:szCs w:val="20"/>
                      <w:vertAlign w:val="superscript"/>
                    </w:rPr>
                    <w:t>-7</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0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rPr>
                  </w:pPr>
                  <w:r>
                    <w:rPr>
                      <w:rFonts w:hint="eastAsia"/>
                      <w:szCs w:val="20"/>
                      <w:lang w:val="en-US" w:eastAsia="zh-CN"/>
                    </w:rPr>
                    <w:t>2024.3.23</w:t>
                  </w: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rPr>
                  </w:pPr>
                  <w:r>
                    <w:rPr>
                      <w:rFonts w:hint="eastAsia"/>
                      <w:szCs w:val="20"/>
                      <w:lang w:val="en-US" w:eastAsia="zh-CN"/>
                    </w:rPr>
                    <w:t>日均</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rPr>
                  </w:pPr>
                  <w:r>
                    <w:rPr>
                      <w:rFonts w:hint="eastAsia"/>
                      <w:szCs w:val="20"/>
                    </w:rPr>
                    <w:t>＜1.4×10</w:t>
                  </w:r>
                  <w:r>
                    <w:rPr>
                      <w:rFonts w:hint="eastAsia"/>
                      <w:szCs w:val="20"/>
                      <w:vertAlign w:val="superscript"/>
                    </w:rPr>
                    <w:t>-7</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TSP（u</w:t>
                  </w:r>
                  <w:r>
                    <w:rPr>
                      <w:rFonts w:hint="default"/>
                      <w:szCs w:val="20"/>
                    </w:rPr>
                    <w:t>g/m</w:t>
                  </w:r>
                  <w:r>
                    <w:rPr>
                      <w:rFonts w:hint="default"/>
                      <w:szCs w:val="20"/>
                      <w:vertAlign w:val="superscript"/>
                    </w:rPr>
                    <w:t>3</w:t>
                  </w:r>
                  <w:r>
                    <w:rPr>
                      <w:rFonts w:hint="eastAsia"/>
                      <w:szCs w:val="20"/>
                      <w:lang w:val="en-US" w:eastAsia="zh-CN"/>
                    </w:rPr>
                    <w:t>）</w:t>
                  </w:r>
                </w:p>
              </w:tc>
              <w:tc>
                <w:tcPr>
                  <w:tcW w:w="110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ascii="Times New Roman" w:hAnsi="Times New Roman" w:eastAsia="宋体" w:cs="Times New Roman"/>
                      <w:sz w:val="21"/>
                      <w:szCs w:val="20"/>
                      <w:lang w:val="en-US" w:eastAsia="zh-CN" w:bidi="ar-SA"/>
                    </w:rPr>
                  </w:pPr>
                  <w:r>
                    <w:rPr>
                      <w:rFonts w:hint="eastAsia"/>
                      <w:szCs w:val="20"/>
                      <w:lang w:val="en-US" w:eastAsia="zh-CN"/>
                    </w:rPr>
                    <w:t>2024.3.21</w:t>
                  </w: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ascii="Times New Roman" w:hAnsi="Times New Roman" w:eastAsia="宋体" w:cs="Times New Roman"/>
                      <w:sz w:val="21"/>
                      <w:szCs w:val="20"/>
                      <w:lang w:val="en-US" w:eastAsia="zh-CN" w:bidi="ar-SA"/>
                    </w:rPr>
                  </w:pPr>
                  <w:r>
                    <w:rPr>
                      <w:rFonts w:hint="eastAsia"/>
                      <w:szCs w:val="20"/>
                      <w:lang w:val="en-US" w:eastAsia="zh-CN"/>
                    </w:rPr>
                    <w:t>日均</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rPr>
                    <w:t>119</w:t>
                  </w:r>
                </w:p>
              </w:tc>
              <w:tc>
                <w:tcPr>
                  <w:tcW w:w="108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300ug/m</w:t>
                  </w:r>
                  <w:r>
                    <w:rPr>
                      <w:rFonts w:hint="eastAsia"/>
                      <w:szCs w:val="20"/>
                      <w:vertAlign w:val="superscript"/>
                      <w:lang w:val="en-US" w:eastAsia="zh-CN"/>
                    </w:rPr>
                    <w:t>3</w:t>
                  </w:r>
                </w:p>
              </w:tc>
              <w:tc>
                <w:tcPr>
                  <w:tcW w:w="113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0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ascii="Times New Roman" w:hAnsi="Times New Roman" w:eastAsia="宋体" w:cs="Times New Roman"/>
                      <w:sz w:val="21"/>
                      <w:szCs w:val="20"/>
                      <w:lang w:val="en-US" w:eastAsia="zh-CN" w:bidi="ar-SA"/>
                    </w:rPr>
                  </w:pPr>
                  <w:r>
                    <w:rPr>
                      <w:rFonts w:hint="eastAsia"/>
                      <w:szCs w:val="20"/>
                      <w:lang w:val="en-US" w:eastAsia="zh-CN"/>
                    </w:rPr>
                    <w:t>2024.3.22</w:t>
                  </w: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ascii="Times New Roman" w:hAnsi="Times New Roman" w:eastAsia="宋体" w:cs="Times New Roman"/>
                      <w:sz w:val="21"/>
                      <w:szCs w:val="20"/>
                      <w:lang w:val="en-US" w:eastAsia="zh-CN" w:bidi="ar-SA"/>
                    </w:rPr>
                  </w:pPr>
                  <w:r>
                    <w:rPr>
                      <w:rFonts w:hint="eastAsia"/>
                      <w:szCs w:val="20"/>
                      <w:lang w:val="en-US" w:eastAsia="zh-CN"/>
                    </w:rPr>
                    <w:t>日均</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rPr>
                    <w:t>123</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7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0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ascii="Times New Roman" w:hAnsi="Times New Roman" w:eastAsia="宋体" w:cs="Times New Roman"/>
                      <w:sz w:val="21"/>
                      <w:szCs w:val="20"/>
                      <w:lang w:val="en-US" w:eastAsia="zh-CN" w:bidi="ar-SA"/>
                    </w:rPr>
                  </w:pPr>
                  <w:r>
                    <w:rPr>
                      <w:rFonts w:hint="eastAsia"/>
                      <w:szCs w:val="20"/>
                      <w:lang w:val="en-US" w:eastAsia="zh-CN"/>
                    </w:rPr>
                    <w:t>2024.3.23</w:t>
                  </w:r>
                </w:p>
              </w:tc>
              <w:tc>
                <w:tcPr>
                  <w:tcW w:w="106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ascii="Times New Roman" w:hAnsi="Times New Roman" w:eastAsia="宋体" w:cs="Times New Roman"/>
                      <w:sz w:val="21"/>
                      <w:szCs w:val="20"/>
                      <w:lang w:val="en-US" w:eastAsia="zh-CN" w:bidi="ar-SA"/>
                    </w:rPr>
                  </w:pPr>
                  <w:r>
                    <w:rPr>
                      <w:rFonts w:hint="eastAsia"/>
                      <w:szCs w:val="20"/>
                      <w:lang w:val="en-US" w:eastAsia="zh-CN"/>
                    </w:rPr>
                    <w:t>日均</w:t>
                  </w:r>
                </w:p>
              </w:tc>
              <w:tc>
                <w:tcPr>
                  <w:tcW w:w="13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rPr>
                    <w:t>106</w:t>
                  </w:r>
                </w:p>
              </w:tc>
              <w:tc>
                <w:tcPr>
                  <w:tcW w:w="10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58" w:type="dxa"/>
                  <w:gridSpan w:val="7"/>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eastAsia="宋体"/>
                      <w:szCs w:val="20"/>
                      <w:lang w:val="en-US" w:eastAsia="zh-CN"/>
                    </w:rPr>
                  </w:pPr>
                  <w:r>
                    <w:rPr>
                      <w:rFonts w:hint="eastAsia"/>
                      <w:b/>
                      <w:bCs/>
                      <w:szCs w:val="20"/>
                    </w:rPr>
                    <w:t>注：</w:t>
                  </w:r>
                  <w:r>
                    <w:rPr>
                      <w:rFonts w:hint="default"/>
                      <w:color w:val="auto"/>
                      <w:szCs w:val="20"/>
                      <w:u w:val="none"/>
                    </w:rPr>
                    <w:t>非甲烷总烃参照执行《大气污染物综合排放标准详解》p244“Cm取值的说明，选用2.0mg/m</w:t>
                  </w:r>
                  <w:r>
                    <w:rPr>
                      <w:rFonts w:hint="default"/>
                      <w:color w:val="auto"/>
                      <w:szCs w:val="20"/>
                      <w:u w:val="none"/>
                      <w:vertAlign w:val="superscript"/>
                    </w:rPr>
                    <w:t>3</w:t>
                  </w:r>
                  <w:r>
                    <w:rPr>
                      <w:rFonts w:hint="default"/>
                      <w:color w:val="auto"/>
                      <w:szCs w:val="20"/>
                      <w:u w:val="none"/>
                    </w:rPr>
                    <w:t>”</w:t>
                  </w:r>
                  <w:r>
                    <w:rPr>
                      <w:rFonts w:hint="eastAsia"/>
                      <w:color w:val="auto"/>
                      <w:szCs w:val="20"/>
                      <w:u w:val="none"/>
                      <w:lang w:eastAsia="zh-CN"/>
                    </w:rPr>
                    <w:t>；</w:t>
                  </w:r>
                  <w:r>
                    <w:rPr>
                      <w:rFonts w:hint="eastAsia"/>
                      <w:color w:val="auto"/>
                      <w:szCs w:val="20"/>
                      <w:u w:val="none"/>
                      <w:lang w:val="en-US" w:eastAsia="zh-CN"/>
                    </w:rPr>
                    <w:t>TSP、苯并[a]芘执行《环境空气质量标准》（GB3095-2012）二级标准及其2018年修改单标准要求。</w:t>
                  </w:r>
                </w:p>
              </w:tc>
            </w:tr>
          </w:tbl>
          <w:p>
            <w:pPr>
              <w:keepNext w:val="0"/>
              <w:keepLines w:val="0"/>
              <w:suppressLineNumbers w:val="0"/>
              <w:spacing w:before="0" w:beforeAutospacing="0" w:after="0" w:afterAutospacing="0"/>
              <w:ind w:left="0" w:right="0" w:firstLine="480"/>
              <w:rPr>
                <w:rFonts w:hint="default"/>
              </w:rPr>
            </w:pPr>
            <w:r>
              <w:rPr>
                <w:rFonts w:hint="eastAsia"/>
              </w:rPr>
              <w:t>根据上表检测结果可知，非甲烷总烃</w:t>
            </w:r>
            <w:r>
              <w:rPr>
                <w:rFonts w:hint="eastAsia"/>
                <w:color w:val="auto"/>
                <w:u w:val="none"/>
              </w:rPr>
              <w:t>能够达到《大气污染物综合排放标准详解》p244“Cm取值的说明，选用2.0mg/m</w:t>
            </w:r>
            <w:r>
              <w:rPr>
                <w:rFonts w:hint="eastAsia"/>
                <w:color w:val="auto"/>
                <w:u w:val="none"/>
                <w:vertAlign w:val="superscript"/>
              </w:rPr>
              <w:t>3</w:t>
            </w:r>
            <w:r>
              <w:rPr>
                <w:rFonts w:hint="eastAsia"/>
                <w:color w:val="auto"/>
                <w:u w:val="none"/>
              </w:rPr>
              <w:t>”要求</w:t>
            </w:r>
            <w:r>
              <w:rPr>
                <w:rFonts w:hint="eastAsia"/>
                <w:color w:val="auto"/>
                <w:u w:val="none"/>
                <w:lang w:eastAsia="zh-CN"/>
              </w:rPr>
              <w:t>；</w:t>
            </w:r>
            <w:r>
              <w:rPr>
                <w:rFonts w:hint="eastAsia"/>
              </w:rPr>
              <w:t>苯并[a]芘</w:t>
            </w:r>
            <w:r>
              <w:rPr>
                <w:rFonts w:hint="eastAsia"/>
                <w:lang w:eastAsia="zh-CN"/>
              </w:rPr>
              <w:t>、</w:t>
            </w:r>
            <w:r>
              <w:rPr>
                <w:rFonts w:hint="eastAsia"/>
                <w:lang w:val="en-US" w:eastAsia="zh-CN"/>
              </w:rPr>
              <w:t>TSP</w:t>
            </w:r>
            <w:r>
              <w:rPr>
                <w:rFonts w:hint="eastAsia"/>
              </w:rPr>
              <w:t>符合《环境空气质量标准》（GB3095-2012）二级标准及其2018年修改单标准要求，满足环境质量控制标准。</w:t>
            </w:r>
          </w:p>
          <w:p>
            <w:pPr>
              <w:keepNext w:val="0"/>
              <w:keepLines w:val="0"/>
              <w:suppressLineNumbers w:val="0"/>
              <w:spacing w:before="0" w:beforeAutospacing="0" w:after="0" w:afterAutospacing="0"/>
              <w:ind w:left="0" w:right="0" w:firstLine="482"/>
              <w:rPr>
                <w:rFonts w:hint="default"/>
                <w:b/>
                <w:bCs/>
              </w:rPr>
            </w:pPr>
            <w:r>
              <w:rPr>
                <w:rFonts w:hint="eastAsia"/>
                <w:b/>
                <w:bCs/>
              </w:rPr>
              <w:t>2、地表水环境质量现状</w:t>
            </w:r>
          </w:p>
          <w:p>
            <w:pPr>
              <w:keepNext w:val="0"/>
              <w:keepLines w:val="0"/>
              <w:suppressLineNumbers w:val="0"/>
              <w:spacing w:before="0" w:beforeAutospacing="0" w:after="0" w:afterAutospacing="0"/>
              <w:ind w:left="0" w:right="0" w:firstLine="480"/>
              <w:rPr>
                <w:rFonts w:hint="eastAsia"/>
                <w:lang w:val="en-US" w:eastAsia="zh-CN"/>
              </w:rPr>
            </w:pPr>
            <w:r>
              <w:rPr>
                <w:rFonts w:hint="eastAsia"/>
                <w:color w:val="auto"/>
                <w:u w:val="none"/>
              </w:rPr>
              <w:t>距离本项目最近的地表水水体为</w:t>
            </w:r>
            <w:r>
              <w:rPr>
                <w:rFonts w:hint="eastAsia"/>
                <w:color w:val="auto"/>
                <w:u w:val="none"/>
                <w:lang w:val="en-US" w:eastAsia="zh-CN"/>
              </w:rPr>
              <w:t>东北</w:t>
            </w:r>
            <w:r>
              <w:rPr>
                <w:rFonts w:hint="eastAsia"/>
                <w:color w:val="auto"/>
                <w:u w:val="none"/>
              </w:rPr>
              <w:t>侧</w:t>
            </w:r>
            <w:r>
              <w:rPr>
                <w:rFonts w:hint="eastAsia"/>
                <w:color w:val="auto"/>
                <w:u w:val="none"/>
                <w:lang w:val="en-US" w:eastAsia="zh-CN"/>
              </w:rPr>
              <w:t>2337</w:t>
            </w:r>
            <w:r>
              <w:rPr>
                <w:rFonts w:hint="eastAsia"/>
                <w:color w:val="auto"/>
                <w:u w:val="none"/>
              </w:rPr>
              <w:t>m处的</w:t>
            </w:r>
            <w:r>
              <w:rPr>
                <w:rFonts w:hint="eastAsia"/>
                <w:color w:val="auto"/>
                <w:u w:val="none"/>
                <w:lang w:val="en-US" w:eastAsia="zh-CN"/>
              </w:rPr>
              <w:t>龙泉</w:t>
            </w:r>
            <w:r>
              <w:rPr>
                <w:rFonts w:hint="eastAsia"/>
                <w:color w:val="auto"/>
                <w:u w:val="none"/>
              </w:rPr>
              <w:t>河</w:t>
            </w:r>
            <w:r>
              <w:rPr>
                <w:rFonts w:hint="eastAsia"/>
                <w:color w:val="auto"/>
                <w:u w:val="none"/>
                <w:lang w:eastAsia="zh-CN"/>
              </w:rPr>
              <w:t>，龙泉河为螳螂川（普渡河）一级支流，根据《富民县生态环境保护“十四五”规划（2021-2025）》水环境功能区划图，龙泉河水功能区划为Ⅲ类水体，</w:t>
            </w:r>
            <w:r>
              <w:rPr>
                <w:rFonts w:hint="eastAsia"/>
                <w:color w:val="auto"/>
                <w:u w:val="none"/>
                <w:lang w:val="en-US" w:eastAsia="zh-CN"/>
              </w:rPr>
              <w:t>本项目引用《云南富民产业园区总体规划修编（2022-2035年）环境影响报告书》2022年11月25日~2022年11月27日委托云南泰义检测技术有限公司对</w:t>
            </w:r>
            <w:r>
              <w:rPr>
                <w:rFonts w:hint="eastAsia"/>
              </w:rPr>
              <w:t>散旦片区龙泉河入规划区上游200m（龙泉河）、散旦片区污水厂排口下游1500m（龙泉河）</w:t>
            </w:r>
            <w:r>
              <w:rPr>
                <w:rFonts w:hint="eastAsia"/>
                <w:lang w:val="en-US" w:eastAsia="zh-CN"/>
              </w:rPr>
              <w:t>的补充监测数据来反映龙泉河水环境质量。</w:t>
            </w:r>
          </w:p>
          <w:p>
            <w:pPr>
              <w:keepNext w:val="0"/>
              <w:keepLines w:val="0"/>
              <w:suppressLineNumbers w:val="0"/>
              <w:spacing w:before="0" w:beforeAutospacing="0" w:after="0" w:afterAutospacing="0"/>
              <w:ind w:left="0" w:right="0" w:firstLine="480"/>
              <w:rPr>
                <w:rFonts w:hint="eastAsia"/>
                <w:lang w:val="en-US" w:eastAsia="zh-CN"/>
              </w:rPr>
            </w:pPr>
            <w:r>
              <w:rPr>
                <w:rFonts w:hint="eastAsia"/>
                <w:lang w:val="en-US" w:eastAsia="zh-CN"/>
              </w:rPr>
              <w:t>根据《建设项目环境影响报告表编制技术指南(污染影响类)(试行)》中区域环境质量现状对地表水环境的要求：“引用与建设项目距离近的有效数据，包括近3年规划环境影响评价的监测数据，所在流域控制单元内国家、地方控制断面监测数据，生态环境主管部门发布的水环境质量数据或地表水达标情况的定论”。本项目引用近3年规划环境影响评价的监测数据，引用可行，</w:t>
            </w:r>
            <w:r>
              <w:rPr>
                <w:rFonts w:hint="eastAsia"/>
                <w:highlight w:val="none"/>
                <w:lang w:val="en-US" w:eastAsia="zh-CN"/>
              </w:rPr>
              <w:t>本项目与地表水监测点位位置关系见附图5</w:t>
            </w:r>
            <w:r>
              <w:rPr>
                <w:rFonts w:hint="eastAsia"/>
                <w:lang w:val="en-US" w:eastAsia="zh-CN"/>
              </w:rPr>
              <w:t>，监测数据见下表3-2、3-3。</w:t>
            </w:r>
          </w:p>
          <w:p>
            <w:pPr>
              <w:pStyle w:val="11"/>
              <w:keepNext w:val="0"/>
              <w:keepLines w:val="0"/>
              <w:widowControl/>
              <w:suppressLineNumbers w:val="0"/>
              <w:bidi w:val="0"/>
              <w:spacing w:beforeAutospacing="0" w:after="0" w:afterAutospacing="0"/>
              <w:ind w:left="0" w:right="0"/>
              <w:rPr>
                <w:rFonts w:hint="eastAsia"/>
                <w:lang w:val="en-US" w:eastAsia="zh-CN"/>
              </w:rPr>
            </w:pPr>
            <w:r>
              <w:rPr>
                <w:rFonts w:hint="eastAsia"/>
                <w:lang w:val="en-US" w:eastAsia="zh-CN"/>
              </w:rPr>
              <w:t>表3-2  入规划区上游200m（龙泉河）现状监测结果一览表 单位：mg/mL</w:t>
            </w:r>
          </w:p>
          <w:tbl>
            <w:tblPr>
              <w:tblStyle w:val="7"/>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813"/>
              <w:gridCol w:w="924"/>
              <w:gridCol w:w="1109"/>
              <w:gridCol w:w="1095"/>
              <w:gridCol w:w="1061"/>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644" w:type="dxa"/>
                  <w:gridSpan w:val="2"/>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分析项目</w:t>
                  </w:r>
                </w:p>
              </w:tc>
              <w:tc>
                <w:tcPr>
                  <w:tcW w:w="924"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Ⅲ类标准值</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采样时间</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检测结果</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标准指数</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超标倍数</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pH</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无量纲</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6~9</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7.02</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7.05</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0.025</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7.02</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水温</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16.4</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16.5</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16.7</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溶解氧</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≥5</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6.4</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0.78</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6.3</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0.81</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6.4</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0.78</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高锰酸盐指数</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1.3</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0.22</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1.2</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0.17</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化学需氧量</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18</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0.90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五日生化需氧量</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≤4</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0.90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3.4</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0.85</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3.4</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0.85</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氨氮</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0.163</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0.16</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0.177</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0.18</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0.155</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0.16</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总磷</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0.11</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0.55</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0.14</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0.70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0.15</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0.75</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总氮</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0.246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0.25</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0.218</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0.22</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0.255</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0.26</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铜</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锌</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氟化物</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0.13</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0.09</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0.13</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0.09</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0.11</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硒</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ug/L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砷</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ug/L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汞</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ug/L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≤0.0001</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铅</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ug/L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镉</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ug/L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≤0.005</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六价铬</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氰化物</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挥发酚</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≤0.005</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石油类</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硫化物</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0.02</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0.008</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0.04</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0.03</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粪大肠菌群</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MPN/L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≤10000</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130</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0.013</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110</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0.011</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150</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0.015</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阴离子表面活性剂</w:t>
                  </w:r>
                </w:p>
              </w:tc>
              <w:tc>
                <w:tcPr>
                  <w:tcW w:w="81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2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w:t>
                  </w: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1"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1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2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0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095"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bl>
          <w:p>
            <w:pPr>
              <w:pStyle w:val="11"/>
              <w:keepNext w:val="0"/>
              <w:keepLines w:val="0"/>
              <w:widowControl/>
              <w:suppressLineNumbers w:val="0"/>
              <w:bidi w:val="0"/>
              <w:spacing w:beforeAutospacing="0" w:after="0" w:afterAutospacing="0"/>
              <w:ind w:left="0" w:right="0"/>
              <w:rPr>
                <w:rFonts w:hint="eastAsia"/>
                <w:lang w:val="en-US" w:eastAsia="zh-CN"/>
              </w:rPr>
            </w:pPr>
            <w:r>
              <w:rPr>
                <w:rFonts w:hint="eastAsia"/>
                <w:lang w:val="en-US" w:eastAsia="zh-CN"/>
              </w:rPr>
              <w:t>表3-3  散旦片区污水厂排口下游1500m（龙泉河）现状监测结果一览表  单位：mg/mL</w:t>
            </w:r>
          </w:p>
          <w:tbl>
            <w:tblPr>
              <w:tblStyle w:val="7"/>
              <w:tblW w:w="7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04"/>
              <w:gridCol w:w="938"/>
              <w:gridCol w:w="1129"/>
              <w:gridCol w:w="1102"/>
              <w:gridCol w:w="1061"/>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637" w:type="dxa"/>
                  <w:gridSpan w:val="2"/>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分析项目</w:t>
                  </w:r>
                </w:p>
              </w:tc>
              <w:tc>
                <w:tcPr>
                  <w:tcW w:w="938"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Ⅲ类标准值</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采样时间</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检测结果</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标准指数</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超标倍数</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pH</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无量纲</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6~9</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6.96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0.04</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6.82</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0.18</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7.01</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0.005</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水温</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16.5</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溶解氧</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≥5</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6.2</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0.81</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6.2</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0.81</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6.4</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0.78</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高锰酸盐指数</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1.4</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0.23</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1.1</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0.18</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1.5</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0.25</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化学需氧量</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18</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0.90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17</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0.85</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18</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0.90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五日生化需氧量</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≤4</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0.90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3.5</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0.875</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3.6</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0.90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氨氮</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0.213</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0.21</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0.195</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0.222</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0.22</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总磷</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0.18</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0.90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0.17</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0.85</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0.17</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0.85</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总氮</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0.358</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0.36</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0.423</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0.42</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0.368</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0.37</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铜</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锌</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氟化物</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0.12</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0.08</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0.12</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0.08</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0.15</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硒</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ug/L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砷</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ug/L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汞</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ug/L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≤0.0001</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铅</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ug/L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镉</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ug/L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≤0.005</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六价铬</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氰化物</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0.004L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挥发酚</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≤0.005</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0.0003L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石油类</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硫化物</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0.012</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0.06</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0.018</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0.09</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0.014</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0.07</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粪大肠菌群</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MPN/L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≤10000</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130</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0.013</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150</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0.015</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170</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0.017</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阴离子表面活性剂</w:t>
                  </w:r>
                </w:p>
              </w:tc>
              <w:tc>
                <w:tcPr>
                  <w:tcW w:w="804"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mg/L</w:t>
                  </w:r>
                </w:p>
              </w:tc>
              <w:tc>
                <w:tcPr>
                  <w:tcW w:w="938"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w:t>
                  </w: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2022.11.25</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2022.11.26</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3"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804"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938"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p>
              </w:tc>
              <w:tc>
                <w:tcPr>
                  <w:tcW w:w="1129"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2022.11.27</w:t>
                  </w:r>
                </w:p>
              </w:tc>
              <w:tc>
                <w:tcPr>
                  <w:tcW w:w="110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0.05L</w:t>
                  </w:r>
                </w:p>
              </w:tc>
              <w:tc>
                <w:tcPr>
                  <w:tcW w:w="106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46"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达标</w:t>
                  </w:r>
                </w:p>
              </w:tc>
            </w:tr>
          </w:tbl>
          <w:p>
            <w:pPr>
              <w:keepNext w:val="0"/>
              <w:keepLines w:val="0"/>
              <w:suppressLineNumbers w:val="0"/>
              <w:spacing w:before="0" w:beforeAutospacing="0" w:after="0" w:afterAutospacing="0"/>
              <w:ind w:left="0" w:right="0" w:firstLine="480"/>
              <w:rPr>
                <w:rFonts w:hint="eastAsia"/>
              </w:rPr>
            </w:pPr>
            <w:r>
              <w:rPr>
                <w:rFonts w:hint="eastAsia"/>
                <w:lang w:val="en-US" w:eastAsia="zh-CN"/>
              </w:rPr>
              <w:t>综上，散旦片区龙泉河</w:t>
            </w:r>
            <w:r>
              <w:rPr>
                <w:rFonts w:hint="eastAsia"/>
              </w:rPr>
              <w:t>（龙泉河入规划区上游200m断面、散旦片区污水厂排口下游1500m）水质检测指标满足《地表水环境质量标准》（GB3838-2002）III类水质标准</w:t>
            </w:r>
            <w:r>
              <w:rPr>
                <w:rFonts w:hint="eastAsia"/>
                <w:lang w:eastAsia="zh-CN"/>
              </w:rPr>
              <w:t>，</w:t>
            </w:r>
            <w:r>
              <w:rPr>
                <w:rFonts w:hint="eastAsia"/>
                <w:lang w:val="en-US" w:eastAsia="zh-CN"/>
              </w:rPr>
              <w:t>本项目周边地表水龙泉河能够满足《地表水环境质量标准》（GB3838-2002）III类水质标准</w:t>
            </w:r>
            <w:r>
              <w:rPr>
                <w:rFonts w:hint="eastAsia"/>
              </w:rPr>
              <w:t>。</w:t>
            </w:r>
          </w:p>
          <w:p>
            <w:pPr>
              <w:keepNext w:val="0"/>
              <w:keepLines w:val="0"/>
              <w:suppressLineNumbers w:val="0"/>
              <w:spacing w:before="0" w:beforeAutospacing="0" w:after="0" w:afterAutospacing="0"/>
              <w:ind w:left="0" w:right="0" w:firstLine="482"/>
              <w:rPr>
                <w:rFonts w:hint="default"/>
                <w:b/>
                <w:bCs/>
              </w:rPr>
            </w:pPr>
            <w:r>
              <w:rPr>
                <w:rFonts w:hint="eastAsia"/>
                <w:b/>
                <w:bCs/>
              </w:rPr>
              <w:t>3、声环境质量现状</w:t>
            </w:r>
          </w:p>
          <w:p>
            <w:pPr>
              <w:keepNext w:val="0"/>
              <w:keepLines w:val="0"/>
              <w:suppressLineNumbers w:val="0"/>
              <w:spacing w:before="0" w:beforeAutospacing="0" w:after="0" w:afterAutospacing="0"/>
              <w:ind w:left="0" w:right="0" w:firstLine="480"/>
              <w:rPr>
                <w:rFonts w:hint="eastAsia"/>
              </w:rPr>
            </w:pPr>
            <w:r>
              <w:rPr>
                <w:rFonts w:hint="eastAsia"/>
              </w:rPr>
              <w:t>本项目</w:t>
            </w:r>
            <w:r>
              <w:rPr>
                <w:rFonts w:hint="eastAsia"/>
                <w:lang w:val="en-US" w:eastAsia="zh-CN"/>
              </w:rPr>
              <w:t>云南省昆明市富民县散旦镇散旦村委会白水塘村石头山</w:t>
            </w:r>
            <w:r>
              <w:rPr>
                <w:rFonts w:hint="eastAsia"/>
              </w:rPr>
              <w:t>，声环境执行《声环境质量标准》</w:t>
            </w:r>
            <w:r>
              <w:rPr>
                <w:rFonts w:hint="eastAsia"/>
                <w:lang w:eastAsia="zh-CN"/>
              </w:rPr>
              <w:t>（</w:t>
            </w:r>
            <w:r>
              <w:rPr>
                <w:rFonts w:hint="eastAsia"/>
              </w:rPr>
              <w:t>GB3096-2008</w:t>
            </w:r>
            <w:r>
              <w:rPr>
                <w:rFonts w:hint="eastAsia"/>
                <w:lang w:eastAsia="zh-CN"/>
              </w:rPr>
              <w:t>）</w:t>
            </w:r>
            <w:r>
              <w:rPr>
                <w:rFonts w:hint="eastAsia"/>
                <w:lang w:val="en-US" w:eastAsia="zh-CN"/>
              </w:rPr>
              <w:t>2</w:t>
            </w:r>
            <w:r>
              <w:rPr>
                <w:rFonts w:hint="eastAsia"/>
              </w:rPr>
              <w:t>类标准。</w:t>
            </w:r>
          </w:p>
          <w:p>
            <w:pPr>
              <w:keepNext w:val="0"/>
              <w:keepLines w:val="0"/>
              <w:suppressLineNumbers w:val="0"/>
              <w:spacing w:before="0" w:beforeAutospacing="0" w:after="0" w:afterAutospacing="0"/>
              <w:ind w:left="0" w:right="0" w:firstLine="480"/>
              <w:rPr>
                <w:rFonts w:hint="default"/>
              </w:rPr>
            </w:pPr>
            <w:r>
              <w:rPr>
                <w:rFonts w:hint="eastAsia"/>
              </w:rPr>
              <w:t>根据《建设项目环境影响报告表编制技术指南(污染影响类)(试行)》中区域环境质量现状对声环境的要求：</w:t>
            </w:r>
            <w:r>
              <w:rPr>
                <w:rFonts w:hint="eastAsia"/>
                <w:lang w:eastAsia="zh-CN"/>
              </w:rPr>
              <w:t>“</w:t>
            </w:r>
            <w:r>
              <w:rPr>
                <w:rFonts w:hint="eastAsia"/>
              </w:rPr>
              <w:t>厂界外周边50m范围内存在声环境保护目标的建设项目，应监测保护目标声环境质量现状并评价达标情况。</w:t>
            </w:r>
            <w:r>
              <w:rPr>
                <w:rFonts w:hint="eastAsia"/>
                <w:lang w:eastAsia="zh-CN"/>
              </w:rPr>
              <w:t>”</w:t>
            </w:r>
            <w:r>
              <w:rPr>
                <w:rFonts w:hint="eastAsia"/>
              </w:rPr>
              <w:t>结合现场踏勘，50m范围内无声环境敏感目标，因此，本次评价未进行声环境质量现状监测。</w:t>
            </w:r>
          </w:p>
          <w:p>
            <w:pPr>
              <w:keepNext w:val="0"/>
              <w:keepLines w:val="0"/>
              <w:suppressLineNumbers w:val="0"/>
              <w:spacing w:before="0" w:beforeAutospacing="0" w:after="0" w:afterAutospacing="0"/>
              <w:ind w:left="0" w:right="0" w:firstLine="482"/>
              <w:rPr>
                <w:rFonts w:hint="default"/>
                <w:b/>
                <w:bCs/>
              </w:rPr>
            </w:pPr>
            <w:r>
              <w:rPr>
                <w:rFonts w:hint="eastAsia"/>
                <w:b/>
                <w:bCs/>
              </w:rPr>
              <w:t>4、生态环境质量现状</w:t>
            </w:r>
          </w:p>
          <w:p>
            <w:pPr>
              <w:keepNext w:val="0"/>
              <w:keepLines w:val="0"/>
              <w:suppressLineNumbers w:val="0"/>
              <w:spacing w:before="0" w:beforeAutospacing="0" w:after="0" w:afterAutospacing="0"/>
              <w:ind w:left="0" w:right="0" w:firstLine="480"/>
              <w:rPr>
                <w:rFonts w:hint="default"/>
              </w:rPr>
            </w:pPr>
            <w:r>
              <w:rPr>
                <w:rFonts w:hint="eastAsia"/>
                <w:lang w:val="zh-CN"/>
              </w:rPr>
              <w:t>项目所在</w:t>
            </w:r>
            <w:r>
              <w:rPr>
                <w:rFonts w:hint="eastAsia"/>
              </w:rPr>
              <w:t>区域</w:t>
            </w:r>
            <w:r>
              <w:rPr>
                <w:rFonts w:hint="eastAsia"/>
                <w:lang w:val="zh-CN"/>
              </w:rPr>
              <w:t>现状主要为水泥路面和人工绿化植被</w:t>
            </w:r>
            <w:r>
              <w:rPr>
                <w:rFonts w:hint="eastAsia"/>
              </w:rPr>
              <w:t>，</w:t>
            </w:r>
            <w:r>
              <w:rPr>
                <w:rFonts w:hint="eastAsia"/>
                <w:lang w:val="zh-CN"/>
              </w:rPr>
              <w:t>无天然植被，生态环境自我调节能力低。调查范围内未涉及国家保护的珍贵野生动、植物。</w:t>
            </w:r>
            <w:r>
              <w:rPr>
                <w:rFonts w:hint="eastAsia"/>
              </w:rPr>
              <w:t>评价范围</w:t>
            </w:r>
            <w:r>
              <w:rPr>
                <w:rFonts w:hint="eastAsia"/>
                <w:lang w:val="zh-CN"/>
              </w:rPr>
              <w:t>内无自然保护区、风景名胜区、森林公园、历史文化遗迹等需要特殊保护的生态敏感目标，无国家珍稀濒危保护物种、国家重点保护野生</w:t>
            </w:r>
            <w:r>
              <w:rPr>
                <w:rFonts w:hint="eastAsia"/>
              </w:rPr>
              <w:t>动</w:t>
            </w:r>
            <w:r>
              <w:rPr>
                <w:rFonts w:hint="eastAsia"/>
                <w:lang w:val="zh-CN"/>
              </w:rPr>
              <w:t>植物和云南省级重点</w:t>
            </w:r>
            <w:r>
              <w:rPr>
                <w:rFonts w:hint="eastAsia"/>
              </w:rPr>
              <w:t>保护野生动植物</w:t>
            </w:r>
            <w:r>
              <w:rPr>
                <w:rFonts w:hint="eastAsia"/>
                <w:lang w:val="zh-CN"/>
              </w:rPr>
              <w:t>，也没有特有种类存在</w:t>
            </w:r>
            <w:r>
              <w:rPr>
                <w:rFonts w:hint="eastAsia"/>
              </w:rPr>
              <w:t>。</w:t>
            </w:r>
          </w:p>
          <w:p>
            <w:pPr>
              <w:keepNext w:val="0"/>
              <w:keepLines w:val="0"/>
              <w:suppressLineNumbers w:val="0"/>
              <w:spacing w:before="0" w:beforeAutospacing="0" w:after="0" w:afterAutospacing="0"/>
              <w:ind w:left="0" w:right="0" w:firstLine="482"/>
              <w:rPr>
                <w:rFonts w:hint="default"/>
                <w:b/>
                <w:bCs/>
              </w:rPr>
            </w:pPr>
            <w:r>
              <w:rPr>
                <w:rFonts w:hint="eastAsia"/>
                <w:b/>
                <w:bCs/>
              </w:rPr>
              <w:t>5、地下水、土壤环境质量现状</w:t>
            </w:r>
          </w:p>
          <w:p>
            <w:pPr>
              <w:keepNext w:val="0"/>
              <w:keepLines w:val="0"/>
              <w:suppressLineNumbers w:val="0"/>
              <w:spacing w:before="0" w:beforeAutospacing="0" w:after="0" w:afterAutospacing="0"/>
              <w:ind w:left="0" w:right="0" w:firstLine="480"/>
              <w:rPr>
                <w:rFonts w:hint="default"/>
              </w:rPr>
            </w:pPr>
            <w:r>
              <w:rPr>
                <w:rFonts w:hint="eastAsia"/>
              </w:rPr>
              <w:t>本项目为</w:t>
            </w:r>
            <w:r>
              <w:rPr>
                <w:rFonts w:hint="eastAsia"/>
                <w:lang w:val="en-US" w:eastAsia="zh-CN"/>
              </w:rPr>
              <w:t>沥青混凝土加工</w:t>
            </w:r>
            <w:r>
              <w:rPr>
                <w:rFonts w:hint="eastAsia"/>
              </w:rPr>
              <w:t>项目，场地及周边道路全部硬化，项目运营期间不存在土壤、地下水环境污染途径。根据《建设项目环境影响报告表编制技术指南》（污染影响类）（试行），本项目不开展地下水、土壤环境现状调查。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00"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环境</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保护</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目标</w:t>
            </w:r>
          </w:p>
        </w:tc>
        <w:tc>
          <w:tcPr>
            <w:tcW w:w="8190" w:type="dxa"/>
            <w:vAlign w:val="center"/>
          </w:tcPr>
          <w:p>
            <w:pPr>
              <w:keepNext w:val="0"/>
              <w:keepLines w:val="0"/>
              <w:suppressLineNumbers w:val="0"/>
              <w:spacing w:before="0" w:beforeAutospacing="0" w:after="0" w:afterAutospacing="0"/>
              <w:ind w:left="0" w:right="0" w:firstLine="482"/>
              <w:rPr>
                <w:rFonts w:hint="default"/>
                <w:b/>
                <w:bCs/>
              </w:rPr>
            </w:pPr>
            <w:r>
              <w:rPr>
                <w:rFonts w:hint="eastAsia"/>
                <w:b/>
                <w:bCs/>
              </w:rPr>
              <w:t>1、大气环境</w:t>
            </w:r>
          </w:p>
          <w:p>
            <w:pPr>
              <w:keepNext w:val="0"/>
              <w:keepLines w:val="0"/>
              <w:suppressLineNumbers w:val="0"/>
              <w:spacing w:before="0" w:beforeAutospacing="0" w:after="0" w:afterAutospacing="0"/>
              <w:ind w:left="0" w:right="0" w:firstLine="480"/>
              <w:rPr>
                <w:rFonts w:hint="eastAsia"/>
              </w:rPr>
            </w:pPr>
            <w:r>
              <w:rPr>
                <w:rFonts w:hint="eastAsia"/>
              </w:rPr>
              <w:t>根据现场踏勘，本项目厂界外</w:t>
            </w:r>
            <w:r>
              <w:rPr>
                <w:rFonts w:hint="eastAsia"/>
                <w:lang w:val="en-US" w:eastAsia="zh-CN"/>
              </w:rPr>
              <w:t>500m范围内的主要</w:t>
            </w:r>
            <w:r>
              <w:rPr>
                <w:rFonts w:hint="eastAsia"/>
              </w:rPr>
              <w:t>大气环境保护目标见表3-</w:t>
            </w:r>
            <w:r>
              <w:rPr>
                <w:rFonts w:hint="eastAsia"/>
                <w:lang w:val="en-US" w:eastAsia="zh-CN"/>
              </w:rPr>
              <w:t>4</w:t>
            </w:r>
            <w:r>
              <w:rPr>
                <w:rFonts w:hint="eastAsia"/>
              </w:rPr>
              <w:t>。</w:t>
            </w:r>
          </w:p>
          <w:p>
            <w:pPr>
              <w:keepNext w:val="0"/>
              <w:keepLines w:val="0"/>
              <w:suppressLineNumbers w:val="0"/>
              <w:spacing w:before="0" w:beforeAutospacing="0" w:after="0" w:afterAutospacing="0"/>
              <w:ind w:left="0" w:right="0" w:firstLine="480"/>
              <w:rPr>
                <w:rFonts w:hint="default" w:eastAsia="宋体"/>
                <w:b/>
                <w:bCs/>
                <w:color w:val="auto"/>
                <w:u w:val="none"/>
                <w:lang w:val="en-US" w:eastAsia="zh-CN"/>
              </w:rPr>
            </w:pPr>
            <w:r>
              <w:rPr>
                <w:rFonts w:hint="eastAsia"/>
                <w:b/>
                <w:bCs/>
                <w:color w:val="auto"/>
                <w:u w:val="none"/>
                <w:lang w:val="en-US" w:eastAsia="zh-CN"/>
              </w:rPr>
              <w:t>2、地表水环境</w:t>
            </w:r>
          </w:p>
          <w:p>
            <w:pPr>
              <w:keepNext w:val="0"/>
              <w:keepLines w:val="0"/>
              <w:suppressLineNumbers w:val="0"/>
              <w:spacing w:before="0" w:beforeAutospacing="0" w:after="0" w:afterAutospacing="0"/>
              <w:ind w:left="0" w:right="0" w:firstLine="480"/>
              <w:rPr>
                <w:rFonts w:hint="default" w:eastAsia="宋体"/>
                <w:lang w:val="en-US" w:eastAsia="zh-CN"/>
              </w:rPr>
            </w:pPr>
            <w:r>
              <w:rPr>
                <w:rFonts w:hint="eastAsia"/>
                <w:color w:val="auto"/>
                <w:u w:val="none"/>
                <w:lang w:val="en-US" w:eastAsia="zh-CN"/>
              </w:rPr>
              <w:t>根据现场踏勘，本项目距离最近的地表水为龙泉河，地表水环境保护目标见表3-4。</w:t>
            </w:r>
          </w:p>
          <w:p>
            <w:pPr>
              <w:keepNext w:val="0"/>
              <w:keepLines w:val="0"/>
              <w:suppressLineNumbers w:val="0"/>
              <w:spacing w:before="0" w:beforeAutospacing="0" w:after="0" w:afterAutospacing="0"/>
              <w:ind w:left="0" w:right="0" w:firstLine="482"/>
              <w:rPr>
                <w:rFonts w:hint="default"/>
                <w:b/>
                <w:bCs/>
              </w:rPr>
            </w:pPr>
            <w:r>
              <w:rPr>
                <w:rFonts w:hint="eastAsia"/>
                <w:b/>
                <w:bCs/>
                <w:lang w:val="en-US" w:eastAsia="zh-CN"/>
              </w:rPr>
              <w:t>3</w:t>
            </w:r>
            <w:r>
              <w:rPr>
                <w:rFonts w:hint="eastAsia"/>
                <w:b/>
                <w:bCs/>
              </w:rPr>
              <w:t>、声环境</w:t>
            </w:r>
          </w:p>
          <w:p>
            <w:pPr>
              <w:keepNext w:val="0"/>
              <w:keepLines w:val="0"/>
              <w:suppressLineNumbers w:val="0"/>
              <w:spacing w:before="0" w:beforeAutospacing="0" w:after="0" w:afterAutospacing="0"/>
              <w:ind w:left="0" w:right="0" w:firstLine="480"/>
              <w:rPr>
                <w:rFonts w:hint="default"/>
              </w:rPr>
            </w:pPr>
            <w:r>
              <w:rPr>
                <w:rFonts w:hint="eastAsia"/>
              </w:rPr>
              <w:t>根据现场踏勘，项目厂界外周边50m范围内无声环境保护目标。</w:t>
            </w:r>
          </w:p>
          <w:p>
            <w:pPr>
              <w:keepNext w:val="0"/>
              <w:keepLines w:val="0"/>
              <w:suppressLineNumbers w:val="0"/>
              <w:spacing w:before="0" w:beforeAutospacing="0" w:after="0" w:afterAutospacing="0"/>
              <w:ind w:left="0" w:right="0" w:firstLine="482"/>
              <w:rPr>
                <w:rFonts w:hint="default"/>
                <w:b/>
                <w:bCs/>
              </w:rPr>
            </w:pPr>
            <w:r>
              <w:rPr>
                <w:rFonts w:hint="eastAsia"/>
                <w:b/>
                <w:bCs/>
                <w:lang w:val="en-US" w:eastAsia="zh-CN"/>
              </w:rPr>
              <w:t>4</w:t>
            </w:r>
            <w:r>
              <w:rPr>
                <w:rFonts w:hint="eastAsia"/>
                <w:b/>
                <w:bCs/>
              </w:rPr>
              <w:t>、地下水</w:t>
            </w:r>
          </w:p>
          <w:p>
            <w:pPr>
              <w:keepNext w:val="0"/>
              <w:keepLines w:val="0"/>
              <w:suppressLineNumbers w:val="0"/>
              <w:spacing w:before="0" w:beforeAutospacing="0" w:after="0" w:afterAutospacing="0"/>
              <w:ind w:left="0" w:right="0" w:firstLine="480"/>
              <w:rPr>
                <w:rFonts w:hint="default"/>
              </w:rPr>
            </w:pPr>
            <w:r>
              <w:rPr>
                <w:rFonts w:hint="default"/>
              </w:rPr>
              <w:t>根据现场踏勘，</w:t>
            </w:r>
            <w:r>
              <w:rPr>
                <w:rFonts w:hint="eastAsia"/>
              </w:rPr>
              <w:t>项目厂界外500m范围内无地下水集中式饮用水源和热水、矿泉水、温泉等特殊地下水资源。</w:t>
            </w:r>
          </w:p>
          <w:p>
            <w:pPr>
              <w:keepNext w:val="0"/>
              <w:keepLines w:val="0"/>
              <w:suppressLineNumbers w:val="0"/>
              <w:spacing w:before="0" w:beforeAutospacing="0" w:after="0" w:afterAutospacing="0"/>
              <w:ind w:left="0" w:right="0" w:firstLine="482"/>
              <w:rPr>
                <w:rFonts w:hint="default"/>
                <w:b/>
                <w:bCs/>
              </w:rPr>
            </w:pPr>
            <w:r>
              <w:rPr>
                <w:rFonts w:hint="eastAsia"/>
                <w:b/>
                <w:bCs/>
                <w:lang w:val="en-US" w:eastAsia="zh-CN"/>
              </w:rPr>
              <w:t>5</w:t>
            </w:r>
            <w:r>
              <w:rPr>
                <w:rFonts w:hint="eastAsia"/>
                <w:b/>
                <w:bCs/>
              </w:rPr>
              <w:t>、生态环境</w:t>
            </w:r>
          </w:p>
          <w:p>
            <w:pPr>
              <w:keepNext w:val="0"/>
              <w:keepLines w:val="0"/>
              <w:suppressLineNumbers w:val="0"/>
              <w:spacing w:before="0" w:beforeAutospacing="0" w:after="0" w:afterAutospacing="0"/>
              <w:ind w:left="0" w:right="0" w:firstLine="480"/>
              <w:rPr>
                <w:rFonts w:hint="default"/>
              </w:rPr>
            </w:pPr>
            <w:r>
              <w:rPr>
                <w:rFonts w:hint="eastAsia"/>
              </w:rPr>
              <w:t>本项目不涉及生态保护目标。</w:t>
            </w:r>
          </w:p>
          <w:p>
            <w:pPr>
              <w:keepNext w:val="0"/>
              <w:keepLines w:val="0"/>
              <w:suppressLineNumbers w:val="0"/>
              <w:spacing w:before="0" w:beforeAutospacing="0" w:after="0" w:afterAutospacing="0"/>
              <w:ind w:left="0" w:right="0" w:firstLine="480"/>
              <w:rPr>
                <w:rFonts w:hint="default"/>
              </w:rPr>
            </w:pPr>
            <w:r>
              <w:rPr>
                <w:rFonts w:hint="eastAsia"/>
              </w:rPr>
              <w:t>项目周边关系见</w:t>
            </w:r>
            <w:r>
              <w:rPr>
                <w:rFonts w:hint="eastAsia"/>
                <w:highlight w:val="none"/>
              </w:rPr>
              <w:t>附图</w:t>
            </w:r>
            <w:r>
              <w:rPr>
                <w:rFonts w:hint="eastAsia"/>
                <w:highlight w:val="none"/>
                <w:lang w:val="en-US" w:eastAsia="zh-CN"/>
              </w:rPr>
              <w:t>4</w:t>
            </w:r>
            <w:r>
              <w:rPr>
                <w:rFonts w:hint="eastAsia"/>
              </w:rPr>
              <w:t>，环境保护目标见表3-</w:t>
            </w:r>
            <w:r>
              <w:rPr>
                <w:rFonts w:hint="eastAsia"/>
                <w:lang w:val="en-US" w:eastAsia="zh-CN"/>
              </w:rPr>
              <w:t>4</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表3-</w:t>
            </w:r>
            <w:r>
              <w:rPr>
                <w:rFonts w:hint="eastAsia"/>
                <w:lang w:val="en-US" w:eastAsia="zh-CN"/>
              </w:rPr>
              <w:t>4</w:t>
            </w:r>
            <w:r>
              <w:rPr>
                <w:rFonts w:hint="default"/>
              </w:rPr>
              <w:t xml:space="preserve">  项目周边环境保护目标一览表</w:t>
            </w:r>
          </w:p>
          <w:tbl>
            <w:tblPr>
              <w:tblStyle w:val="7"/>
              <w:tblW w:w="7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89"/>
              <w:gridCol w:w="1211"/>
              <w:gridCol w:w="1108"/>
              <w:gridCol w:w="646"/>
              <w:gridCol w:w="776"/>
              <w:gridCol w:w="355"/>
              <w:gridCol w:w="750"/>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环境要素</w:t>
                  </w:r>
                </w:p>
              </w:tc>
              <w:tc>
                <w:tcPr>
                  <w:tcW w:w="88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保护对象</w:t>
                  </w:r>
                </w:p>
              </w:tc>
              <w:tc>
                <w:tcPr>
                  <w:tcW w:w="2319" w:type="dxa"/>
                  <w:gridSpan w:val="2"/>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坐标</w:t>
                  </w:r>
                </w:p>
              </w:tc>
              <w:tc>
                <w:tcPr>
                  <w:tcW w:w="64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保护内容</w:t>
                  </w:r>
                </w:p>
              </w:tc>
              <w:tc>
                <w:tcPr>
                  <w:tcW w:w="77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bCs/>
                      <w:color w:val="auto"/>
                      <w:szCs w:val="20"/>
                      <w:u w:val="none"/>
                      <w:lang w:val="en-US" w:eastAsia="zh-CN"/>
                    </w:rPr>
                  </w:pPr>
                  <w:r>
                    <w:rPr>
                      <w:rFonts w:hint="eastAsia"/>
                      <w:b/>
                      <w:bCs/>
                      <w:color w:val="auto"/>
                      <w:szCs w:val="20"/>
                      <w:u w:val="none"/>
                      <w:lang w:val="en-US" w:eastAsia="zh-CN"/>
                    </w:rPr>
                    <w:t>规模（人）</w:t>
                  </w:r>
                </w:p>
              </w:tc>
              <w:tc>
                <w:tcPr>
                  <w:tcW w:w="35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方位</w:t>
                  </w:r>
                </w:p>
              </w:tc>
              <w:tc>
                <w:tcPr>
                  <w:tcW w:w="75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距离/m</w:t>
                  </w:r>
                </w:p>
              </w:tc>
              <w:tc>
                <w:tcPr>
                  <w:tcW w:w="154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8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21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经度</w:t>
                  </w:r>
                </w:p>
              </w:tc>
              <w:tc>
                <w:tcPr>
                  <w:tcW w:w="110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纬度</w:t>
                  </w:r>
                </w:p>
              </w:tc>
              <w:tc>
                <w:tcPr>
                  <w:tcW w:w="6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7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35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5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54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大气环境</w:t>
                  </w:r>
                </w:p>
              </w:tc>
              <w:tc>
                <w:tcPr>
                  <w:tcW w:w="8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highlight w:val="none"/>
                      <w:u w:val="none"/>
                      <w:lang w:val="en-US" w:eastAsia="zh-CN"/>
                    </w:rPr>
                    <w:t>白水塘村</w:t>
                  </w:r>
                </w:p>
              </w:tc>
              <w:tc>
                <w:tcPr>
                  <w:tcW w:w="121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102°38′24.509″</w:t>
                  </w:r>
                </w:p>
              </w:tc>
              <w:tc>
                <w:tcPr>
                  <w:tcW w:w="110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25°17′9.350″</w:t>
                  </w:r>
                </w:p>
              </w:tc>
              <w:tc>
                <w:tcPr>
                  <w:tcW w:w="64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居民</w:t>
                  </w:r>
                </w:p>
              </w:tc>
              <w:tc>
                <w:tcPr>
                  <w:tcW w:w="77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300</w:t>
                  </w:r>
                </w:p>
              </w:tc>
              <w:tc>
                <w:tcPr>
                  <w:tcW w:w="35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北</w:t>
                  </w:r>
                </w:p>
              </w:tc>
              <w:tc>
                <w:tcPr>
                  <w:tcW w:w="7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407</w:t>
                  </w:r>
                </w:p>
              </w:tc>
              <w:tc>
                <w:tcPr>
                  <w:tcW w:w="154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default"/>
                      <w:color w:val="auto"/>
                      <w:szCs w:val="20"/>
                      <w:u w:val="none"/>
                    </w:rPr>
                    <w:t>《环境空气质量标准》（GB3095-2012）</w:t>
                  </w:r>
                  <w:r>
                    <w:rPr>
                      <w:rFonts w:hint="eastAsia"/>
                      <w:color w:val="auto"/>
                      <w:szCs w:val="20"/>
                      <w:u w:val="none"/>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散户</w:t>
                  </w:r>
                </w:p>
              </w:tc>
              <w:tc>
                <w:tcPr>
                  <w:tcW w:w="121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color w:val="auto"/>
                      <w:szCs w:val="20"/>
                      <w:u w:val="none"/>
                    </w:rPr>
                  </w:pPr>
                  <w:r>
                    <w:rPr>
                      <w:rFonts w:hint="eastAsia" w:ascii="Times New Roman" w:hAnsi="Times New Roman" w:eastAsia="宋体" w:cs="Times New Roman"/>
                      <w:color w:val="auto"/>
                      <w:szCs w:val="20"/>
                      <w:u w:val="none"/>
                    </w:rPr>
                    <w:t>102°38′14.119″</w:t>
                  </w:r>
                </w:p>
              </w:tc>
              <w:tc>
                <w:tcPr>
                  <w:tcW w:w="110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color w:val="auto"/>
                      <w:szCs w:val="20"/>
                      <w:u w:val="none"/>
                    </w:rPr>
                  </w:pPr>
                  <w:r>
                    <w:rPr>
                      <w:rFonts w:hint="eastAsia" w:ascii="Times New Roman" w:hAnsi="Times New Roman" w:eastAsia="宋体" w:cs="Times New Roman"/>
                      <w:color w:val="auto"/>
                      <w:szCs w:val="20"/>
                      <w:u w:val="none"/>
                    </w:rPr>
                    <w:t>25°17′4.368″</w:t>
                  </w:r>
                </w:p>
              </w:tc>
              <w:tc>
                <w:tcPr>
                  <w:tcW w:w="64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居民</w:t>
                  </w:r>
                </w:p>
              </w:tc>
              <w:tc>
                <w:tcPr>
                  <w:tcW w:w="77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15</w:t>
                  </w:r>
                </w:p>
              </w:tc>
              <w:tc>
                <w:tcPr>
                  <w:tcW w:w="35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rPr>
                    <w:t>西</w:t>
                  </w:r>
                  <w:r>
                    <w:rPr>
                      <w:rFonts w:hint="eastAsia"/>
                      <w:color w:val="auto"/>
                      <w:szCs w:val="20"/>
                      <w:u w:val="none"/>
                      <w:lang w:val="en-US" w:eastAsia="zh-CN"/>
                    </w:rPr>
                    <w:t>北</w:t>
                  </w:r>
                </w:p>
              </w:tc>
              <w:tc>
                <w:tcPr>
                  <w:tcW w:w="7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432</w:t>
                  </w:r>
                </w:p>
              </w:tc>
              <w:tc>
                <w:tcPr>
                  <w:tcW w:w="154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highlight w:val="none"/>
                      <w:u w:val="none"/>
                      <w:lang w:val="en-US" w:eastAsia="zh-CN"/>
                    </w:rPr>
                    <w:t>地表水</w:t>
                  </w:r>
                </w:p>
              </w:tc>
              <w:tc>
                <w:tcPr>
                  <w:tcW w:w="88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龙泉河</w:t>
                  </w:r>
                </w:p>
              </w:tc>
              <w:tc>
                <w:tcPr>
                  <w:tcW w:w="121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110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64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龙泉河</w:t>
                  </w:r>
                </w:p>
              </w:tc>
              <w:tc>
                <w:tcPr>
                  <w:tcW w:w="77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w:t>
                  </w:r>
                </w:p>
              </w:tc>
              <w:tc>
                <w:tcPr>
                  <w:tcW w:w="35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东北</w:t>
                  </w:r>
                </w:p>
              </w:tc>
              <w:tc>
                <w:tcPr>
                  <w:tcW w:w="7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2337</w:t>
                  </w:r>
                </w:p>
              </w:tc>
              <w:tc>
                <w:tcPr>
                  <w:tcW w:w="154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《地表水环境质量标准》（GB3838-2002）Ⅲ类水质标准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声环境</w:t>
                  </w:r>
                </w:p>
              </w:tc>
              <w:tc>
                <w:tcPr>
                  <w:tcW w:w="5735" w:type="dxa"/>
                  <w:gridSpan w:val="7"/>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default"/>
                      <w:color w:val="auto"/>
                      <w:szCs w:val="20"/>
                      <w:u w:val="none"/>
                    </w:rPr>
                    <w:t>项目厂界外周边50m范围内无声环境保护目标。</w:t>
                  </w:r>
                </w:p>
              </w:tc>
              <w:tc>
                <w:tcPr>
                  <w:tcW w:w="154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地下水</w:t>
                  </w:r>
                </w:p>
              </w:tc>
              <w:tc>
                <w:tcPr>
                  <w:tcW w:w="5735" w:type="dxa"/>
                  <w:gridSpan w:val="7"/>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default"/>
                      <w:color w:val="auto"/>
                      <w:szCs w:val="20"/>
                      <w:u w:val="none"/>
                    </w:rPr>
                    <w:t>项目厂界外周边50</w:t>
                  </w:r>
                  <w:r>
                    <w:rPr>
                      <w:rFonts w:hint="eastAsia"/>
                      <w:color w:val="auto"/>
                      <w:szCs w:val="20"/>
                      <w:u w:val="none"/>
                    </w:rPr>
                    <w:t>0</w:t>
                  </w:r>
                  <w:r>
                    <w:rPr>
                      <w:rFonts w:hint="default"/>
                      <w:color w:val="auto"/>
                      <w:szCs w:val="20"/>
                      <w:u w:val="none"/>
                    </w:rPr>
                    <w:t>m范围内无</w:t>
                  </w:r>
                  <w:r>
                    <w:rPr>
                      <w:rFonts w:hint="eastAsia"/>
                      <w:color w:val="auto"/>
                      <w:szCs w:val="20"/>
                      <w:u w:val="none"/>
                    </w:rPr>
                    <w:t>地下水</w:t>
                  </w:r>
                  <w:r>
                    <w:rPr>
                      <w:rFonts w:hint="default"/>
                      <w:color w:val="auto"/>
                      <w:szCs w:val="20"/>
                      <w:u w:val="none"/>
                    </w:rPr>
                    <w:t>保护目标。</w:t>
                  </w:r>
                </w:p>
              </w:tc>
              <w:tc>
                <w:tcPr>
                  <w:tcW w:w="154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w:t>
                  </w:r>
                </w:p>
              </w:tc>
            </w:tr>
          </w:tbl>
          <w:p>
            <w:pPr>
              <w:keepNext w:val="0"/>
              <w:keepLines w:val="0"/>
              <w:suppressLineNumbers w:val="0"/>
              <w:spacing w:before="0" w:beforeAutospacing="0" w:after="0" w:afterAutospacing="0"/>
              <w:ind w:left="0" w:right="0" w:firstLine="48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800"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污染</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物排</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放控</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制标</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rPr>
              <w:t>准</w:t>
            </w:r>
          </w:p>
        </w:tc>
        <w:tc>
          <w:tcPr>
            <w:tcW w:w="8190" w:type="dxa"/>
            <w:vAlign w:val="center"/>
          </w:tcPr>
          <w:p>
            <w:pPr>
              <w:keepNext w:val="0"/>
              <w:keepLines w:val="0"/>
              <w:suppressLineNumbers w:val="0"/>
              <w:spacing w:before="0" w:beforeAutospacing="0" w:after="0" w:afterAutospacing="0"/>
              <w:ind w:left="0" w:right="0" w:firstLine="482"/>
              <w:rPr>
                <w:rFonts w:hint="default"/>
                <w:b/>
                <w:bCs/>
              </w:rPr>
            </w:pPr>
            <w:r>
              <w:rPr>
                <w:rFonts w:hint="eastAsia"/>
                <w:b/>
                <w:bCs/>
              </w:rPr>
              <w:t>1、废气</w:t>
            </w:r>
          </w:p>
          <w:p>
            <w:pPr>
              <w:keepNext w:val="0"/>
              <w:keepLines w:val="0"/>
              <w:suppressLineNumbers w:val="0"/>
              <w:spacing w:before="0" w:beforeAutospacing="0" w:after="0" w:afterAutospacing="0"/>
              <w:ind w:left="0" w:right="0" w:firstLine="480"/>
              <w:rPr>
                <w:rFonts w:hint="default"/>
              </w:rPr>
            </w:pPr>
            <w:r>
              <w:rPr>
                <w:rFonts w:hint="eastAsia"/>
              </w:rPr>
              <w:t>（1）颗粒物</w:t>
            </w:r>
          </w:p>
          <w:p>
            <w:pPr>
              <w:keepNext w:val="0"/>
              <w:keepLines w:val="0"/>
              <w:suppressLineNumbers w:val="0"/>
              <w:spacing w:before="0" w:beforeAutospacing="0" w:after="0" w:afterAutospacing="0"/>
              <w:ind w:left="0" w:right="0" w:firstLine="480"/>
              <w:rPr>
                <w:rFonts w:hint="default"/>
              </w:rPr>
            </w:pPr>
            <w:r>
              <w:rPr>
                <w:rFonts w:hint="eastAsia"/>
              </w:rPr>
              <w:t>项目产生的废气粉尘排放执行《大气污染物综合排放标准》（GB16297-1996）中表2中排放监控浓度限值。少量未收集的无组织粉尘执行《大气污染物综合排放标准》(GB16297-1996）表2中二级标准无组织限值。</w:t>
            </w:r>
          </w:p>
          <w:p>
            <w:pPr>
              <w:keepNext w:val="0"/>
              <w:keepLines w:val="0"/>
              <w:suppressLineNumbers w:val="0"/>
              <w:spacing w:before="0" w:beforeAutospacing="0" w:after="0" w:afterAutospacing="0"/>
              <w:ind w:left="0" w:right="0" w:firstLine="480"/>
              <w:rPr>
                <w:rFonts w:hint="default"/>
              </w:rPr>
            </w:pPr>
            <w:r>
              <w:rPr>
                <w:rFonts w:hint="eastAsia"/>
              </w:rPr>
              <w:t>（2）非甲烷总烃</w:t>
            </w:r>
          </w:p>
          <w:p>
            <w:pPr>
              <w:keepNext w:val="0"/>
              <w:keepLines w:val="0"/>
              <w:suppressLineNumbers w:val="0"/>
              <w:spacing w:before="0" w:beforeAutospacing="0" w:after="0" w:afterAutospacing="0"/>
              <w:ind w:left="0" w:right="0" w:firstLine="480"/>
              <w:rPr>
                <w:rFonts w:hint="default"/>
              </w:rPr>
            </w:pPr>
            <w:r>
              <w:rPr>
                <w:rFonts w:hint="default"/>
              </w:rPr>
              <w:t>项目非甲烷总烃排放执行《大气污染物综合排放标准》（GB16297-1996）表2二级标准浓度限值要求。无组织挥发性有机废气（以非甲烷总烃计）执行《挥发性有机物无组织排放控制标准》（GB37822-2019）表A.1企业厂区内TVOC（以非甲烷总烃计）无组织排放监控点浓度限值。</w:t>
            </w:r>
          </w:p>
          <w:p>
            <w:pPr>
              <w:keepNext w:val="0"/>
              <w:keepLines w:val="0"/>
              <w:suppressLineNumbers w:val="0"/>
              <w:spacing w:before="0" w:beforeAutospacing="0" w:after="0" w:afterAutospacing="0"/>
              <w:ind w:left="0" w:right="0" w:firstLine="480"/>
              <w:rPr>
                <w:rFonts w:hint="default" w:eastAsia="宋体"/>
                <w:lang w:val="en-US" w:eastAsia="zh-CN"/>
              </w:rPr>
            </w:pPr>
            <w:r>
              <w:rPr>
                <w:rFonts w:hint="eastAsia"/>
                <w:lang w:val="en-US" w:eastAsia="zh-CN"/>
              </w:rPr>
              <w:t>（3）沥青烟、苯并[a]芘</w:t>
            </w:r>
          </w:p>
          <w:p>
            <w:pPr>
              <w:keepNext w:val="0"/>
              <w:keepLines w:val="0"/>
              <w:suppressLineNumbers w:val="0"/>
              <w:spacing w:before="0" w:beforeAutospacing="0" w:after="0" w:afterAutospacing="0"/>
              <w:ind w:left="0" w:right="0" w:firstLine="480"/>
              <w:rPr>
                <w:rFonts w:hint="eastAsia" w:eastAsia="宋体"/>
                <w:lang w:eastAsia="zh-CN"/>
              </w:rPr>
            </w:pPr>
            <w:r>
              <w:rPr>
                <w:rFonts w:hint="eastAsia"/>
              </w:rPr>
              <w:t>沥青烟、苯并[a]芘排放执行《大气污染物综合排放标准》（GB16297-1996）表2二级标准以及无组织排放监控浓度限值要求</w:t>
            </w:r>
            <w:r>
              <w:rPr>
                <w:rFonts w:hint="eastAsia"/>
                <w:lang w:eastAsia="zh-CN"/>
              </w:rPr>
              <w:t>。</w:t>
            </w:r>
          </w:p>
          <w:p>
            <w:pPr>
              <w:keepNext w:val="0"/>
              <w:keepLines w:val="0"/>
              <w:suppressLineNumbers w:val="0"/>
              <w:spacing w:before="0" w:beforeAutospacing="0" w:after="0" w:afterAutospacing="0"/>
              <w:ind w:left="0" w:right="0" w:firstLine="480"/>
              <w:rPr>
                <w:rFonts w:hint="default" w:eastAsia="宋体"/>
                <w:lang w:val="en-US" w:eastAsia="zh-CN"/>
              </w:rPr>
            </w:pPr>
            <w:r>
              <w:rPr>
                <w:rFonts w:hint="eastAsia"/>
                <w:lang w:eastAsia="zh-CN"/>
              </w:rPr>
              <w:t>（</w:t>
            </w:r>
            <w:r>
              <w:rPr>
                <w:rFonts w:hint="eastAsia"/>
                <w:lang w:val="en-US" w:eastAsia="zh-CN"/>
              </w:rPr>
              <w:t>4）恶臭</w:t>
            </w:r>
          </w:p>
          <w:p>
            <w:pPr>
              <w:keepNext w:val="0"/>
              <w:keepLines w:val="0"/>
              <w:suppressLineNumbers w:val="0"/>
              <w:spacing w:before="0" w:beforeAutospacing="0" w:after="0" w:afterAutospacing="0"/>
              <w:ind w:left="0" w:right="0" w:firstLine="480"/>
              <w:rPr>
                <w:rFonts w:hint="eastAsia"/>
                <w:lang w:eastAsia="zh-CN"/>
              </w:rPr>
            </w:pPr>
            <w:r>
              <w:rPr>
                <w:rFonts w:hint="eastAsia"/>
              </w:rPr>
              <w:t>厂界无组织恶臭浓度执行《恶臭污染物排放标准》（GB 14554-93）表1二级新扩改建标准</w:t>
            </w:r>
            <w:r>
              <w:rPr>
                <w:rFonts w:hint="eastAsia"/>
                <w:lang w:eastAsia="zh-CN"/>
              </w:rPr>
              <w:t>。</w:t>
            </w:r>
          </w:p>
          <w:p>
            <w:pPr>
              <w:keepNext w:val="0"/>
              <w:keepLines w:val="0"/>
              <w:suppressLineNumbers w:val="0"/>
              <w:spacing w:before="0" w:beforeAutospacing="0" w:after="0" w:afterAutospacing="0"/>
              <w:ind w:left="0" w:right="0" w:firstLine="480"/>
              <w:rPr>
                <w:rFonts w:hint="default"/>
                <w:lang w:val="en-US" w:eastAsia="zh-CN"/>
              </w:rPr>
            </w:pPr>
            <w:r>
              <w:rPr>
                <w:rFonts w:hint="eastAsia"/>
                <w:lang w:val="en-US" w:eastAsia="zh-CN"/>
              </w:rPr>
              <w:t>各标准限值见表3-5、3-6。</w:t>
            </w:r>
          </w:p>
          <w:p>
            <w:pPr>
              <w:pStyle w:val="11"/>
              <w:keepNext w:val="0"/>
              <w:keepLines w:val="0"/>
              <w:widowControl/>
              <w:suppressLineNumbers w:val="0"/>
              <w:bidi w:val="0"/>
              <w:spacing w:beforeAutospacing="0" w:after="0" w:afterAutospacing="0"/>
              <w:ind w:left="0" w:right="0"/>
              <w:rPr>
                <w:rFonts w:hint="default"/>
                <w:lang w:val="en-US" w:eastAsia="zh-CN"/>
              </w:rPr>
            </w:pPr>
            <w:r>
              <w:rPr>
                <w:rFonts w:hint="default"/>
              </w:rPr>
              <w:t>表3-</w:t>
            </w:r>
            <w:r>
              <w:rPr>
                <w:rFonts w:hint="eastAsia"/>
                <w:lang w:val="en-US" w:eastAsia="zh-CN"/>
              </w:rPr>
              <w:t>5</w:t>
            </w:r>
            <w:r>
              <w:rPr>
                <w:rFonts w:hint="default"/>
              </w:rPr>
              <w:t xml:space="preserve">  </w:t>
            </w:r>
            <w:r>
              <w:rPr>
                <w:rFonts w:hint="eastAsia"/>
                <w:lang w:val="en-US" w:eastAsia="zh-CN"/>
              </w:rPr>
              <w:t>废气污染物</w:t>
            </w:r>
            <w:r>
              <w:rPr>
                <w:rFonts w:hint="default"/>
              </w:rPr>
              <w:t>排放标准</w:t>
            </w:r>
            <w:r>
              <w:rPr>
                <w:rFonts w:hint="eastAsia"/>
                <w:lang w:val="en-US" w:eastAsia="zh-CN"/>
              </w:rPr>
              <w:t>限值</w:t>
            </w:r>
          </w:p>
          <w:tbl>
            <w:tblPr>
              <w:tblStyle w:val="7"/>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157"/>
              <w:gridCol w:w="1059"/>
              <w:gridCol w:w="924"/>
              <w:gridCol w:w="1061"/>
              <w:gridCol w:w="1287"/>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7"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污染物</w:t>
                  </w:r>
                </w:p>
              </w:tc>
              <w:tc>
                <w:tcPr>
                  <w:tcW w:w="1157"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最高允许排放浓度（mg/m</w:t>
                  </w:r>
                  <w:r>
                    <w:rPr>
                      <w:rFonts w:hint="default"/>
                      <w:b/>
                      <w:bCs/>
                      <w:szCs w:val="20"/>
                      <w:vertAlign w:val="superscript"/>
                    </w:rPr>
                    <w:t>3</w:t>
                  </w:r>
                  <w:r>
                    <w:rPr>
                      <w:rFonts w:hint="default"/>
                      <w:b/>
                      <w:bCs/>
                      <w:szCs w:val="20"/>
                    </w:rPr>
                    <w:t>）</w:t>
                  </w:r>
                </w:p>
              </w:tc>
              <w:tc>
                <w:tcPr>
                  <w:tcW w:w="1983" w:type="dxa"/>
                  <w:gridSpan w:val="2"/>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最高允许排放速率（kg/h）</w:t>
                  </w:r>
                </w:p>
              </w:tc>
              <w:tc>
                <w:tcPr>
                  <w:tcW w:w="2348" w:type="dxa"/>
                  <w:gridSpan w:val="2"/>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无组织排放浓度</w:t>
                  </w:r>
                </w:p>
              </w:tc>
              <w:tc>
                <w:tcPr>
                  <w:tcW w:w="157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bCs/>
                      <w:szCs w:val="20"/>
                      <w:lang w:val="en-US" w:eastAsia="zh-CN"/>
                    </w:rPr>
                  </w:pPr>
                  <w:r>
                    <w:rPr>
                      <w:rFonts w:hint="eastAsia"/>
                      <w:b/>
                      <w:bCs/>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7"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p>
              </w:tc>
              <w:tc>
                <w:tcPr>
                  <w:tcW w:w="1157"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p>
              </w:tc>
              <w:tc>
                <w:tcPr>
                  <w:tcW w:w="105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highlight w:val="yellow"/>
                    </w:rPr>
                  </w:pPr>
                  <w:r>
                    <w:rPr>
                      <w:rFonts w:hint="eastAsia"/>
                      <w:b/>
                      <w:bCs/>
                      <w:szCs w:val="20"/>
                    </w:rPr>
                    <w:t>排气筒高度（m）</w:t>
                  </w:r>
                </w:p>
              </w:tc>
              <w:tc>
                <w:tcPr>
                  <w:tcW w:w="92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highlight w:val="yellow"/>
                    </w:rPr>
                  </w:pPr>
                  <w:r>
                    <w:rPr>
                      <w:rFonts w:hint="eastAsia"/>
                      <w:b/>
                      <w:bCs/>
                      <w:szCs w:val="20"/>
                    </w:rPr>
                    <w:t>二级</w:t>
                  </w:r>
                </w:p>
              </w:tc>
              <w:tc>
                <w:tcPr>
                  <w:tcW w:w="10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监控点</w:t>
                  </w:r>
                </w:p>
              </w:tc>
              <w:tc>
                <w:tcPr>
                  <w:tcW w:w="12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浓度（mg/m</w:t>
                  </w:r>
                  <w:r>
                    <w:rPr>
                      <w:rFonts w:hint="eastAsia"/>
                      <w:b/>
                      <w:bCs/>
                      <w:szCs w:val="20"/>
                      <w:vertAlign w:val="superscript"/>
                    </w:rPr>
                    <w:t>3</w:t>
                  </w:r>
                  <w:r>
                    <w:rPr>
                      <w:rFonts w:hint="eastAsia"/>
                      <w:b/>
                      <w:bCs/>
                      <w:szCs w:val="20"/>
                    </w:rPr>
                    <w:t>）</w:t>
                  </w:r>
                </w:p>
              </w:tc>
              <w:tc>
                <w:tcPr>
                  <w:tcW w:w="157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颗粒物</w:t>
                  </w:r>
                </w:p>
              </w:tc>
              <w:tc>
                <w:tcPr>
                  <w:tcW w:w="115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120</w:t>
                  </w:r>
                </w:p>
              </w:tc>
              <w:tc>
                <w:tcPr>
                  <w:tcW w:w="105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15</w:t>
                  </w:r>
                </w:p>
              </w:tc>
              <w:tc>
                <w:tcPr>
                  <w:tcW w:w="92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3.5</w:t>
                  </w:r>
                </w:p>
              </w:tc>
              <w:tc>
                <w:tcPr>
                  <w:tcW w:w="1061"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周界外浓度最高点</w:t>
                  </w:r>
                </w:p>
              </w:tc>
              <w:tc>
                <w:tcPr>
                  <w:tcW w:w="12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1.0</w:t>
                  </w:r>
                </w:p>
              </w:tc>
              <w:tc>
                <w:tcPr>
                  <w:tcW w:w="157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rPr>
                    <w:t>《大气污染物综合排放标准》（GB16297-1996）中表2中排放监控浓度限值</w:t>
                  </w:r>
                  <w:r>
                    <w:rPr>
                      <w:rFonts w:hint="eastAsia"/>
                      <w:szCs w:val="20"/>
                      <w:lang w:val="en-US" w:eastAsia="zh-CN"/>
                    </w:rPr>
                    <w:t>及</w:t>
                  </w:r>
                  <w:r>
                    <w:rPr>
                      <w:rFonts w:hint="eastAsia"/>
                      <w:szCs w:val="20"/>
                    </w:rPr>
                    <w:t>无组织限值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非甲烷总烃</w:t>
                  </w:r>
                </w:p>
              </w:tc>
              <w:tc>
                <w:tcPr>
                  <w:tcW w:w="115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120</w:t>
                  </w:r>
                </w:p>
              </w:tc>
              <w:tc>
                <w:tcPr>
                  <w:tcW w:w="105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15</w:t>
                  </w:r>
                </w:p>
              </w:tc>
              <w:tc>
                <w:tcPr>
                  <w:tcW w:w="92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10</w:t>
                  </w:r>
                </w:p>
              </w:tc>
              <w:tc>
                <w:tcPr>
                  <w:tcW w:w="106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4.0</w:t>
                  </w:r>
                </w:p>
              </w:tc>
              <w:tc>
                <w:tcPr>
                  <w:tcW w:w="157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沥青烟</w:t>
                  </w:r>
                </w:p>
              </w:tc>
              <w:tc>
                <w:tcPr>
                  <w:tcW w:w="115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75</w:t>
                  </w:r>
                </w:p>
              </w:tc>
              <w:tc>
                <w:tcPr>
                  <w:tcW w:w="105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lang w:val="en-US" w:eastAsia="zh-CN"/>
                    </w:rPr>
                  </w:pPr>
                  <w:r>
                    <w:rPr>
                      <w:rFonts w:hint="eastAsia"/>
                      <w:szCs w:val="20"/>
                      <w:lang w:val="en-US" w:eastAsia="zh-CN"/>
                    </w:rPr>
                    <w:t>15</w:t>
                  </w:r>
                </w:p>
              </w:tc>
              <w:tc>
                <w:tcPr>
                  <w:tcW w:w="92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0.18</w:t>
                  </w:r>
                </w:p>
              </w:tc>
              <w:tc>
                <w:tcPr>
                  <w:tcW w:w="2348" w:type="dxa"/>
                  <w:gridSpan w:val="2"/>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生产设备不得有明显的无组织排放存在。</w:t>
                  </w:r>
                </w:p>
              </w:tc>
              <w:tc>
                <w:tcPr>
                  <w:tcW w:w="157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rPr>
                    <w:t>苯并[a]芘</w:t>
                  </w:r>
                </w:p>
              </w:tc>
              <w:tc>
                <w:tcPr>
                  <w:tcW w:w="115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rPr>
                    <w:t>0.3×10</w:t>
                  </w:r>
                  <w:r>
                    <w:rPr>
                      <w:rFonts w:hint="eastAsia"/>
                      <w:szCs w:val="20"/>
                      <w:vertAlign w:val="superscript"/>
                    </w:rPr>
                    <w:t>-3</w:t>
                  </w:r>
                </w:p>
              </w:tc>
              <w:tc>
                <w:tcPr>
                  <w:tcW w:w="105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lang w:val="en-US" w:eastAsia="zh-CN"/>
                    </w:rPr>
                  </w:pPr>
                  <w:r>
                    <w:rPr>
                      <w:rFonts w:hint="eastAsia"/>
                      <w:szCs w:val="20"/>
                      <w:lang w:val="en-US" w:eastAsia="zh-CN"/>
                    </w:rPr>
                    <w:t>15</w:t>
                  </w:r>
                </w:p>
              </w:tc>
              <w:tc>
                <w:tcPr>
                  <w:tcW w:w="92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0.05×10</w:t>
                  </w:r>
                  <w:r>
                    <w:rPr>
                      <w:rFonts w:hint="eastAsia"/>
                      <w:szCs w:val="20"/>
                      <w:vertAlign w:val="superscript"/>
                      <w:lang w:val="en-US" w:eastAsia="zh-CN"/>
                    </w:rPr>
                    <w:t>-3</w:t>
                  </w:r>
                </w:p>
              </w:tc>
              <w:tc>
                <w:tcPr>
                  <w:tcW w:w="10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周界外浓度最高点</w:t>
                  </w:r>
                </w:p>
              </w:tc>
              <w:tc>
                <w:tcPr>
                  <w:tcW w:w="12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0.008ug/m</w:t>
                  </w:r>
                  <w:r>
                    <w:rPr>
                      <w:rFonts w:hint="eastAsia"/>
                      <w:szCs w:val="20"/>
                      <w:vertAlign w:val="superscript"/>
                      <w:lang w:val="en-US" w:eastAsia="zh-CN"/>
                    </w:rPr>
                    <w:t>3</w:t>
                  </w:r>
                </w:p>
              </w:tc>
              <w:tc>
                <w:tcPr>
                  <w:tcW w:w="157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p>
              </w:tc>
            </w:tr>
          </w:tbl>
          <w:p>
            <w:pPr>
              <w:pStyle w:val="11"/>
              <w:keepNext w:val="0"/>
              <w:keepLines w:val="0"/>
              <w:widowControl/>
              <w:suppressLineNumbers w:val="0"/>
              <w:bidi w:val="0"/>
              <w:spacing w:beforeAutospacing="0" w:after="0" w:afterAutospacing="0"/>
              <w:ind w:left="0" w:right="0"/>
              <w:rPr>
                <w:rFonts w:hint="default"/>
              </w:rPr>
            </w:pPr>
            <w:r>
              <w:rPr>
                <w:rFonts w:hint="default"/>
              </w:rPr>
              <w:t>表3-</w:t>
            </w:r>
            <w:r>
              <w:rPr>
                <w:rFonts w:hint="eastAsia"/>
                <w:lang w:val="en-US" w:eastAsia="zh-CN"/>
              </w:rPr>
              <w:t>6</w:t>
            </w:r>
            <w:r>
              <w:rPr>
                <w:rFonts w:hint="default"/>
              </w:rPr>
              <w:t xml:space="preserve">  挥发性有机物无组织排放控制标准      单位：mg/m</w:t>
            </w:r>
            <w:r>
              <w:rPr>
                <w:rFonts w:hint="default"/>
                <w:vertAlign w:val="superscript"/>
              </w:rPr>
              <w:t>3</w:t>
            </w:r>
          </w:p>
          <w:tbl>
            <w:tblPr>
              <w:tblStyle w:val="7"/>
              <w:tblW w:w="7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0"/>
              <w:gridCol w:w="1046"/>
              <w:gridCol w:w="295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执行标准</w:t>
                  </w:r>
                </w:p>
              </w:tc>
              <w:tc>
                <w:tcPr>
                  <w:tcW w:w="104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污染物</w:t>
                  </w:r>
                </w:p>
              </w:tc>
              <w:tc>
                <w:tcPr>
                  <w:tcW w:w="295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浓度限值</w:t>
                  </w:r>
                </w:p>
              </w:tc>
              <w:tc>
                <w:tcPr>
                  <w:tcW w:w="10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4" w:hRule="atLeast"/>
                <w:jc w:val="center"/>
              </w:trPr>
              <w:tc>
                <w:tcPr>
                  <w:tcW w:w="294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《挥发性有机物无组织排放控制标准》（GB37822-2019）表A.1企业无组织排放监控点浓度限值</w:t>
                  </w:r>
                </w:p>
              </w:tc>
              <w:tc>
                <w:tcPr>
                  <w:tcW w:w="104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非甲烷总烃</w:t>
                  </w:r>
                </w:p>
              </w:tc>
              <w:tc>
                <w:tcPr>
                  <w:tcW w:w="295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10（监控点处1</w:t>
                  </w:r>
                  <w:r>
                    <w:rPr>
                      <w:rFonts w:hint="eastAsia"/>
                      <w:szCs w:val="20"/>
                    </w:rPr>
                    <w:t>h</w:t>
                  </w:r>
                  <w:r>
                    <w:rPr>
                      <w:rFonts w:hint="default"/>
                      <w:szCs w:val="20"/>
                    </w:rPr>
                    <w:t>平均浓度值）</w:t>
                  </w:r>
                </w:p>
              </w:tc>
              <w:tc>
                <w:tcPr>
                  <w:tcW w:w="103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厂房外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4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0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295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30（监控点处任意一次浓度值）</w:t>
                  </w:r>
                </w:p>
              </w:tc>
              <w:tc>
                <w:tcPr>
                  <w:tcW w:w="10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firstLine="480"/>
              <w:rPr>
                <w:rFonts w:hint="default" w:eastAsia="宋体"/>
                <w:lang w:val="en-US" w:eastAsia="zh-CN"/>
              </w:rPr>
            </w:pPr>
            <w:r>
              <w:rPr>
                <w:rFonts w:hint="eastAsia"/>
                <w:lang w:eastAsia="zh-CN"/>
              </w:rPr>
              <w:t>（</w:t>
            </w:r>
            <w:r>
              <w:rPr>
                <w:rFonts w:hint="eastAsia"/>
                <w:lang w:val="en-US" w:eastAsia="zh-CN"/>
              </w:rPr>
              <w:t>5</w:t>
            </w:r>
            <w:r>
              <w:rPr>
                <w:rFonts w:hint="eastAsia"/>
                <w:lang w:eastAsia="zh-CN"/>
              </w:rPr>
              <w:t>）</w:t>
            </w:r>
            <w:r>
              <w:rPr>
                <w:rFonts w:hint="eastAsia"/>
                <w:lang w:val="en-US" w:eastAsia="zh-CN"/>
              </w:rPr>
              <w:t>燃烧废气</w:t>
            </w:r>
          </w:p>
          <w:p>
            <w:pPr>
              <w:keepNext w:val="0"/>
              <w:keepLines w:val="0"/>
              <w:suppressLineNumbers w:val="0"/>
              <w:spacing w:before="0" w:beforeAutospacing="0" w:after="0" w:afterAutospacing="0"/>
              <w:ind w:left="0" w:right="0" w:firstLine="482"/>
              <w:rPr>
                <w:rFonts w:hint="default"/>
                <w:b w:val="0"/>
                <w:bCs w:val="0"/>
                <w:lang w:val="en-US"/>
              </w:rPr>
            </w:pPr>
            <w:r>
              <w:rPr>
                <w:rFonts w:hint="eastAsia"/>
                <w:lang w:val="en-US" w:eastAsia="zh-CN"/>
              </w:rPr>
              <w:t>项目加热沥青使用的导热油炉使用0#柴油作为燃料，燃烧废气执行《锅炉大气污染物排放标准》（GB13271-2017）表2燃油锅炉的排放限值；加热烘干滚筒、搅拌系统、柴油燃烧器以0#柴油为燃料，燃烧废气主要污染物为颗粒物（烟尘）、二氧化硫及氮氧化物，加热烘干滚筒、搅拌系统、柴油燃烧器为封闭设置，属于炉窑，二氧化硫执行《工业炉窑大气污染物排放标准》（GB9078-1996）中表4二级排放标准，颗粒物（烟尘）、氮氧化物执行《大气污染物综合排放标准》（GB16297-1996）表2标准。标准限值见表3-7。</w:t>
            </w:r>
          </w:p>
          <w:p>
            <w:pPr>
              <w:pStyle w:val="11"/>
              <w:keepNext w:val="0"/>
              <w:keepLines w:val="0"/>
              <w:widowControl/>
              <w:suppressLineNumbers w:val="0"/>
              <w:bidi w:val="0"/>
              <w:spacing w:beforeAutospacing="0" w:after="0" w:afterAutospacing="0"/>
              <w:ind w:left="0" w:right="0"/>
              <w:rPr>
                <w:rFonts w:hint="default"/>
                <w:lang w:val="en-US" w:eastAsia="zh-CN"/>
              </w:rPr>
            </w:pPr>
            <w:r>
              <w:rPr>
                <w:rFonts w:hint="eastAsia"/>
                <w:lang w:val="en-US" w:eastAsia="zh-CN"/>
              </w:rPr>
              <w:t>表3-7  柴油燃烧废气排放标准限值</w:t>
            </w:r>
          </w:p>
          <w:tbl>
            <w:tblPr>
              <w:tblStyle w:val="7"/>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765"/>
              <w:gridCol w:w="2032"/>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91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产污环节</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污染物</w:t>
                  </w:r>
                </w:p>
              </w:tc>
              <w:tc>
                <w:tcPr>
                  <w:tcW w:w="20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最高允许排放浓度mg/m</w:t>
                  </w:r>
                  <w:r>
                    <w:rPr>
                      <w:rFonts w:hint="eastAsia"/>
                      <w:b/>
                      <w:bCs/>
                      <w:szCs w:val="20"/>
                      <w:vertAlign w:val="superscript"/>
                      <w:lang w:val="en-US" w:eastAsia="zh-CN"/>
                    </w:rPr>
                    <w:t>3</w:t>
                  </w:r>
                </w:p>
              </w:tc>
              <w:tc>
                <w:tcPr>
                  <w:tcW w:w="224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91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导热油炉燃烧</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颗粒物（烟尘）</w:t>
                  </w:r>
                </w:p>
              </w:tc>
              <w:tc>
                <w:tcPr>
                  <w:tcW w:w="20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30</w:t>
                  </w:r>
                </w:p>
              </w:tc>
              <w:tc>
                <w:tcPr>
                  <w:tcW w:w="224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《锅炉大气污染物排放标准》（GB13271-2017）表2燃油锅炉的排放限值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91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氮氧化物</w:t>
                  </w:r>
                </w:p>
              </w:tc>
              <w:tc>
                <w:tcPr>
                  <w:tcW w:w="20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200</w:t>
                  </w:r>
                </w:p>
              </w:tc>
              <w:tc>
                <w:tcPr>
                  <w:tcW w:w="224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1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二氧化硫</w:t>
                  </w:r>
                </w:p>
              </w:tc>
              <w:tc>
                <w:tcPr>
                  <w:tcW w:w="20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250</w:t>
                  </w:r>
                </w:p>
              </w:tc>
              <w:tc>
                <w:tcPr>
                  <w:tcW w:w="224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91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加热烘干滚筒、搅拌系统、</w:t>
                  </w:r>
                  <w:r>
                    <w:rPr>
                      <w:rFonts w:hint="eastAsia"/>
                      <w:szCs w:val="20"/>
                      <w:lang w:eastAsia="zh-CN"/>
                    </w:rPr>
                    <w:t>柴油</w:t>
                  </w:r>
                  <w:r>
                    <w:rPr>
                      <w:rFonts w:hint="eastAsia"/>
                      <w:szCs w:val="20"/>
                    </w:rPr>
                    <w:t>燃烧器</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颗粒物（烟尘）</w:t>
                  </w:r>
                </w:p>
              </w:tc>
              <w:tc>
                <w:tcPr>
                  <w:tcW w:w="20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120</w:t>
                  </w:r>
                </w:p>
              </w:tc>
              <w:tc>
                <w:tcPr>
                  <w:tcW w:w="224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《大气污染物综合排放标准》（GB16297-1996）表2标准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91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氮氧化物</w:t>
                  </w:r>
                </w:p>
              </w:tc>
              <w:tc>
                <w:tcPr>
                  <w:tcW w:w="20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240</w:t>
                  </w:r>
                </w:p>
              </w:tc>
              <w:tc>
                <w:tcPr>
                  <w:tcW w:w="224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91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二氧化硫</w:t>
                  </w:r>
                </w:p>
              </w:tc>
              <w:tc>
                <w:tcPr>
                  <w:tcW w:w="20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850</w:t>
                  </w:r>
                </w:p>
              </w:tc>
              <w:tc>
                <w:tcPr>
                  <w:tcW w:w="224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szCs w:val="20"/>
                    </w:rPr>
                  </w:pPr>
                  <w:r>
                    <w:rPr>
                      <w:rFonts w:hint="eastAsia"/>
                      <w:szCs w:val="20"/>
                    </w:rPr>
                    <w:t>《工业炉窑大气污染物排放标准》（GB9078-1996）中表4二级排放标准</w:t>
                  </w:r>
                </w:p>
              </w:tc>
            </w:tr>
          </w:tbl>
          <w:p>
            <w:pPr>
              <w:keepNext w:val="0"/>
              <w:keepLines w:val="0"/>
              <w:suppressLineNumbers w:val="0"/>
              <w:spacing w:before="0" w:beforeAutospacing="0" w:after="0" w:afterAutospacing="0"/>
              <w:ind w:left="0" w:right="0" w:firstLine="480"/>
              <w:rPr>
                <w:rFonts w:hint="default" w:eastAsia="宋体"/>
                <w:b w:val="0"/>
                <w:bCs w:val="0"/>
                <w:lang w:val="en-US" w:eastAsia="zh-CN"/>
              </w:rPr>
            </w:pPr>
            <w:r>
              <w:rPr>
                <w:rFonts w:hint="eastAsia"/>
                <w:b w:val="0"/>
                <w:bCs w:val="0"/>
                <w:lang w:val="en-US" w:eastAsia="zh-CN"/>
              </w:rPr>
              <w:t>（6）食堂油烟</w:t>
            </w:r>
          </w:p>
          <w:p>
            <w:pPr>
              <w:keepNext w:val="0"/>
              <w:keepLines w:val="0"/>
              <w:suppressLineNumbers w:val="0"/>
              <w:spacing w:before="0" w:beforeAutospacing="0" w:after="0" w:afterAutospacing="0"/>
              <w:ind w:left="0" w:right="0" w:firstLine="480"/>
              <w:rPr>
                <w:rFonts w:hint="eastAsia"/>
                <w:lang w:val="en-US" w:eastAsia="zh-CN"/>
              </w:rPr>
            </w:pPr>
            <w:r>
              <w:rPr>
                <w:rFonts w:hint="eastAsia"/>
                <w:lang w:val="en-US" w:eastAsia="zh-CN"/>
              </w:rPr>
              <w:t>本项目食堂设置1个灶头，食堂油烟执行《饮食业油烟排放标准》(GB18483-2001)表2中小型最高允许排放浓度。</w:t>
            </w:r>
          </w:p>
          <w:p>
            <w:pPr>
              <w:pStyle w:val="11"/>
              <w:keepNext w:val="0"/>
              <w:keepLines w:val="0"/>
              <w:widowControl/>
              <w:suppressLineNumbers w:val="0"/>
              <w:bidi w:val="0"/>
              <w:spacing w:beforeAutospacing="0" w:after="0" w:afterAutospacing="0"/>
              <w:ind w:left="0" w:right="0"/>
              <w:rPr>
                <w:rFonts w:hint="eastAsia"/>
                <w:lang w:val="en-US" w:eastAsia="zh-CN"/>
              </w:rPr>
            </w:pPr>
          </w:p>
          <w:p>
            <w:pPr>
              <w:pStyle w:val="11"/>
              <w:keepNext w:val="0"/>
              <w:keepLines w:val="0"/>
              <w:widowControl/>
              <w:suppressLineNumbers w:val="0"/>
              <w:bidi w:val="0"/>
              <w:spacing w:beforeAutospacing="0" w:after="0" w:afterAutospacing="0"/>
              <w:ind w:left="0" w:right="0"/>
              <w:rPr>
                <w:rFonts w:hint="eastAsia"/>
                <w:lang w:val="en-US" w:eastAsia="zh-CN"/>
              </w:rPr>
            </w:pPr>
          </w:p>
          <w:p>
            <w:pPr>
              <w:pStyle w:val="11"/>
              <w:keepNext w:val="0"/>
              <w:keepLines w:val="0"/>
              <w:widowControl/>
              <w:suppressLineNumbers w:val="0"/>
              <w:bidi w:val="0"/>
              <w:spacing w:beforeAutospacing="0" w:after="0" w:afterAutospacing="0"/>
              <w:ind w:left="0" w:right="0"/>
              <w:rPr>
                <w:rFonts w:hint="default"/>
                <w:lang w:val="en-US" w:eastAsia="zh-CN"/>
              </w:rPr>
            </w:pPr>
            <w:r>
              <w:rPr>
                <w:rFonts w:hint="eastAsia"/>
                <w:lang w:val="en-US" w:eastAsia="zh-CN"/>
              </w:rPr>
              <w:t>表3-8  食堂油烟排放限值</w:t>
            </w:r>
          </w:p>
          <w:tbl>
            <w:tblPr>
              <w:tblStyle w:val="7"/>
              <w:tblW w:w="7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0"/>
              <w:gridCol w:w="3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0" w:type="dxa"/>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规模</w:t>
                  </w:r>
                </w:p>
              </w:tc>
              <w:tc>
                <w:tcPr>
                  <w:tcW w:w="3982" w:type="dxa"/>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0" w:type="dxa"/>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油烟最高允许排放浓度</w:t>
                  </w:r>
                </w:p>
              </w:tc>
              <w:tc>
                <w:tcPr>
                  <w:tcW w:w="3982" w:type="dxa"/>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2.0mg/m</w:t>
                  </w:r>
                  <w:r>
                    <w:rPr>
                      <w:rFonts w:hint="eastAsia"/>
                      <w:szCs w:val="20"/>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80" w:type="dxa"/>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净化设施最低去除效率（%）</w:t>
                  </w:r>
                </w:p>
              </w:tc>
              <w:tc>
                <w:tcPr>
                  <w:tcW w:w="3982" w:type="dxa"/>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60</w:t>
                  </w:r>
                </w:p>
              </w:tc>
            </w:tr>
          </w:tbl>
          <w:p>
            <w:pPr>
              <w:keepNext w:val="0"/>
              <w:keepLines w:val="0"/>
              <w:suppressLineNumbers w:val="0"/>
              <w:spacing w:before="0" w:beforeAutospacing="0" w:after="0" w:afterAutospacing="0"/>
              <w:ind w:left="0" w:right="0" w:firstLine="482"/>
              <w:rPr>
                <w:rFonts w:hint="default"/>
                <w:b/>
                <w:bCs/>
              </w:rPr>
            </w:pPr>
            <w:r>
              <w:rPr>
                <w:rFonts w:hint="eastAsia"/>
                <w:b/>
                <w:bCs/>
              </w:rPr>
              <w:t>2、废水</w:t>
            </w:r>
          </w:p>
          <w:p>
            <w:pPr>
              <w:keepNext w:val="0"/>
              <w:keepLines w:val="0"/>
              <w:suppressLineNumbers w:val="0"/>
              <w:spacing w:before="0" w:beforeAutospacing="0" w:after="0" w:afterAutospacing="0"/>
              <w:ind w:left="0" w:right="0" w:firstLine="482"/>
              <w:rPr>
                <w:rFonts w:hint="eastAsia" w:eastAsia="宋体"/>
                <w:b w:val="0"/>
                <w:bCs w:val="0"/>
                <w:lang w:val="en-US" w:eastAsia="zh-CN"/>
              </w:rPr>
            </w:pPr>
            <w:r>
              <w:rPr>
                <w:rFonts w:hint="eastAsia"/>
                <w:b w:val="0"/>
                <w:bCs w:val="0"/>
                <w:lang w:val="en-US" w:eastAsia="zh-CN"/>
              </w:rPr>
              <w:t>食堂</w:t>
            </w:r>
            <w:r>
              <w:rPr>
                <w:rFonts w:hint="eastAsia"/>
                <w:b w:val="0"/>
                <w:bCs w:val="0"/>
              </w:rPr>
              <w:t>废水经自建隔油池（1.0m</w:t>
            </w:r>
            <w:r>
              <w:rPr>
                <w:rFonts w:hint="eastAsia"/>
                <w:b w:val="0"/>
                <w:bCs w:val="0"/>
                <w:vertAlign w:val="superscript"/>
              </w:rPr>
              <w:t>3</w:t>
            </w:r>
            <w:r>
              <w:rPr>
                <w:rFonts w:hint="eastAsia"/>
                <w:b w:val="0"/>
                <w:bCs w:val="0"/>
              </w:rPr>
              <w:t>）处理后与</w:t>
            </w:r>
            <w:r>
              <w:rPr>
                <w:rFonts w:hint="eastAsia"/>
                <w:b w:val="0"/>
                <w:bCs w:val="0"/>
                <w:lang w:val="en-US" w:eastAsia="zh-CN"/>
              </w:rPr>
              <w:t>其他办公</w:t>
            </w:r>
            <w:r>
              <w:rPr>
                <w:rFonts w:hint="eastAsia"/>
                <w:b w:val="0"/>
                <w:bCs w:val="0"/>
              </w:rPr>
              <w:t>废水一起进入化粪池（2.0m</w:t>
            </w:r>
            <w:r>
              <w:rPr>
                <w:rFonts w:hint="eastAsia"/>
                <w:b w:val="0"/>
                <w:bCs w:val="0"/>
                <w:vertAlign w:val="superscript"/>
              </w:rPr>
              <w:t>3</w:t>
            </w:r>
            <w:r>
              <w:rPr>
                <w:rFonts w:hint="eastAsia"/>
                <w:b w:val="0"/>
                <w:bCs w:val="0"/>
              </w:rPr>
              <w:t>）处理，</w:t>
            </w:r>
            <w:r>
              <w:rPr>
                <w:rFonts w:hint="eastAsia"/>
                <w:b w:val="0"/>
                <w:bCs w:val="0"/>
                <w:lang w:val="en-US" w:eastAsia="zh-CN"/>
              </w:rPr>
              <w:t>回用于洒水降尘</w:t>
            </w:r>
            <w:r>
              <w:rPr>
                <w:rFonts w:hint="eastAsia"/>
                <w:b w:val="0"/>
                <w:bCs w:val="0"/>
              </w:rPr>
              <w:t>，不外排。</w:t>
            </w:r>
            <w:r>
              <w:rPr>
                <w:rFonts w:hint="eastAsia"/>
                <w:b w:val="0"/>
                <w:bCs w:val="0"/>
                <w:lang w:val="en-US" w:eastAsia="zh-CN"/>
              </w:rPr>
              <w:t>因此不设置废水排放标准。</w:t>
            </w:r>
          </w:p>
          <w:p>
            <w:pPr>
              <w:keepNext w:val="0"/>
              <w:keepLines w:val="0"/>
              <w:suppressLineNumbers w:val="0"/>
              <w:spacing w:before="0" w:beforeAutospacing="0" w:after="0" w:afterAutospacing="0"/>
              <w:ind w:left="0" w:right="0" w:firstLine="482"/>
              <w:rPr>
                <w:rFonts w:hint="default"/>
                <w:b/>
                <w:bCs/>
              </w:rPr>
            </w:pPr>
            <w:r>
              <w:rPr>
                <w:rFonts w:hint="eastAsia"/>
                <w:b/>
                <w:bCs/>
              </w:rPr>
              <w:t>3、噪声</w:t>
            </w:r>
          </w:p>
          <w:p>
            <w:pPr>
              <w:keepNext w:val="0"/>
              <w:keepLines w:val="0"/>
              <w:suppressLineNumbers w:val="0"/>
              <w:spacing w:before="0" w:beforeAutospacing="0" w:after="0" w:afterAutospacing="0"/>
              <w:ind w:left="0" w:right="0" w:firstLine="480"/>
              <w:rPr>
                <w:rFonts w:hint="default"/>
              </w:rPr>
            </w:pPr>
            <w:r>
              <w:rPr>
                <w:rFonts w:hint="default"/>
              </w:rPr>
              <w:t>运营期噪声排放执行《工业企业厂界环境噪声排放标准》（GB12348-2008）</w:t>
            </w:r>
            <w:r>
              <w:rPr>
                <w:rFonts w:hint="eastAsia"/>
                <w:lang w:val="en-US" w:eastAsia="zh-CN"/>
              </w:rPr>
              <w:t>2</w:t>
            </w:r>
            <w:r>
              <w:rPr>
                <w:rFonts w:hint="default"/>
              </w:rPr>
              <w:t>类标准，具体标准值见表</w:t>
            </w:r>
            <w:r>
              <w:rPr>
                <w:rFonts w:hint="eastAsia"/>
              </w:rPr>
              <w:t>3-</w:t>
            </w:r>
            <w:r>
              <w:rPr>
                <w:rFonts w:hint="eastAsia"/>
                <w:lang w:val="en-US" w:eastAsia="zh-CN"/>
              </w:rPr>
              <w:t>9</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表3-</w:t>
            </w:r>
            <w:r>
              <w:rPr>
                <w:rFonts w:hint="eastAsia"/>
                <w:lang w:val="en-US" w:eastAsia="zh-CN"/>
              </w:rPr>
              <w:t>9</w:t>
            </w:r>
            <w:r>
              <w:rPr>
                <w:rFonts w:hint="default"/>
              </w:rPr>
              <w:t xml:space="preserve">  工业企业厂界环境噪声排放标准  单位：dB(A)</w:t>
            </w:r>
          </w:p>
          <w:tbl>
            <w:tblPr>
              <w:tblStyle w:val="7"/>
              <w:tblW w:w="7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2654"/>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2654"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类别</w:t>
                  </w:r>
                </w:p>
              </w:tc>
              <w:tc>
                <w:tcPr>
                  <w:tcW w:w="5310" w:type="dxa"/>
                  <w:gridSpan w:val="2"/>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p>
              </w:tc>
              <w:tc>
                <w:tcPr>
                  <w:tcW w:w="265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昼间</w:t>
                  </w:r>
                </w:p>
              </w:tc>
              <w:tc>
                <w:tcPr>
                  <w:tcW w:w="265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5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2</w:t>
                  </w:r>
                  <w:r>
                    <w:rPr>
                      <w:rFonts w:hint="eastAsia"/>
                      <w:szCs w:val="20"/>
                    </w:rPr>
                    <w:t>类</w:t>
                  </w:r>
                </w:p>
              </w:tc>
              <w:tc>
                <w:tcPr>
                  <w:tcW w:w="265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rPr>
                    <w:t>6</w:t>
                  </w:r>
                  <w:r>
                    <w:rPr>
                      <w:rFonts w:hint="eastAsia"/>
                      <w:szCs w:val="20"/>
                      <w:lang w:val="en-US" w:eastAsia="zh-CN"/>
                    </w:rPr>
                    <w:t>0</w:t>
                  </w:r>
                </w:p>
              </w:tc>
              <w:tc>
                <w:tcPr>
                  <w:tcW w:w="265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rPr>
                    <w:t>5</w:t>
                  </w:r>
                  <w:r>
                    <w:rPr>
                      <w:rFonts w:hint="eastAsia"/>
                      <w:szCs w:val="20"/>
                      <w:lang w:val="en-US" w:eastAsia="zh-CN"/>
                    </w:rPr>
                    <w:t>0</w:t>
                  </w:r>
                </w:p>
              </w:tc>
            </w:tr>
          </w:tbl>
          <w:p>
            <w:pPr>
              <w:keepNext w:val="0"/>
              <w:keepLines w:val="0"/>
              <w:suppressLineNumbers w:val="0"/>
              <w:spacing w:before="0" w:beforeAutospacing="0" w:after="0" w:afterAutospacing="0"/>
              <w:ind w:left="0" w:right="0" w:firstLine="482"/>
              <w:rPr>
                <w:rFonts w:hint="default"/>
                <w:b/>
                <w:bCs/>
              </w:rPr>
            </w:pPr>
            <w:r>
              <w:rPr>
                <w:rFonts w:hint="eastAsia"/>
                <w:b/>
                <w:bCs/>
              </w:rPr>
              <w:t>4、固体废物</w:t>
            </w:r>
          </w:p>
          <w:p>
            <w:pPr>
              <w:keepNext w:val="0"/>
              <w:keepLines w:val="0"/>
              <w:suppressLineNumbers w:val="0"/>
              <w:spacing w:before="0" w:beforeAutospacing="0" w:after="0" w:afterAutospacing="0"/>
              <w:ind w:left="0" w:right="0" w:firstLine="480"/>
              <w:rPr>
                <w:rFonts w:hint="default"/>
              </w:rPr>
            </w:pPr>
            <w:r>
              <w:rPr>
                <w:rFonts w:hint="default"/>
              </w:rPr>
              <w:t>一般工业固体废物执行《一般工业固体废物贮存和填埋污染控制标准》（GB18599-2020）中相应标准；危险废物执行《危险废物贮存污染控制标准》（GB18597-20</w:t>
            </w:r>
            <w:r>
              <w:rPr>
                <w:rFonts w:hint="eastAsia"/>
              </w:rPr>
              <w:t>23</w:t>
            </w:r>
            <w:r>
              <w:rPr>
                <w:rFonts w:hint="default"/>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800" w:type="dxa"/>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highlight w:val="none"/>
              </w:rPr>
            </w:pPr>
            <w:r>
              <w:rPr>
                <w:rFonts w:hint="eastAsia" w:ascii="宋体" w:hAnsi="宋体" w:cs="宋体"/>
                <w:kern w:val="0"/>
                <w:szCs w:val="21"/>
                <w:highlight w:val="none"/>
              </w:rPr>
              <w:t>总量</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highlight w:val="none"/>
              </w:rPr>
            </w:pPr>
            <w:r>
              <w:rPr>
                <w:rFonts w:hint="eastAsia" w:ascii="宋体" w:hAnsi="宋体" w:cs="宋体"/>
                <w:kern w:val="0"/>
                <w:szCs w:val="21"/>
                <w:highlight w:val="none"/>
              </w:rPr>
              <w:t>控制</w:t>
            </w:r>
          </w:p>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kern w:val="0"/>
                <w:szCs w:val="21"/>
              </w:rPr>
            </w:pPr>
            <w:r>
              <w:rPr>
                <w:rFonts w:hint="eastAsia" w:ascii="宋体" w:hAnsi="宋体" w:cs="宋体"/>
                <w:kern w:val="0"/>
                <w:szCs w:val="21"/>
                <w:highlight w:val="none"/>
              </w:rPr>
              <w:t>指标</w:t>
            </w:r>
          </w:p>
        </w:tc>
        <w:tc>
          <w:tcPr>
            <w:tcW w:w="8190" w:type="dxa"/>
            <w:vAlign w:val="center"/>
          </w:tcPr>
          <w:p>
            <w:pPr>
              <w:keepNext w:val="0"/>
              <w:keepLines w:val="0"/>
              <w:suppressLineNumbers w:val="0"/>
              <w:spacing w:before="0" w:beforeAutospacing="0" w:after="0" w:afterAutospacing="0"/>
              <w:ind w:left="0" w:right="0" w:firstLine="482"/>
              <w:rPr>
                <w:rFonts w:hint="default"/>
                <w:b/>
                <w:bCs/>
              </w:rPr>
            </w:pPr>
            <w:r>
              <w:rPr>
                <w:rFonts w:hint="default"/>
                <w:b/>
                <w:bCs/>
              </w:rPr>
              <w:t>1、废气</w:t>
            </w:r>
          </w:p>
          <w:p>
            <w:pPr>
              <w:keepNext w:val="0"/>
              <w:keepLines w:val="0"/>
              <w:suppressLineNumbers w:val="0"/>
              <w:spacing w:before="0" w:beforeAutospacing="0" w:after="0" w:afterAutospacing="0"/>
              <w:ind w:left="0" w:right="0" w:firstLine="480"/>
              <w:rPr>
                <w:rFonts w:hint="default"/>
              </w:rPr>
            </w:pPr>
            <w:r>
              <w:rPr>
                <w:rFonts w:hint="default"/>
              </w:rPr>
              <w:t>根据国家“十四五”期间对污染物总量控制要求，本项目产生的颗粒物</w:t>
            </w:r>
            <w:r>
              <w:rPr>
                <w:rFonts w:hint="eastAsia"/>
              </w:rPr>
              <w:t>、非甲烷总烃</w:t>
            </w:r>
            <w:r>
              <w:rPr>
                <w:rFonts w:hint="eastAsia"/>
                <w:lang w:eastAsia="zh-CN"/>
              </w:rPr>
              <w:t>、</w:t>
            </w:r>
            <w:r>
              <w:rPr>
                <w:rFonts w:hint="eastAsia"/>
                <w:lang w:val="en-US" w:eastAsia="zh-CN"/>
              </w:rPr>
              <w:t>二氧化硫、氮氧化物</w:t>
            </w:r>
            <w:r>
              <w:rPr>
                <w:rFonts w:hint="default"/>
              </w:rPr>
              <w:t>为总量控制控制因子。由工程核算分析，本项目大气污染物总量控制建议指标见表</w:t>
            </w:r>
            <w:r>
              <w:rPr>
                <w:rFonts w:hint="eastAsia"/>
              </w:rPr>
              <w:t>3-</w:t>
            </w:r>
            <w:r>
              <w:rPr>
                <w:rFonts w:hint="eastAsia"/>
                <w:lang w:val="en-US" w:eastAsia="zh-CN"/>
              </w:rPr>
              <w:t>10</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表3-</w:t>
            </w:r>
            <w:r>
              <w:rPr>
                <w:rFonts w:hint="eastAsia"/>
                <w:lang w:val="en-US" w:eastAsia="zh-CN"/>
              </w:rPr>
              <w:t>10</w:t>
            </w:r>
            <w:r>
              <w:rPr>
                <w:rFonts w:hint="default"/>
              </w:rPr>
              <w:t xml:space="preserve">  大气污染物总量控制表</w:t>
            </w:r>
          </w:p>
          <w:tbl>
            <w:tblPr>
              <w:tblStyle w:val="7"/>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451"/>
              <w:gridCol w:w="1852"/>
              <w:gridCol w:w="1787"/>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8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序号</w:t>
                  </w:r>
                </w:p>
              </w:tc>
              <w:tc>
                <w:tcPr>
                  <w:tcW w:w="145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污染物</w:t>
                  </w:r>
                </w:p>
              </w:tc>
              <w:tc>
                <w:tcPr>
                  <w:tcW w:w="18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有组织排放量t/a</w:t>
                  </w:r>
                </w:p>
              </w:tc>
              <w:tc>
                <w:tcPr>
                  <w:tcW w:w="17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无组织排放量t/a</w:t>
                  </w:r>
                </w:p>
              </w:tc>
              <w:tc>
                <w:tcPr>
                  <w:tcW w:w="17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b/>
                      <w:bCs/>
                      <w:szCs w:val="20"/>
                      <w:lang w:val="en-US" w:eastAsia="zh-CN"/>
                    </w:rPr>
                  </w:pPr>
                  <w:r>
                    <w:rPr>
                      <w:rFonts w:hint="eastAsia"/>
                      <w:b/>
                      <w:bCs/>
                      <w:szCs w:val="20"/>
                      <w:lang w:val="en-US" w:eastAsia="zh-CN"/>
                    </w:rPr>
                    <w:t>排放总量t/a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w:t>
                  </w:r>
                </w:p>
              </w:tc>
              <w:tc>
                <w:tcPr>
                  <w:tcW w:w="145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颗粒物</w:t>
                  </w:r>
                </w:p>
              </w:tc>
              <w:tc>
                <w:tcPr>
                  <w:tcW w:w="18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lang w:val="en-US" w:eastAsia="zh-CN"/>
                    </w:rPr>
                    <w:t>0.1018</w:t>
                  </w:r>
                </w:p>
              </w:tc>
              <w:tc>
                <w:tcPr>
                  <w:tcW w:w="17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lang w:val="en-US" w:eastAsia="zh-CN"/>
                    </w:rPr>
                    <w:t>0.35</w:t>
                  </w:r>
                </w:p>
              </w:tc>
              <w:tc>
                <w:tcPr>
                  <w:tcW w:w="17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0.4518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2</w:t>
                  </w:r>
                </w:p>
              </w:tc>
              <w:tc>
                <w:tcPr>
                  <w:tcW w:w="145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非甲烷总烃</w:t>
                  </w:r>
                </w:p>
              </w:tc>
              <w:tc>
                <w:tcPr>
                  <w:tcW w:w="18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0.00024</w:t>
                  </w:r>
                </w:p>
              </w:tc>
              <w:tc>
                <w:tcPr>
                  <w:tcW w:w="17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0.000013</w:t>
                  </w:r>
                </w:p>
              </w:tc>
              <w:tc>
                <w:tcPr>
                  <w:tcW w:w="17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0.000253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3</w:t>
                  </w:r>
                </w:p>
              </w:tc>
              <w:tc>
                <w:tcPr>
                  <w:tcW w:w="145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二氧化硫</w:t>
                  </w:r>
                </w:p>
              </w:tc>
              <w:tc>
                <w:tcPr>
                  <w:tcW w:w="18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1.33</w:t>
                  </w:r>
                </w:p>
              </w:tc>
              <w:tc>
                <w:tcPr>
                  <w:tcW w:w="17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17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4</w:t>
                  </w:r>
                </w:p>
              </w:tc>
              <w:tc>
                <w:tcPr>
                  <w:tcW w:w="145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氮氧化物</w:t>
                  </w:r>
                </w:p>
              </w:tc>
              <w:tc>
                <w:tcPr>
                  <w:tcW w:w="18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1.29</w:t>
                  </w:r>
                </w:p>
              </w:tc>
              <w:tc>
                <w:tcPr>
                  <w:tcW w:w="178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178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1.29</w:t>
                  </w:r>
                </w:p>
              </w:tc>
            </w:tr>
          </w:tbl>
          <w:p>
            <w:pPr>
              <w:keepNext w:val="0"/>
              <w:keepLines w:val="0"/>
              <w:suppressLineNumbers w:val="0"/>
              <w:spacing w:before="0" w:beforeAutospacing="0" w:after="0" w:afterAutospacing="0"/>
              <w:ind w:left="0" w:right="0" w:firstLine="482"/>
              <w:rPr>
                <w:rFonts w:hint="default"/>
                <w:b/>
                <w:bCs/>
              </w:rPr>
            </w:pPr>
            <w:r>
              <w:rPr>
                <w:rFonts w:hint="eastAsia"/>
                <w:b/>
                <w:bCs/>
              </w:rPr>
              <w:t>2、废水</w:t>
            </w:r>
          </w:p>
          <w:p>
            <w:pPr>
              <w:keepNext w:val="0"/>
              <w:keepLines w:val="0"/>
              <w:suppressLineNumbers w:val="0"/>
              <w:spacing w:before="0" w:beforeAutospacing="0" w:after="0" w:afterAutospacing="0"/>
              <w:ind w:left="0" w:right="0" w:firstLine="480"/>
              <w:rPr>
                <w:rFonts w:hint="default"/>
              </w:rPr>
            </w:pPr>
            <w:r>
              <w:rPr>
                <w:rFonts w:hint="default"/>
              </w:rPr>
              <w:t>项目产生废水量约为</w:t>
            </w:r>
            <w:r>
              <w:rPr>
                <w:rFonts w:hint="eastAsia"/>
                <w:lang w:val="en-US" w:eastAsia="zh-CN"/>
              </w:rPr>
              <w:t>192</w:t>
            </w:r>
            <w:r>
              <w:rPr>
                <w:rFonts w:hint="default"/>
              </w:rPr>
              <w:t>m</w:t>
            </w:r>
            <w:r>
              <w:rPr>
                <w:rFonts w:hint="default"/>
                <w:vertAlign w:val="superscript"/>
              </w:rPr>
              <w:t>3</w:t>
            </w:r>
            <w:r>
              <w:rPr>
                <w:rFonts w:hint="default"/>
              </w:rPr>
              <w:t>/a，其中：COD：</w:t>
            </w:r>
            <w:r>
              <w:rPr>
                <w:rFonts w:hint="eastAsia"/>
                <w:lang w:val="en-US" w:eastAsia="zh-CN"/>
              </w:rPr>
              <w:t>0.08</w:t>
            </w:r>
            <w:r>
              <w:rPr>
                <w:rFonts w:hint="default"/>
              </w:rPr>
              <w:t>t/a；氨氮：</w:t>
            </w:r>
            <w:r>
              <w:rPr>
                <w:rFonts w:hint="eastAsia"/>
              </w:rPr>
              <w:t>0.00</w:t>
            </w:r>
            <w:r>
              <w:rPr>
                <w:rFonts w:hint="eastAsia"/>
                <w:lang w:val="en-US" w:eastAsia="zh-CN"/>
              </w:rPr>
              <w:t>8</w:t>
            </w:r>
            <w:r>
              <w:rPr>
                <w:rFonts w:hint="default"/>
              </w:rPr>
              <w:t>t/a</w:t>
            </w:r>
            <w:r>
              <w:rPr>
                <w:rFonts w:hint="eastAsia"/>
              </w:rPr>
              <w:t>。项目运营期</w:t>
            </w:r>
            <w:r>
              <w:rPr>
                <w:rFonts w:hint="eastAsia"/>
                <w:b w:val="0"/>
                <w:bCs w:val="0"/>
                <w:lang w:val="en-US" w:eastAsia="zh-CN"/>
              </w:rPr>
              <w:t>食堂</w:t>
            </w:r>
            <w:r>
              <w:rPr>
                <w:rFonts w:hint="eastAsia"/>
                <w:b w:val="0"/>
                <w:bCs w:val="0"/>
              </w:rPr>
              <w:t>废水经自建隔油池（1.0m</w:t>
            </w:r>
            <w:r>
              <w:rPr>
                <w:rFonts w:hint="eastAsia"/>
                <w:b w:val="0"/>
                <w:bCs w:val="0"/>
                <w:vertAlign w:val="superscript"/>
              </w:rPr>
              <w:t>3</w:t>
            </w:r>
            <w:r>
              <w:rPr>
                <w:rFonts w:hint="eastAsia"/>
                <w:b w:val="0"/>
                <w:bCs w:val="0"/>
              </w:rPr>
              <w:t>）处理后与</w:t>
            </w:r>
            <w:r>
              <w:rPr>
                <w:rFonts w:hint="eastAsia"/>
                <w:b w:val="0"/>
                <w:bCs w:val="0"/>
                <w:lang w:val="en-US" w:eastAsia="zh-CN"/>
              </w:rPr>
              <w:t>其他办公</w:t>
            </w:r>
            <w:r>
              <w:rPr>
                <w:rFonts w:hint="eastAsia"/>
                <w:b w:val="0"/>
                <w:bCs w:val="0"/>
              </w:rPr>
              <w:t>废水一起进入化粪池（2.0m</w:t>
            </w:r>
            <w:r>
              <w:rPr>
                <w:rFonts w:hint="eastAsia"/>
                <w:b w:val="0"/>
                <w:bCs w:val="0"/>
                <w:vertAlign w:val="superscript"/>
              </w:rPr>
              <w:t>3</w:t>
            </w:r>
            <w:r>
              <w:rPr>
                <w:rFonts w:hint="eastAsia"/>
                <w:b w:val="0"/>
                <w:bCs w:val="0"/>
              </w:rPr>
              <w:t>）处理，</w:t>
            </w:r>
            <w:r>
              <w:rPr>
                <w:rFonts w:hint="eastAsia"/>
                <w:b w:val="0"/>
                <w:bCs w:val="0"/>
                <w:lang w:val="en-US" w:eastAsia="zh-CN"/>
              </w:rPr>
              <w:t>回用于洒水降尘</w:t>
            </w:r>
            <w:r>
              <w:rPr>
                <w:rFonts w:hint="eastAsia"/>
                <w:b w:val="0"/>
                <w:bCs w:val="0"/>
              </w:rPr>
              <w:t>，不外排</w:t>
            </w:r>
            <w:r>
              <w:rPr>
                <w:rFonts w:hint="default"/>
                <w:color w:val="auto"/>
                <w:u w:val="none"/>
              </w:rPr>
              <w:t>。</w:t>
            </w:r>
            <w:r>
              <w:rPr>
                <w:rFonts w:hint="eastAsia"/>
              </w:rPr>
              <w:t>不设废水总量控制指标。</w:t>
            </w:r>
          </w:p>
          <w:p>
            <w:pPr>
              <w:keepNext w:val="0"/>
              <w:keepLines w:val="0"/>
              <w:suppressLineNumbers w:val="0"/>
              <w:spacing w:before="0" w:beforeAutospacing="0" w:after="0" w:afterAutospacing="0"/>
              <w:ind w:left="0" w:right="0" w:firstLine="482"/>
              <w:rPr>
                <w:rFonts w:hint="default"/>
                <w:b/>
                <w:bCs/>
              </w:rPr>
            </w:pPr>
            <w:r>
              <w:rPr>
                <w:rFonts w:hint="eastAsia"/>
                <w:b/>
                <w:bCs/>
              </w:rPr>
              <w:t>3、固体废弃物</w:t>
            </w:r>
          </w:p>
          <w:p>
            <w:pPr>
              <w:keepNext w:val="0"/>
              <w:keepLines w:val="0"/>
              <w:suppressLineNumbers w:val="0"/>
              <w:spacing w:before="0" w:beforeAutospacing="0" w:after="0" w:afterAutospacing="0"/>
              <w:ind w:left="0" w:right="0" w:firstLine="480"/>
              <w:rPr>
                <w:rFonts w:hint="default"/>
              </w:rPr>
            </w:pPr>
            <w:r>
              <w:rPr>
                <w:rFonts w:hint="eastAsia"/>
              </w:rPr>
              <w:t>固体废物处理率100%。</w:t>
            </w: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rPr>
                <w:rFonts w:hint="default"/>
              </w:rPr>
            </w:pPr>
          </w:p>
        </w:tc>
      </w:tr>
    </w:tbl>
    <w:p>
      <w:pPr>
        <w:pStyle w:val="2"/>
        <w:ind w:firstLine="723"/>
        <w:rPr>
          <w:snapToGrid w:val="0"/>
        </w:rPr>
      </w:pPr>
      <w:r>
        <w:rPr>
          <w:snapToGrid w:val="0"/>
          <w:sz w:val="36"/>
          <w:szCs w:val="36"/>
        </w:rPr>
        <w:br w:type="page"/>
      </w:r>
      <w:bookmarkStart w:id="5" w:name="_Toc32395"/>
      <w:r>
        <w:rPr>
          <w:rFonts w:hint="eastAsia"/>
          <w:snapToGrid w:val="0"/>
        </w:rPr>
        <w:t>四、主要环境影响和保护措施</w:t>
      </w:r>
      <w:bookmarkEnd w:id="5"/>
    </w:p>
    <w:tbl>
      <w:tblPr>
        <w:tblStyle w:val="6"/>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2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654" w:type="dxa"/>
            <w:tcMar>
              <w:left w:w="28" w:type="dxa"/>
              <w:right w:w="28" w:type="dxa"/>
            </w:tcMar>
            <w:vAlign w:val="center"/>
          </w:tcPr>
          <w:p>
            <w:pPr>
              <w:keepNext w:val="0"/>
              <w:keepLines w:val="0"/>
              <w:suppressLineNumbers w:val="0"/>
              <w:spacing w:before="0" w:beforeAutospacing="0" w:after="0" w:afterAutospacing="0"/>
              <w:ind w:left="0" w:right="0" w:firstLine="0" w:firstLineChars="0"/>
              <w:jc w:val="center"/>
              <w:rPr>
                <w:rFonts w:hint="default"/>
              </w:rPr>
            </w:pPr>
            <w:r>
              <w:rPr>
                <w:rFonts w:hint="eastAsia"/>
              </w:rPr>
              <w:t>施工</w:t>
            </w:r>
          </w:p>
          <w:p>
            <w:pPr>
              <w:keepNext w:val="0"/>
              <w:keepLines w:val="0"/>
              <w:suppressLineNumbers w:val="0"/>
              <w:spacing w:before="0" w:beforeAutospacing="0" w:after="0" w:afterAutospacing="0"/>
              <w:ind w:left="0" w:right="0" w:firstLine="0" w:firstLineChars="0"/>
              <w:jc w:val="center"/>
              <w:rPr>
                <w:rFonts w:hint="default"/>
              </w:rPr>
            </w:pPr>
            <w:r>
              <w:rPr>
                <w:rFonts w:hint="eastAsia"/>
              </w:rPr>
              <w:t>期环</w:t>
            </w:r>
          </w:p>
          <w:p>
            <w:pPr>
              <w:keepNext w:val="0"/>
              <w:keepLines w:val="0"/>
              <w:suppressLineNumbers w:val="0"/>
              <w:spacing w:before="0" w:beforeAutospacing="0" w:after="0" w:afterAutospacing="0"/>
              <w:ind w:left="0" w:right="0" w:firstLine="0" w:firstLineChars="0"/>
              <w:jc w:val="center"/>
              <w:rPr>
                <w:rFonts w:hint="default"/>
              </w:rPr>
            </w:pPr>
            <w:r>
              <w:rPr>
                <w:rFonts w:hint="eastAsia"/>
              </w:rPr>
              <w:t>境保</w:t>
            </w:r>
          </w:p>
          <w:p>
            <w:pPr>
              <w:keepNext w:val="0"/>
              <w:keepLines w:val="0"/>
              <w:suppressLineNumbers w:val="0"/>
              <w:spacing w:before="0" w:beforeAutospacing="0" w:after="0" w:afterAutospacing="0"/>
              <w:ind w:left="0" w:right="0" w:firstLine="0" w:firstLineChars="0"/>
              <w:jc w:val="center"/>
              <w:rPr>
                <w:rFonts w:hint="default"/>
              </w:rPr>
            </w:pPr>
            <w:r>
              <w:rPr>
                <w:rFonts w:hint="eastAsia"/>
              </w:rPr>
              <w:t>护措</w:t>
            </w:r>
          </w:p>
          <w:p>
            <w:pPr>
              <w:keepNext w:val="0"/>
              <w:keepLines w:val="0"/>
              <w:suppressLineNumbers w:val="0"/>
              <w:spacing w:before="0" w:beforeAutospacing="0" w:after="0" w:afterAutospacing="0"/>
              <w:ind w:left="0" w:right="0" w:firstLine="0" w:firstLineChars="0"/>
              <w:jc w:val="center"/>
              <w:rPr>
                <w:rFonts w:hint="default" w:cs="宋体"/>
                <w:bCs/>
                <w:szCs w:val="21"/>
              </w:rPr>
            </w:pPr>
            <w:r>
              <w:rPr>
                <w:rFonts w:hint="eastAsia"/>
              </w:rPr>
              <w:t>施</w:t>
            </w:r>
          </w:p>
        </w:tc>
        <w:tc>
          <w:tcPr>
            <w:tcW w:w="8254" w:type="dxa"/>
            <w:vAlign w:val="center"/>
          </w:tcPr>
          <w:p>
            <w:pPr>
              <w:keepNext w:val="0"/>
              <w:keepLines w:val="0"/>
              <w:suppressLineNumbers w:val="0"/>
              <w:spacing w:before="0" w:beforeAutospacing="0" w:after="0" w:afterAutospacing="0"/>
              <w:ind w:left="0" w:right="0" w:firstLine="480"/>
              <w:rPr>
                <w:rFonts w:hint="eastAsia"/>
              </w:rPr>
            </w:pPr>
            <w:r>
              <w:rPr>
                <w:rFonts w:hint="eastAsia"/>
              </w:rPr>
              <w:t>本项目</w:t>
            </w:r>
            <w:r>
              <w:rPr>
                <w:rFonts w:hint="eastAsia"/>
                <w:lang w:val="en-US" w:eastAsia="zh-CN"/>
              </w:rPr>
              <w:t>主体设备</w:t>
            </w:r>
            <w:r>
              <w:rPr>
                <w:rFonts w:hint="eastAsia"/>
              </w:rPr>
              <w:t>现已建成，本次评价施工期主要为尚未建成的环保设施，同时对已施工部分进行简要回顾性分析。</w:t>
            </w:r>
          </w:p>
          <w:p>
            <w:pPr>
              <w:keepNext w:val="0"/>
              <w:keepLines w:val="0"/>
              <w:suppressLineNumbers w:val="0"/>
              <w:spacing w:before="0" w:beforeAutospacing="0" w:after="0" w:afterAutospacing="0"/>
              <w:ind w:left="0" w:right="0" w:firstLine="480"/>
              <w:rPr>
                <w:rFonts w:hint="eastAsia"/>
                <w:b/>
                <w:bCs/>
              </w:rPr>
            </w:pPr>
            <w:r>
              <w:rPr>
                <w:rFonts w:hint="eastAsia"/>
                <w:b/>
                <w:bCs/>
              </w:rPr>
              <w:t>1、已经完成施工部分工程</w:t>
            </w:r>
          </w:p>
          <w:p>
            <w:pPr>
              <w:keepNext w:val="0"/>
              <w:keepLines w:val="0"/>
              <w:suppressLineNumbers w:val="0"/>
              <w:spacing w:before="0" w:beforeAutospacing="0" w:after="0" w:afterAutospacing="0"/>
              <w:ind w:left="0" w:right="0" w:firstLine="480"/>
              <w:rPr>
                <w:rFonts w:hint="eastAsia"/>
              </w:rPr>
            </w:pPr>
            <w:r>
              <w:rPr>
                <w:rFonts w:hint="eastAsia"/>
              </w:rPr>
              <w:t>根据现场踏勘，本项目主体工程现已建设完成。建设过程产生少量废气、废水、噪声及固废。目前，项目已建成运营，经环评调查，项目建设方在施工期间严格遵守了相关施工作业要求，项目区未遗留施工期环境问题，经向当地主管部门咨询，项目施工期未出现相关环保扰民投诉事件，项目施工过程产生扬尘、废水、噪声及固废对周围环境影响较小。</w:t>
            </w:r>
          </w:p>
          <w:p>
            <w:pPr>
              <w:keepNext w:val="0"/>
              <w:keepLines w:val="0"/>
              <w:suppressLineNumbers w:val="0"/>
              <w:spacing w:before="0" w:beforeAutospacing="0" w:after="0" w:afterAutospacing="0"/>
              <w:ind w:left="0" w:right="0" w:firstLine="480"/>
              <w:rPr>
                <w:rFonts w:hint="eastAsia"/>
                <w:b/>
                <w:bCs/>
              </w:rPr>
            </w:pPr>
            <w:r>
              <w:rPr>
                <w:rFonts w:hint="eastAsia"/>
                <w:b/>
                <w:bCs/>
              </w:rPr>
              <w:t>2、后续施工工程</w:t>
            </w:r>
          </w:p>
          <w:p>
            <w:pPr>
              <w:keepNext w:val="0"/>
              <w:keepLines w:val="0"/>
              <w:suppressLineNumbers w:val="0"/>
              <w:spacing w:before="0" w:beforeAutospacing="0" w:after="0" w:afterAutospacing="0"/>
              <w:ind w:left="0" w:right="0" w:firstLine="480"/>
              <w:rPr>
                <w:rFonts w:hint="eastAsia"/>
              </w:rPr>
            </w:pPr>
            <w:r>
              <w:rPr>
                <w:rFonts w:hint="eastAsia"/>
              </w:rPr>
              <w:t>本次评价后续施工主要为对环保设施的建设，项目后续施工过程污染物主要为废气、废水、噪声、固废等。</w:t>
            </w:r>
          </w:p>
          <w:p>
            <w:pPr>
              <w:keepNext w:val="0"/>
              <w:keepLines w:val="0"/>
              <w:suppressLineNumbers w:val="0"/>
              <w:spacing w:before="0" w:beforeAutospacing="0" w:after="0" w:afterAutospacing="0"/>
              <w:ind w:left="0" w:right="0" w:firstLine="480"/>
              <w:rPr>
                <w:rFonts w:hint="eastAsia"/>
              </w:rPr>
            </w:pPr>
            <w:r>
              <w:rPr>
                <w:rFonts w:hint="eastAsia"/>
              </w:rPr>
              <w:t>（1）施工期废气影响分析</w:t>
            </w:r>
          </w:p>
          <w:p>
            <w:pPr>
              <w:keepNext w:val="0"/>
              <w:keepLines w:val="0"/>
              <w:suppressLineNumbers w:val="0"/>
              <w:spacing w:before="0" w:beforeAutospacing="0" w:after="0" w:afterAutospacing="0"/>
              <w:ind w:left="0" w:right="0" w:firstLine="480"/>
              <w:rPr>
                <w:rFonts w:hint="eastAsia"/>
              </w:rPr>
            </w:pPr>
            <w:r>
              <w:rPr>
                <w:rFonts w:hint="eastAsia"/>
              </w:rPr>
              <w:t>施工期废气主要为施工扬尘、焊接烟尘、施工机械及车辆燃油废气等。</w:t>
            </w:r>
          </w:p>
          <w:p>
            <w:pPr>
              <w:keepNext w:val="0"/>
              <w:keepLines w:val="0"/>
              <w:suppressLineNumbers w:val="0"/>
              <w:spacing w:before="0" w:beforeAutospacing="0" w:after="0" w:afterAutospacing="0"/>
              <w:ind w:left="0" w:right="0" w:firstLine="480"/>
              <w:rPr>
                <w:rFonts w:hint="eastAsia"/>
              </w:rPr>
            </w:pPr>
            <w:r>
              <w:rPr>
                <w:rFonts w:hint="eastAsia"/>
              </w:rPr>
              <w:t>①施工扬尘影响</w:t>
            </w:r>
          </w:p>
          <w:p>
            <w:pPr>
              <w:keepNext w:val="0"/>
              <w:keepLines w:val="0"/>
              <w:suppressLineNumbers w:val="0"/>
              <w:spacing w:before="0" w:beforeAutospacing="0" w:after="0" w:afterAutospacing="0"/>
              <w:ind w:left="0" w:right="0" w:firstLine="480"/>
              <w:rPr>
                <w:rFonts w:hint="eastAsia"/>
              </w:rPr>
            </w:pPr>
            <w:r>
              <w:rPr>
                <w:rFonts w:hint="eastAsia"/>
              </w:rPr>
              <w:t>项目施工扬尘主要来自施工建筑材料装卸、运输、施工垃圾堆放等，为降低施工扬尘对周边大气环境的影响，应采取如下防治措施：</w:t>
            </w:r>
          </w:p>
          <w:p>
            <w:pPr>
              <w:keepNext w:val="0"/>
              <w:keepLines w:val="0"/>
              <w:suppressLineNumbers w:val="0"/>
              <w:spacing w:before="0" w:beforeAutospacing="0" w:after="0" w:afterAutospacing="0"/>
              <w:ind w:left="0" w:right="0" w:firstLine="480"/>
              <w:rPr>
                <w:rFonts w:hint="eastAsia"/>
              </w:rPr>
            </w:pPr>
            <w:r>
              <w:rPr>
                <w:rFonts w:hint="eastAsia"/>
              </w:rPr>
              <w:t>A、施工场地定期洒水，以有效防止扬尘，在风速大于四级风速气象条件下加大洒水量及洒水频次；</w:t>
            </w:r>
          </w:p>
          <w:p>
            <w:pPr>
              <w:keepNext w:val="0"/>
              <w:keepLines w:val="0"/>
              <w:suppressLineNumbers w:val="0"/>
              <w:spacing w:before="0" w:beforeAutospacing="0" w:after="0" w:afterAutospacing="0"/>
              <w:ind w:left="0" w:right="0" w:firstLine="480"/>
              <w:rPr>
                <w:rFonts w:hint="eastAsia"/>
              </w:rPr>
            </w:pPr>
            <w:r>
              <w:rPr>
                <w:rFonts w:hint="eastAsia"/>
              </w:rPr>
              <w:t>B、施工建筑材料定点堆放，在大风天气对散料堆场采用水喷淋防尘，用蓬布遮盖建筑材料，尽量按量购进建筑材料，避免在场内长时间堆放；</w:t>
            </w:r>
          </w:p>
          <w:p>
            <w:pPr>
              <w:keepNext w:val="0"/>
              <w:keepLines w:val="0"/>
              <w:suppressLineNumbers w:val="0"/>
              <w:spacing w:before="0" w:beforeAutospacing="0" w:after="0" w:afterAutospacing="0"/>
              <w:ind w:left="0" w:right="0" w:firstLine="480"/>
              <w:rPr>
                <w:rFonts w:hint="eastAsia"/>
              </w:rPr>
            </w:pPr>
            <w:r>
              <w:rPr>
                <w:rFonts w:hint="eastAsia"/>
              </w:rPr>
              <w:t>C、施工场地清理阶段做到先洒水，后清扫，施工后期建筑垃圾及时清理；</w:t>
            </w:r>
          </w:p>
          <w:p>
            <w:pPr>
              <w:keepNext w:val="0"/>
              <w:keepLines w:val="0"/>
              <w:suppressLineNumbers w:val="0"/>
              <w:spacing w:before="0" w:beforeAutospacing="0" w:after="0" w:afterAutospacing="0"/>
              <w:ind w:left="0" w:right="0" w:firstLine="480"/>
              <w:rPr>
                <w:rFonts w:hint="eastAsia"/>
              </w:rPr>
            </w:pPr>
            <w:r>
              <w:rPr>
                <w:rFonts w:hint="eastAsia"/>
              </w:rPr>
              <w:t>D、加强施工现场运输车辆管理，运输车辆必须车身整洁，装载车厢完好、严密，装载货物堆码整齐，严禁在装运过程沿途抛、洒、滴、漏，不得污染道路；</w:t>
            </w:r>
          </w:p>
          <w:p>
            <w:pPr>
              <w:keepNext w:val="0"/>
              <w:keepLines w:val="0"/>
              <w:suppressLineNumbers w:val="0"/>
              <w:spacing w:before="0" w:beforeAutospacing="0" w:after="0" w:afterAutospacing="0"/>
              <w:ind w:left="0" w:right="0" w:firstLine="480"/>
              <w:rPr>
                <w:rFonts w:hint="eastAsia"/>
              </w:rPr>
            </w:pPr>
            <w:r>
              <w:rPr>
                <w:rFonts w:hint="eastAsia"/>
              </w:rPr>
              <w:t>E、在施工中合理组织施工，缩短施工时间，尽量减少施工污染。</w:t>
            </w:r>
          </w:p>
          <w:p>
            <w:pPr>
              <w:keepNext w:val="0"/>
              <w:keepLines w:val="0"/>
              <w:suppressLineNumbers w:val="0"/>
              <w:spacing w:before="0" w:beforeAutospacing="0" w:after="0" w:afterAutospacing="0"/>
              <w:ind w:left="0" w:right="0" w:firstLine="480"/>
              <w:rPr>
                <w:rFonts w:hint="eastAsia"/>
              </w:rPr>
            </w:pPr>
            <w:r>
              <w:rPr>
                <w:rFonts w:hint="eastAsia"/>
              </w:rPr>
              <w:t>施工期产生的扬尘污染是短期的，随着施工活动的结束，施工扬尘对环境空气的影响也就随之结束，因此施工期扬尘对评价区域的空气环境影响较小。</w:t>
            </w:r>
          </w:p>
          <w:p>
            <w:pPr>
              <w:keepNext w:val="0"/>
              <w:keepLines w:val="0"/>
              <w:suppressLineNumbers w:val="0"/>
              <w:spacing w:before="0" w:beforeAutospacing="0" w:after="0" w:afterAutospacing="0"/>
              <w:ind w:left="0" w:right="0" w:firstLine="480"/>
              <w:rPr>
                <w:rFonts w:hint="eastAsia"/>
              </w:rPr>
            </w:pPr>
            <w:r>
              <w:rPr>
                <w:rFonts w:hint="eastAsia"/>
              </w:rPr>
              <w:t>②焊接烟尘影响</w:t>
            </w:r>
          </w:p>
          <w:p>
            <w:pPr>
              <w:keepNext w:val="0"/>
              <w:keepLines w:val="0"/>
              <w:suppressLineNumbers w:val="0"/>
              <w:spacing w:before="0" w:beforeAutospacing="0" w:after="0" w:afterAutospacing="0"/>
              <w:ind w:left="0" w:right="0" w:firstLine="480"/>
              <w:rPr>
                <w:rFonts w:hint="eastAsia"/>
              </w:rPr>
            </w:pPr>
            <w:r>
              <w:rPr>
                <w:rFonts w:hint="eastAsia"/>
              </w:rPr>
              <w:t>根据工程规模，项目焊接工程量较小，焊接过程烟尘量不大，呈无组织排放。施工焊接烟尘具有间断性产生、产生量较小、产生点相对分散、易被稀释扩散等特点，焊接烟尘经自然扩散和稀释后对周围环境影响较小。</w:t>
            </w:r>
          </w:p>
          <w:p>
            <w:pPr>
              <w:keepNext w:val="0"/>
              <w:keepLines w:val="0"/>
              <w:suppressLineNumbers w:val="0"/>
              <w:spacing w:before="0" w:beforeAutospacing="0" w:after="0" w:afterAutospacing="0"/>
              <w:ind w:left="0" w:right="0" w:firstLine="480"/>
              <w:rPr>
                <w:rFonts w:hint="eastAsia"/>
              </w:rPr>
            </w:pPr>
            <w:r>
              <w:rPr>
                <w:rFonts w:hint="eastAsia"/>
              </w:rPr>
              <w:t>③施工机械及车辆燃油废气影响</w:t>
            </w:r>
          </w:p>
          <w:p>
            <w:pPr>
              <w:keepNext w:val="0"/>
              <w:keepLines w:val="0"/>
              <w:suppressLineNumbers w:val="0"/>
              <w:spacing w:before="0" w:beforeAutospacing="0" w:after="0" w:afterAutospacing="0"/>
              <w:ind w:left="0" w:right="0" w:firstLine="480"/>
              <w:rPr>
                <w:rFonts w:hint="eastAsia"/>
              </w:rPr>
            </w:pPr>
            <w:r>
              <w:rPr>
                <w:rFonts w:hint="eastAsia"/>
              </w:rPr>
              <w:t>项目施工车辆运输过程及施工机械使用过程中产生的尾气将对沿路居民生活及环境空气产生一定的影响，因此，建设单位应在施工期间加强对车辆及施工机械的维修，尽量减少尾气的排放。施工机械和运输车辆所产生的废气经自然扩散和稀释后对周围环境影响较小。</w:t>
            </w:r>
          </w:p>
          <w:p>
            <w:pPr>
              <w:keepNext w:val="0"/>
              <w:keepLines w:val="0"/>
              <w:suppressLineNumbers w:val="0"/>
              <w:spacing w:before="0" w:beforeAutospacing="0" w:after="0" w:afterAutospacing="0"/>
              <w:ind w:left="0" w:right="0" w:firstLine="480"/>
              <w:rPr>
                <w:rFonts w:hint="eastAsia"/>
              </w:rPr>
            </w:pPr>
            <w:r>
              <w:rPr>
                <w:rFonts w:hint="eastAsia"/>
              </w:rPr>
              <w:t>（2）施工期废水影响分析</w:t>
            </w:r>
          </w:p>
          <w:p>
            <w:pPr>
              <w:keepNext w:val="0"/>
              <w:keepLines w:val="0"/>
              <w:suppressLineNumbers w:val="0"/>
              <w:spacing w:before="0" w:beforeAutospacing="0" w:after="0" w:afterAutospacing="0"/>
              <w:ind w:left="0" w:right="0" w:firstLine="480"/>
              <w:rPr>
                <w:rFonts w:hint="eastAsia"/>
              </w:rPr>
            </w:pPr>
            <w:r>
              <w:rPr>
                <w:rFonts w:hint="eastAsia"/>
              </w:rPr>
              <w:t>施工期产生的废水主要为施工废水及施工人员生活污水。</w:t>
            </w:r>
          </w:p>
          <w:p>
            <w:pPr>
              <w:keepNext w:val="0"/>
              <w:keepLines w:val="0"/>
              <w:suppressLineNumbers w:val="0"/>
              <w:spacing w:before="0" w:beforeAutospacing="0" w:after="0" w:afterAutospacing="0"/>
              <w:ind w:left="0" w:right="0" w:firstLine="480"/>
              <w:rPr>
                <w:rFonts w:hint="eastAsia"/>
              </w:rPr>
            </w:pPr>
            <w:r>
              <w:rPr>
                <w:rFonts w:hint="eastAsia"/>
              </w:rPr>
              <w:t>①施工废水</w:t>
            </w:r>
          </w:p>
          <w:p>
            <w:pPr>
              <w:keepNext w:val="0"/>
              <w:keepLines w:val="0"/>
              <w:suppressLineNumbers w:val="0"/>
              <w:spacing w:before="0" w:beforeAutospacing="0" w:after="0" w:afterAutospacing="0"/>
              <w:ind w:left="0" w:right="0" w:firstLine="480"/>
              <w:rPr>
                <w:rFonts w:hint="eastAsia"/>
              </w:rPr>
            </w:pPr>
            <w:r>
              <w:rPr>
                <w:rFonts w:hint="eastAsia"/>
              </w:rPr>
              <w:t>项目施工过程主要产生施工设备清洗废水，由于项目施工工程量较小，施工期设备清洗废水产生量较小，采用桶收集沉淀后用于项目施工场地洒水降尘，不外排。</w:t>
            </w:r>
          </w:p>
          <w:p>
            <w:pPr>
              <w:keepNext w:val="0"/>
              <w:keepLines w:val="0"/>
              <w:suppressLineNumbers w:val="0"/>
              <w:spacing w:before="0" w:beforeAutospacing="0" w:after="0" w:afterAutospacing="0"/>
              <w:ind w:left="0" w:right="0" w:firstLine="480"/>
              <w:rPr>
                <w:rFonts w:hint="eastAsia"/>
              </w:rPr>
            </w:pPr>
            <w:r>
              <w:rPr>
                <w:rFonts w:hint="eastAsia"/>
              </w:rPr>
              <w:t>②施工人员生活污水</w:t>
            </w:r>
          </w:p>
          <w:p>
            <w:pPr>
              <w:keepNext w:val="0"/>
              <w:keepLines w:val="0"/>
              <w:suppressLineNumbers w:val="0"/>
              <w:spacing w:before="0" w:beforeAutospacing="0" w:after="0" w:afterAutospacing="0"/>
              <w:ind w:left="0" w:right="0" w:firstLine="480"/>
              <w:rPr>
                <w:rFonts w:hint="eastAsia"/>
              </w:rPr>
            </w:pPr>
            <w:r>
              <w:rPr>
                <w:rFonts w:hint="eastAsia"/>
              </w:rPr>
              <w:t>项目施工期不设施工营地，施工人员均不在项目区食宿，少量洗手清洁及冲厕废水</w:t>
            </w:r>
            <w:r>
              <w:rPr>
                <w:rFonts w:hint="eastAsia"/>
                <w:lang w:val="en-US" w:eastAsia="zh-CN"/>
              </w:rPr>
              <w:t>依托周边村庄</w:t>
            </w:r>
            <w:r>
              <w:rPr>
                <w:rFonts w:hint="eastAsia"/>
              </w:rPr>
              <w:t>。</w:t>
            </w:r>
          </w:p>
          <w:p>
            <w:pPr>
              <w:keepNext w:val="0"/>
              <w:keepLines w:val="0"/>
              <w:suppressLineNumbers w:val="0"/>
              <w:spacing w:before="0" w:beforeAutospacing="0" w:after="0" w:afterAutospacing="0"/>
              <w:ind w:left="0" w:right="0" w:firstLine="480"/>
              <w:rPr>
                <w:rFonts w:hint="eastAsia"/>
                <w:b w:val="0"/>
                <w:bCs w:val="0"/>
              </w:rPr>
            </w:pPr>
            <w:r>
              <w:rPr>
                <w:rFonts w:hint="eastAsia"/>
                <w:b w:val="0"/>
                <w:bCs w:val="0"/>
              </w:rPr>
              <w:t>（3）噪声</w:t>
            </w:r>
          </w:p>
          <w:p>
            <w:pPr>
              <w:keepNext w:val="0"/>
              <w:keepLines w:val="0"/>
              <w:suppressLineNumbers w:val="0"/>
              <w:spacing w:before="0" w:beforeAutospacing="0" w:after="0" w:afterAutospacing="0"/>
              <w:ind w:left="0" w:right="0" w:firstLine="480"/>
              <w:rPr>
                <w:rFonts w:hint="eastAsia"/>
              </w:rPr>
            </w:pPr>
            <w:r>
              <w:rPr>
                <w:rFonts w:hint="eastAsia"/>
              </w:rPr>
              <w:t>施工期噪声主要为设备安装时的敲击声，通过选用低噪声设备、厂房进行隔声，并禁止施工人员抛掷物品，搬运时尽量轻拿轻放，合理安排施工时间（12:00~14:00、夜间不施工）等措施治理后，施工噪声对周边声环境影响较小。</w:t>
            </w:r>
          </w:p>
          <w:p>
            <w:pPr>
              <w:keepNext w:val="0"/>
              <w:keepLines w:val="0"/>
              <w:suppressLineNumbers w:val="0"/>
              <w:spacing w:before="0" w:beforeAutospacing="0" w:after="0" w:afterAutospacing="0"/>
              <w:ind w:left="0" w:right="0" w:firstLine="480"/>
              <w:rPr>
                <w:rFonts w:hint="eastAsia"/>
              </w:rPr>
            </w:pPr>
            <w:r>
              <w:rPr>
                <w:rFonts w:hint="eastAsia"/>
              </w:rPr>
              <w:t>（4）固体废弃物</w:t>
            </w:r>
          </w:p>
          <w:p>
            <w:pPr>
              <w:keepNext w:val="0"/>
              <w:keepLines w:val="0"/>
              <w:suppressLineNumbers w:val="0"/>
              <w:spacing w:before="0" w:beforeAutospacing="0" w:after="0" w:afterAutospacing="0"/>
              <w:ind w:left="0" w:right="0" w:firstLine="480"/>
              <w:rPr>
                <w:rFonts w:hint="eastAsia"/>
              </w:rPr>
            </w:pPr>
            <w:r>
              <w:rPr>
                <w:rFonts w:hint="eastAsia"/>
              </w:rPr>
              <w:t>项目施工期固体废弃物主要为建筑垃圾和生活垃圾。</w:t>
            </w:r>
          </w:p>
          <w:p>
            <w:pPr>
              <w:keepNext w:val="0"/>
              <w:keepLines w:val="0"/>
              <w:suppressLineNumbers w:val="0"/>
              <w:spacing w:before="0" w:beforeAutospacing="0" w:after="0" w:afterAutospacing="0"/>
              <w:ind w:left="0" w:right="0" w:firstLine="480"/>
              <w:rPr>
                <w:rFonts w:hint="eastAsia"/>
              </w:rPr>
            </w:pPr>
            <w:r>
              <w:rPr>
                <w:rFonts w:hint="eastAsia"/>
              </w:rPr>
              <w:t>①建筑垃圾</w:t>
            </w:r>
          </w:p>
          <w:p>
            <w:pPr>
              <w:keepNext w:val="0"/>
              <w:keepLines w:val="0"/>
              <w:suppressLineNumbers w:val="0"/>
              <w:spacing w:before="0" w:beforeAutospacing="0" w:after="0" w:afterAutospacing="0"/>
              <w:ind w:left="0" w:right="0" w:firstLine="480"/>
              <w:rPr>
                <w:rFonts w:hint="eastAsia"/>
              </w:rPr>
            </w:pPr>
            <w:r>
              <w:rPr>
                <w:rFonts w:hint="eastAsia"/>
              </w:rPr>
              <w:t>项目产生的建筑垃圾进行分类集中堆存，能回收利用的部分请回收商进行收购，重复利用；不能回收利用的运至政府部门指定的建筑垃圾堆放场处置，禁止与生活垃圾混合处置，禁止随意丢弃。</w:t>
            </w:r>
          </w:p>
          <w:p>
            <w:pPr>
              <w:keepNext w:val="0"/>
              <w:keepLines w:val="0"/>
              <w:suppressLineNumbers w:val="0"/>
              <w:spacing w:before="0" w:beforeAutospacing="0" w:after="0" w:afterAutospacing="0"/>
              <w:ind w:left="0" w:right="0" w:firstLine="480"/>
              <w:rPr>
                <w:rFonts w:hint="eastAsia"/>
              </w:rPr>
            </w:pPr>
            <w:r>
              <w:rPr>
                <w:rFonts w:hint="eastAsia"/>
              </w:rPr>
              <w:t>②施工人员生活垃圾</w:t>
            </w:r>
          </w:p>
          <w:p>
            <w:pPr>
              <w:keepNext w:val="0"/>
              <w:keepLines w:val="0"/>
              <w:suppressLineNumbers w:val="0"/>
              <w:spacing w:before="0" w:beforeAutospacing="0" w:after="0" w:afterAutospacing="0"/>
              <w:ind w:left="0" w:right="0" w:firstLine="480"/>
              <w:rPr>
                <w:rFonts w:hint="eastAsia"/>
              </w:rPr>
            </w:pPr>
            <w:r>
              <w:rPr>
                <w:rFonts w:hint="eastAsia"/>
              </w:rPr>
              <w:t>施工期施工人员均不在项目区食宿，生活垃圾产生量较小。生活垃圾以每人每天0.2kg计，则施工期生活垃圾产生量为2kg/d。施工人员生活垃圾统一收集至垃圾房后，由当地环卫部门处置。固废处置率100%，对周围环境影响较小。</w:t>
            </w:r>
          </w:p>
          <w:p>
            <w:pPr>
              <w:keepNext w:val="0"/>
              <w:keepLines w:val="0"/>
              <w:suppressLineNumbers w:val="0"/>
              <w:spacing w:before="0" w:beforeAutospacing="0" w:after="0" w:afterAutospacing="0"/>
              <w:ind w:left="0" w:right="0" w:firstLine="480"/>
              <w:rPr>
                <w:rFonts w:hint="default"/>
              </w:rPr>
            </w:pPr>
            <w:r>
              <w:rPr>
                <w:rFonts w:hint="eastAsia"/>
              </w:rPr>
              <w:t>综上，在各项环保措施得到切实实施的情况下，随着施工期的结束而消失，对周围环境产生的影响较小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654" w:type="dxa"/>
            <w:tcMar>
              <w:left w:w="28" w:type="dxa"/>
              <w:right w:w="28" w:type="dxa"/>
            </w:tcMar>
            <w:vAlign w:val="center"/>
          </w:tcPr>
          <w:p>
            <w:pPr>
              <w:keepNext w:val="0"/>
              <w:keepLines w:val="0"/>
              <w:suppressLineNumbers w:val="0"/>
              <w:spacing w:before="0" w:beforeAutospacing="0" w:after="0" w:afterAutospacing="0"/>
              <w:ind w:left="0" w:right="0" w:firstLine="0" w:firstLineChars="0"/>
              <w:jc w:val="center"/>
              <w:rPr>
                <w:rFonts w:hint="eastAsia"/>
              </w:rPr>
            </w:pPr>
            <w:r>
              <w:rPr>
                <w:rFonts w:hint="eastAsia"/>
              </w:rPr>
              <w:t>运营</w:t>
            </w:r>
          </w:p>
          <w:p>
            <w:pPr>
              <w:keepNext w:val="0"/>
              <w:keepLines w:val="0"/>
              <w:suppressLineNumbers w:val="0"/>
              <w:spacing w:before="0" w:beforeAutospacing="0" w:after="0" w:afterAutospacing="0"/>
              <w:ind w:left="0" w:right="0" w:firstLine="0" w:firstLineChars="0"/>
              <w:jc w:val="center"/>
              <w:rPr>
                <w:rFonts w:hint="eastAsia"/>
              </w:rPr>
            </w:pPr>
            <w:r>
              <w:rPr>
                <w:rFonts w:hint="eastAsia"/>
              </w:rPr>
              <w:t>期环</w:t>
            </w:r>
          </w:p>
          <w:p>
            <w:pPr>
              <w:keepNext w:val="0"/>
              <w:keepLines w:val="0"/>
              <w:suppressLineNumbers w:val="0"/>
              <w:spacing w:before="0" w:beforeAutospacing="0" w:after="0" w:afterAutospacing="0"/>
              <w:ind w:left="0" w:right="0" w:firstLine="0" w:firstLineChars="0"/>
              <w:jc w:val="center"/>
              <w:rPr>
                <w:rFonts w:hint="eastAsia"/>
              </w:rPr>
            </w:pPr>
            <w:r>
              <w:rPr>
                <w:rFonts w:hint="eastAsia"/>
              </w:rPr>
              <w:t>境影</w:t>
            </w:r>
          </w:p>
          <w:p>
            <w:pPr>
              <w:keepNext w:val="0"/>
              <w:keepLines w:val="0"/>
              <w:suppressLineNumbers w:val="0"/>
              <w:spacing w:before="0" w:beforeAutospacing="0" w:after="0" w:afterAutospacing="0"/>
              <w:ind w:left="0" w:right="0" w:firstLine="0" w:firstLineChars="0"/>
              <w:jc w:val="center"/>
              <w:rPr>
                <w:rFonts w:hint="eastAsia"/>
              </w:rPr>
            </w:pPr>
            <w:r>
              <w:rPr>
                <w:rFonts w:hint="eastAsia"/>
              </w:rPr>
              <w:t>响和</w:t>
            </w:r>
          </w:p>
          <w:p>
            <w:pPr>
              <w:keepNext w:val="0"/>
              <w:keepLines w:val="0"/>
              <w:suppressLineNumbers w:val="0"/>
              <w:spacing w:before="0" w:beforeAutospacing="0" w:after="0" w:afterAutospacing="0"/>
              <w:ind w:left="0" w:right="0" w:firstLine="0" w:firstLineChars="0"/>
              <w:jc w:val="center"/>
              <w:rPr>
                <w:rFonts w:hint="eastAsia"/>
              </w:rPr>
            </w:pPr>
            <w:r>
              <w:rPr>
                <w:rFonts w:hint="eastAsia"/>
              </w:rPr>
              <w:t>保护</w:t>
            </w:r>
          </w:p>
          <w:p>
            <w:pPr>
              <w:keepNext w:val="0"/>
              <w:keepLines w:val="0"/>
              <w:suppressLineNumbers w:val="0"/>
              <w:spacing w:before="0" w:beforeAutospacing="0" w:after="0" w:afterAutospacing="0"/>
              <w:ind w:left="0" w:right="0" w:firstLine="0" w:firstLineChars="0"/>
              <w:jc w:val="center"/>
              <w:rPr>
                <w:rFonts w:hint="eastAsia"/>
              </w:rPr>
            </w:pPr>
            <w:r>
              <w:rPr>
                <w:rFonts w:hint="eastAsia"/>
              </w:rPr>
              <w:t>措施</w:t>
            </w:r>
          </w:p>
        </w:tc>
        <w:tc>
          <w:tcPr>
            <w:tcW w:w="8254" w:type="dxa"/>
            <w:vAlign w:val="center"/>
          </w:tcPr>
          <w:p>
            <w:pPr>
              <w:keepNext w:val="0"/>
              <w:keepLines w:val="0"/>
              <w:suppressLineNumbers w:val="0"/>
              <w:spacing w:before="0" w:beforeAutospacing="0" w:after="0" w:afterAutospacing="0"/>
              <w:ind w:left="0" w:right="0" w:firstLine="480"/>
              <w:rPr>
                <w:rFonts w:hint="default" w:eastAsia="宋体"/>
                <w:lang w:val="en-US" w:eastAsia="zh-CN"/>
              </w:rPr>
            </w:pPr>
            <w:r>
              <w:rPr>
                <w:rFonts w:hint="eastAsia"/>
                <w:b/>
                <w:bCs/>
                <w:lang w:val="en-US" w:eastAsia="zh-CN"/>
              </w:rPr>
              <w:t>1、大气环境影响分析</w:t>
            </w:r>
          </w:p>
          <w:p>
            <w:pPr>
              <w:keepNext w:val="0"/>
              <w:keepLines w:val="0"/>
              <w:suppressLineNumbers w:val="0"/>
              <w:spacing w:before="0" w:beforeAutospacing="0" w:after="0" w:afterAutospacing="0"/>
              <w:ind w:left="0" w:right="0" w:firstLine="480"/>
              <w:rPr>
                <w:rFonts w:hint="default" w:eastAsia="宋体"/>
                <w:b/>
                <w:bCs/>
                <w:lang w:val="en-US" w:eastAsia="zh-CN"/>
              </w:rPr>
            </w:pPr>
            <w:r>
              <w:rPr>
                <w:rFonts w:hint="eastAsia"/>
                <w:b/>
                <w:bCs/>
                <w:lang w:eastAsia="zh-CN"/>
              </w:rPr>
              <w:t>（</w:t>
            </w:r>
            <w:r>
              <w:rPr>
                <w:rFonts w:hint="eastAsia"/>
                <w:b/>
                <w:bCs/>
                <w:lang w:val="en-US" w:eastAsia="zh-CN"/>
              </w:rPr>
              <w:t>1）废气产生源强</w:t>
            </w:r>
          </w:p>
          <w:p>
            <w:pPr>
              <w:keepNext w:val="0"/>
              <w:keepLines w:val="0"/>
              <w:suppressLineNumbers w:val="0"/>
              <w:bidi w:val="0"/>
              <w:spacing w:before="0" w:beforeAutospacing="0" w:after="0" w:afterAutospacing="0"/>
              <w:ind w:left="0" w:right="0"/>
              <w:rPr>
                <w:rFonts w:hint="default" w:eastAsia="宋体"/>
                <w:lang w:val="en-US" w:eastAsia="zh-CN"/>
              </w:rPr>
            </w:pPr>
            <w:r>
              <w:rPr>
                <w:rFonts w:hint="eastAsia"/>
                <w:lang w:val="en-US" w:eastAsia="zh-CN"/>
              </w:rPr>
              <w:t>①粉尘</w:t>
            </w:r>
          </w:p>
          <w:p>
            <w:pPr>
              <w:keepNext w:val="0"/>
              <w:keepLines w:val="0"/>
              <w:suppressLineNumbers w:val="0"/>
              <w:bidi w:val="0"/>
              <w:spacing w:before="0" w:beforeAutospacing="0" w:after="0" w:afterAutospacing="0"/>
              <w:ind w:left="0" w:right="0"/>
              <w:rPr>
                <w:rFonts w:hint="default"/>
              </w:rPr>
            </w:pPr>
            <w:r>
              <w:rPr>
                <w:rFonts w:hint="eastAsia"/>
              </w:rPr>
              <w:t>项目生产过程产生的粉尘主要来源于砂石骨料堆场扬尘</w:t>
            </w:r>
            <w:r>
              <w:rPr>
                <w:rFonts w:hint="eastAsia"/>
                <w:lang w:eastAsia="zh-CN"/>
              </w:rPr>
              <w:t>、</w:t>
            </w:r>
            <w:r>
              <w:rPr>
                <w:rFonts w:hint="eastAsia"/>
              </w:rPr>
              <w:t>上料输送</w:t>
            </w:r>
            <w:r>
              <w:rPr>
                <w:rFonts w:hint="eastAsia"/>
                <w:lang w:eastAsia="zh-CN"/>
              </w:rPr>
              <w:t>、</w:t>
            </w:r>
            <w:r>
              <w:rPr>
                <w:rFonts w:hint="eastAsia"/>
              </w:rPr>
              <w:t>加热烘干</w:t>
            </w:r>
            <w:r>
              <w:rPr>
                <w:rFonts w:hint="eastAsia"/>
                <w:lang w:eastAsia="zh-CN"/>
              </w:rPr>
              <w:t>、</w:t>
            </w:r>
            <w:r>
              <w:rPr>
                <w:rFonts w:hint="eastAsia"/>
              </w:rPr>
              <w:t>热料提升</w:t>
            </w:r>
            <w:r>
              <w:rPr>
                <w:rFonts w:hint="eastAsia"/>
                <w:lang w:eastAsia="zh-CN"/>
              </w:rPr>
              <w:t>、</w:t>
            </w:r>
            <w:r>
              <w:rPr>
                <w:rFonts w:hint="eastAsia"/>
              </w:rPr>
              <w:t>筛分</w:t>
            </w:r>
            <w:r>
              <w:rPr>
                <w:rFonts w:hint="eastAsia"/>
                <w:lang w:eastAsia="zh-CN"/>
              </w:rPr>
              <w:t>、</w:t>
            </w:r>
            <w:r>
              <w:rPr>
                <w:rFonts w:hint="eastAsia"/>
              </w:rPr>
              <w:t>矿粉储罐呼吸粉尘。</w:t>
            </w:r>
          </w:p>
          <w:p>
            <w:pPr>
              <w:keepNext w:val="0"/>
              <w:keepLines w:val="0"/>
              <w:suppressLineNumbers w:val="0"/>
              <w:bidi w:val="0"/>
              <w:spacing w:before="0" w:beforeAutospacing="0" w:after="0" w:afterAutospacing="0"/>
              <w:ind w:left="0" w:right="0"/>
              <w:rPr>
                <w:rFonts w:hint="default" w:eastAsia="宋体"/>
                <w:lang w:val="en-US" w:eastAsia="zh-CN"/>
              </w:rPr>
            </w:pPr>
            <w:r>
              <w:rPr>
                <w:rFonts w:hint="eastAsia"/>
                <w:lang w:val="en-US" w:eastAsia="zh-CN"/>
              </w:rPr>
              <w:t>A砂石骨料堆场扬尘</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u w:val="none"/>
              </w:rPr>
            </w:pPr>
            <w:r>
              <w:rPr>
                <w:rFonts w:hint="eastAsia" w:ascii="宋体" w:hAnsi="宋体" w:eastAsia="宋体" w:cs="宋体"/>
                <w:color w:val="auto"/>
                <w:kern w:val="2"/>
                <w:sz w:val="24"/>
                <w:szCs w:val="24"/>
                <w:u w:val="none"/>
                <w:lang w:val="en-US" w:eastAsia="zh-CN" w:bidi="ar"/>
              </w:rPr>
              <w:t>本项目砂石骨料堆场三面及顶部均为封闭仓库，仅留一张大门用于物料装卸</w:t>
            </w:r>
            <w:r>
              <w:rPr>
                <w:rFonts w:hint="eastAsia" w:ascii="宋体" w:hAnsi="宋体" w:cs="宋体"/>
                <w:color w:val="auto"/>
                <w:kern w:val="2"/>
                <w:sz w:val="24"/>
                <w:szCs w:val="24"/>
                <w:u w:val="none"/>
                <w:lang w:val="en-US" w:eastAsia="zh-CN" w:bidi="ar"/>
              </w:rPr>
              <w:t>，</w:t>
            </w:r>
            <w:r>
              <w:rPr>
                <w:rFonts w:hint="eastAsia" w:ascii="宋体" w:hAnsi="宋体" w:eastAsia="宋体" w:cs="宋体"/>
                <w:color w:val="auto"/>
                <w:kern w:val="2"/>
                <w:sz w:val="24"/>
                <w:szCs w:val="24"/>
                <w:u w:val="none"/>
                <w:lang w:val="en-US" w:eastAsia="zh-CN" w:bidi="ar"/>
              </w:rPr>
              <w:t>本评价参考《固体物料堆存颗粒物产排污核算系数手册》中的</w:t>
            </w:r>
            <w:r>
              <w:rPr>
                <w:rFonts w:hint="eastAsia" w:ascii="宋体" w:hAnsi="宋体" w:cs="宋体"/>
                <w:color w:val="auto"/>
                <w:kern w:val="2"/>
                <w:sz w:val="24"/>
                <w:szCs w:val="24"/>
                <w:u w:val="none"/>
                <w:lang w:val="en-US" w:eastAsia="zh-CN" w:bidi="ar"/>
              </w:rPr>
              <w:t>公式</w:t>
            </w:r>
            <w:r>
              <w:rPr>
                <w:rFonts w:hint="eastAsia" w:ascii="宋体" w:hAnsi="宋体" w:eastAsia="宋体" w:cs="宋体"/>
                <w:color w:val="auto"/>
                <w:kern w:val="2"/>
                <w:sz w:val="24"/>
                <w:szCs w:val="24"/>
                <w:u w:val="none"/>
                <w:lang w:val="en-US" w:eastAsia="zh-CN" w:bidi="ar"/>
              </w:rPr>
              <w:t>计算</w:t>
            </w:r>
            <w:r>
              <w:rPr>
                <w:rFonts w:hint="eastAsia" w:ascii="宋体" w:hAnsi="宋体" w:cs="宋体"/>
                <w:color w:val="auto"/>
                <w:kern w:val="2"/>
                <w:sz w:val="24"/>
                <w:szCs w:val="24"/>
                <w:u w:val="none"/>
                <w:lang w:val="en-US" w:eastAsia="zh-CN" w:bidi="ar"/>
              </w:rPr>
              <w:t>堆场扬尘</w:t>
            </w:r>
            <w:r>
              <w:rPr>
                <w:rFonts w:hint="eastAsia" w:ascii="宋体" w:hAnsi="宋体" w:eastAsia="宋体" w:cs="宋体"/>
                <w:color w:val="auto"/>
                <w:kern w:val="2"/>
                <w:sz w:val="24"/>
                <w:szCs w:val="24"/>
                <w:u w:val="none"/>
                <w:lang w:val="en-US" w:eastAsia="zh-CN" w:bidi="ar"/>
              </w:rPr>
              <w:t>，工业企业固体物料堆存颗粒物包括装卸场尘和风蚀扬尘，颗粒物产生量核算公式如下：</w:t>
            </w:r>
          </w:p>
          <w:p>
            <w:pPr>
              <w:keepNext w:val="0"/>
              <w:keepLines w:val="0"/>
              <w:widowControl w:val="0"/>
              <w:suppressLineNumbers w:val="0"/>
              <w:spacing w:before="0" w:beforeAutospacing="0" w:after="0" w:afterAutospacing="0" w:line="360" w:lineRule="auto"/>
              <w:ind w:left="0" w:right="0" w:firstLine="420" w:firstLineChars="200"/>
              <w:jc w:val="center"/>
              <w:rPr>
                <w:rFonts w:hint="default" w:ascii="Cambria Math" w:hAnsi="Cambria Math" w:eastAsia="宋体" w:cs="Times New Roman"/>
                <w:color w:val="auto"/>
                <w:kern w:val="2"/>
                <w:sz w:val="24"/>
                <w:szCs w:val="24"/>
                <w:u w:val="none"/>
              </w:rPr>
            </w:pPr>
            <m:oMathPara>
              <m:oMath>
                <m:r>
                  <m:rPr>
                    <m:sty m:val="p"/>
                  </m:rPr>
                  <w:rPr>
                    <w:rFonts w:hint="eastAsia" w:ascii="Cambria Math" w:hAnsi="Cambria Math" w:cs="Times New Roman"/>
                    <w:color w:val="auto"/>
                    <w:kern w:val="2"/>
                    <w:sz w:val="21"/>
                    <w:szCs w:val="21"/>
                    <w:u w:val="none"/>
                    <w:lang w:val="en-US" w:eastAsia="zh-CN" w:bidi="ar"/>
                  </w:rPr>
                  <m:t>P</m:t>
                </m:r>
                <m:r>
                  <m:rPr>
                    <m:sty m:val="p"/>
                  </m:rPr>
                  <w:rPr>
                    <w:rFonts w:hint="default" w:ascii="Cambria Math" w:hAnsi="Cambria Math" w:cs="Times New Roman"/>
                    <w:color w:val="auto"/>
                    <w:kern w:val="2"/>
                    <w:sz w:val="21"/>
                    <w:szCs w:val="21"/>
                    <w:u w:val="none"/>
                    <w:lang w:val="en-US" w:eastAsia="zh-CN" w:bidi="ar"/>
                  </w:rPr>
                  <m:t>=</m:t>
                </m:r>
                <m:sSub>
                  <m:sSubPr>
                    <m:ctrlPr>
                      <w:rPr>
                        <w:rFonts w:hint="default" w:ascii="Cambria Math" w:hAnsi="Cambria Math" w:cs="Times New Roman"/>
                        <w:color w:val="auto"/>
                        <w:kern w:val="2"/>
                        <w:sz w:val="21"/>
                        <w:szCs w:val="21"/>
                        <w:u w:val="none"/>
                        <w:lang w:val="en-US" w:eastAsia="zh-CN" w:bidi="ar"/>
                      </w:rPr>
                    </m:ctrlPr>
                  </m:sSubPr>
                  <m:e>
                    <m:r>
                      <m:rPr>
                        <m:sty m:val="p"/>
                      </m:rPr>
                      <w:rPr>
                        <w:rFonts w:hint="eastAsia" w:ascii="Cambria Math" w:hAnsi="Cambria Math" w:cs="Times New Roman"/>
                        <w:color w:val="auto"/>
                        <w:kern w:val="2"/>
                        <w:sz w:val="21"/>
                        <w:szCs w:val="21"/>
                        <w:u w:val="none"/>
                        <w:lang w:val="en-US" w:eastAsia="zh-CN" w:bidi="ar"/>
                      </w:rPr>
                      <m:t>ZC</m:t>
                    </m:r>
                    <m:ctrlPr>
                      <w:rPr>
                        <w:rFonts w:hint="default" w:ascii="Cambria Math" w:hAnsi="Cambria Math" w:cs="Times New Roman"/>
                        <w:color w:val="auto"/>
                        <w:kern w:val="2"/>
                        <w:sz w:val="21"/>
                        <w:szCs w:val="21"/>
                        <w:u w:val="none"/>
                        <w:lang w:val="en-US" w:eastAsia="zh-CN" w:bidi="ar"/>
                      </w:rPr>
                    </m:ctrlPr>
                  </m:e>
                  <m:sub>
                    <m:r>
                      <m:rPr>
                        <m:sty m:val="p"/>
                      </m:rPr>
                      <w:rPr>
                        <w:rFonts w:hint="default" w:ascii="Cambria Math" w:hAnsi="Cambria Math" w:cs="Times New Roman"/>
                        <w:color w:val="auto"/>
                        <w:kern w:val="2"/>
                        <w:sz w:val="21"/>
                        <w:szCs w:val="21"/>
                        <w:u w:val="none"/>
                        <w:lang w:val="en-US" w:eastAsia="zh-CN" w:bidi="ar"/>
                      </w:rPr>
                      <m:t>y</m:t>
                    </m:r>
                    <m:ctrlPr>
                      <w:rPr>
                        <w:rFonts w:hint="default" w:ascii="Cambria Math" w:hAnsi="Cambria Math" w:cs="Times New Roman"/>
                        <w:color w:val="auto"/>
                        <w:kern w:val="2"/>
                        <w:sz w:val="21"/>
                        <w:szCs w:val="21"/>
                        <w:u w:val="none"/>
                        <w:lang w:val="en-US" w:eastAsia="zh-CN" w:bidi="ar"/>
                      </w:rPr>
                    </m:ctrlPr>
                  </m:sub>
                </m:sSub>
                <m:r>
                  <m:rPr>
                    <m:sty m:val="p"/>
                  </m:rPr>
                  <w:rPr>
                    <w:rFonts w:hint="default" w:ascii="Cambria Math" w:hAnsi="Cambria Math" w:cs="Times New Roman"/>
                    <w:color w:val="auto"/>
                    <w:kern w:val="2"/>
                    <w:sz w:val="21"/>
                    <w:szCs w:val="21"/>
                    <w:u w:val="none"/>
                    <w:lang w:val="en-US" w:eastAsia="zh-CN" w:bidi="ar"/>
                  </w:rPr>
                  <m:t>+</m:t>
                </m:r>
                <m:sSub>
                  <m:sSubPr>
                    <m:ctrlPr>
                      <w:rPr>
                        <w:rFonts w:hint="default" w:ascii="Cambria Math" w:hAnsi="Cambria Math" w:cs="Times New Roman"/>
                        <w:color w:val="auto"/>
                        <w:kern w:val="2"/>
                        <w:sz w:val="21"/>
                        <w:szCs w:val="21"/>
                        <w:u w:val="none"/>
                        <w:lang w:val="en-US" w:eastAsia="zh-CN" w:bidi="ar"/>
                      </w:rPr>
                    </m:ctrlPr>
                  </m:sSubPr>
                  <m:e>
                    <m:r>
                      <m:rPr>
                        <m:sty m:val="p"/>
                      </m:rPr>
                      <w:rPr>
                        <w:rFonts w:hint="default" w:ascii="Cambria Math" w:hAnsi="Cambria Math" w:cs="Times New Roman"/>
                        <w:color w:val="auto"/>
                        <w:kern w:val="2"/>
                        <w:sz w:val="21"/>
                        <w:szCs w:val="21"/>
                        <w:u w:val="none"/>
                        <w:lang w:val="en-US" w:eastAsia="zh-CN" w:bidi="ar"/>
                      </w:rPr>
                      <m:t>FC</m:t>
                    </m:r>
                    <m:ctrlPr>
                      <w:rPr>
                        <w:rFonts w:hint="default" w:ascii="Cambria Math" w:hAnsi="Cambria Math" w:cs="Times New Roman"/>
                        <w:color w:val="auto"/>
                        <w:kern w:val="2"/>
                        <w:sz w:val="21"/>
                        <w:szCs w:val="21"/>
                        <w:u w:val="none"/>
                        <w:lang w:val="en-US" w:eastAsia="zh-CN" w:bidi="ar"/>
                      </w:rPr>
                    </m:ctrlPr>
                  </m:e>
                  <m:sub>
                    <m:r>
                      <m:rPr>
                        <m:sty m:val="p"/>
                      </m:rPr>
                      <w:rPr>
                        <w:rFonts w:hint="default" w:ascii="Cambria Math" w:hAnsi="Cambria Math" w:cs="Times New Roman"/>
                        <w:color w:val="auto"/>
                        <w:kern w:val="2"/>
                        <w:sz w:val="21"/>
                        <w:szCs w:val="21"/>
                        <w:u w:val="none"/>
                        <w:lang w:val="en-US" w:eastAsia="zh-CN" w:bidi="ar"/>
                      </w:rPr>
                      <m:t>y</m:t>
                    </m:r>
                    <m:ctrlPr>
                      <w:rPr>
                        <w:rFonts w:hint="default" w:ascii="Cambria Math" w:hAnsi="Cambria Math" w:cs="Times New Roman"/>
                        <w:color w:val="auto"/>
                        <w:kern w:val="2"/>
                        <w:sz w:val="21"/>
                        <w:szCs w:val="21"/>
                        <w:u w:val="none"/>
                        <w:lang w:val="en-US" w:eastAsia="zh-CN" w:bidi="ar"/>
                      </w:rPr>
                    </m:ctrlPr>
                  </m:sub>
                </m:sSub>
                <m:r>
                  <m:rPr>
                    <m:sty m:val="p"/>
                  </m:rPr>
                  <w:rPr>
                    <w:rFonts w:hint="default" w:ascii="Cambria Math" w:hAnsi="Cambria Math" w:cs="Times New Roman"/>
                    <w:color w:val="auto"/>
                    <w:kern w:val="2"/>
                    <w:sz w:val="21"/>
                    <w:szCs w:val="21"/>
                    <w:u w:val="none"/>
                    <w:lang w:val="en-US" w:eastAsia="zh-CN" w:bidi="ar"/>
                  </w:rPr>
                  <m:t>=</m:t>
                </m:r>
                <m:d>
                  <m:dPr>
                    <m:begChr m:val="{"/>
                    <m:endChr m:val="}"/>
                    <m:ctrlPr>
                      <w:rPr>
                        <w:rFonts w:hint="default" w:ascii="Cambria Math" w:hAnsi="Cambria Math" w:cs="Times New Roman"/>
                        <w:color w:val="auto"/>
                        <w:kern w:val="2"/>
                        <w:sz w:val="21"/>
                        <w:szCs w:val="21"/>
                        <w:u w:val="none"/>
                        <w:lang w:val="en-US" w:eastAsia="zh-CN" w:bidi="ar"/>
                      </w:rPr>
                    </m:ctrlPr>
                  </m:dPr>
                  <m:e>
                    <m:sSub>
                      <m:sSubPr>
                        <m:ctrlPr>
                          <w:rPr>
                            <w:rFonts w:hint="default" w:ascii="Cambria Math" w:hAnsi="Cambria Math" w:cs="Times New Roman"/>
                            <w:color w:val="auto"/>
                            <w:kern w:val="2"/>
                            <w:sz w:val="21"/>
                            <w:szCs w:val="21"/>
                            <w:u w:val="none"/>
                            <w:lang w:val="en-US" w:eastAsia="zh-CN" w:bidi="ar"/>
                          </w:rPr>
                        </m:ctrlPr>
                      </m:sSubPr>
                      <m:e>
                        <m:r>
                          <m:rPr>
                            <m:sty m:val="p"/>
                          </m:rPr>
                          <w:rPr>
                            <w:rFonts w:hint="default" w:ascii="Cambria Math" w:hAnsi="Cambria Math" w:cs="Times New Roman"/>
                            <w:color w:val="auto"/>
                            <w:kern w:val="2"/>
                            <w:sz w:val="21"/>
                            <w:szCs w:val="21"/>
                            <w:u w:val="none"/>
                            <w:lang w:val="en-US" w:eastAsia="zh-CN" w:bidi="ar"/>
                          </w:rPr>
                          <m:t>N</m:t>
                        </m:r>
                        <m:ctrlPr>
                          <w:rPr>
                            <w:rFonts w:hint="default" w:ascii="Cambria Math" w:hAnsi="Cambria Math" w:cs="Times New Roman"/>
                            <w:color w:val="auto"/>
                            <w:kern w:val="2"/>
                            <w:sz w:val="21"/>
                            <w:szCs w:val="21"/>
                            <w:u w:val="none"/>
                            <w:lang w:val="en-US" w:eastAsia="zh-CN" w:bidi="ar"/>
                          </w:rPr>
                        </m:ctrlPr>
                      </m:e>
                      <m:sub>
                        <m:r>
                          <m:rPr>
                            <m:sty m:val="p"/>
                          </m:rPr>
                          <w:rPr>
                            <w:rFonts w:hint="default" w:ascii="Cambria Math" w:hAnsi="Cambria Math" w:cs="Times New Roman"/>
                            <w:color w:val="auto"/>
                            <w:kern w:val="2"/>
                            <w:sz w:val="21"/>
                            <w:szCs w:val="21"/>
                            <w:u w:val="none"/>
                            <w:lang w:val="en-US" w:eastAsia="zh-CN" w:bidi="ar"/>
                          </w:rPr>
                          <m:t>c</m:t>
                        </m:r>
                        <m:ctrlPr>
                          <w:rPr>
                            <w:rFonts w:hint="default" w:ascii="Cambria Math" w:hAnsi="Cambria Math" w:cs="Times New Roman"/>
                            <w:color w:val="auto"/>
                            <w:kern w:val="2"/>
                            <w:sz w:val="21"/>
                            <w:szCs w:val="21"/>
                            <w:u w:val="none"/>
                            <w:lang w:val="en-US" w:eastAsia="zh-CN" w:bidi="ar"/>
                          </w:rPr>
                        </m:ctrlPr>
                      </m:sub>
                    </m:sSub>
                    <m:r>
                      <m:rPr>
                        <m:sty m:val="p"/>
                      </m:rPr>
                      <w:rPr>
                        <w:rFonts w:hint="default" w:ascii="Cambria Math" w:hAnsi="Cambria Math" w:cs="Times New Roman"/>
                        <w:color w:val="auto"/>
                        <w:kern w:val="2"/>
                        <w:sz w:val="21"/>
                        <w:szCs w:val="21"/>
                        <w:u w:val="none"/>
                        <w:lang w:val="en-US" w:bidi="ar"/>
                      </w:rPr>
                      <m:t>×</m:t>
                    </m:r>
                    <m:r>
                      <m:rPr>
                        <m:sty m:val="p"/>
                      </m:rPr>
                      <w:rPr>
                        <w:rFonts w:hint="default" w:ascii="Cambria Math" w:hAnsi="Cambria Math" w:cs="Times New Roman"/>
                        <w:color w:val="auto"/>
                        <w:kern w:val="2"/>
                        <w:sz w:val="21"/>
                        <w:szCs w:val="21"/>
                        <w:u w:val="none"/>
                        <w:lang w:val="en-US" w:eastAsia="zh-CN" w:bidi="ar"/>
                      </w:rPr>
                      <m:t>D</m:t>
                    </m:r>
                    <m:r>
                      <m:rPr>
                        <m:sty m:val="p"/>
                      </m:rPr>
                      <w:rPr>
                        <w:rFonts w:hint="default" w:ascii="Cambria Math" w:hAnsi="Cambria Math" w:cs="Times New Roman"/>
                        <w:color w:val="auto"/>
                        <w:kern w:val="2"/>
                        <w:sz w:val="21"/>
                        <w:szCs w:val="21"/>
                        <w:u w:val="none"/>
                        <w:lang w:val="en-US" w:bidi="ar"/>
                      </w:rPr>
                      <m:t>×</m:t>
                    </m:r>
                    <m:d>
                      <m:dPr>
                        <m:ctrlPr>
                          <w:rPr>
                            <w:rFonts w:hint="default" w:ascii="Cambria Math" w:hAnsi="Cambria Math" w:cs="Times New Roman"/>
                            <w:color w:val="auto"/>
                            <w:kern w:val="2"/>
                            <w:sz w:val="21"/>
                            <w:szCs w:val="21"/>
                            <w:u w:val="none"/>
                            <w:lang w:val="en-US" w:bidi="ar"/>
                          </w:rPr>
                        </m:ctrlPr>
                      </m:dPr>
                      <m:e>
                        <m:f>
                          <m:fPr>
                            <m:ctrlPr>
                              <w:rPr>
                                <w:rFonts w:hint="default" w:ascii="Cambria Math" w:hAnsi="Cambria Math" w:cs="Times New Roman"/>
                                <w:color w:val="auto"/>
                                <w:kern w:val="2"/>
                                <w:sz w:val="21"/>
                                <w:szCs w:val="21"/>
                                <w:u w:val="none"/>
                                <w:lang w:val="en-US" w:bidi="ar"/>
                              </w:rPr>
                            </m:ctrlPr>
                          </m:fPr>
                          <m:num>
                            <m:r>
                              <m:rPr>
                                <m:sty m:val="p"/>
                              </m:rPr>
                              <w:rPr>
                                <w:rFonts w:hint="default" w:ascii="Cambria Math" w:hAnsi="Cambria Math" w:cs="Times New Roman"/>
                                <w:color w:val="auto"/>
                                <w:kern w:val="2"/>
                                <w:sz w:val="21"/>
                                <w:szCs w:val="21"/>
                                <w:u w:val="none"/>
                                <w:lang w:val="en-US" w:eastAsia="zh-CN" w:bidi="ar"/>
                              </w:rPr>
                              <m:t>a</m:t>
                            </m:r>
                            <m:ctrlPr>
                              <w:rPr>
                                <w:rFonts w:hint="default" w:ascii="Cambria Math" w:hAnsi="Cambria Math" w:cs="Times New Roman"/>
                                <w:color w:val="auto"/>
                                <w:kern w:val="2"/>
                                <w:sz w:val="21"/>
                                <w:szCs w:val="21"/>
                                <w:u w:val="none"/>
                                <w:lang w:val="en-US" w:bidi="ar"/>
                              </w:rPr>
                            </m:ctrlPr>
                          </m:num>
                          <m:den>
                            <m:r>
                              <m:rPr>
                                <m:sty m:val="p"/>
                              </m:rPr>
                              <w:rPr>
                                <w:rFonts w:hint="default" w:ascii="Cambria Math" w:hAnsi="Cambria Math" w:cs="Times New Roman"/>
                                <w:color w:val="auto"/>
                                <w:kern w:val="2"/>
                                <w:sz w:val="21"/>
                                <w:szCs w:val="21"/>
                                <w:u w:val="none"/>
                                <w:lang w:val="en-US" w:eastAsia="zh-CN" w:bidi="ar"/>
                              </w:rPr>
                              <m:t>b</m:t>
                            </m:r>
                            <m:ctrlPr>
                              <w:rPr>
                                <w:rFonts w:hint="default" w:ascii="Cambria Math" w:hAnsi="Cambria Math" w:cs="Times New Roman"/>
                                <w:color w:val="auto"/>
                                <w:kern w:val="2"/>
                                <w:sz w:val="21"/>
                                <w:szCs w:val="21"/>
                                <w:u w:val="none"/>
                                <w:lang w:val="en-US" w:bidi="ar"/>
                              </w:rPr>
                            </m:ctrlPr>
                          </m:den>
                        </m:f>
                        <m:ctrlPr>
                          <w:rPr>
                            <w:rFonts w:hint="default" w:ascii="Cambria Math" w:hAnsi="Cambria Math" w:cs="Times New Roman"/>
                            <w:color w:val="auto"/>
                            <w:kern w:val="2"/>
                            <w:sz w:val="21"/>
                            <w:szCs w:val="21"/>
                            <w:u w:val="none"/>
                            <w:lang w:val="en-US" w:bidi="ar"/>
                          </w:rPr>
                        </m:ctrlPr>
                      </m:e>
                    </m:d>
                    <m:r>
                      <m:rPr>
                        <m:sty m:val="p"/>
                      </m:rPr>
                      <w:rPr>
                        <w:rFonts w:hint="default" w:ascii="Cambria Math" w:hAnsi="Cambria Math" w:cs="Times New Roman"/>
                        <w:color w:val="auto"/>
                        <w:kern w:val="2"/>
                        <w:sz w:val="21"/>
                        <w:szCs w:val="21"/>
                        <w:u w:val="none"/>
                        <w:lang w:val="en-US" w:eastAsia="zh-CN" w:bidi="ar"/>
                      </w:rPr>
                      <m:t>+2</m:t>
                    </m:r>
                    <m:r>
                      <m:rPr>
                        <m:sty m:val="p"/>
                      </m:rPr>
                      <w:rPr>
                        <w:rFonts w:hint="default" w:ascii="Cambria Math" w:hAnsi="Cambria Math" w:cs="Times New Roman"/>
                        <w:color w:val="auto"/>
                        <w:kern w:val="2"/>
                        <w:sz w:val="21"/>
                        <w:szCs w:val="21"/>
                        <w:u w:val="none"/>
                        <w:lang w:val="en-US" w:bidi="ar"/>
                      </w:rPr>
                      <m:t>×</m:t>
                    </m:r>
                    <m:sSub>
                      <m:sSubPr>
                        <m:ctrlPr>
                          <w:rPr>
                            <w:rFonts w:hint="default" w:ascii="Cambria Math" w:hAnsi="Cambria Math" w:cs="Times New Roman"/>
                            <w:color w:val="auto"/>
                            <w:kern w:val="2"/>
                            <w:sz w:val="21"/>
                            <w:szCs w:val="21"/>
                            <w:u w:val="none"/>
                            <w:lang w:val="en-US" w:eastAsia="zh-CN" w:bidi="ar"/>
                          </w:rPr>
                        </m:ctrlPr>
                      </m:sSubPr>
                      <m:e>
                        <m:r>
                          <m:rPr>
                            <m:sty m:val="p"/>
                          </m:rPr>
                          <w:rPr>
                            <w:rFonts w:hint="default" w:ascii="Cambria Math" w:hAnsi="Cambria Math" w:cs="Times New Roman"/>
                            <w:color w:val="auto"/>
                            <w:kern w:val="2"/>
                            <w:sz w:val="21"/>
                            <w:szCs w:val="21"/>
                            <w:u w:val="none"/>
                            <w:lang w:val="en-US" w:eastAsia="zh-CN" w:bidi="ar"/>
                          </w:rPr>
                          <m:t>E</m:t>
                        </m:r>
                        <m:ctrlPr>
                          <w:rPr>
                            <w:rFonts w:hint="default" w:ascii="Cambria Math" w:hAnsi="Cambria Math" w:cs="Times New Roman"/>
                            <w:color w:val="auto"/>
                            <w:kern w:val="2"/>
                            <w:sz w:val="21"/>
                            <w:szCs w:val="21"/>
                            <w:u w:val="none"/>
                            <w:lang w:val="en-US" w:eastAsia="zh-CN" w:bidi="ar"/>
                          </w:rPr>
                        </m:ctrlPr>
                      </m:e>
                      <m:sub>
                        <m:r>
                          <m:rPr>
                            <m:sty m:val="p"/>
                          </m:rPr>
                          <w:rPr>
                            <w:rFonts w:hint="default" w:ascii="Cambria Math" w:hAnsi="Cambria Math" w:cs="Times New Roman"/>
                            <w:color w:val="auto"/>
                            <w:kern w:val="2"/>
                            <w:sz w:val="21"/>
                            <w:szCs w:val="21"/>
                            <w:u w:val="none"/>
                            <w:lang w:val="en-US" w:eastAsia="zh-CN" w:bidi="ar"/>
                          </w:rPr>
                          <m:t>f</m:t>
                        </m:r>
                        <m:ctrlPr>
                          <w:rPr>
                            <w:rFonts w:hint="default" w:ascii="Cambria Math" w:hAnsi="Cambria Math" w:cs="Times New Roman"/>
                            <w:color w:val="auto"/>
                            <w:kern w:val="2"/>
                            <w:sz w:val="21"/>
                            <w:szCs w:val="21"/>
                            <w:u w:val="none"/>
                            <w:lang w:val="en-US" w:eastAsia="zh-CN" w:bidi="ar"/>
                          </w:rPr>
                        </m:ctrlPr>
                      </m:sub>
                    </m:sSub>
                    <m:r>
                      <m:rPr>
                        <m:sty m:val="p"/>
                      </m:rPr>
                      <w:rPr>
                        <w:rFonts w:hint="default" w:ascii="Cambria Math" w:hAnsi="Cambria Math" w:cs="Times New Roman"/>
                        <w:color w:val="auto"/>
                        <w:kern w:val="2"/>
                        <w:sz w:val="21"/>
                        <w:szCs w:val="21"/>
                        <w:u w:val="none"/>
                        <w:lang w:val="en-US" w:bidi="ar"/>
                      </w:rPr>
                      <m:t>×</m:t>
                    </m:r>
                    <m:r>
                      <m:rPr>
                        <m:sty m:val="p"/>
                      </m:rPr>
                      <w:rPr>
                        <w:rFonts w:hint="default" w:ascii="Cambria Math" w:hAnsi="Cambria Math" w:cs="Times New Roman"/>
                        <w:color w:val="auto"/>
                        <w:kern w:val="2"/>
                        <w:sz w:val="21"/>
                        <w:szCs w:val="21"/>
                        <w:u w:val="none"/>
                        <w:lang w:val="en-US" w:eastAsia="zh-CN" w:bidi="ar"/>
                      </w:rPr>
                      <m:t>S</m:t>
                    </m:r>
                    <m:ctrlPr>
                      <w:rPr>
                        <w:rFonts w:hint="default" w:ascii="Cambria Math" w:hAnsi="Cambria Math" w:cs="Times New Roman"/>
                        <w:color w:val="auto"/>
                        <w:kern w:val="2"/>
                        <w:sz w:val="21"/>
                        <w:szCs w:val="21"/>
                        <w:u w:val="none"/>
                        <w:lang w:val="en-US" w:eastAsia="zh-CN" w:bidi="ar"/>
                      </w:rPr>
                    </m:ctrlPr>
                  </m:e>
                </m:d>
                <m:r>
                  <m:rPr>
                    <m:sty m:val="p"/>
                  </m:rPr>
                  <w:rPr>
                    <w:rFonts w:hint="default" w:ascii="Cambria Math" w:hAnsi="Cambria Math" w:cs="Cambria Math"/>
                    <w:color w:val="auto"/>
                    <w:kern w:val="2"/>
                    <w:sz w:val="21"/>
                    <w:szCs w:val="21"/>
                    <w:u w:val="none"/>
                    <w:lang w:val="en-US" w:eastAsia="zh-CN" w:bidi="ar"/>
                  </w:rPr>
                  <m:t>×</m:t>
                </m:r>
                <m:sSup>
                  <m:sSupPr>
                    <m:ctrlPr>
                      <w:rPr>
                        <w:rFonts w:hint="default" w:ascii="Cambria Math" w:hAnsi="Cambria Math" w:cs="Cambria Math"/>
                        <w:color w:val="auto"/>
                        <w:kern w:val="2"/>
                        <w:sz w:val="21"/>
                        <w:szCs w:val="21"/>
                        <w:u w:val="none"/>
                        <w:lang w:val="en-US" w:eastAsia="zh-CN" w:bidi="ar"/>
                      </w:rPr>
                    </m:ctrlPr>
                  </m:sSupPr>
                  <m:e>
                    <m:r>
                      <m:rPr>
                        <m:sty m:val="p"/>
                      </m:rPr>
                      <w:rPr>
                        <w:rFonts w:hint="default" w:ascii="Cambria Math" w:hAnsi="Cambria Math" w:cs="Cambria Math"/>
                        <w:color w:val="auto"/>
                        <w:kern w:val="2"/>
                        <w:sz w:val="21"/>
                        <w:szCs w:val="21"/>
                        <w:u w:val="none"/>
                        <w:lang w:val="en-US" w:eastAsia="zh-CN" w:bidi="ar"/>
                      </w:rPr>
                      <m:t>10</m:t>
                    </m:r>
                    <m:ctrlPr>
                      <w:rPr>
                        <w:rFonts w:hint="default" w:ascii="Cambria Math" w:hAnsi="Cambria Math" w:cs="Cambria Math"/>
                        <w:color w:val="auto"/>
                        <w:kern w:val="2"/>
                        <w:sz w:val="21"/>
                        <w:szCs w:val="21"/>
                        <w:u w:val="none"/>
                        <w:lang w:val="en-US" w:eastAsia="zh-CN" w:bidi="ar"/>
                      </w:rPr>
                    </m:ctrlPr>
                  </m:e>
                  <m:sup>
                    <m:r>
                      <m:rPr>
                        <m:sty m:val="p"/>
                      </m:rPr>
                      <w:rPr>
                        <w:rFonts w:hint="default" w:ascii="Cambria Math" w:hAnsi="Cambria Math" w:cs="Cambria Math"/>
                        <w:color w:val="auto"/>
                        <w:kern w:val="2"/>
                        <w:sz w:val="21"/>
                        <w:szCs w:val="21"/>
                        <w:u w:val="none"/>
                        <w:lang w:val="en-US" w:eastAsia="zh-CN" w:bidi="ar"/>
                      </w:rPr>
                      <m:t>−3</m:t>
                    </m:r>
                    <m:ctrlPr>
                      <w:rPr>
                        <w:rFonts w:hint="default" w:ascii="Cambria Math" w:hAnsi="Cambria Math" w:cs="Cambria Math"/>
                        <w:color w:val="auto"/>
                        <w:kern w:val="2"/>
                        <w:sz w:val="21"/>
                        <w:szCs w:val="21"/>
                        <w:u w:val="none"/>
                        <w:lang w:val="en-US" w:eastAsia="zh-CN" w:bidi="ar"/>
                      </w:rPr>
                    </m:ctrlPr>
                  </m:sup>
                </m:sSup>
              </m:oMath>
            </m:oMathPara>
          </w:p>
          <w:p>
            <w:pPr>
              <w:keepNext w:val="0"/>
              <w:keepLines w:val="0"/>
              <w:widowControl w:val="0"/>
              <w:suppressLineNumbers w:val="0"/>
              <w:spacing w:before="0" w:beforeAutospacing="0" w:after="0" w:afterAutospacing="0" w:line="360" w:lineRule="auto"/>
              <w:ind w:left="0" w:right="0" w:firstLine="480" w:firstLineChars="200"/>
              <w:jc w:val="both"/>
              <w:rPr>
                <w:rFonts w:hint="default"/>
                <w:color w:val="auto"/>
                <w:u w:val="none"/>
                <w:lang w:val="en-US"/>
              </w:rPr>
            </w:pPr>
            <w:r>
              <w:rPr>
                <w:rFonts w:hint="eastAsia"/>
                <w:color w:val="auto"/>
                <w:u w:val="none"/>
                <w:lang w:val="en-US" w:eastAsia="zh-CN"/>
              </w:rPr>
              <w:t>式中：</w:t>
            </w:r>
            <w:r>
              <w:rPr>
                <w:rFonts w:hint="default"/>
                <w:color w:val="auto"/>
                <w:u w:val="none"/>
                <w:lang w:val="en-US" w:eastAsia="zh-CN"/>
              </w:rPr>
              <w:t>P</w:t>
            </w:r>
            <w:r>
              <w:rPr>
                <w:rFonts w:hint="eastAsia"/>
                <w:color w:val="auto"/>
                <w:u w:val="none"/>
                <w:lang w:val="en-US" w:eastAsia="zh-CN"/>
              </w:rPr>
              <w:t>指颗粒物产生量</w:t>
            </w:r>
            <w:r>
              <w:rPr>
                <w:rFonts w:hint="default"/>
                <w:color w:val="auto"/>
                <w:u w:val="none"/>
                <w:lang w:val="en-US" w:eastAsia="zh-CN"/>
              </w:rPr>
              <w:t>(</w:t>
            </w:r>
            <w:r>
              <w:rPr>
                <w:rFonts w:hint="eastAsia"/>
                <w:color w:val="auto"/>
                <w:u w:val="none"/>
                <w:lang w:val="en-US" w:eastAsia="zh-CN"/>
              </w:rPr>
              <w:t>单位：吨</w:t>
            </w:r>
            <w:r>
              <w:rPr>
                <w:rFonts w:hint="default"/>
                <w:color w:val="auto"/>
                <w:u w:val="none"/>
                <w:lang w:val="en-US" w:eastAsia="zh-CN"/>
              </w:rPr>
              <w:t>)</w:t>
            </w:r>
            <w:r>
              <w:rPr>
                <w:rFonts w:hint="eastAsia"/>
                <w:color w:val="auto"/>
                <w:u w:val="none"/>
                <w:lang w:val="en-US" w:eastAsia="zh-CN"/>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color w:val="auto"/>
                <w:u w:val="none"/>
              </w:rPr>
            </w:pPr>
            <w:r>
              <w:rPr>
                <w:rFonts w:hint="default"/>
                <w:color w:val="auto"/>
                <w:u w:val="none"/>
                <w:lang w:val="en-US" w:eastAsia="zh-CN"/>
              </w:rPr>
              <w:t>ZC</w:t>
            </w:r>
            <w:r>
              <w:rPr>
                <w:rFonts w:hint="default"/>
                <w:color w:val="auto"/>
                <w:u w:val="none"/>
                <w:vertAlign w:val="subscript"/>
                <w:lang w:val="en-US" w:eastAsia="zh-CN"/>
              </w:rPr>
              <w:t>y</w:t>
            </w:r>
            <w:r>
              <w:rPr>
                <w:rFonts w:hint="eastAsia"/>
                <w:color w:val="auto"/>
                <w:u w:val="none"/>
                <w:lang w:val="en-US" w:eastAsia="zh-CN"/>
              </w:rPr>
              <w:t>指装卸扬尘产生量</w:t>
            </w:r>
            <w:r>
              <w:rPr>
                <w:rFonts w:hint="default"/>
                <w:color w:val="auto"/>
                <w:u w:val="none"/>
                <w:lang w:val="en-US" w:eastAsia="zh-CN"/>
              </w:rPr>
              <w:t>(</w:t>
            </w:r>
            <w:r>
              <w:rPr>
                <w:rFonts w:hint="eastAsia"/>
                <w:color w:val="auto"/>
                <w:u w:val="none"/>
                <w:lang w:val="en-US" w:eastAsia="zh-CN"/>
              </w:rPr>
              <w:t>单位：吨</w:t>
            </w:r>
            <w:r>
              <w:rPr>
                <w:rFonts w:hint="default"/>
                <w:color w:val="auto"/>
                <w:u w:val="none"/>
                <w:lang w:val="en-US" w:eastAsia="zh-CN"/>
              </w:rPr>
              <w:t>)</w:t>
            </w:r>
            <w:r>
              <w:rPr>
                <w:rFonts w:hint="eastAsia"/>
                <w:color w:val="auto"/>
                <w:u w:val="none"/>
                <w:lang w:val="en-US" w:eastAsia="zh-CN"/>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color w:val="auto"/>
                <w:u w:val="none"/>
              </w:rPr>
            </w:pPr>
            <w:r>
              <w:rPr>
                <w:rFonts w:hint="default"/>
                <w:color w:val="auto"/>
                <w:u w:val="none"/>
                <w:lang w:val="en-US" w:eastAsia="zh-CN"/>
              </w:rPr>
              <w:t>FC</w:t>
            </w:r>
            <w:r>
              <w:rPr>
                <w:rFonts w:hint="default"/>
                <w:color w:val="auto"/>
                <w:u w:val="none"/>
                <w:vertAlign w:val="subscript"/>
                <w:lang w:val="en-US" w:eastAsia="zh-CN"/>
              </w:rPr>
              <w:t>y</w:t>
            </w:r>
            <w:r>
              <w:rPr>
                <w:rFonts w:hint="eastAsia"/>
                <w:color w:val="auto"/>
                <w:u w:val="none"/>
                <w:lang w:val="en-US" w:eastAsia="zh-CN"/>
              </w:rPr>
              <w:t>指风蚀扬尘产生量</w:t>
            </w:r>
            <w:r>
              <w:rPr>
                <w:rFonts w:hint="default"/>
                <w:color w:val="auto"/>
                <w:u w:val="none"/>
                <w:lang w:val="en-US" w:eastAsia="zh-CN"/>
              </w:rPr>
              <w:t>(</w:t>
            </w:r>
            <w:r>
              <w:rPr>
                <w:rFonts w:hint="eastAsia"/>
                <w:color w:val="auto"/>
                <w:u w:val="none"/>
                <w:lang w:val="en-US" w:eastAsia="zh-CN"/>
              </w:rPr>
              <w:t>单位：吨</w:t>
            </w:r>
            <w:r>
              <w:rPr>
                <w:rFonts w:hint="default"/>
                <w:color w:val="auto"/>
                <w:u w:val="none"/>
                <w:lang w:val="en-US" w:eastAsia="zh-CN"/>
              </w:rPr>
              <w:t>)</w:t>
            </w:r>
            <w:r>
              <w:rPr>
                <w:rFonts w:hint="eastAsia"/>
                <w:color w:val="auto"/>
                <w:u w:val="none"/>
                <w:lang w:val="en-US" w:eastAsia="zh-CN"/>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color w:val="FF0000"/>
                <w:u w:val="single"/>
              </w:rPr>
            </w:pPr>
            <w:r>
              <w:rPr>
                <w:rFonts w:hint="default"/>
                <w:color w:val="auto"/>
                <w:u w:val="none"/>
                <w:lang w:val="en-US" w:eastAsia="zh-CN"/>
              </w:rPr>
              <w:t>N</w:t>
            </w:r>
            <w:r>
              <w:rPr>
                <w:rFonts w:hint="default"/>
                <w:color w:val="auto"/>
                <w:u w:val="none"/>
                <w:vertAlign w:val="subscript"/>
                <w:lang w:val="en-US" w:eastAsia="zh-CN"/>
              </w:rPr>
              <w:t>c</w:t>
            </w:r>
            <w:r>
              <w:rPr>
                <w:rFonts w:hint="eastAsia"/>
                <w:color w:val="auto"/>
                <w:u w:val="none"/>
                <w:lang w:val="en-US" w:eastAsia="zh-CN"/>
              </w:rPr>
              <w:t>指年物料运载车次，</w:t>
            </w:r>
            <w:r>
              <w:rPr>
                <w:rFonts w:hint="eastAsia"/>
                <w:color w:val="auto"/>
                <w:highlight w:val="none"/>
                <w:u w:val="none"/>
                <w:lang w:val="en-US" w:eastAsia="zh-CN"/>
              </w:rPr>
              <w:t>本项目砂料堆场年堆放量10万</w:t>
            </w:r>
            <w:r>
              <w:rPr>
                <w:rFonts w:hint="default"/>
                <w:color w:val="auto"/>
                <w:highlight w:val="none"/>
                <w:u w:val="none"/>
                <w:lang w:bidi="ar"/>
              </w:rPr>
              <w:t>t/a，</w:t>
            </w:r>
            <w:r>
              <w:rPr>
                <w:rFonts w:hint="eastAsia"/>
                <w:color w:val="auto"/>
                <w:highlight w:val="none"/>
                <w:u w:val="none"/>
                <w:lang w:val="en-US" w:eastAsia="zh-CN" w:bidi="ar"/>
              </w:rPr>
              <w:t>运输车辆平均运载量为40t/车，因此年物料运载车次为2500</w:t>
            </w:r>
            <w:r>
              <w:rPr>
                <w:rFonts w:hint="eastAsia"/>
                <w:color w:val="auto"/>
                <w:highlight w:val="none"/>
                <w:u w:val="none"/>
                <w:lang w:val="en-US" w:eastAsia="zh-CN"/>
              </w:rPr>
              <w:t>车；</w:t>
            </w:r>
          </w:p>
          <w:p>
            <w:pPr>
              <w:keepNext w:val="0"/>
              <w:keepLines w:val="0"/>
              <w:widowControl w:val="0"/>
              <w:suppressLineNumbers w:val="0"/>
              <w:spacing w:before="0" w:beforeAutospacing="0" w:after="0" w:afterAutospacing="0" w:line="360" w:lineRule="auto"/>
              <w:ind w:left="0" w:right="0" w:firstLine="480" w:firstLineChars="200"/>
              <w:jc w:val="both"/>
              <w:rPr>
                <w:rFonts w:hint="default"/>
                <w:color w:val="auto"/>
                <w:highlight w:val="none"/>
                <w:u w:val="none"/>
              </w:rPr>
            </w:pPr>
            <w:r>
              <w:rPr>
                <w:rFonts w:hint="default"/>
                <w:color w:val="auto"/>
                <w:highlight w:val="none"/>
                <w:u w:val="none"/>
                <w:lang w:val="en-US" w:eastAsia="zh-CN"/>
              </w:rPr>
              <w:t>D</w:t>
            </w:r>
            <w:r>
              <w:rPr>
                <w:rFonts w:hint="eastAsia"/>
                <w:color w:val="auto"/>
                <w:highlight w:val="none"/>
                <w:u w:val="none"/>
                <w:lang w:val="en-US" w:eastAsia="zh-CN"/>
              </w:rPr>
              <w:t>指单车平均运载量，本项目取4</w:t>
            </w:r>
            <w:r>
              <w:rPr>
                <w:rFonts w:hint="default"/>
                <w:color w:val="auto"/>
                <w:highlight w:val="none"/>
                <w:u w:val="none"/>
                <w:lang w:val="en-US" w:eastAsia="zh-CN"/>
              </w:rPr>
              <w:t>0(</w:t>
            </w:r>
            <w:r>
              <w:rPr>
                <w:rFonts w:hint="eastAsia"/>
                <w:color w:val="auto"/>
                <w:highlight w:val="none"/>
                <w:u w:val="none"/>
                <w:lang w:val="en-US" w:eastAsia="zh-CN"/>
              </w:rPr>
              <w:t>单位：吨</w:t>
            </w:r>
            <w:r>
              <w:rPr>
                <w:rFonts w:hint="default"/>
                <w:color w:val="auto"/>
                <w:highlight w:val="none"/>
                <w:u w:val="none"/>
                <w:lang w:val="en-US" w:eastAsia="zh-CN"/>
              </w:rPr>
              <w:t>/</w:t>
            </w:r>
            <w:r>
              <w:rPr>
                <w:rFonts w:hint="eastAsia"/>
                <w:color w:val="auto"/>
                <w:highlight w:val="none"/>
                <w:u w:val="none"/>
                <w:lang w:val="en-US" w:eastAsia="zh-CN"/>
              </w:rPr>
              <w:t>车</w:t>
            </w:r>
            <w:r>
              <w:rPr>
                <w:rFonts w:hint="default"/>
                <w:color w:val="auto"/>
                <w:highlight w:val="none"/>
                <w:u w:val="none"/>
                <w:lang w:val="en-US" w:eastAsia="zh-CN"/>
              </w:rPr>
              <w:t>)</w:t>
            </w:r>
            <w:r>
              <w:rPr>
                <w:rFonts w:hint="eastAsia"/>
                <w:color w:val="auto"/>
                <w:highlight w:val="none"/>
                <w:u w:val="none"/>
                <w:lang w:val="en-US" w:eastAsia="zh-CN"/>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color w:val="auto"/>
                <w:highlight w:val="none"/>
                <w:u w:val="none"/>
              </w:rPr>
            </w:pPr>
            <w:r>
              <w:rPr>
                <w:rFonts w:hint="default"/>
                <w:color w:val="auto"/>
                <w:highlight w:val="none"/>
                <w:u w:val="none"/>
                <w:lang w:val="en-US" w:eastAsia="zh-CN"/>
              </w:rPr>
              <w:t>a/b</w:t>
            </w:r>
            <w:r>
              <w:rPr>
                <w:rFonts w:hint="eastAsia"/>
                <w:color w:val="auto"/>
                <w:highlight w:val="none"/>
                <w:u w:val="none"/>
                <w:lang w:val="en-US" w:eastAsia="zh-CN"/>
              </w:rPr>
              <w:t>指装卸扬尘概化系数</w:t>
            </w:r>
            <w:r>
              <w:rPr>
                <w:rFonts w:hint="default"/>
                <w:color w:val="auto"/>
                <w:highlight w:val="none"/>
                <w:u w:val="none"/>
                <w:lang w:val="en-US" w:eastAsia="zh-CN"/>
              </w:rPr>
              <w:t>(</w:t>
            </w:r>
            <w:r>
              <w:rPr>
                <w:rFonts w:hint="eastAsia"/>
                <w:color w:val="auto"/>
                <w:highlight w:val="none"/>
                <w:u w:val="none"/>
                <w:lang w:val="en-US" w:eastAsia="zh-CN"/>
              </w:rPr>
              <w:t>单位：千克</w:t>
            </w:r>
            <w:r>
              <w:rPr>
                <w:rFonts w:hint="default"/>
                <w:color w:val="auto"/>
                <w:highlight w:val="none"/>
                <w:u w:val="none"/>
                <w:lang w:val="en-US" w:eastAsia="zh-CN"/>
              </w:rPr>
              <w:t>/</w:t>
            </w:r>
            <w:r>
              <w:rPr>
                <w:rFonts w:hint="eastAsia"/>
                <w:color w:val="auto"/>
                <w:highlight w:val="none"/>
                <w:u w:val="none"/>
                <w:lang w:val="en-US" w:eastAsia="zh-CN"/>
              </w:rPr>
              <w:t>吨</w:t>
            </w:r>
            <w:r>
              <w:rPr>
                <w:rFonts w:hint="default"/>
                <w:color w:val="auto"/>
                <w:highlight w:val="none"/>
                <w:u w:val="none"/>
                <w:lang w:val="en-US" w:eastAsia="zh-CN"/>
              </w:rPr>
              <w:t>)</w:t>
            </w:r>
            <w:r>
              <w:rPr>
                <w:rFonts w:hint="eastAsia"/>
                <w:color w:val="auto"/>
                <w:highlight w:val="none"/>
                <w:u w:val="none"/>
                <w:lang w:val="en-US" w:eastAsia="zh-CN"/>
              </w:rPr>
              <w:t>，</w:t>
            </w:r>
            <w:r>
              <w:rPr>
                <w:rFonts w:hint="default"/>
                <w:color w:val="auto"/>
                <w:highlight w:val="none"/>
                <w:u w:val="none"/>
                <w:lang w:val="en-US" w:eastAsia="zh-CN"/>
              </w:rPr>
              <w:t>a</w:t>
            </w:r>
            <w:r>
              <w:rPr>
                <w:rFonts w:hint="eastAsia"/>
                <w:color w:val="auto"/>
                <w:highlight w:val="none"/>
                <w:u w:val="none"/>
                <w:lang w:val="en-US" w:eastAsia="zh-CN"/>
              </w:rPr>
              <w:t>指各省风速概化系数，云南省取</w:t>
            </w:r>
            <w:r>
              <w:rPr>
                <w:rFonts w:hint="default"/>
                <w:color w:val="auto"/>
                <w:highlight w:val="none"/>
                <w:u w:val="none"/>
                <w:lang w:val="en-US" w:eastAsia="zh-CN"/>
              </w:rPr>
              <w:t>0.0009</w:t>
            </w:r>
            <w:r>
              <w:rPr>
                <w:rFonts w:hint="eastAsia"/>
                <w:color w:val="auto"/>
                <w:highlight w:val="none"/>
                <w:u w:val="none"/>
                <w:lang w:val="en-US" w:eastAsia="zh-CN"/>
              </w:rPr>
              <w:t>，</w:t>
            </w:r>
            <w:r>
              <w:rPr>
                <w:rFonts w:hint="default"/>
                <w:color w:val="auto"/>
                <w:highlight w:val="none"/>
                <w:u w:val="none"/>
                <w:lang w:val="en-US" w:eastAsia="zh-CN"/>
              </w:rPr>
              <w:t>b</w:t>
            </w:r>
            <w:r>
              <w:rPr>
                <w:rFonts w:hint="eastAsia"/>
                <w:color w:val="auto"/>
                <w:highlight w:val="none"/>
                <w:u w:val="none"/>
                <w:lang w:val="en-US" w:eastAsia="zh-CN"/>
              </w:rPr>
              <w:t>指物料含水率概化系数，本项目堆存物料为砂石料，则</w:t>
            </w:r>
            <w:r>
              <w:rPr>
                <w:rFonts w:hint="default"/>
                <w:color w:val="auto"/>
                <w:highlight w:val="none"/>
                <w:u w:val="none"/>
                <w:lang w:val="en-US" w:eastAsia="zh-CN"/>
              </w:rPr>
              <w:t>b</w:t>
            </w:r>
            <w:r>
              <w:rPr>
                <w:rFonts w:hint="eastAsia"/>
                <w:color w:val="auto"/>
                <w:highlight w:val="none"/>
                <w:u w:val="none"/>
                <w:lang w:val="en-US" w:eastAsia="zh-CN"/>
              </w:rPr>
              <w:t>取</w:t>
            </w:r>
            <w:r>
              <w:rPr>
                <w:rFonts w:hint="default"/>
                <w:color w:val="auto"/>
                <w:highlight w:val="none"/>
                <w:u w:val="none"/>
                <w:lang w:val="en-US" w:eastAsia="zh-CN"/>
              </w:rPr>
              <w:t>0.00</w:t>
            </w:r>
            <w:r>
              <w:rPr>
                <w:rFonts w:hint="eastAsia"/>
                <w:color w:val="auto"/>
                <w:highlight w:val="none"/>
                <w:u w:val="none"/>
                <w:lang w:val="en-US" w:eastAsia="zh-CN"/>
              </w:rPr>
              <w:t>17；</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u w:val="none"/>
              </w:rPr>
            </w:pPr>
            <w:r>
              <w:rPr>
                <w:rFonts w:hint="default"/>
                <w:color w:val="auto"/>
                <w:highlight w:val="none"/>
                <w:u w:val="none"/>
                <w:lang w:val="en-US" w:eastAsia="zh-CN"/>
              </w:rPr>
              <w:t>E</w:t>
            </w:r>
            <w:r>
              <w:rPr>
                <w:rFonts w:hint="default"/>
                <w:color w:val="auto"/>
                <w:highlight w:val="none"/>
                <w:u w:val="none"/>
                <w:vertAlign w:val="subscript"/>
                <w:lang w:val="en-US" w:eastAsia="zh-CN"/>
              </w:rPr>
              <w:t>f</w:t>
            </w:r>
            <w:r>
              <w:rPr>
                <w:rFonts w:hint="eastAsia"/>
                <w:color w:val="auto"/>
                <w:highlight w:val="none"/>
                <w:u w:val="none"/>
                <w:lang w:val="en-US" w:eastAsia="zh-CN"/>
              </w:rPr>
              <w:t>指堆场风蚀扬尘概化系数，</w:t>
            </w:r>
            <w:r>
              <w:rPr>
                <w:rFonts w:hint="default" w:ascii="Times New Roman" w:hAnsi="Times New Roman" w:eastAsia="宋体" w:cs="Times New Roman"/>
                <w:color w:val="auto"/>
                <w:kern w:val="2"/>
                <w:sz w:val="24"/>
                <w:szCs w:val="24"/>
                <w:highlight w:val="none"/>
                <w:u w:val="none"/>
                <w:lang w:val="en-US" w:eastAsia="zh-CN" w:bidi="ar"/>
              </w:rPr>
              <w:t>本项目取3.6062(单位：千克/平方米)；</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u w:val="none"/>
              </w:rPr>
            </w:pPr>
            <w:r>
              <w:rPr>
                <w:rFonts w:hint="default" w:ascii="Times New Roman" w:hAnsi="Times New Roman" w:eastAsia="宋体" w:cs="Times New Roman"/>
                <w:color w:val="auto"/>
                <w:kern w:val="2"/>
                <w:sz w:val="24"/>
                <w:szCs w:val="24"/>
                <w:highlight w:val="none"/>
                <w:u w:val="none"/>
                <w:lang w:val="en-US" w:eastAsia="zh-CN" w:bidi="ar"/>
              </w:rPr>
              <w:t>S</w:t>
            </w:r>
            <w:r>
              <w:rPr>
                <w:rFonts w:hint="eastAsia" w:ascii="宋体" w:hAnsi="宋体" w:eastAsia="宋体" w:cs="宋体"/>
                <w:color w:val="auto"/>
                <w:kern w:val="2"/>
                <w:sz w:val="24"/>
                <w:szCs w:val="24"/>
                <w:highlight w:val="none"/>
                <w:u w:val="none"/>
                <w:lang w:val="en-US" w:eastAsia="zh-CN" w:bidi="ar"/>
              </w:rPr>
              <w:t>指堆场占地面积</w:t>
            </w:r>
            <w:r>
              <w:rPr>
                <w:rFonts w:hint="default" w:ascii="Times New Roman" w:hAnsi="Times New Roman" w:eastAsia="宋体" w:cs="Times New Roman"/>
                <w:color w:val="auto"/>
                <w:kern w:val="2"/>
                <w:sz w:val="24"/>
                <w:szCs w:val="24"/>
                <w:highlight w:val="none"/>
                <w:u w:val="none"/>
                <w:lang w:val="en-US" w:eastAsia="zh-CN" w:bidi="ar"/>
              </w:rPr>
              <w:t>(</w:t>
            </w:r>
            <w:r>
              <w:rPr>
                <w:rFonts w:hint="eastAsia" w:ascii="宋体" w:hAnsi="宋体" w:eastAsia="宋体" w:cs="宋体"/>
                <w:color w:val="auto"/>
                <w:kern w:val="2"/>
                <w:sz w:val="24"/>
                <w:szCs w:val="24"/>
                <w:highlight w:val="none"/>
                <w:u w:val="none"/>
                <w:lang w:val="en-US" w:eastAsia="zh-CN" w:bidi="ar"/>
              </w:rPr>
              <w:t>单位：平方米</w:t>
            </w:r>
            <w:r>
              <w:rPr>
                <w:rFonts w:hint="default" w:ascii="Times New Roman" w:hAnsi="Times New Roman" w:eastAsia="宋体" w:cs="Times New Roman"/>
                <w:color w:val="auto"/>
                <w:kern w:val="2"/>
                <w:sz w:val="24"/>
                <w:szCs w:val="24"/>
                <w:highlight w:val="none"/>
                <w:u w:val="none"/>
                <w:lang w:val="en-US" w:eastAsia="zh-CN" w:bidi="ar"/>
              </w:rPr>
              <w:t>)</w:t>
            </w:r>
            <w:r>
              <w:rPr>
                <w:rFonts w:hint="eastAsia" w:ascii="宋体" w:hAnsi="宋体" w:eastAsia="宋体" w:cs="宋体"/>
                <w:color w:val="auto"/>
                <w:kern w:val="2"/>
                <w:sz w:val="24"/>
                <w:szCs w:val="24"/>
                <w:highlight w:val="none"/>
                <w:u w:val="none"/>
                <w:lang w:val="en-US" w:eastAsia="zh-CN" w:bidi="ar"/>
              </w:rPr>
              <w:t>，本项目</w:t>
            </w:r>
            <w:r>
              <w:rPr>
                <w:rFonts w:hint="eastAsia" w:ascii="宋体" w:hAnsi="宋体" w:cs="宋体"/>
                <w:color w:val="auto"/>
                <w:kern w:val="2"/>
                <w:sz w:val="24"/>
                <w:szCs w:val="24"/>
                <w:highlight w:val="none"/>
                <w:u w:val="none"/>
                <w:lang w:val="en-US" w:eastAsia="zh-CN" w:bidi="ar"/>
              </w:rPr>
              <w:t>砂料堆放区</w:t>
            </w:r>
            <w:r>
              <w:rPr>
                <w:rFonts w:hint="eastAsia" w:ascii="宋体" w:hAnsi="宋体" w:eastAsia="宋体" w:cs="宋体"/>
                <w:color w:val="auto"/>
                <w:kern w:val="2"/>
                <w:sz w:val="24"/>
                <w:szCs w:val="24"/>
                <w:highlight w:val="none"/>
                <w:u w:val="none"/>
                <w:lang w:val="en-US" w:eastAsia="zh-CN" w:bidi="ar"/>
              </w:rPr>
              <w:t>面积</w:t>
            </w:r>
            <w:r>
              <w:rPr>
                <w:rFonts w:hint="eastAsia" w:ascii="Times New Roman" w:hAnsi="Times New Roman" w:eastAsia="宋体" w:cs="Times New Roman"/>
                <w:color w:val="auto"/>
                <w:kern w:val="2"/>
                <w:sz w:val="24"/>
                <w:szCs w:val="24"/>
                <w:highlight w:val="none"/>
                <w:u w:val="none"/>
                <w:lang w:val="en-US" w:eastAsia="zh-CN" w:bidi="ar"/>
              </w:rPr>
              <w:t>130</w:t>
            </w:r>
            <w:r>
              <w:rPr>
                <w:rFonts w:hint="default" w:ascii="Times New Roman" w:hAnsi="Times New Roman" w:eastAsia="宋体" w:cs="Times New Roman"/>
                <w:color w:val="auto"/>
                <w:kern w:val="2"/>
                <w:sz w:val="24"/>
                <w:szCs w:val="24"/>
                <w:highlight w:val="none"/>
                <w:u w:val="none"/>
                <w:lang w:val="en-US" w:eastAsia="zh-CN" w:bidi="ar"/>
              </w:rPr>
              <w:t>0m</w:t>
            </w:r>
            <w:r>
              <w:rPr>
                <w:rFonts w:hint="default" w:ascii="Times New Roman" w:hAnsi="Times New Roman" w:eastAsia="宋体" w:cs="Times New Roman"/>
                <w:color w:val="auto"/>
                <w:kern w:val="2"/>
                <w:sz w:val="24"/>
                <w:szCs w:val="24"/>
                <w:highlight w:val="none"/>
                <w:u w:val="none"/>
                <w:vertAlign w:val="superscript"/>
                <w:lang w:val="en-US" w:eastAsia="zh-CN" w:bidi="ar"/>
              </w:rPr>
              <w:t>2</w:t>
            </w:r>
            <w:r>
              <w:rPr>
                <w:rFonts w:hint="eastAsia" w:ascii="宋体" w:hAnsi="宋体" w:eastAsia="宋体" w:cs="宋体"/>
                <w:color w:val="auto"/>
                <w:kern w:val="2"/>
                <w:sz w:val="24"/>
                <w:szCs w:val="24"/>
                <w:highlight w:val="none"/>
                <w:u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rPr>
            </w:pPr>
            <w:r>
              <w:rPr>
                <w:rFonts w:hint="default" w:ascii="Times New Roman" w:hAnsi="Times New Roman" w:eastAsia="宋体" w:cs="Times New Roman"/>
                <w:color w:val="auto"/>
                <w:kern w:val="2"/>
                <w:sz w:val="24"/>
                <w:szCs w:val="24"/>
                <w:highlight w:val="none"/>
                <w:u w:val="none"/>
                <w:lang w:val="en-US" w:eastAsia="zh-CN" w:bidi="ar"/>
              </w:rPr>
              <w:t>经</w:t>
            </w:r>
            <w:r>
              <w:rPr>
                <w:rFonts w:hint="eastAsia" w:cs="Times New Roman"/>
                <w:color w:val="auto"/>
                <w:kern w:val="2"/>
                <w:sz w:val="24"/>
                <w:szCs w:val="24"/>
                <w:highlight w:val="none"/>
                <w:u w:val="none"/>
                <w:lang w:val="en-US" w:eastAsia="zh-CN" w:bidi="ar"/>
              </w:rPr>
              <w:t>上式</w:t>
            </w:r>
            <w:r>
              <w:rPr>
                <w:rFonts w:hint="default" w:ascii="Times New Roman" w:hAnsi="Times New Roman" w:eastAsia="宋体" w:cs="Times New Roman"/>
                <w:color w:val="auto"/>
                <w:kern w:val="2"/>
                <w:sz w:val="24"/>
                <w:szCs w:val="24"/>
                <w:highlight w:val="none"/>
                <w:u w:val="none"/>
                <w:lang w:val="en-US" w:eastAsia="zh-CN" w:bidi="ar"/>
              </w:rPr>
              <w:t>计算P（颗粒物产生量）为</w:t>
            </w:r>
            <w:r>
              <w:rPr>
                <w:rFonts w:hint="eastAsia" w:eastAsia="宋体" w:cs="Times New Roman"/>
                <w:color w:val="auto"/>
                <w:kern w:val="2"/>
                <w:sz w:val="24"/>
                <w:szCs w:val="24"/>
                <w:highlight w:val="none"/>
                <w:u w:val="none"/>
                <w:lang w:val="en-US" w:eastAsia="zh-CN" w:bidi="ar"/>
              </w:rPr>
              <w:t>62.3</w:t>
            </w:r>
            <w:r>
              <w:rPr>
                <w:rFonts w:hint="default" w:ascii="Times New Roman" w:hAnsi="Times New Roman" w:eastAsia="宋体" w:cs="Times New Roman"/>
                <w:color w:val="auto"/>
                <w:kern w:val="2"/>
                <w:sz w:val="24"/>
                <w:szCs w:val="24"/>
                <w:highlight w:val="none"/>
                <w:u w:val="none"/>
                <w:lang w:val="en-US" w:eastAsia="zh-CN" w:bidi="ar"/>
              </w:rPr>
              <w:t>t/a。</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FF0000"/>
                <w:kern w:val="2"/>
                <w:sz w:val="24"/>
                <w:szCs w:val="24"/>
                <w:highlight w:val="none"/>
                <w:u w:val="single"/>
                <w:lang w:bidi="ar"/>
              </w:rPr>
            </w:pPr>
            <w:r>
              <w:rPr>
                <w:rFonts w:hint="default"/>
                <w:color w:val="auto"/>
                <w:u w:val="none"/>
              </w:rPr>
              <w:t>参考中国环境科学学会学术年会论文集（2016）《风速和含水率对铅锌金属矿尾矿颗粒起尘的影响研究》结论：以9m/s的风速为例，含水率1.05%、2.05%、3.05%、4.05%的起尘量分别比含水率0.05%（自然干燥尾矿）减少25.75%、55.18%、77.63%、98.63%。本项目</w:t>
            </w:r>
            <w:r>
              <w:rPr>
                <w:rFonts w:hint="eastAsia"/>
                <w:color w:val="auto"/>
                <w:u w:val="none"/>
                <w:lang w:val="en-US" w:eastAsia="zh-CN"/>
              </w:rPr>
              <w:t>砂石料</w:t>
            </w:r>
            <w:r>
              <w:rPr>
                <w:rFonts w:hint="default"/>
                <w:color w:val="auto"/>
                <w:u w:val="none"/>
              </w:rPr>
              <w:t>含水率</w:t>
            </w:r>
            <w:r>
              <w:rPr>
                <w:rFonts w:hint="eastAsia"/>
                <w:color w:val="auto"/>
                <w:u w:val="none"/>
                <w:lang w:val="en-US" w:eastAsia="zh-CN"/>
              </w:rPr>
              <w:t>3</w:t>
            </w:r>
            <w:r>
              <w:rPr>
                <w:rFonts w:hint="default"/>
                <w:color w:val="auto"/>
                <w:u w:val="none"/>
              </w:rPr>
              <w:t>%~5%，在半封闭仓库堆放，</w:t>
            </w:r>
            <w:r>
              <w:rPr>
                <w:rFonts w:hint="eastAsia"/>
                <w:color w:val="auto"/>
                <w:u w:val="none"/>
                <w:lang w:val="en-US" w:eastAsia="zh-CN"/>
              </w:rPr>
              <w:t>参照上述论文结论含水率为4.05%时起尘量比含水率0.05%（自然干燥尾矿）减少98.63%，因此，本项目砂石骨料堆场颗粒物实际产生量P=0.85t/a。</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2"/>
                <w:sz w:val="24"/>
                <w:szCs w:val="24"/>
                <w:highlight w:val="none"/>
                <w:u w:val="none"/>
              </w:rPr>
            </w:pPr>
            <w:r>
              <w:rPr>
                <w:rFonts w:hint="eastAsia" w:ascii="宋体" w:hAnsi="宋体" w:eastAsia="宋体" w:cs="宋体"/>
                <w:color w:val="auto"/>
                <w:kern w:val="2"/>
                <w:sz w:val="24"/>
                <w:szCs w:val="24"/>
                <w:highlight w:val="none"/>
                <w:u w:val="none"/>
                <w:lang w:val="en-US" w:eastAsia="zh-CN" w:bidi="ar"/>
              </w:rPr>
              <w:t>工业企业固体物料堆场颗粒物排放量核算公式如下：</w:t>
            </w:r>
          </w:p>
          <w:p>
            <w:pPr>
              <w:keepNext w:val="0"/>
              <w:keepLines w:val="0"/>
              <w:widowControl w:val="0"/>
              <w:suppressLineNumbers w:val="0"/>
              <w:spacing w:before="0" w:beforeAutospacing="0" w:after="0" w:afterAutospacing="0" w:line="360" w:lineRule="auto"/>
              <w:ind w:left="0" w:right="0" w:firstLine="420" w:firstLineChars="200"/>
              <w:jc w:val="center"/>
              <w:rPr>
                <w:rFonts w:hint="default" w:ascii="Times New Roman" w:hAnsi="Times New Roman" w:eastAsia="宋体" w:cs="Times New Roman"/>
                <w:color w:val="auto"/>
                <w:kern w:val="2"/>
                <w:sz w:val="24"/>
                <w:szCs w:val="24"/>
                <w:highlight w:val="none"/>
                <w:u w:val="none"/>
              </w:rPr>
            </w:pPr>
            <m:oMathPara>
              <m:oMath>
                <m:sSub>
                  <m:sSubPr>
                    <m:ctrlPr>
                      <w:rPr>
                        <w:rFonts w:hint="default" w:ascii="Cambria Math" w:hAnsi="Cambria Math" w:cs="Times New Roman"/>
                        <w:i/>
                        <w:color w:val="auto"/>
                        <w:kern w:val="2"/>
                        <w:sz w:val="21"/>
                        <w:szCs w:val="21"/>
                        <w:highlight w:val="none"/>
                        <w:u w:val="none"/>
                        <w:lang w:val="en-US" w:bidi="ar"/>
                      </w:rPr>
                    </m:ctrlPr>
                  </m:sSubPr>
                  <m:e>
                    <m:r>
                      <w:rPr>
                        <w:rFonts w:hint="default" w:ascii="Cambria Math" w:hAnsi="Cambria Math" w:cs="Times New Roman"/>
                        <w:color w:val="auto"/>
                        <w:kern w:val="2"/>
                        <w:sz w:val="21"/>
                        <w:szCs w:val="21"/>
                        <w:highlight w:val="none"/>
                        <w:u w:val="none"/>
                        <w:lang w:val="en-US" w:eastAsia="zh-CN" w:bidi="ar"/>
                      </w:rPr>
                      <m:t>U</m:t>
                    </m:r>
                    <m:ctrlPr>
                      <w:rPr>
                        <w:rFonts w:hint="default" w:ascii="Cambria Math" w:hAnsi="Cambria Math" w:cs="Times New Roman"/>
                        <w:i/>
                        <w:color w:val="auto"/>
                        <w:kern w:val="2"/>
                        <w:sz w:val="21"/>
                        <w:szCs w:val="21"/>
                        <w:highlight w:val="none"/>
                        <w:u w:val="none"/>
                        <w:lang w:val="en-US" w:bidi="ar"/>
                      </w:rPr>
                    </m:ctrlPr>
                  </m:e>
                  <m:sub>
                    <m:r>
                      <w:rPr>
                        <w:rFonts w:hint="default" w:ascii="Cambria Math" w:hAnsi="Cambria Math" w:cs="Times New Roman"/>
                        <w:color w:val="auto"/>
                        <w:kern w:val="2"/>
                        <w:sz w:val="21"/>
                        <w:szCs w:val="21"/>
                        <w:highlight w:val="none"/>
                        <w:u w:val="none"/>
                        <w:lang w:val="en-US" w:eastAsia="zh-CN" w:bidi="ar"/>
                      </w:rPr>
                      <m:t>c</m:t>
                    </m:r>
                    <m:ctrlPr>
                      <w:rPr>
                        <w:rFonts w:hint="default" w:ascii="Cambria Math" w:hAnsi="Cambria Math" w:cs="Times New Roman"/>
                        <w:i/>
                        <w:color w:val="auto"/>
                        <w:kern w:val="2"/>
                        <w:sz w:val="21"/>
                        <w:szCs w:val="21"/>
                        <w:highlight w:val="none"/>
                        <w:u w:val="none"/>
                        <w:lang w:val="en-US" w:bidi="ar"/>
                      </w:rPr>
                    </m:ctrlPr>
                  </m:sub>
                </m:sSub>
                <m:r>
                  <w:rPr>
                    <w:rFonts w:hint="default" w:ascii="Cambria Math" w:hAnsi="Cambria Math" w:cs="Times New Roman"/>
                    <w:color w:val="auto"/>
                    <w:kern w:val="2"/>
                    <w:sz w:val="21"/>
                    <w:szCs w:val="21"/>
                    <w:highlight w:val="none"/>
                    <w:u w:val="none"/>
                    <w:lang w:val="en-US" w:eastAsia="zh-CN" w:bidi="ar"/>
                  </w:rPr>
                  <m:t>=P</m:t>
                </m:r>
                <m:r>
                  <w:rPr>
                    <w:rFonts w:hint="default" w:ascii="Cambria Math" w:hAnsi="Cambria Math" w:cs="Cambria Math"/>
                    <w:color w:val="auto"/>
                    <w:kern w:val="2"/>
                    <w:sz w:val="21"/>
                    <w:szCs w:val="21"/>
                    <w:highlight w:val="none"/>
                    <w:u w:val="none"/>
                    <w:lang w:val="en-US" w:eastAsia="zh-CN" w:bidi="ar"/>
                  </w:rPr>
                  <m:t>×</m:t>
                </m:r>
                <m:d>
                  <m:dPr>
                    <m:ctrlPr>
                      <w:rPr>
                        <w:rFonts w:hint="default" w:ascii="Cambria Math" w:hAnsi="Cambria Math" w:cs="Cambria Math"/>
                        <w:i/>
                        <w:color w:val="auto"/>
                        <w:kern w:val="2"/>
                        <w:sz w:val="21"/>
                        <w:szCs w:val="21"/>
                        <w:highlight w:val="none"/>
                        <w:u w:val="none"/>
                        <w:lang w:val="en-US" w:eastAsia="zh-CN" w:bidi="ar"/>
                      </w:rPr>
                    </m:ctrlPr>
                  </m:dPr>
                  <m:e>
                    <m:r>
                      <w:rPr>
                        <w:rFonts w:hint="default" w:ascii="Cambria Math" w:hAnsi="Cambria Math" w:cs="Cambria Math"/>
                        <w:color w:val="auto"/>
                        <w:kern w:val="2"/>
                        <w:sz w:val="21"/>
                        <w:szCs w:val="21"/>
                        <w:highlight w:val="none"/>
                        <w:u w:val="none"/>
                        <w:lang w:val="en-US" w:eastAsia="zh-CN" w:bidi="ar"/>
                      </w:rPr>
                      <m:t>1−</m:t>
                    </m:r>
                    <m:sSub>
                      <m:sSubPr>
                        <m:ctrlPr>
                          <w:rPr>
                            <w:rFonts w:hint="default" w:ascii="Cambria Math" w:hAnsi="Cambria Math" w:cs="Cambria Math"/>
                            <w:i/>
                            <w:color w:val="auto"/>
                            <w:kern w:val="2"/>
                            <w:sz w:val="21"/>
                            <w:szCs w:val="21"/>
                            <w:highlight w:val="none"/>
                            <w:u w:val="none"/>
                            <w:lang w:val="en-US" w:eastAsia="zh-CN" w:bidi="ar"/>
                          </w:rPr>
                        </m:ctrlPr>
                      </m:sSubPr>
                      <m:e>
                        <m:r>
                          <w:rPr>
                            <w:rFonts w:hint="default" w:ascii="Cambria Math" w:hAnsi="Cambria Math" w:cs="Cambria Math"/>
                            <w:color w:val="auto"/>
                            <w:kern w:val="2"/>
                            <w:sz w:val="21"/>
                            <w:szCs w:val="21"/>
                            <w:highlight w:val="none"/>
                            <w:u w:val="none"/>
                            <w:lang w:val="en-US" w:eastAsia="zh-CN" w:bidi="ar"/>
                          </w:rPr>
                          <m:t>C</m:t>
                        </m:r>
                        <m:ctrlPr>
                          <w:rPr>
                            <w:rFonts w:hint="default" w:ascii="Cambria Math" w:hAnsi="Cambria Math" w:cs="Cambria Math"/>
                            <w:i/>
                            <w:color w:val="auto"/>
                            <w:kern w:val="2"/>
                            <w:sz w:val="21"/>
                            <w:szCs w:val="21"/>
                            <w:highlight w:val="none"/>
                            <w:u w:val="none"/>
                            <w:lang w:val="en-US" w:eastAsia="zh-CN" w:bidi="ar"/>
                          </w:rPr>
                        </m:ctrlPr>
                      </m:e>
                      <m:sub>
                        <m:r>
                          <w:rPr>
                            <w:rFonts w:hint="default" w:ascii="Cambria Math" w:hAnsi="Cambria Math" w:cs="Cambria Math"/>
                            <w:color w:val="auto"/>
                            <w:kern w:val="2"/>
                            <w:sz w:val="21"/>
                            <w:szCs w:val="21"/>
                            <w:highlight w:val="none"/>
                            <w:u w:val="none"/>
                            <w:lang w:val="en-US" w:eastAsia="zh-CN" w:bidi="ar"/>
                          </w:rPr>
                          <m:t>m</m:t>
                        </m:r>
                        <m:ctrlPr>
                          <w:rPr>
                            <w:rFonts w:hint="default" w:ascii="Cambria Math" w:hAnsi="Cambria Math" w:cs="Cambria Math"/>
                            <w:i/>
                            <w:color w:val="auto"/>
                            <w:kern w:val="2"/>
                            <w:sz w:val="21"/>
                            <w:szCs w:val="21"/>
                            <w:highlight w:val="none"/>
                            <w:u w:val="none"/>
                            <w:lang w:val="en-US" w:eastAsia="zh-CN" w:bidi="ar"/>
                          </w:rPr>
                        </m:ctrlPr>
                      </m:sub>
                    </m:sSub>
                    <m:ctrlPr>
                      <w:rPr>
                        <w:rFonts w:hint="default" w:ascii="Cambria Math" w:hAnsi="Cambria Math" w:cs="Cambria Math"/>
                        <w:i/>
                        <w:color w:val="auto"/>
                        <w:kern w:val="2"/>
                        <w:sz w:val="21"/>
                        <w:szCs w:val="21"/>
                        <w:highlight w:val="none"/>
                        <w:u w:val="none"/>
                        <w:lang w:val="en-US" w:eastAsia="zh-CN" w:bidi="ar"/>
                      </w:rPr>
                    </m:ctrlPr>
                  </m:e>
                </m:d>
                <m:r>
                  <w:rPr>
                    <w:rFonts w:hint="default" w:ascii="Cambria Math" w:hAnsi="Cambria Math" w:cs="Cambria Math"/>
                    <w:color w:val="auto"/>
                    <w:kern w:val="2"/>
                    <w:sz w:val="21"/>
                    <w:szCs w:val="21"/>
                    <w:highlight w:val="none"/>
                    <w:u w:val="none"/>
                    <w:lang w:val="en-US" w:eastAsia="zh-CN" w:bidi="ar"/>
                  </w:rPr>
                  <m:t>×</m:t>
                </m:r>
                <m:d>
                  <m:dPr>
                    <m:ctrlPr>
                      <w:rPr>
                        <w:rFonts w:hint="default" w:ascii="Cambria Math" w:hAnsi="Cambria Math" w:cs="Cambria Math"/>
                        <w:i/>
                        <w:color w:val="auto"/>
                        <w:kern w:val="2"/>
                        <w:sz w:val="21"/>
                        <w:szCs w:val="21"/>
                        <w:highlight w:val="none"/>
                        <w:u w:val="none"/>
                        <w:lang w:val="en-US" w:eastAsia="zh-CN" w:bidi="ar"/>
                      </w:rPr>
                    </m:ctrlPr>
                  </m:dPr>
                  <m:e>
                    <m:r>
                      <w:rPr>
                        <w:rFonts w:hint="default" w:ascii="Cambria Math" w:hAnsi="Cambria Math" w:cs="Cambria Math"/>
                        <w:color w:val="auto"/>
                        <w:kern w:val="2"/>
                        <w:sz w:val="21"/>
                        <w:szCs w:val="21"/>
                        <w:highlight w:val="none"/>
                        <w:u w:val="none"/>
                        <w:lang w:val="en-US" w:eastAsia="zh-CN" w:bidi="ar"/>
                      </w:rPr>
                      <m:t>1−</m:t>
                    </m:r>
                    <m:sSub>
                      <m:sSubPr>
                        <m:ctrlPr>
                          <w:rPr>
                            <w:rFonts w:hint="default" w:ascii="Cambria Math" w:hAnsi="Cambria Math" w:cs="Cambria Math"/>
                            <w:i/>
                            <w:color w:val="auto"/>
                            <w:kern w:val="2"/>
                            <w:sz w:val="21"/>
                            <w:szCs w:val="21"/>
                            <w:highlight w:val="none"/>
                            <w:u w:val="none"/>
                            <w:lang w:val="en-US" w:eastAsia="zh-CN" w:bidi="ar"/>
                          </w:rPr>
                        </m:ctrlPr>
                      </m:sSubPr>
                      <m:e>
                        <m:r>
                          <w:rPr>
                            <w:rFonts w:hint="default" w:ascii="Cambria Math" w:hAnsi="Cambria Math" w:cs="Cambria Math"/>
                            <w:color w:val="auto"/>
                            <w:kern w:val="2"/>
                            <w:sz w:val="21"/>
                            <w:szCs w:val="21"/>
                            <w:highlight w:val="none"/>
                            <w:u w:val="none"/>
                            <w:lang w:val="en-US" w:eastAsia="zh-CN" w:bidi="ar"/>
                          </w:rPr>
                          <m:t>T</m:t>
                        </m:r>
                        <m:ctrlPr>
                          <w:rPr>
                            <w:rFonts w:hint="default" w:ascii="Cambria Math" w:hAnsi="Cambria Math" w:cs="Cambria Math"/>
                            <w:i/>
                            <w:color w:val="auto"/>
                            <w:kern w:val="2"/>
                            <w:sz w:val="21"/>
                            <w:szCs w:val="21"/>
                            <w:highlight w:val="none"/>
                            <w:u w:val="none"/>
                            <w:lang w:val="en-US" w:eastAsia="zh-CN" w:bidi="ar"/>
                          </w:rPr>
                        </m:ctrlPr>
                      </m:e>
                      <m:sub>
                        <m:r>
                          <w:rPr>
                            <w:rFonts w:hint="default" w:ascii="Cambria Math" w:hAnsi="Cambria Math" w:cs="Cambria Math"/>
                            <w:color w:val="auto"/>
                            <w:kern w:val="2"/>
                            <w:sz w:val="21"/>
                            <w:szCs w:val="21"/>
                            <w:highlight w:val="none"/>
                            <w:u w:val="none"/>
                            <w:lang w:val="en-US" w:eastAsia="zh-CN" w:bidi="ar"/>
                          </w:rPr>
                          <m:t>m</m:t>
                        </m:r>
                        <m:ctrlPr>
                          <w:rPr>
                            <w:rFonts w:hint="default" w:ascii="Cambria Math" w:hAnsi="Cambria Math" w:cs="Cambria Math"/>
                            <w:i/>
                            <w:color w:val="auto"/>
                            <w:kern w:val="2"/>
                            <w:sz w:val="21"/>
                            <w:szCs w:val="21"/>
                            <w:highlight w:val="none"/>
                            <w:u w:val="none"/>
                            <w:lang w:val="en-US" w:eastAsia="zh-CN" w:bidi="ar"/>
                          </w:rPr>
                        </m:ctrlPr>
                      </m:sub>
                    </m:sSub>
                    <m:ctrlPr>
                      <w:rPr>
                        <w:rFonts w:hint="default" w:ascii="Cambria Math" w:hAnsi="Cambria Math" w:cs="Cambria Math"/>
                        <w:i/>
                        <w:color w:val="auto"/>
                        <w:kern w:val="2"/>
                        <w:sz w:val="21"/>
                        <w:szCs w:val="21"/>
                        <w:highlight w:val="none"/>
                        <w:u w:val="none"/>
                        <w:lang w:val="en-US" w:eastAsia="zh-CN" w:bidi="ar"/>
                      </w:rPr>
                    </m:ctrlPr>
                  </m:e>
                </m:d>
              </m:oMath>
            </m:oMathPara>
          </w:p>
          <w:p>
            <w:pPr>
              <w:keepNext w:val="0"/>
              <w:keepLines w:val="0"/>
              <w:widowControl w:val="0"/>
              <w:suppressLineNumbers w:val="0"/>
              <w:spacing w:before="0" w:beforeAutospacing="0" w:after="0" w:afterAutospacing="0" w:line="360" w:lineRule="auto"/>
              <w:ind w:left="0" w:right="0" w:firstLine="480" w:firstLineChars="200"/>
              <w:jc w:val="both"/>
              <w:rPr>
                <w:rFonts w:hint="default"/>
                <w:color w:val="auto"/>
                <w:highlight w:val="none"/>
                <w:u w:val="none"/>
              </w:rPr>
            </w:pPr>
            <w:r>
              <w:rPr>
                <w:rFonts w:hint="eastAsia"/>
                <w:color w:val="auto"/>
                <w:highlight w:val="none"/>
                <w:u w:val="none"/>
                <w:lang w:val="en-US" w:eastAsia="zh-CN"/>
              </w:rPr>
              <w:t>式中：</w:t>
            </w:r>
            <w:r>
              <w:rPr>
                <w:rFonts w:hint="default"/>
                <w:color w:val="auto"/>
                <w:highlight w:val="none"/>
                <w:u w:val="none"/>
                <w:lang w:val="en-US" w:eastAsia="zh-CN"/>
              </w:rPr>
              <w:t>P</w:t>
            </w:r>
            <w:r>
              <w:rPr>
                <w:rFonts w:hint="eastAsia"/>
                <w:color w:val="auto"/>
                <w:highlight w:val="none"/>
                <w:u w:val="none"/>
                <w:lang w:val="en-US" w:eastAsia="zh-CN"/>
              </w:rPr>
              <w:t>指颗粒物产生量</w:t>
            </w:r>
            <w:r>
              <w:rPr>
                <w:rFonts w:hint="default"/>
                <w:color w:val="auto"/>
                <w:highlight w:val="none"/>
                <w:u w:val="none"/>
                <w:lang w:val="en-US" w:eastAsia="zh-CN"/>
              </w:rPr>
              <w:t>(</w:t>
            </w:r>
            <w:r>
              <w:rPr>
                <w:rFonts w:hint="eastAsia"/>
                <w:color w:val="auto"/>
                <w:highlight w:val="none"/>
                <w:u w:val="none"/>
                <w:lang w:val="en-US" w:eastAsia="zh-CN"/>
              </w:rPr>
              <w:t>单位：吨</w:t>
            </w:r>
            <w:r>
              <w:rPr>
                <w:rFonts w:hint="default"/>
                <w:color w:val="auto"/>
                <w:highlight w:val="none"/>
                <w:u w:val="none"/>
                <w:lang w:val="en-US" w:eastAsia="zh-CN"/>
              </w:rPr>
              <w:t>)</w:t>
            </w:r>
            <w:r>
              <w:rPr>
                <w:rFonts w:hint="eastAsia"/>
                <w:color w:val="auto"/>
                <w:highlight w:val="none"/>
                <w:u w:val="none"/>
                <w:lang w:val="en-US" w:eastAsia="zh-CN"/>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color w:val="auto"/>
                <w:highlight w:val="none"/>
                <w:u w:val="none"/>
              </w:rPr>
            </w:pPr>
            <w:r>
              <w:rPr>
                <w:rFonts w:hint="default"/>
                <w:color w:val="auto"/>
                <w:highlight w:val="none"/>
                <w:u w:val="none"/>
                <w:lang w:val="en-US" w:eastAsia="zh-CN"/>
              </w:rPr>
              <w:t>Uc</w:t>
            </w:r>
            <w:r>
              <w:rPr>
                <w:rFonts w:hint="eastAsia"/>
                <w:color w:val="auto"/>
                <w:highlight w:val="none"/>
                <w:u w:val="none"/>
                <w:lang w:val="en-US" w:eastAsia="zh-CN"/>
              </w:rPr>
              <w:t>指颗粒物排放量</w:t>
            </w:r>
            <w:r>
              <w:rPr>
                <w:rFonts w:hint="default"/>
                <w:color w:val="auto"/>
                <w:highlight w:val="none"/>
                <w:u w:val="none"/>
                <w:lang w:val="en-US" w:eastAsia="zh-CN"/>
              </w:rPr>
              <w:t>(</w:t>
            </w:r>
            <w:r>
              <w:rPr>
                <w:rFonts w:hint="eastAsia"/>
                <w:color w:val="auto"/>
                <w:highlight w:val="none"/>
                <w:u w:val="none"/>
                <w:lang w:val="en-US" w:eastAsia="zh-CN"/>
              </w:rPr>
              <w:t>单位：吨</w:t>
            </w:r>
            <w:r>
              <w:rPr>
                <w:rFonts w:hint="default"/>
                <w:color w:val="auto"/>
                <w:highlight w:val="none"/>
                <w:u w:val="none"/>
                <w:lang w:val="en-US" w:eastAsia="zh-CN"/>
              </w:rPr>
              <w:t>)</w:t>
            </w:r>
            <w:r>
              <w:rPr>
                <w:rFonts w:hint="eastAsia"/>
                <w:color w:val="auto"/>
                <w:highlight w:val="none"/>
                <w:u w:val="none"/>
                <w:lang w:val="en-US" w:eastAsia="zh-CN"/>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color w:val="auto"/>
                <w:highlight w:val="none"/>
                <w:u w:val="none"/>
              </w:rPr>
            </w:pPr>
            <w:r>
              <w:rPr>
                <w:rFonts w:hint="default"/>
                <w:color w:val="auto"/>
                <w:highlight w:val="none"/>
                <w:u w:val="none"/>
                <w:lang w:val="en-US" w:eastAsia="zh-CN"/>
              </w:rPr>
              <w:t>Cm</w:t>
            </w:r>
            <w:r>
              <w:rPr>
                <w:rFonts w:hint="eastAsia"/>
                <w:color w:val="auto"/>
                <w:highlight w:val="none"/>
                <w:u w:val="none"/>
                <w:lang w:val="en-US" w:eastAsia="zh-CN"/>
              </w:rPr>
              <w:t>指颗粒物控制措施控制效率</w:t>
            </w:r>
            <w:r>
              <w:rPr>
                <w:rFonts w:hint="default"/>
                <w:color w:val="auto"/>
                <w:highlight w:val="none"/>
                <w:u w:val="none"/>
                <w:lang w:val="en-US" w:eastAsia="zh-CN"/>
              </w:rPr>
              <w:t>(</w:t>
            </w:r>
            <w:r>
              <w:rPr>
                <w:rFonts w:hint="eastAsia"/>
                <w:color w:val="auto"/>
                <w:highlight w:val="none"/>
                <w:u w:val="none"/>
                <w:lang w:val="en-US" w:eastAsia="zh-CN"/>
              </w:rPr>
              <w:t>单位：</w:t>
            </w:r>
            <w:r>
              <w:rPr>
                <w:rFonts w:hint="default"/>
                <w:color w:val="auto"/>
                <w:highlight w:val="none"/>
                <w:u w:val="none"/>
                <w:lang w:val="en-US" w:eastAsia="zh-CN"/>
              </w:rPr>
              <w:t>%)</w:t>
            </w:r>
            <w:r>
              <w:rPr>
                <w:rFonts w:hint="eastAsia"/>
                <w:color w:val="auto"/>
                <w:highlight w:val="none"/>
                <w:u w:val="none"/>
                <w:lang w:val="en-US" w:eastAsia="zh-CN"/>
              </w:rPr>
              <w:t>；本项目控制措施为半密闭、洒水降尘，控制效率取74%；</w:t>
            </w:r>
          </w:p>
          <w:p>
            <w:pPr>
              <w:keepNext w:val="0"/>
              <w:keepLines w:val="0"/>
              <w:widowControl w:val="0"/>
              <w:suppressLineNumbers w:val="0"/>
              <w:spacing w:before="0" w:beforeAutospacing="0" w:after="0" w:afterAutospacing="0" w:line="360" w:lineRule="auto"/>
              <w:ind w:left="0" w:right="0" w:firstLine="480" w:firstLineChars="200"/>
              <w:jc w:val="both"/>
              <w:rPr>
                <w:rFonts w:hint="default"/>
                <w:color w:val="auto"/>
                <w:highlight w:val="none"/>
                <w:u w:val="none"/>
              </w:rPr>
            </w:pPr>
            <w:r>
              <w:rPr>
                <w:rFonts w:hint="default"/>
                <w:color w:val="auto"/>
                <w:highlight w:val="none"/>
                <w:u w:val="none"/>
                <w:lang w:val="en-US" w:eastAsia="zh-CN"/>
              </w:rPr>
              <w:t>Tm</w:t>
            </w:r>
            <w:r>
              <w:rPr>
                <w:rFonts w:hint="eastAsia"/>
                <w:color w:val="auto"/>
                <w:highlight w:val="none"/>
                <w:u w:val="none"/>
                <w:lang w:val="en-US" w:eastAsia="zh-CN"/>
              </w:rPr>
              <w:t>指堆场类型控制效率</w:t>
            </w:r>
            <w:r>
              <w:rPr>
                <w:rFonts w:hint="default"/>
                <w:color w:val="auto"/>
                <w:highlight w:val="none"/>
                <w:u w:val="none"/>
                <w:lang w:val="en-US" w:eastAsia="zh-CN"/>
              </w:rPr>
              <w:t>(</w:t>
            </w:r>
            <w:r>
              <w:rPr>
                <w:rFonts w:hint="eastAsia"/>
                <w:color w:val="auto"/>
                <w:highlight w:val="none"/>
                <w:u w:val="none"/>
                <w:lang w:val="en-US" w:eastAsia="zh-CN"/>
              </w:rPr>
              <w:t>单位：</w:t>
            </w:r>
            <w:r>
              <w:rPr>
                <w:rFonts w:hint="default"/>
                <w:color w:val="auto"/>
                <w:highlight w:val="none"/>
                <w:u w:val="none"/>
                <w:lang w:val="en-US" w:eastAsia="zh-CN"/>
              </w:rPr>
              <w:t>%)</w:t>
            </w:r>
            <w:r>
              <w:rPr>
                <w:rFonts w:hint="eastAsia"/>
                <w:color w:val="auto"/>
                <w:highlight w:val="none"/>
                <w:u w:val="none"/>
                <w:lang w:val="en-US" w:eastAsia="zh-CN"/>
              </w:rPr>
              <w:t>，砂料堆场为半敞开式堆场，控制效率为60</w:t>
            </w:r>
            <w:r>
              <w:rPr>
                <w:rFonts w:hint="default"/>
                <w:color w:val="auto"/>
                <w:highlight w:val="none"/>
                <w:u w:val="none"/>
                <w:lang w:val="en-US" w:eastAsia="zh-CN"/>
              </w:rPr>
              <w:t>%</w:t>
            </w:r>
            <w:r>
              <w:rPr>
                <w:rFonts w:hint="eastAsia"/>
                <w:color w:val="auto"/>
                <w:highlight w:val="none"/>
                <w:u w:val="none"/>
                <w:lang w:val="en-US" w:eastAsia="zh-CN"/>
              </w:rPr>
              <w:t>。</w:t>
            </w:r>
          </w:p>
          <w:p>
            <w:pPr>
              <w:keepNext w:val="0"/>
              <w:keepLines w:val="0"/>
              <w:suppressLineNumbers w:val="0"/>
              <w:bidi w:val="0"/>
              <w:spacing w:before="0" w:beforeAutospacing="0" w:after="0" w:afterAutospacing="0"/>
              <w:ind w:left="0" w:right="0"/>
              <w:rPr>
                <w:rFonts w:hint="default"/>
              </w:rPr>
            </w:pPr>
            <w:r>
              <w:rPr>
                <w:rFonts w:hint="eastAsia"/>
                <w:color w:val="auto"/>
                <w:highlight w:val="none"/>
                <w:u w:val="none"/>
                <w:lang w:val="en-US" w:eastAsia="zh-CN"/>
              </w:rPr>
              <w:t>根据上式计算，颗粒物排放量为0.09</w:t>
            </w:r>
            <w:r>
              <w:rPr>
                <w:rFonts w:hint="default"/>
                <w:color w:val="auto"/>
                <w:highlight w:val="none"/>
                <w:u w:val="none"/>
                <w:lang w:val="en-US" w:eastAsia="zh-CN"/>
              </w:rPr>
              <w:t>t/a</w:t>
            </w:r>
            <w:r>
              <w:rPr>
                <w:rFonts w:hint="eastAsia"/>
                <w:color w:val="auto"/>
                <w:highlight w:val="none"/>
                <w:u w:val="none"/>
                <w:lang w:val="en-US" w:eastAsia="zh-CN"/>
              </w:rPr>
              <w:t>（0.04</w:t>
            </w:r>
            <w:r>
              <w:rPr>
                <w:rFonts w:hint="default"/>
                <w:color w:val="auto"/>
                <w:highlight w:val="none"/>
                <w:u w:val="none"/>
                <w:lang w:val="en-US" w:eastAsia="zh-CN"/>
              </w:rPr>
              <w:t>kg/h</w:t>
            </w:r>
            <w:r>
              <w:rPr>
                <w:rFonts w:hint="eastAsia"/>
                <w:color w:val="auto"/>
                <w:highlight w:val="none"/>
                <w:u w:val="none"/>
                <w:lang w:val="en-US" w:eastAsia="zh-CN"/>
              </w:rPr>
              <w:t>）。</w:t>
            </w:r>
          </w:p>
          <w:p>
            <w:pPr>
              <w:keepNext w:val="0"/>
              <w:keepLines w:val="0"/>
              <w:suppressLineNumbers w:val="0"/>
              <w:bidi w:val="0"/>
              <w:spacing w:before="0" w:beforeAutospacing="0" w:after="0" w:afterAutospacing="0"/>
              <w:ind w:left="0" w:right="0"/>
              <w:rPr>
                <w:rFonts w:hint="default" w:eastAsia="宋体"/>
                <w:lang w:val="en-US" w:eastAsia="zh-CN"/>
              </w:rPr>
            </w:pPr>
            <w:r>
              <w:rPr>
                <w:rFonts w:hint="eastAsia"/>
                <w:lang w:val="en-US" w:eastAsia="zh-CN"/>
              </w:rPr>
              <w:t>B上料输送粉尘</w:t>
            </w:r>
          </w:p>
          <w:p>
            <w:pPr>
              <w:keepNext w:val="0"/>
              <w:keepLines w:val="0"/>
              <w:suppressLineNumbers w:val="0"/>
              <w:bidi w:val="0"/>
              <w:spacing w:before="0" w:beforeAutospacing="0" w:after="0" w:afterAutospacing="0"/>
              <w:ind w:left="0" w:right="0"/>
              <w:rPr>
                <w:rFonts w:hint="default"/>
              </w:rPr>
            </w:pPr>
            <w:r>
              <w:rPr>
                <w:rFonts w:hint="eastAsia"/>
              </w:rPr>
              <w:t>砂石料采用皮带运输机输送到卧式搅拌机、干燥筒。输送机为全封闭式，无粉尘逸出。皮带运输机输送速度较慢，只是有风时在输送过程中会有极少量粉尘产生，因此本项目上料输送过程，仅考虑上料过程产生的粉尘。参考《逸散性工业粉尘控制系数》（中国环境科学出版社），砂石骨料上料过程逸散粉尘产生系数参考粒料的卸料排放因子0.01kg/t，项目砂石骨料上料量为</w:t>
            </w:r>
            <w:r>
              <w:rPr>
                <w:rFonts w:hint="eastAsia"/>
                <w:lang w:val="en-US" w:eastAsia="zh-CN"/>
              </w:rPr>
              <w:t>10</w:t>
            </w:r>
            <w:r>
              <w:rPr>
                <w:rFonts w:hint="eastAsia"/>
              </w:rPr>
              <w:t>万t/a，则上料粉尘产生量为1.</w:t>
            </w:r>
            <w:r>
              <w:rPr>
                <w:rFonts w:hint="eastAsia"/>
                <w:lang w:val="en-US" w:eastAsia="zh-CN"/>
              </w:rPr>
              <w:t>0</w:t>
            </w:r>
            <w:r>
              <w:rPr>
                <w:rFonts w:hint="eastAsia"/>
              </w:rPr>
              <w:t>t/a。项目砂石骨料定期洒水保持物料湿度，同时在投料口上方配套喷淋装置抑尘，降尘效果可达80%，则上料粉尘排放量为0.</w:t>
            </w:r>
            <w:r>
              <w:rPr>
                <w:rFonts w:hint="eastAsia"/>
                <w:lang w:val="en-US" w:eastAsia="zh-CN"/>
              </w:rPr>
              <w:t>2</w:t>
            </w:r>
            <w:r>
              <w:rPr>
                <w:rFonts w:hint="eastAsia"/>
              </w:rPr>
              <w:t>t/a（0.</w:t>
            </w:r>
            <w:r>
              <w:rPr>
                <w:rFonts w:hint="eastAsia"/>
                <w:lang w:val="en-US" w:eastAsia="zh-CN"/>
              </w:rPr>
              <w:t>08</w:t>
            </w:r>
            <w:r>
              <w:rPr>
                <w:rFonts w:hint="eastAsia"/>
              </w:rPr>
              <w:t>kg/h），呈无组织形式排放。</w:t>
            </w:r>
          </w:p>
          <w:p>
            <w:pPr>
              <w:keepNext w:val="0"/>
              <w:keepLines w:val="0"/>
              <w:suppressLineNumbers w:val="0"/>
              <w:bidi w:val="0"/>
              <w:spacing w:before="0" w:beforeAutospacing="0" w:after="0" w:afterAutospacing="0"/>
              <w:ind w:left="0" w:right="0"/>
              <w:rPr>
                <w:rFonts w:hint="default" w:eastAsia="宋体"/>
                <w:lang w:val="en-US" w:eastAsia="zh-CN"/>
              </w:rPr>
            </w:pPr>
            <w:r>
              <w:rPr>
                <w:rFonts w:hint="eastAsia"/>
                <w:lang w:val="en-US" w:eastAsia="zh-CN"/>
              </w:rPr>
              <w:t>C加热烘干、热料提升、筛分粉尘</w:t>
            </w:r>
          </w:p>
          <w:p>
            <w:pPr>
              <w:keepNext w:val="0"/>
              <w:keepLines w:val="0"/>
              <w:suppressLineNumbers w:val="0"/>
              <w:bidi w:val="0"/>
              <w:spacing w:before="0" w:beforeAutospacing="0" w:after="0" w:afterAutospacing="0"/>
              <w:ind w:left="0" w:right="0"/>
              <w:rPr>
                <w:rFonts w:hint="default"/>
              </w:rPr>
            </w:pPr>
            <w:r>
              <w:rPr>
                <w:rFonts w:hint="eastAsia"/>
              </w:rPr>
              <w:t>砂石骨料在与沥青拌和前要经过加热烘干，骨料在干燥滚筒内翻滚加热，烘干后通过热料提升机送到筛分系统经过振动筛分，该过程中会产生粉尘。根据建设单位提供资料及运行经验，项目烘干滚筒、热料提升及筛分均在封闭的设备内进行，粉尘产生量约为1kg/t-原料，项目砂石骨料用量为</w:t>
            </w:r>
            <w:r>
              <w:rPr>
                <w:rFonts w:hint="eastAsia"/>
                <w:lang w:val="en-US" w:eastAsia="zh-CN"/>
              </w:rPr>
              <w:t>10</w:t>
            </w:r>
            <w:r>
              <w:rPr>
                <w:rFonts w:hint="eastAsia"/>
              </w:rPr>
              <w:t>万t/a，则粉尘产生量为</w:t>
            </w:r>
            <w:r>
              <w:rPr>
                <w:rFonts w:hint="eastAsia"/>
                <w:lang w:val="en-US" w:eastAsia="zh-CN"/>
              </w:rPr>
              <w:t>10</w:t>
            </w:r>
            <w:r>
              <w:rPr>
                <w:rFonts w:hint="eastAsia"/>
              </w:rPr>
              <w:t>t/a。设备均为密闭设备，</w:t>
            </w:r>
            <w:r>
              <w:rPr>
                <w:rFonts w:hint="eastAsia"/>
                <w:lang w:val="en-US" w:eastAsia="zh-CN"/>
              </w:rPr>
              <w:t>该</w:t>
            </w:r>
            <w:r>
              <w:rPr>
                <w:rFonts w:hint="eastAsia"/>
              </w:rPr>
              <w:t>粉尘经密闭收集后进入搅拌站除尘系统（袋式除尘）处理后通过一根15m高排气筒（DA001）排放。</w:t>
            </w:r>
          </w:p>
          <w:p>
            <w:pPr>
              <w:keepNext w:val="0"/>
              <w:keepLines w:val="0"/>
              <w:suppressLineNumbers w:val="0"/>
              <w:bidi w:val="0"/>
              <w:spacing w:before="0" w:beforeAutospacing="0" w:after="0" w:afterAutospacing="0"/>
              <w:ind w:left="0" w:right="0"/>
              <w:rPr>
                <w:rFonts w:hint="default" w:eastAsia="宋体"/>
                <w:lang w:val="en-US" w:eastAsia="zh-CN"/>
              </w:rPr>
            </w:pPr>
            <w:r>
              <w:rPr>
                <w:rFonts w:hint="eastAsia"/>
              </w:rPr>
              <w:t>根据《简明通风设计手册》P254页一般通风系统风管内风速 生产厂房机械通风干管风速为6-14m/s，本项目取风速为10m/s</w:t>
            </w:r>
            <w:r>
              <w:rPr>
                <w:rFonts w:hint="eastAsia"/>
                <w:lang w:eastAsia="zh-CN"/>
              </w:rPr>
              <w:t>，</w:t>
            </w:r>
            <w:r>
              <w:rPr>
                <w:rFonts w:hint="eastAsia"/>
              </w:rPr>
              <w:t>DA001排气筒内径为0.4m</w:t>
            </w:r>
            <w:r>
              <w:rPr>
                <w:rFonts w:hint="eastAsia"/>
                <w:lang w:eastAsia="zh-CN"/>
              </w:rPr>
              <w:t>，</w:t>
            </w:r>
            <w:r>
              <w:rPr>
                <w:rFonts w:hint="eastAsia"/>
                <w:lang w:val="en-US" w:eastAsia="zh-CN"/>
              </w:rPr>
              <w:t>则</w:t>
            </w:r>
            <w:r>
              <w:rPr>
                <w:rFonts w:hint="eastAsia"/>
              </w:rPr>
              <w:t>本</w:t>
            </w:r>
            <w:r>
              <w:rPr>
                <w:rFonts w:hint="eastAsia"/>
                <w:lang w:val="en-US" w:eastAsia="zh-CN"/>
              </w:rPr>
              <w:t>袋式除尘器风机风量为4521.6m</w:t>
            </w:r>
            <w:r>
              <w:rPr>
                <w:rFonts w:hint="eastAsia"/>
                <w:vertAlign w:val="superscript"/>
                <w:lang w:val="en-US" w:eastAsia="zh-CN"/>
              </w:rPr>
              <w:t>3</w:t>
            </w:r>
            <w:r>
              <w:rPr>
                <w:rFonts w:hint="eastAsia"/>
                <w:lang w:val="en-US" w:eastAsia="zh-CN"/>
              </w:rPr>
              <w:t>/h，取风机风量为4500m</w:t>
            </w:r>
            <w:r>
              <w:rPr>
                <w:rFonts w:hint="eastAsia"/>
                <w:vertAlign w:val="superscript"/>
                <w:lang w:val="en-US" w:eastAsia="zh-CN"/>
              </w:rPr>
              <w:t>3</w:t>
            </w:r>
            <w:r>
              <w:rPr>
                <w:rFonts w:hint="eastAsia"/>
                <w:lang w:val="en-US" w:eastAsia="zh-CN"/>
              </w:rPr>
              <w:t>/h，袋式除尘器除尘效率为99%，则该部分粉尘排放量为0.1t/a（0.04kg/h）。</w:t>
            </w:r>
          </w:p>
          <w:p>
            <w:pPr>
              <w:keepNext w:val="0"/>
              <w:keepLines w:val="0"/>
              <w:suppressLineNumbers w:val="0"/>
              <w:bidi w:val="0"/>
              <w:spacing w:before="0" w:beforeAutospacing="0" w:after="0" w:afterAutospacing="0"/>
              <w:ind w:left="0" w:right="0"/>
              <w:rPr>
                <w:rFonts w:hint="eastAsia" w:eastAsia="宋体"/>
                <w:lang w:eastAsia="zh-CN"/>
              </w:rPr>
            </w:pPr>
            <w:r>
              <w:rPr>
                <w:rFonts w:hint="eastAsia"/>
                <w:lang w:val="en-US" w:eastAsia="zh-CN"/>
              </w:rPr>
              <w:t>D</w:t>
            </w:r>
            <w:r>
              <w:rPr>
                <w:rFonts w:hint="eastAsia"/>
                <w:lang w:eastAsia="zh-CN"/>
              </w:rPr>
              <w:t>矿粉储罐呼吸粉尘</w:t>
            </w:r>
          </w:p>
          <w:p>
            <w:pPr>
              <w:keepNext w:val="0"/>
              <w:keepLines w:val="0"/>
              <w:suppressLineNumbers w:val="0"/>
              <w:bidi w:val="0"/>
              <w:spacing w:before="0" w:beforeAutospacing="0" w:after="0" w:afterAutospacing="0"/>
              <w:ind w:left="0" w:right="0"/>
              <w:rPr>
                <w:rFonts w:hint="default" w:eastAsia="宋体"/>
                <w:lang w:val="en-US" w:eastAsia="zh-CN"/>
              </w:rPr>
            </w:pPr>
            <w:r>
              <w:rPr>
                <w:rFonts w:hint="eastAsia"/>
              </w:rPr>
              <w:t>本项目矿粉采购后直接储存于</w:t>
            </w:r>
            <w:r>
              <w:rPr>
                <w:rFonts w:hint="eastAsia"/>
                <w:lang w:val="en-US" w:eastAsia="zh-CN"/>
              </w:rPr>
              <w:t>储罐</w:t>
            </w:r>
            <w:r>
              <w:rPr>
                <w:rFonts w:hint="eastAsia"/>
              </w:rPr>
              <w:t>中。参考《逸散性工业粉尘控制系数》（中国环境科学出版社）中“表22-1混凝土分批搅拌厂的逸散尘排放因子”，粉料仓矿粉贮存过程逸散粉尘产生系数取其贮仓排气排放因子0.12kg/t，项目矿粉用量为</w:t>
            </w:r>
            <w:r>
              <w:rPr>
                <w:rFonts w:hint="eastAsia"/>
                <w:lang w:val="en-US" w:eastAsia="zh-CN"/>
              </w:rPr>
              <w:t>500</w:t>
            </w:r>
            <w:r>
              <w:rPr>
                <w:rFonts w:hint="eastAsia"/>
              </w:rPr>
              <w:t>t/a，则粉料仓粉尘产生量为</w:t>
            </w:r>
            <w:r>
              <w:rPr>
                <w:rFonts w:hint="eastAsia"/>
                <w:lang w:val="en-US" w:eastAsia="zh-CN"/>
              </w:rPr>
              <w:t>0.06</w:t>
            </w:r>
            <w:r>
              <w:rPr>
                <w:rFonts w:hint="eastAsia"/>
              </w:rPr>
              <w:t>t/a</w:t>
            </w:r>
            <w:r>
              <w:rPr>
                <w:rFonts w:hint="eastAsia"/>
                <w:lang w:eastAsia="zh-CN"/>
              </w:rPr>
              <w:t>，</w:t>
            </w:r>
            <w:r>
              <w:rPr>
                <w:rFonts w:hint="eastAsia"/>
                <w:lang w:val="en-US" w:eastAsia="zh-CN"/>
              </w:rPr>
              <w:t>产生量较小，以无组织形式排放。</w:t>
            </w:r>
          </w:p>
          <w:p>
            <w:pPr>
              <w:keepNext w:val="0"/>
              <w:keepLines w:val="0"/>
              <w:suppressLineNumbers w:val="0"/>
              <w:bidi w:val="0"/>
              <w:spacing w:before="0" w:beforeAutospacing="0" w:after="0" w:afterAutospacing="0"/>
              <w:ind w:left="0" w:right="0"/>
              <w:rPr>
                <w:rFonts w:hint="default" w:eastAsia="宋体"/>
                <w:highlight w:val="none"/>
                <w:lang w:val="en-US" w:eastAsia="zh-CN"/>
              </w:rPr>
            </w:pPr>
            <w:r>
              <w:rPr>
                <w:rFonts w:hint="eastAsia"/>
                <w:highlight w:val="none"/>
                <w:lang w:val="en-US" w:eastAsia="zh-CN"/>
              </w:rPr>
              <w:t>②柴油燃烧废气</w:t>
            </w:r>
          </w:p>
          <w:p>
            <w:pPr>
              <w:keepNext w:val="0"/>
              <w:keepLines w:val="0"/>
              <w:suppressLineNumbers w:val="0"/>
              <w:bidi w:val="0"/>
              <w:spacing w:before="0" w:beforeAutospacing="0" w:after="0" w:afterAutospacing="0"/>
              <w:ind w:left="0" w:right="0"/>
              <w:rPr>
                <w:rFonts w:hint="eastAsia"/>
                <w:lang w:eastAsia="zh-CN"/>
              </w:rPr>
            </w:pPr>
            <w:r>
              <w:rPr>
                <w:rFonts w:hint="eastAsia" w:eastAsia="宋体"/>
                <w:lang w:eastAsia="zh-CN"/>
              </w:rPr>
              <w:t>项目</w:t>
            </w:r>
            <w:r>
              <w:rPr>
                <w:rFonts w:hint="eastAsia"/>
                <w:lang w:val="en-US" w:eastAsia="zh-CN"/>
              </w:rPr>
              <w:t>0#柴油</w:t>
            </w:r>
            <w:r>
              <w:rPr>
                <w:rFonts w:hint="eastAsia" w:eastAsia="宋体"/>
                <w:lang w:eastAsia="zh-CN"/>
              </w:rPr>
              <w:t>燃烧废气主要来源于加热沥青使用的导热油炉以及烘干滚筒加热使用的燃烧机，主要污染物均为颗粒物、二氧化硫及氮氧化物</w:t>
            </w:r>
            <w:r>
              <w:rPr>
                <w:rFonts w:hint="eastAsia"/>
                <w:lang w:eastAsia="zh-CN"/>
              </w:rPr>
              <w:t>，柴油燃烧</w:t>
            </w:r>
            <w:r>
              <w:rPr>
                <w:rFonts w:hint="eastAsia"/>
                <w:lang w:val="en-US" w:eastAsia="zh-CN"/>
              </w:rPr>
              <w:t>采用低氮燃烧，</w:t>
            </w:r>
            <w:r>
              <w:rPr>
                <w:rFonts w:hint="eastAsia"/>
                <w:lang w:eastAsia="zh-CN"/>
              </w:rPr>
              <w:t>经密闭收集后汇入搅拌站除尘系统（袋式除尘</w:t>
            </w:r>
            <w:r>
              <w:rPr>
                <w:rFonts w:hint="eastAsia"/>
                <w:lang w:val="en-US" w:eastAsia="zh-CN"/>
              </w:rPr>
              <w:t>TA000</w:t>
            </w:r>
            <w:r>
              <w:rPr>
                <w:rFonts w:hint="eastAsia"/>
                <w:lang w:eastAsia="zh-CN"/>
              </w:rPr>
              <w:t>）后通过一根15m高排气筒（DA00</w:t>
            </w:r>
            <w:r>
              <w:rPr>
                <w:rFonts w:hint="eastAsia"/>
                <w:lang w:val="en-US" w:eastAsia="zh-CN"/>
              </w:rPr>
              <w:t>2</w:t>
            </w:r>
            <w:r>
              <w:rPr>
                <w:rFonts w:hint="eastAsia"/>
                <w:lang w:eastAsia="zh-CN"/>
              </w:rPr>
              <w:t>）排放。</w:t>
            </w:r>
          </w:p>
          <w:p>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根据建设单位提供的资料，加热烘干柴油用量为588t/a，导热油炉柴油用量为112t/a，</w:t>
            </w:r>
            <w:r>
              <w:rPr>
                <w:rFonts w:hint="default" w:eastAsia="宋体"/>
                <w:lang w:val="en-US" w:eastAsia="zh-CN"/>
              </w:rPr>
              <w:t>此工段废气污染物产生量参照《排污许可证申请与核发技术规范—锅炉》（HJ953-2018）中</w:t>
            </w:r>
            <w:r>
              <w:rPr>
                <w:rFonts w:hint="eastAsia"/>
                <w:lang w:val="en-US" w:eastAsia="zh-CN"/>
              </w:rPr>
              <w:t>普通柴油（轻油）</w:t>
            </w:r>
            <w:r>
              <w:rPr>
                <w:rFonts w:hint="default" w:eastAsia="宋体"/>
                <w:lang w:val="en-US" w:eastAsia="zh-CN"/>
              </w:rPr>
              <w:t>产污系数计算</w:t>
            </w:r>
            <w:r>
              <w:rPr>
                <w:rFonts w:hint="eastAsia"/>
                <w:lang w:val="en-US" w:eastAsia="zh-CN"/>
              </w:rPr>
              <w:t>，废气产生量如下表所示。</w:t>
            </w:r>
          </w:p>
          <w:p>
            <w:pPr>
              <w:pStyle w:val="11"/>
              <w:keepNext w:val="0"/>
              <w:keepLines w:val="0"/>
              <w:widowControl/>
              <w:suppressLineNumbers w:val="0"/>
              <w:bidi w:val="0"/>
              <w:spacing w:beforeAutospacing="0" w:after="0" w:afterAutospacing="0"/>
              <w:ind w:left="0" w:right="0"/>
              <w:rPr>
                <w:rFonts w:hint="default"/>
                <w:lang w:val="en-US" w:eastAsia="zh-CN"/>
              </w:rPr>
            </w:pPr>
            <w:r>
              <w:rPr>
                <w:rFonts w:hint="eastAsia"/>
                <w:lang w:val="en-US" w:eastAsia="zh-CN"/>
              </w:rPr>
              <w:t>表4-1  柴油燃烧废气产排一览表</w:t>
            </w:r>
          </w:p>
          <w:tbl>
            <w:tblPr>
              <w:tblStyle w:val="7"/>
              <w:tblpPr w:leftFromText="180" w:rightFromText="180" w:vertAnchor="text" w:tblpXSpec="left" w:tblpY="1"/>
              <w:tblOverlap w:val="never"/>
              <w:tblW w:w="8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47"/>
              <w:gridCol w:w="850"/>
              <w:gridCol w:w="852"/>
              <w:gridCol w:w="852"/>
              <w:gridCol w:w="1155"/>
              <w:gridCol w:w="857"/>
              <w:gridCol w:w="85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工序</w:t>
                  </w:r>
                </w:p>
              </w:tc>
              <w:tc>
                <w:tcPr>
                  <w:tcW w:w="84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柴油用量t/a</w:t>
                  </w:r>
                </w:p>
              </w:tc>
              <w:tc>
                <w:tcPr>
                  <w:tcW w:w="85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污染物</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产污系数kg/t 燃料</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产生量t/a</w:t>
                  </w:r>
                </w:p>
              </w:tc>
              <w:tc>
                <w:tcPr>
                  <w:tcW w:w="115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处置措施</w:t>
                  </w: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处理效率</w:t>
                  </w: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排放量t/a</w:t>
                  </w:r>
                </w:p>
              </w:tc>
              <w:tc>
                <w:tcPr>
                  <w:tcW w:w="9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4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加热烘干</w:t>
                  </w:r>
                </w:p>
              </w:tc>
              <w:tc>
                <w:tcPr>
                  <w:tcW w:w="84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588</w:t>
                  </w:r>
                </w:p>
              </w:tc>
              <w:tc>
                <w:tcPr>
                  <w:tcW w:w="85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颗粒物</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0.26</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0.15</w:t>
                  </w:r>
                </w:p>
              </w:tc>
              <w:tc>
                <w:tcPr>
                  <w:tcW w:w="115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采用低氮燃烧，经密闭收集后汇入搅拌站除尘系统（袋式除尘</w:t>
                  </w:r>
                  <w:r>
                    <w:rPr>
                      <w:rFonts w:hint="eastAsia"/>
                      <w:szCs w:val="20"/>
                      <w:lang w:val="en-US" w:eastAsia="zh-CN"/>
                    </w:rPr>
                    <w:t>TA002</w:t>
                  </w:r>
                  <w:r>
                    <w:rPr>
                      <w:rFonts w:hint="eastAsia"/>
                      <w:szCs w:val="20"/>
                    </w:rPr>
                    <w:t>）后通过一根15m高排气筒（DA00</w:t>
                  </w:r>
                  <w:r>
                    <w:rPr>
                      <w:rFonts w:hint="eastAsia"/>
                      <w:szCs w:val="20"/>
                      <w:lang w:val="en-US" w:eastAsia="zh-CN"/>
                    </w:rPr>
                    <w:t>2</w:t>
                  </w:r>
                  <w:r>
                    <w:rPr>
                      <w:rFonts w:hint="eastAsia"/>
                      <w:szCs w:val="20"/>
                    </w:rPr>
                    <w:t>）排放</w:t>
                  </w: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99%</w:t>
                  </w: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0.0015</w:t>
                  </w:r>
                </w:p>
              </w:tc>
              <w:tc>
                <w:tcPr>
                  <w:tcW w:w="9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4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5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二氧化硫</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19S</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1.12</w:t>
                  </w:r>
                </w:p>
              </w:tc>
              <w:tc>
                <w:tcPr>
                  <w:tcW w:w="115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1.12</w:t>
                  </w:r>
                </w:p>
              </w:tc>
              <w:tc>
                <w:tcPr>
                  <w:tcW w:w="9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4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5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氮氧化物</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1.84</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1.08</w:t>
                  </w:r>
                </w:p>
              </w:tc>
              <w:tc>
                <w:tcPr>
                  <w:tcW w:w="115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1.08</w:t>
                  </w:r>
                </w:p>
              </w:tc>
              <w:tc>
                <w:tcPr>
                  <w:tcW w:w="9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4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highlight w:val="none"/>
                    </w:rPr>
                    <w:t>导热油炉</w:t>
                  </w:r>
                </w:p>
              </w:tc>
              <w:tc>
                <w:tcPr>
                  <w:tcW w:w="84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112</w:t>
                  </w:r>
                </w:p>
              </w:tc>
              <w:tc>
                <w:tcPr>
                  <w:tcW w:w="85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颗粒物</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0.26</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0.03</w:t>
                  </w:r>
                </w:p>
              </w:tc>
              <w:tc>
                <w:tcPr>
                  <w:tcW w:w="115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99%</w:t>
                  </w: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0.0003</w:t>
                  </w:r>
                </w:p>
              </w:tc>
              <w:tc>
                <w:tcPr>
                  <w:tcW w:w="9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4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5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二氧化硫</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19S</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0.21</w:t>
                  </w:r>
                </w:p>
              </w:tc>
              <w:tc>
                <w:tcPr>
                  <w:tcW w:w="115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w:t>
                  </w: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0.21</w:t>
                  </w:r>
                </w:p>
              </w:tc>
              <w:tc>
                <w:tcPr>
                  <w:tcW w:w="9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4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5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氮氧化物</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1.84</w:t>
                  </w:r>
                </w:p>
              </w:tc>
              <w:tc>
                <w:tcPr>
                  <w:tcW w:w="85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0.21</w:t>
                  </w:r>
                </w:p>
              </w:tc>
              <w:tc>
                <w:tcPr>
                  <w:tcW w:w="115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w:t>
                  </w:r>
                </w:p>
              </w:tc>
              <w:tc>
                <w:tcPr>
                  <w:tcW w:w="85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0.21</w:t>
                  </w:r>
                </w:p>
              </w:tc>
              <w:tc>
                <w:tcPr>
                  <w:tcW w:w="9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3" w:type="dxa"/>
                  <w:gridSpan w:val="9"/>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both"/>
                    <w:rPr>
                      <w:rFonts w:hint="default" w:eastAsia="宋体"/>
                      <w:szCs w:val="20"/>
                      <w:lang w:val="en-US" w:eastAsia="zh-CN"/>
                    </w:rPr>
                  </w:pPr>
                  <w:r>
                    <w:rPr>
                      <w:rFonts w:hint="eastAsia"/>
                      <w:b/>
                      <w:bCs/>
                      <w:szCs w:val="20"/>
                      <w:lang w:val="en-US" w:eastAsia="zh-CN"/>
                    </w:rPr>
                    <w:t>注：</w:t>
                  </w:r>
                  <w:r>
                    <w:rPr>
                      <w:rFonts w:hint="eastAsia"/>
                      <w:szCs w:val="20"/>
                      <w:lang w:val="en-US" w:eastAsia="zh-CN"/>
                    </w:rPr>
                    <w:t>表中二氧化硫的产污系数是以含硫量（S%）的形式表示的，其中含硫量（S%）是指燃油收到基硫含量，以质量百分数表示，例如燃料中含硫量（S%）为0.1%，则S=0.1。根据《船用燃料油》（GB 17411-2015）及其修改单，柴油硫含量为0.1%，则S=0.1。</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textAlignment w:val="auto"/>
              <w:rPr>
                <w:rFonts w:hint="default" w:eastAsia="宋体"/>
                <w:lang w:val="en-US" w:eastAsia="zh-CN"/>
              </w:rPr>
            </w:pPr>
            <w:r>
              <w:rPr>
                <w:rFonts w:hint="eastAsia"/>
                <w:lang w:val="en-US" w:eastAsia="zh-CN"/>
              </w:rPr>
              <w:t>③沥青烟气</w:t>
            </w:r>
          </w:p>
          <w:p>
            <w:pPr>
              <w:keepNext w:val="0"/>
              <w:keepLines w:val="0"/>
              <w:suppressLineNumbers w:val="0"/>
              <w:bidi w:val="0"/>
              <w:spacing w:before="0" w:beforeAutospacing="0" w:after="0" w:afterAutospacing="0"/>
              <w:ind w:left="0" w:right="0"/>
              <w:rPr>
                <w:rFonts w:hint="default"/>
              </w:rPr>
            </w:pPr>
            <w:r>
              <w:rPr>
                <w:rFonts w:hint="eastAsia"/>
              </w:rPr>
              <w:t>沥青烟气是指石油沥青及沥青制品生产中排放的液态烃类有机颗粒物质和气态烃类及其衍生物组成的混合烟雾，表观上呈现为一定浓度的烟尘颗粒物，呈棕褐色或黑色、有强烈的刺激性气味。从沥青烟气形成过程看，沥青烟气以烃类混合物为主要成份，多为多环烃类物质，其中以非甲烷总烃和苯并[a]芘为代表物质。因此，沥青烟气中的污染因子主要为非甲烷总烃、沥青烟（颗粒物）、苯并[a]芘以及异味（以恶臭计）。</w:t>
            </w:r>
          </w:p>
          <w:p>
            <w:pPr>
              <w:keepNext w:val="0"/>
              <w:keepLines w:val="0"/>
              <w:suppressLineNumbers w:val="0"/>
              <w:bidi w:val="0"/>
              <w:spacing w:before="0" w:beforeAutospacing="0" w:after="0" w:afterAutospacing="0"/>
              <w:ind w:left="0" w:right="0"/>
              <w:rPr>
                <w:rFonts w:hint="default"/>
              </w:rPr>
            </w:pPr>
            <w:r>
              <w:rPr>
                <w:rFonts w:hint="eastAsia"/>
              </w:rPr>
              <w:t>沥青罐为密闭罐体，沥青在不作业时不加热，处于凝结状，基本无沥青废气挥发，且本项目沥青混凝土搅拌缸采用密闭形式，搅拌好的沥青混凝土暂存在密闭的成品料仓内，不会有沥青烟气排放。因此本项目沥青烟气主要考虑沥青加热过程（同时输送至搅拌缸搅拌混合）成品出料过程的沥青烟气，主要污染物为沥青烟、苯并[a]芘、非甲烷总烃。</w:t>
            </w:r>
          </w:p>
          <w:p>
            <w:pPr>
              <w:keepNext w:val="0"/>
              <w:keepLines w:val="0"/>
              <w:suppressLineNumbers w:val="0"/>
              <w:bidi w:val="0"/>
              <w:spacing w:before="0" w:beforeAutospacing="0" w:after="0" w:afterAutospacing="0"/>
              <w:ind w:left="0" w:right="0"/>
              <w:rPr>
                <w:rFonts w:hint="default" w:eastAsia="宋体"/>
                <w:lang w:val="en-US" w:eastAsia="zh-CN"/>
              </w:rPr>
            </w:pPr>
            <w:r>
              <w:rPr>
                <w:rFonts w:hint="eastAsia"/>
                <w:lang w:val="en-US" w:eastAsia="zh-CN"/>
              </w:rPr>
              <w:t>A沥青加热、搅拌混合过程</w:t>
            </w:r>
          </w:p>
          <w:p>
            <w:pPr>
              <w:keepNext w:val="0"/>
              <w:keepLines w:val="0"/>
              <w:suppressLineNumbers w:val="0"/>
              <w:bidi w:val="0"/>
              <w:spacing w:before="0" w:beforeAutospacing="0" w:after="0" w:afterAutospacing="0"/>
              <w:ind w:left="0" w:right="0"/>
              <w:rPr>
                <w:rFonts w:hint="eastAsia"/>
              </w:rPr>
            </w:pPr>
            <w:r>
              <w:rPr>
                <w:rFonts w:hint="eastAsia"/>
              </w:rPr>
              <w:t>根据建设单位提供，本项目拌合站加热普通沥青及搅拌混料过程的沥青使用量为5</w:t>
            </w:r>
            <w:r>
              <w:rPr>
                <w:rFonts w:hint="eastAsia"/>
                <w:lang w:val="en-US" w:eastAsia="zh-CN"/>
              </w:rPr>
              <w:t>0</w:t>
            </w:r>
            <w:r>
              <w:rPr>
                <w:rFonts w:hint="eastAsia"/>
              </w:rPr>
              <w:t>00t/a，年加热沥青工作时间约</w:t>
            </w:r>
            <w:r>
              <w:rPr>
                <w:rFonts w:hint="eastAsia"/>
                <w:lang w:val="en-US" w:eastAsia="zh-CN"/>
              </w:rPr>
              <w:t>2400</w:t>
            </w:r>
            <w:r>
              <w:rPr>
                <w:rFonts w:hint="eastAsia"/>
              </w:rPr>
              <w:t>h。</w:t>
            </w:r>
          </w:p>
          <w:p>
            <w:pPr>
              <w:keepNext w:val="0"/>
              <w:keepLines w:val="0"/>
              <w:suppressLineNumbers w:val="0"/>
              <w:bidi w:val="0"/>
              <w:spacing w:before="0" w:beforeAutospacing="0" w:after="0" w:afterAutospacing="0"/>
              <w:ind w:left="0" w:right="0"/>
              <w:rPr>
                <w:rFonts w:hint="eastAsia"/>
              </w:rPr>
            </w:pPr>
            <w:r>
              <w:rPr>
                <w:rFonts w:hint="eastAsia"/>
              </w:rPr>
              <w:t>沥青烟：根据《石油沥青稳定性及其影响因素》中的实验结果，石油沥青加热到160℃时，沥青烟的挥发量为0.15%；加热到80℃时，沥青烟的挥发量为0.20%。本项目使用的基质沥青为石油沥青，沥青加热过程从160℃加热升温至180℃时，按沥青烟的平均挥发量为0.175%计，则本项目拌合站加热沥青及搅拌混料过程沥青烟产生量为</w:t>
            </w:r>
            <w:r>
              <w:rPr>
                <w:rFonts w:hint="eastAsia"/>
                <w:lang w:val="en-US" w:eastAsia="zh-CN"/>
              </w:rPr>
              <w:t>8.75</w:t>
            </w:r>
            <w:r>
              <w:rPr>
                <w:rFonts w:hint="eastAsia"/>
              </w:rPr>
              <w:t>t/a（</w:t>
            </w:r>
            <w:r>
              <w:rPr>
                <w:rFonts w:hint="eastAsia"/>
                <w:lang w:val="en-US" w:eastAsia="zh-CN"/>
              </w:rPr>
              <w:t>3.65</w:t>
            </w:r>
            <w:r>
              <w:rPr>
                <w:rFonts w:hint="eastAsia"/>
              </w:rPr>
              <w:t>kg/h）。</w:t>
            </w:r>
          </w:p>
          <w:p>
            <w:pPr>
              <w:keepNext w:val="0"/>
              <w:keepLines w:val="0"/>
              <w:suppressLineNumbers w:val="0"/>
              <w:bidi w:val="0"/>
              <w:spacing w:before="0" w:beforeAutospacing="0" w:after="0" w:afterAutospacing="0"/>
              <w:ind w:left="0" w:right="0"/>
              <w:rPr>
                <w:rFonts w:hint="eastAsia"/>
              </w:rPr>
            </w:pPr>
            <w:r>
              <w:rPr>
                <w:rFonts w:hint="eastAsia"/>
              </w:rPr>
              <w:t>苯并[a]芘：苯并[a]芘为黄色针状晶体，熔点179℃，沸点310℃左右，能溶于苯、稍溶于醇，不溶于水，是石油沥青中的强致癌物，可引起皮肤癌，在沥青烟中，其通常附着在直径8.0μm以下的颗粒上。参考《工业生产中的有害物质手册（第一卷）》（化学工业出版社，1987年12月出版），沥青烟中苯并[a]芘含量约0.01~0.02‰，本次评价取中间值0.015‰，则本项目拌合楼加热沥青及搅拌混料过程苯并[a]芘废气产生量为0.0</w:t>
            </w:r>
            <w:r>
              <w:rPr>
                <w:rFonts w:hint="eastAsia"/>
                <w:lang w:val="en-US" w:eastAsia="zh-CN"/>
              </w:rPr>
              <w:t>001</w:t>
            </w:r>
            <w:r>
              <w:rPr>
                <w:rFonts w:hint="eastAsia"/>
              </w:rPr>
              <w:t>t/a（0.0</w:t>
            </w:r>
            <w:r>
              <w:rPr>
                <w:rFonts w:hint="eastAsia"/>
                <w:lang w:val="en-US" w:eastAsia="zh-CN"/>
              </w:rPr>
              <w:t>0005</w:t>
            </w:r>
            <w:r>
              <w:rPr>
                <w:rFonts w:hint="eastAsia"/>
              </w:rPr>
              <w:t>kg/h）。</w:t>
            </w:r>
          </w:p>
          <w:p>
            <w:pPr>
              <w:keepNext w:val="0"/>
              <w:keepLines w:val="0"/>
              <w:suppressLineNumbers w:val="0"/>
              <w:bidi w:val="0"/>
              <w:spacing w:before="0" w:beforeAutospacing="0" w:after="0" w:afterAutospacing="0"/>
              <w:ind w:left="0" w:right="0"/>
              <w:rPr>
                <w:rFonts w:hint="eastAsia"/>
              </w:rPr>
            </w:pPr>
            <w:r>
              <w:rPr>
                <w:rFonts w:hint="eastAsia"/>
              </w:rPr>
              <w:t>非甲烷总烃：参考《工业生产中的有害物质手册（第一卷）》（化学工业出版社，1987年12月出版）及金相灿主编的《有机化合物污染化学》（清华大学出版社，1990年8月出版）等有关资料，每吨石油沥青在加热过程中可产生非甲烷总烃气体2.5g/t，则本项目拌合楼加热沥青及搅拌混料过程非甲烷总烃产生量为0.013t/a（0.0</w:t>
            </w:r>
            <w:r>
              <w:rPr>
                <w:rFonts w:hint="eastAsia"/>
                <w:lang w:val="en-US" w:eastAsia="zh-CN"/>
              </w:rPr>
              <w:t>05</w:t>
            </w:r>
            <w:r>
              <w:rPr>
                <w:rFonts w:hint="eastAsia"/>
              </w:rPr>
              <w:t>kg/h）。</w:t>
            </w:r>
          </w:p>
          <w:p>
            <w:pPr>
              <w:keepNext w:val="0"/>
              <w:keepLines w:val="0"/>
              <w:suppressLineNumbers w:val="0"/>
              <w:bidi w:val="0"/>
              <w:spacing w:before="0" w:beforeAutospacing="0" w:after="0" w:afterAutospacing="0"/>
              <w:ind w:left="0" w:right="0"/>
              <w:rPr>
                <w:rFonts w:hint="default"/>
              </w:rPr>
            </w:pPr>
            <w:r>
              <w:rPr>
                <w:rFonts w:hint="eastAsia"/>
              </w:rPr>
              <w:t>项目拌合楼加热沥青及搅拌混料过程产生的沥青烟气先采用冷凝器冷凝回收（冷凝器回流率可达95%以上），未凝气再通过密闭管道输送入沥青烟气处理系统“喷淋+活性炭吸附</w:t>
            </w:r>
            <w:r>
              <w:rPr>
                <w:rFonts w:hint="eastAsia"/>
                <w:lang w:eastAsia="zh-CN"/>
              </w:rPr>
              <w:t>”</w:t>
            </w:r>
            <w:r>
              <w:rPr>
                <w:rFonts w:hint="eastAsia"/>
                <w:lang w:val="en-US" w:eastAsia="zh-CN"/>
              </w:rPr>
              <w:t>TA003</w:t>
            </w:r>
            <w:r>
              <w:rPr>
                <w:rFonts w:hint="eastAsia"/>
              </w:rPr>
              <w:t>处理装置（对沥青烟气去除效率为65%）处理后通过一根15m高排气筒（DA00</w:t>
            </w:r>
            <w:r>
              <w:rPr>
                <w:rFonts w:hint="eastAsia"/>
                <w:lang w:val="en-US" w:eastAsia="zh-CN"/>
              </w:rPr>
              <w:t>3</w:t>
            </w:r>
            <w:r>
              <w:rPr>
                <w:rFonts w:hint="eastAsia"/>
              </w:rPr>
              <w:t>）排放，设计风机风量为5000m</w:t>
            </w:r>
            <w:r>
              <w:rPr>
                <w:rFonts w:hint="eastAsia"/>
                <w:vertAlign w:val="superscript"/>
              </w:rPr>
              <w:t>3</w:t>
            </w:r>
            <w:r>
              <w:rPr>
                <w:rFonts w:hint="eastAsia"/>
              </w:rPr>
              <w:t>/h，则本项目拌合楼加热沥青及搅拌混料过程沥青烟气主要污染物沥青烟、苯并[a]芘、非甲烷总烃排放量分别为0.</w:t>
            </w:r>
            <w:r>
              <w:rPr>
                <w:rFonts w:hint="eastAsia"/>
                <w:lang w:val="en-US" w:eastAsia="zh-CN"/>
              </w:rPr>
              <w:t>153</w:t>
            </w:r>
            <w:r>
              <w:rPr>
                <w:rFonts w:hint="eastAsia"/>
              </w:rPr>
              <w:t>t/a（0.</w:t>
            </w:r>
            <w:r>
              <w:rPr>
                <w:rFonts w:hint="eastAsia"/>
                <w:lang w:val="en-US" w:eastAsia="zh-CN"/>
              </w:rPr>
              <w:t>06</w:t>
            </w:r>
            <w:r>
              <w:rPr>
                <w:rFonts w:hint="eastAsia"/>
              </w:rPr>
              <w:t>kg/h）、0.</w:t>
            </w:r>
            <w:r>
              <w:rPr>
                <w:rFonts w:hint="eastAsia"/>
                <w:lang w:val="en-US" w:eastAsia="zh-CN"/>
              </w:rPr>
              <w:t>000002</w:t>
            </w:r>
            <w:r>
              <w:rPr>
                <w:rFonts w:hint="eastAsia"/>
              </w:rPr>
              <w:t>t/a（</w:t>
            </w:r>
            <w:r>
              <w:rPr>
                <w:rFonts w:hint="eastAsia"/>
                <w:lang w:val="en-US" w:eastAsia="zh-CN"/>
              </w:rPr>
              <w:t>7.3×10</w:t>
            </w:r>
            <w:r>
              <w:rPr>
                <w:rFonts w:hint="eastAsia"/>
                <w:vertAlign w:val="superscript"/>
                <w:lang w:val="en-US" w:eastAsia="zh-CN"/>
              </w:rPr>
              <w:t>-10</w:t>
            </w:r>
            <w:r>
              <w:rPr>
                <w:rFonts w:hint="eastAsia"/>
              </w:rPr>
              <w:t>kg/h）、0.0002t/a（0.000</w:t>
            </w:r>
            <w:r>
              <w:rPr>
                <w:rFonts w:hint="eastAsia"/>
                <w:lang w:val="en-US" w:eastAsia="zh-CN"/>
              </w:rPr>
              <w:t>08</w:t>
            </w:r>
            <w:r>
              <w:rPr>
                <w:rFonts w:hint="eastAsia"/>
              </w:rPr>
              <w:t>kg/h）。</w:t>
            </w:r>
          </w:p>
          <w:p>
            <w:pPr>
              <w:keepNext w:val="0"/>
              <w:keepLines w:val="0"/>
              <w:suppressLineNumbers w:val="0"/>
              <w:bidi w:val="0"/>
              <w:spacing w:before="0" w:beforeAutospacing="0" w:after="0" w:afterAutospacing="0"/>
              <w:ind w:left="0" w:right="0"/>
              <w:rPr>
                <w:rFonts w:hint="default" w:eastAsia="宋体"/>
                <w:lang w:val="en-US" w:eastAsia="zh-CN"/>
              </w:rPr>
            </w:pPr>
            <w:r>
              <w:rPr>
                <w:rFonts w:hint="eastAsia"/>
                <w:lang w:val="en-US" w:eastAsia="zh-CN"/>
              </w:rPr>
              <w:t>B成品出料过程</w:t>
            </w:r>
          </w:p>
          <w:p>
            <w:pPr>
              <w:keepNext w:val="0"/>
              <w:keepLines w:val="0"/>
              <w:suppressLineNumbers w:val="0"/>
              <w:bidi w:val="0"/>
              <w:spacing w:before="0" w:beforeAutospacing="0" w:after="0" w:afterAutospacing="0"/>
              <w:ind w:left="0" w:right="0"/>
              <w:rPr>
                <w:rFonts w:hint="eastAsia"/>
              </w:rPr>
            </w:pPr>
            <w:r>
              <w:rPr>
                <w:rFonts w:hint="eastAsia"/>
              </w:rPr>
              <w:t>项目沥青混凝土暂存在密闭的成品料仓内，不会有沥青烟气排放，出料过程会有少量沥青烟通过出料口逸散，成品出料产生的沥青烟气量约为加热搅拌过程产生量的1%，则成品出料过程产生沥青烟、苯并[a]芘、非甲烷总烃产生量分别为0.0</w:t>
            </w:r>
            <w:r>
              <w:rPr>
                <w:rFonts w:hint="eastAsia"/>
                <w:lang w:val="en-US" w:eastAsia="zh-CN"/>
              </w:rPr>
              <w:t>875</w:t>
            </w:r>
            <w:r>
              <w:rPr>
                <w:rFonts w:hint="eastAsia"/>
              </w:rPr>
              <w:t>t/a（</w:t>
            </w:r>
            <w:r>
              <w:rPr>
                <w:rFonts w:hint="eastAsia"/>
                <w:lang w:val="en-US" w:eastAsia="zh-CN"/>
              </w:rPr>
              <w:t>0.036</w:t>
            </w:r>
            <w:r>
              <w:rPr>
                <w:rFonts w:hint="eastAsia"/>
              </w:rPr>
              <w:t>kg/h）、0.</w:t>
            </w:r>
            <w:r>
              <w:rPr>
                <w:rFonts w:hint="eastAsia"/>
                <w:lang w:val="en-US" w:eastAsia="zh-CN"/>
              </w:rPr>
              <w:t>0</w:t>
            </w:r>
            <w:r>
              <w:rPr>
                <w:rFonts w:hint="eastAsia"/>
              </w:rPr>
              <w:t>0001t/a（</w:t>
            </w:r>
            <w:r>
              <w:rPr>
                <w:rFonts w:hint="eastAsia"/>
                <w:lang w:val="en-US" w:eastAsia="zh-CN"/>
              </w:rPr>
              <w:t>4.2×10</w:t>
            </w:r>
            <w:r>
              <w:rPr>
                <w:rFonts w:hint="eastAsia"/>
                <w:vertAlign w:val="superscript"/>
                <w:lang w:val="en-US" w:eastAsia="zh-CN"/>
              </w:rPr>
              <w:t>-6</w:t>
            </w:r>
            <w:r>
              <w:rPr>
                <w:rFonts w:hint="eastAsia"/>
              </w:rPr>
              <w:t>kg/h）、0.00013t/a（0.</w:t>
            </w:r>
            <w:r>
              <w:rPr>
                <w:rFonts w:hint="eastAsia"/>
                <w:lang w:val="en-US" w:eastAsia="zh-CN"/>
              </w:rPr>
              <w:t>00005</w:t>
            </w:r>
            <w:r>
              <w:rPr>
                <w:rFonts w:hint="eastAsia"/>
              </w:rPr>
              <w:t>kg/h）。</w:t>
            </w:r>
          </w:p>
          <w:p>
            <w:pPr>
              <w:keepNext w:val="0"/>
              <w:keepLines w:val="0"/>
              <w:suppressLineNumbers w:val="0"/>
              <w:bidi w:val="0"/>
              <w:spacing w:before="0" w:beforeAutospacing="0" w:after="0" w:afterAutospacing="0"/>
              <w:ind w:left="0" w:right="0"/>
              <w:rPr>
                <w:rFonts w:hint="eastAsia"/>
              </w:rPr>
            </w:pPr>
            <w:r>
              <w:rPr>
                <w:rFonts w:hint="eastAsia"/>
              </w:rPr>
              <w:t>该部分沥青烟气通过出料口侧边集气设施收集，出料口四周设置密闭卷帘，运输车辆驶至出料口下端，落下卷帘，将出料口泄漏出来的沥青烟用引风收集装置收集，装料完毕后，车辆严密遮盖后驶出，收集效率可达90%，经收集后引入沥青烟气处理系统“喷淋+活性炭吸附装置”</w:t>
            </w:r>
            <w:r>
              <w:rPr>
                <w:rFonts w:hint="eastAsia"/>
                <w:lang w:val="en-US" w:eastAsia="zh-CN"/>
              </w:rPr>
              <w:t>TA003</w:t>
            </w:r>
            <w:r>
              <w:rPr>
                <w:rFonts w:hint="eastAsia"/>
              </w:rPr>
              <w:t>处理装置处理（对收集的沥青烟气去除效率为65%）后通过一根15m高排气筒（DA00</w:t>
            </w:r>
            <w:r>
              <w:rPr>
                <w:rFonts w:hint="eastAsia"/>
                <w:lang w:val="en-US" w:eastAsia="zh-CN"/>
              </w:rPr>
              <w:t>3</w:t>
            </w:r>
            <w:r>
              <w:rPr>
                <w:rFonts w:hint="eastAsia"/>
              </w:rPr>
              <w:t>）排放；剩余未收集的沥青烟气无组织排放。</w:t>
            </w:r>
          </w:p>
          <w:p>
            <w:pPr>
              <w:keepNext w:val="0"/>
              <w:keepLines w:val="0"/>
              <w:suppressLineNumbers w:val="0"/>
              <w:bidi w:val="0"/>
              <w:spacing w:before="0" w:beforeAutospacing="0" w:after="0" w:afterAutospacing="0"/>
              <w:ind w:left="0" w:right="0"/>
              <w:rPr>
                <w:rFonts w:hint="default"/>
              </w:rPr>
            </w:pPr>
            <w:r>
              <w:rPr>
                <w:rFonts w:hint="eastAsia"/>
              </w:rPr>
              <w:t>则成品出料过程有组织排放沥青烟、苯并[a]芘、非甲烷总烃排放量分别为0.0</w:t>
            </w:r>
            <w:r>
              <w:rPr>
                <w:rFonts w:hint="eastAsia"/>
                <w:lang w:val="en-US" w:eastAsia="zh-CN"/>
              </w:rPr>
              <w:t>28</w:t>
            </w:r>
            <w:r>
              <w:rPr>
                <w:rFonts w:hint="eastAsia"/>
              </w:rPr>
              <w:t>t/a（</w:t>
            </w:r>
            <w:r>
              <w:rPr>
                <w:rFonts w:hint="eastAsia"/>
                <w:lang w:val="en-US" w:eastAsia="zh-CN"/>
              </w:rPr>
              <w:t>0.01</w:t>
            </w:r>
            <w:r>
              <w:rPr>
                <w:rFonts w:hint="eastAsia"/>
              </w:rPr>
              <w:t>kg/h）、0.0</w:t>
            </w:r>
            <w:r>
              <w:rPr>
                <w:rFonts w:hint="eastAsia"/>
                <w:lang w:val="en-US" w:eastAsia="zh-CN"/>
              </w:rPr>
              <w:t>00003</w:t>
            </w:r>
            <w:r>
              <w:rPr>
                <w:rFonts w:hint="eastAsia"/>
              </w:rPr>
              <w:t>t/a（0.00</w:t>
            </w:r>
            <w:r>
              <w:rPr>
                <w:rFonts w:hint="eastAsia"/>
                <w:lang w:val="en-US" w:eastAsia="zh-CN"/>
              </w:rPr>
              <w:t>0001</w:t>
            </w:r>
            <w:r>
              <w:rPr>
                <w:rFonts w:hint="eastAsia"/>
              </w:rPr>
              <w:t>kg/h）、0.0000</w:t>
            </w:r>
            <w:r>
              <w:rPr>
                <w:rFonts w:hint="eastAsia"/>
                <w:lang w:val="en-US" w:eastAsia="zh-CN"/>
              </w:rPr>
              <w:t>4</w:t>
            </w:r>
            <w:r>
              <w:rPr>
                <w:rFonts w:hint="eastAsia"/>
              </w:rPr>
              <w:t>t/a（0.00</w:t>
            </w:r>
            <w:r>
              <w:rPr>
                <w:rFonts w:hint="eastAsia"/>
                <w:lang w:val="en-US" w:eastAsia="zh-CN"/>
              </w:rPr>
              <w:t>002</w:t>
            </w:r>
            <w:r>
              <w:rPr>
                <w:rFonts w:hint="eastAsia"/>
              </w:rPr>
              <w:t>kg/h）；无组织排放沥青烟、苯并[a]芘、非甲烷总烃排放量分别为0.00</w:t>
            </w:r>
            <w:r>
              <w:rPr>
                <w:rFonts w:hint="eastAsia"/>
                <w:lang w:val="en-US" w:eastAsia="zh-CN"/>
              </w:rPr>
              <w:t>875</w:t>
            </w:r>
            <w:r>
              <w:rPr>
                <w:rFonts w:hint="eastAsia"/>
              </w:rPr>
              <w:t>t/a（0.</w:t>
            </w:r>
            <w:r>
              <w:rPr>
                <w:rFonts w:hint="eastAsia"/>
                <w:lang w:val="en-US" w:eastAsia="zh-CN"/>
              </w:rPr>
              <w:t>0036</w:t>
            </w:r>
            <w:r>
              <w:rPr>
                <w:rFonts w:hint="eastAsia"/>
              </w:rPr>
              <w:t>kg/h）、0.0000</w:t>
            </w:r>
            <w:r>
              <w:rPr>
                <w:rFonts w:hint="eastAsia"/>
                <w:lang w:val="en-US" w:eastAsia="zh-CN"/>
              </w:rPr>
              <w:t>01</w:t>
            </w:r>
            <w:r>
              <w:rPr>
                <w:rFonts w:hint="eastAsia"/>
              </w:rPr>
              <w:t>t/a（</w:t>
            </w:r>
            <w:r>
              <w:rPr>
                <w:rFonts w:hint="eastAsia"/>
                <w:lang w:val="en-US" w:eastAsia="zh-CN"/>
              </w:rPr>
              <w:t>4.2×10</w:t>
            </w:r>
            <w:r>
              <w:rPr>
                <w:rFonts w:hint="eastAsia"/>
                <w:vertAlign w:val="superscript"/>
                <w:lang w:val="en-US" w:eastAsia="zh-CN"/>
              </w:rPr>
              <w:t>-7</w:t>
            </w:r>
            <w:r>
              <w:rPr>
                <w:rFonts w:hint="eastAsia"/>
              </w:rPr>
              <w:t>kg/h）、0.000013t/a（</w:t>
            </w:r>
            <w:r>
              <w:rPr>
                <w:rFonts w:hint="eastAsia"/>
                <w:lang w:val="en-US" w:eastAsia="zh-CN"/>
              </w:rPr>
              <w:t>5.42×10</w:t>
            </w:r>
            <w:r>
              <w:rPr>
                <w:rFonts w:hint="eastAsia"/>
                <w:vertAlign w:val="superscript"/>
                <w:lang w:val="en-US" w:eastAsia="zh-CN"/>
              </w:rPr>
              <w:t>-6</w:t>
            </w:r>
            <w:r>
              <w:rPr>
                <w:rFonts w:hint="eastAsia"/>
              </w:rPr>
              <w:t>kg/h）。</w:t>
            </w:r>
          </w:p>
          <w:p>
            <w:pPr>
              <w:keepNext w:val="0"/>
              <w:keepLines w:val="0"/>
              <w:suppressLineNumbers w:val="0"/>
              <w:bidi w:val="0"/>
              <w:spacing w:before="0" w:beforeAutospacing="0" w:after="0" w:afterAutospacing="0"/>
              <w:ind w:left="0" w:right="0"/>
              <w:rPr>
                <w:rFonts w:hint="default" w:eastAsia="宋体"/>
                <w:lang w:val="en-US" w:eastAsia="zh-CN"/>
              </w:rPr>
            </w:pPr>
            <w:r>
              <w:rPr>
                <w:rFonts w:hint="eastAsia"/>
                <w:lang w:val="en-US" w:eastAsia="zh-CN"/>
              </w:rPr>
              <w:t>C恶臭</w:t>
            </w:r>
          </w:p>
          <w:p>
            <w:pPr>
              <w:keepNext w:val="0"/>
              <w:keepLines w:val="0"/>
              <w:suppressLineNumbers w:val="0"/>
              <w:spacing w:before="0" w:beforeAutospacing="0" w:after="0" w:afterAutospacing="0"/>
              <w:ind w:left="0" w:right="0" w:firstLine="480"/>
              <w:rPr>
                <w:rFonts w:hint="eastAsia"/>
              </w:rPr>
            </w:pPr>
            <w:r>
              <w:rPr>
                <w:rFonts w:hint="eastAsia"/>
              </w:rPr>
              <w:t>项目所用原料之一为石油沥青，它是石油气工厂热裂解石油气原料时得到的副产品，根据石油沥青平时储存在密闭的储罐中，基本感觉不到异味，仅在生产时有少量异味产生。根据沥青特性，当温度达到80℃左右时，便会挥发出异味，沥青在整个生产过程中从输送到混合搅拌全部在密闭管道和设施中进行，因此，生产过程恶臭气体主要来自沥青加热罐出气口未完全处理的沥青烟臭气和出料过程中未完全收集的沥青臭气污染物。根据分析项目各沥青烟污染源均能达标排放，厂区宽敞通风，臭气经稀释扩散后对周围环境影响较小。</w:t>
            </w:r>
          </w:p>
          <w:p>
            <w:pPr>
              <w:keepNext w:val="0"/>
              <w:keepLines w:val="0"/>
              <w:suppressLineNumbers w:val="0"/>
              <w:spacing w:before="0" w:beforeAutospacing="0" w:after="0" w:afterAutospacing="0"/>
              <w:ind w:left="0" w:right="0" w:firstLine="480"/>
              <w:rPr>
                <w:rFonts w:hint="eastAsia"/>
                <w:lang w:val="en-US" w:eastAsia="zh-CN"/>
              </w:rPr>
            </w:pPr>
            <w:r>
              <w:rPr>
                <w:rFonts w:hint="eastAsia"/>
                <w:lang w:val="en-US" w:eastAsia="zh-CN"/>
              </w:rPr>
              <w:t>④食堂油烟</w:t>
            </w:r>
          </w:p>
          <w:p>
            <w:pPr>
              <w:keepNext w:val="0"/>
              <w:keepLines w:val="0"/>
              <w:suppressLineNumbers w:val="0"/>
              <w:spacing w:before="0" w:beforeAutospacing="0" w:after="0" w:afterAutospacing="0"/>
              <w:ind w:left="0" w:right="0" w:firstLine="480"/>
              <w:rPr>
                <w:rFonts w:hint="eastAsia"/>
                <w:lang w:val="en-US" w:eastAsia="zh-CN"/>
              </w:rPr>
            </w:pPr>
            <w:r>
              <w:rPr>
                <w:rFonts w:hint="eastAsia"/>
                <w:lang w:val="en-US" w:eastAsia="zh-CN"/>
              </w:rPr>
              <w:t>本项目劳动定员8人，食堂设1个灶头，每日提供中、晚餐，动植物油消耗按20g/人·餐计算，则食用油用量为0.32kg/d，挥发损失约3%，则食堂油烟产生量为0.0096kg/d，2.88kg/a。食堂设一套油烟净化设施，风量为1000m</w:t>
            </w:r>
            <w:r>
              <w:rPr>
                <w:rFonts w:hint="eastAsia"/>
                <w:vertAlign w:val="superscript"/>
                <w:lang w:val="en-US" w:eastAsia="zh-CN"/>
              </w:rPr>
              <w:t>3</w:t>
            </w:r>
            <w:r>
              <w:rPr>
                <w:rFonts w:hint="eastAsia"/>
                <w:lang w:val="en-US" w:eastAsia="zh-CN"/>
              </w:rPr>
              <w:t>/h，收集效率为90%，每日烹饪时长以2h计。根据《饮食业油烟排放标准》（GB18483-2001）要求，本项目食堂规模为“小型”，油烟净化设施净化效率以60%计。处理后食堂油烟排放量为0.0035kg/d，1.03kg/a，排放浓度为0.44mg/m</w:t>
            </w:r>
            <w:r>
              <w:rPr>
                <w:rFonts w:hint="eastAsia"/>
                <w:vertAlign w:val="superscript"/>
                <w:lang w:val="en-US" w:eastAsia="zh-CN"/>
              </w:rPr>
              <w:t>3</w:t>
            </w:r>
            <w:r>
              <w:rPr>
                <w:rFonts w:hint="eastAsia"/>
                <w:lang w:val="en-US" w:eastAsia="zh-CN"/>
              </w:rPr>
              <w:t>，满足《饮食业油烟排放标准》（GB18483-2001）最高允许排放浓度要求（2.0mg/m</w:t>
            </w:r>
            <w:r>
              <w:rPr>
                <w:rFonts w:hint="eastAsia"/>
                <w:vertAlign w:val="superscript"/>
                <w:lang w:val="en-US" w:eastAsia="zh-CN"/>
              </w:rPr>
              <w:t>3</w:t>
            </w:r>
            <w:r>
              <w:rPr>
                <w:rFonts w:hint="eastAsia"/>
                <w:lang w:val="en-US" w:eastAsia="zh-CN"/>
              </w:rPr>
              <w:t>）。食堂油烟经油烟净化设施处理后经专用烟道引至屋顶排放。</w:t>
            </w:r>
          </w:p>
          <w:p>
            <w:pPr>
              <w:keepNext w:val="0"/>
              <w:keepLines w:val="0"/>
              <w:suppressLineNumbers w:val="0"/>
              <w:spacing w:before="0" w:beforeAutospacing="0" w:after="0" w:afterAutospacing="0"/>
              <w:ind w:left="0" w:right="0" w:firstLine="480"/>
              <w:rPr>
                <w:rFonts w:hint="eastAsia"/>
                <w:lang w:val="en-US" w:eastAsia="zh-CN"/>
              </w:rPr>
            </w:pPr>
            <w:r>
              <w:rPr>
                <w:rFonts w:hint="eastAsia"/>
                <w:lang w:val="en-US" w:eastAsia="zh-CN"/>
              </w:rPr>
              <w:t>综上，本项目废气产排情况汇总见下表4-2。</w:t>
            </w: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p>
            <w:pPr>
              <w:keepNext w:val="0"/>
              <w:keepLines w:val="0"/>
              <w:suppressLineNumbers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right="0" w:firstLine="0" w:firstLineChars="0"/>
        <w:jc w:val="center"/>
        <w:rPr>
          <w:rFonts w:hint="eastAsia"/>
        </w:rPr>
        <w:sectPr>
          <w:pgSz w:w="11907" w:h="16840"/>
          <w:pgMar w:top="1701" w:right="1531" w:bottom="2127" w:left="1531" w:header="851" w:footer="851" w:gutter="0"/>
          <w:cols w:space="720" w:num="1"/>
          <w:docGrid w:linePitch="312" w:charSpace="0"/>
        </w:sectPr>
      </w:pPr>
    </w:p>
    <w:tbl>
      <w:tblPr>
        <w:tblStyle w:val="7"/>
        <w:tblW w:w="13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92" w:type="dxa"/>
          </w:tcPr>
          <w:p>
            <w:pPr>
              <w:keepNext w:val="0"/>
              <w:keepLines w:val="0"/>
              <w:suppressLineNumbers w:val="0"/>
              <w:bidi w:val="0"/>
              <w:spacing w:before="0" w:beforeAutospacing="0" w:after="0" w:afterAutospacing="0"/>
              <w:ind w:left="0" w:right="0"/>
              <w:rPr>
                <w:rFonts w:hint="eastAsia"/>
              </w:rPr>
            </w:pPr>
          </w:p>
        </w:tc>
        <w:tc>
          <w:tcPr>
            <w:tcW w:w="12636" w:type="dxa"/>
          </w:tcPr>
          <w:p>
            <w:pPr>
              <w:pStyle w:val="11"/>
              <w:keepNext w:val="0"/>
              <w:keepLines w:val="0"/>
              <w:widowControl/>
              <w:suppressLineNumbers w:val="0"/>
              <w:bidi w:val="0"/>
              <w:spacing w:beforeAutospacing="0" w:after="0" w:afterAutospacing="0"/>
              <w:ind w:left="0" w:right="0"/>
              <w:rPr>
                <w:rFonts w:hint="default"/>
                <w:lang w:val="en-US" w:eastAsia="zh-CN"/>
              </w:rPr>
            </w:pPr>
            <w:r>
              <w:rPr>
                <w:rFonts w:hint="eastAsia"/>
                <w:lang w:val="en-US" w:eastAsia="zh-CN"/>
              </w:rPr>
              <w:t>表4-2  项目废气产排情况汇总表</w:t>
            </w:r>
          </w:p>
          <w:tbl>
            <w:tblPr>
              <w:tblStyle w:val="7"/>
              <w:tblpPr w:leftFromText="180" w:rightFromText="180" w:vertAnchor="text" w:tblpXSpec="left" w:tblpY="1"/>
              <w:tblOverlap w:val="never"/>
              <w:tblW w:w="12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09"/>
              <w:gridCol w:w="792"/>
              <w:gridCol w:w="1018"/>
              <w:gridCol w:w="876"/>
              <w:gridCol w:w="946"/>
              <w:gridCol w:w="710"/>
              <w:gridCol w:w="1770"/>
              <w:gridCol w:w="876"/>
              <w:gridCol w:w="1201"/>
              <w:gridCol w:w="1018"/>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9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产污工序</w:t>
                  </w:r>
                </w:p>
              </w:tc>
              <w:tc>
                <w:tcPr>
                  <w:tcW w:w="1109"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污染物</w:t>
                  </w:r>
                </w:p>
              </w:tc>
              <w:tc>
                <w:tcPr>
                  <w:tcW w:w="79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排放方式</w:t>
                  </w:r>
                </w:p>
              </w:tc>
              <w:tc>
                <w:tcPr>
                  <w:tcW w:w="1894" w:type="dxa"/>
                  <w:gridSpan w:val="2"/>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rPr>
                  </w:pPr>
                  <w:r>
                    <w:rPr>
                      <w:rFonts w:hint="eastAsia"/>
                      <w:b/>
                      <w:bCs/>
                      <w:szCs w:val="20"/>
                      <w:lang w:val="en-US" w:eastAsia="zh-CN"/>
                    </w:rPr>
                    <w:t>污染物产生</w:t>
                  </w:r>
                </w:p>
              </w:tc>
              <w:tc>
                <w:tcPr>
                  <w:tcW w:w="1656" w:type="dxa"/>
                  <w:gridSpan w:val="2"/>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rPr>
                  </w:pPr>
                  <w:r>
                    <w:rPr>
                      <w:rFonts w:hint="eastAsia"/>
                      <w:b/>
                      <w:bCs/>
                      <w:szCs w:val="20"/>
                      <w:lang w:val="en-US" w:eastAsia="zh-CN"/>
                    </w:rPr>
                    <w:t>收集措施</w:t>
                  </w:r>
                </w:p>
              </w:tc>
              <w:tc>
                <w:tcPr>
                  <w:tcW w:w="3847" w:type="dxa"/>
                  <w:gridSpan w:val="3"/>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rPr>
                  </w:pPr>
                  <w:r>
                    <w:rPr>
                      <w:rFonts w:hint="eastAsia"/>
                      <w:b/>
                      <w:bCs/>
                      <w:szCs w:val="20"/>
                      <w:lang w:val="en-US" w:eastAsia="zh-CN"/>
                    </w:rPr>
                    <w:t>治理措施</w:t>
                  </w:r>
                </w:p>
              </w:tc>
              <w:tc>
                <w:tcPr>
                  <w:tcW w:w="2207" w:type="dxa"/>
                  <w:gridSpan w:val="2"/>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产生量</w:t>
                  </w:r>
                </w:p>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t/a</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产生速率</w:t>
                  </w:r>
                </w:p>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kg/h</w:t>
                  </w: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措施</w:t>
                  </w:r>
                </w:p>
              </w:tc>
              <w:tc>
                <w:tcPr>
                  <w:tcW w:w="71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效率%</w:t>
                  </w:r>
                </w:p>
              </w:tc>
              <w:tc>
                <w:tcPr>
                  <w:tcW w:w="177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措施</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效率%</w:t>
                  </w:r>
                </w:p>
              </w:tc>
              <w:tc>
                <w:tcPr>
                  <w:tcW w:w="120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风机风量</w:t>
                  </w:r>
                </w:p>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m</w:t>
                  </w:r>
                  <w:r>
                    <w:rPr>
                      <w:rFonts w:hint="eastAsia"/>
                      <w:b/>
                      <w:bCs/>
                      <w:szCs w:val="20"/>
                      <w:vertAlign w:val="superscript"/>
                      <w:lang w:val="en-US" w:eastAsia="zh-CN"/>
                    </w:rPr>
                    <w:t>3</w:t>
                  </w:r>
                  <w:r>
                    <w:rPr>
                      <w:rFonts w:hint="eastAsia"/>
                      <w:b/>
                      <w:bCs/>
                      <w:szCs w:val="20"/>
                      <w:lang w:val="en-US" w:eastAsia="zh-CN"/>
                    </w:rPr>
                    <w:t>/h</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排放量t/a</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排放速率</w:t>
                  </w:r>
                </w:p>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砂石骨料堆场扬尘</w:t>
                  </w: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颗粒物</w:t>
                  </w:r>
                </w:p>
              </w:tc>
              <w:tc>
                <w:tcPr>
                  <w:tcW w:w="79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无组织</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0.85</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0.35</w:t>
                  </w: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71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77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堆放于半封闭仓库，堆场定期洒水降尘。</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20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0.09</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上料输送粉尘</w:t>
                  </w: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颗粒物</w:t>
                  </w:r>
                </w:p>
              </w:tc>
              <w:tc>
                <w:tcPr>
                  <w:tcW w:w="79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无组织</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0.42</w:t>
                  </w: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71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77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洒水降尘</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20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0.2</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rPr>
                    <w:t>矿粉储罐呼吸粉尘</w:t>
                  </w: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颗粒物</w:t>
                  </w:r>
                </w:p>
              </w:tc>
              <w:tc>
                <w:tcPr>
                  <w:tcW w:w="79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无组织</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0.06</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0.025</w:t>
                  </w: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w:t>
                  </w:r>
                </w:p>
              </w:tc>
              <w:tc>
                <w:tcPr>
                  <w:tcW w:w="71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w:t>
                  </w:r>
                </w:p>
              </w:tc>
              <w:tc>
                <w:tcPr>
                  <w:tcW w:w="177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w:t>
                  </w:r>
                </w:p>
              </w:tc>
              <w:tc>
                <w:tcPr>
                  <w:tcW w:w="120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0.06</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加热烘干、热料提升、筛分粉尘</w:t>
                  </w: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颗粒物</w:t>
                  </w:r>
                </w:p>
              </w:tc>
              <w:tc>
                <w:tcPr>
                  <w:tcW w:w="79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有组织</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4.2</w:t>
                  </w: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密闭收集</w:t>
                  </w:r>
                </w:p>
              </w:tc>
              <w:tc>
                <w:tcPr>
                  <w:tcW w:w="71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100</w:t>
                  </w:r>
                </w:p>
              </w:tc>
              <w:tc>
                <w:tcPr>
                  <w:tcW w:w="177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粉尘经密闭收集后进入搅拌站除尘系统（袋式除尘</w:t>
                  </w:r>
                  <w:r>
                    <w:rPr>
                      <w:rFonts w:hint="eastAsia"/>
                      <w:szCs w:val="20"/>
                      <w:lang w:val="en-US" w:eastAsia="zh-CN"/>
                    </w:rPr>
                    <w:t>TA001</w:t>
                  </w:r>
                  <w:r>
                    <w:rPr>
                      <w:rFonts w:hint="eastAsia"/>
                      <w:szCs w:val="20"/>
                    </w:rPr>
                    <w:t>）处理后通过一根15m高排气筒（DA001）排放。</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99</w:t>
                  </w:r>
                </w:p>
              </w:tc>
              <w:tc>
                <w:tcPr>
                  <w:tcW w:w="120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4500</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0.1</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9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加热烘干柴油燃烧废气</w:t>
                  </w: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颗粒物</w:t>
                  </w:r>
                </w:p>
              </w:tc>
              <w:tc>
                <w:tcPr>
                  <w:tcW w:w="79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有组织</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0.15</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0.06</w:t>
                  </w:r>
                </w:p>
              </w:tc>
              <w:tc>
                <w:tcPr>
                  <w:tcW w:w="94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密闭收集</w:t>
                  </w:r>
                </w:p>
              </w:tc>
              <w:tc>
                <w:tcPr>
                  <w:tcW w:w="71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100</w:t>
                  </w:r>
                </w:p>
              </w:tc>
              <w:tc>
                <w:tcPr>
                  <w:tcW w:w="177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采用低氮燃烧，经密闭收集后汇入搅拌站除尘系统（袋式除尘</w:t>
                  </w:r>
                  <w:r>
                    <w:rPr>
                      <w:rFonts w:hint="eastAsia"/>
                      <w:szCs w:val="20"/>
                      <w:lang w:val="en-US" w:eastAsia="zh-CN"/>
                    </w:rPr>
                    <w:t>TA002</w:t>
                  </w:r>
                  <w:r>
                    <w:rPr>
                      <w:rFonts w:hint="eastAsia"/>
                      <w:szCs w:val="20"/>
                    </w:rPr>
                    <w:t>）后通过一根15m高排气筒（DA00</w:t>
                  </w:r>
                  <w:r>
                    <w:rPr>
                      <w:rFonts w:hint="eastAsia"/>
                      <w:szCs w:val="20"/>
                      <w:lang w:val="en-US" w:eastAsia="zh-CN"/>
                    </w:rPr>
                    <w:t>2</w:t>
                  </w:r>
                  <w:r>
                    <w:rPr>
                      <w:rFonts w:hint="eastAsia"/>
                      <w:szCs w:val="20"/>
                    </w:rPr>
                    <w:t>）排放</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99</w:t>
                  </w:r>
                </w:p>
              </w:tc>
              <w:tc>
                <w:tcPr>
                  <w:tcW w:w="120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4500</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0.0015</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二氧化硫</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1.12</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0.47</w:t>
                  </w: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71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20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default" w:eastAsia="宋体"/>
                      <w:szCs w:val="20"/>
                      <w:lang w:val="en-US" w:eastAsia="zh-CN"/>
                    </w:rPr>
                    <w:t>1.12</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default" w:eastAsia="宋体"/>
                      <w:szCs w:val="20"/>
                      <w:lang w:val="en-US" w:eastAsia="zh-CN"/>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氮氧化物</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1.08</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0.45</w:t>
                  </w: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71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20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default" w:eastAsia="宋体"/>
                      <w:szCs w:val="20"/>
                      <w:lang w:val="en-US" w:eastAsia="zh-CN"/>
                    </w:rPr>
                    <w:t>1.08</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default" w:eastAsia="宋体"/>
                      <w:szCs w:val="20"/>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导热油炉柴油燃烧废气</w:t>
                  </w: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颗粒物</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0.03</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0.01</w:t>
                  </w: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71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99</w:t>
                  </w:r>
                </w:p>
              </w:tc>
              <w:tc>
                <w:tcPr>
                  <w:tcW w:w="120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0.0003</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二氧化硫</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0.21</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0.09</w:t>
                  </w: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71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20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0.21</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氮氧化物</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0.21</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0.09</w:t>
                  </w: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71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20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0.21</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9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rPr>
                    <w:t>沥青加热、搅拌混合</w:t>
                  </w:r>
                  <w:r>
                    <w:rPr>
                      <w:rFonts w:hint="eastAsia"/>
                      <w:szCs w:val="20"/>
                      <w:lang w:val="en-US" w:eastAsia="zh-CN"/>
                    </w:rPr>
                    <w:t>废气</w:t>
                  </w: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沥青烟</w:t>
                  </w:r>
                </w:p>
              </w:tc>
              <w:tc>
                <w:tcPr>
                  <w:tcW w:w="79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有组织</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8.75</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3.65</w:t>
                  </w:r>
                </w:p>
              </w:tc>
              <w:tc>
                <w:tcPr>
                  <w:tcW w:w="946" w:type="dxa"/>
                  <w:vMerge w:val="restart"/>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密闭收集</w:t>
                  </w:r>
                </w:p>
              </w:tc>
              <w:tc>
                <w:tcPr>
                  <w:tcW w:w="710" w:type="dxa"/>
                  <w:vMerge w:val="restart"/>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100</w:t>
                  </w:r>
                </w:p>
              </w:tc>
              <w:tc>
                <w:tcPr>
                  <w:tcW w:w="177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烟气冷凝器冷凝回收沥青烟，未凝气通过密闭管道输送入沥青烟气处理系统（喷淋+活性炭吸附装置</w:t>
                  </w:r>
                  <w:r>
                    <w:rPr>
                      <w:rFonts w:hint="eastAsia"/>
                      <w:szCs w:val="20"/>
                      <w:lang w:val="en-US" w:eastAsia="zh-CN"/>
                    </w:rPr>
                    <w:t>TA003</w:t>
                  </w:r>
                  <w:r>
                    <w:rPr>
                      <w:rFonts w:hint="eastAsia"/>
                      <w:szCs w:val="20"/>
                    </w:rPr>
                    <w:t>）统一处理达标后通过其15m高的排气筒DA00</w:t>
                  </w:r>
                  <w:r>
                    <w:rPr>
                      <w:rFonts w:hint="eastAsia"/>
                      <w:szCs w:val="20"/>
                      <w:lang w:val="en-US" w:eastAsia="zh-CN"/>
                    </w:rPr>
                    <w:t>3</w:t>
                  </w:r>
                  <w:r>
                    <w:rPr>
                      <w:rFonts w:hint="eastAsia"/>
                      <w:szCs w:val="20"/>
                    </w:rPr>
                    <w:t>排放。</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98.5</w:t>
                  </w:r>
                </w:p>
              </w:tc>
              <w:tc>
                <w:tcPr>
                  <w:tcW w:w="120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5000</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0.153</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苯并[a]芘</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 w:val="21"/>
                      <w:szCs w:val="20"/>
                      <w:lang w:val="en-US" w:eastAsia="zh-CN" w:bidi="ar-SA"/>
                    </w:rPr>
                  </w:pPr>
                  <w:r>
                    <w:rPr>
                      <w:rFonts w:hint="eastAsia"/>
                      <w:szCs w:val="20"/>
                      <w:lang w:val="en-US" w:eastAsia="zh-CN"/>
                    </w:rPr>
                    <w:t>0.0001</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 w:val="21"/>
                      <w:szCs w:val="20"/>
                      <w:lang w:val="en-US" w:eastAsia="zh-CN" w:bidi="ar-SA"/>
                    </w:rPr>
                  </w:pPr>
                  <w:r>
                    <w:rPr>
                      <w:rFonts w:hint="eastAsia"/>
                      <w:szCs w:val="20"/>
                      <w:lang w:val="en-US" w:eastAsia="zh-CN"/>
                    </w:rPr>
                    <w:t>0.00005</w:t>
                  </w: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71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98.5</w:t>
                  </w:r>
                </w:p>
              </w:tc>
              <w:tc>
                <w:tcPr>
                  <w:tcW w:w="120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0.000002</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7.3×10</w:t>
                  </w:r>
                  <w:r>
                    <w:rPr>
                      <w:rFonts w:hint="eastAsia"/>
                      <w:szCs w:val="20"/>
                      <w:vertAlign w:val="superscrip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非甲烷总烃</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 w:val="21"/>
                      <w:szCs w:val="20"/>
                      <w:lang w:val="en-US" w:eastAsia="zh-CN" w:bidi="ar-SA"/>
                    </w:rPr>
                  </w:pPr>
                  <w:r>
                    <w:rPr>
                      <w:rFonts w:hint="eastAsia"/>
                      <w:szCs w:val="20"/>
                      <w:lang w:val="en-US" w:eastAsia="zh-CN"/>
                    </w:rPr>
                    <w:t>0.013</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 w:val="21"/>
                      <w:szCs w:val="20"/>
                      <w:lang w:val="en-US" w:eastAsia="zh-CN" w:bidi="ar-SA"/>
                    </w:rPr>
                  </w:pPr>
                  <w:r>
                    <w:rPr>
                      <w:rFonts w:hint="eastAsia"/>
                      <w:szCs w:val="20"/>
                      <w:lang w:val="en-US" w:eastAsia="zh-CN"/>
                    </w:rPr>
                    <w:t>0.005</w:t>
                  </w: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71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98.5</w:t>
                  </w:r>
                </w:p>
              </w:tc>
              <w:tc>
                <w:tcPr>
                  <w:tcW w:w="120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0.0002</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89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rPr>
                    <w:t>成品出料</w:t>
                  </w:r>
                  <w:r>
                    <w:rPr>
                      <w:rFonts w:hint="eastAsia"/>
                      <w:szCs w:val="20"/>
                      <w:lang w:val="en-US" w:eastAsia="zh-CN"/>
                    </w:rPr>
                    <w:t>废气</w:t>
                  </w:r>
                </w:p>
              </w:tc>
              <w:tc>
                <w:tcPr>
                  <w:tcW w:w="1109"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szCs w:val="20"/>
                      <w:lang w:val="en-US" w:eastAsia="zh-CN"/>
                    </w:rPr>
                  </w:pPr>
                  <w:r>
                    <w:rPr>
                      <w:rFonts w:hint="eastAsia" w:eastAsia="宋体"/>
                      <w:sz w:val="21"/>
                      <w:szCs w:val="24"/>
                    </w:rPr>
                    <w:t>沥青烟</w:t>
                  </w:r>
                </w:p>
              </w:tc>
              <w:tc>
                <w:tcPr>
                  <w:tcW w:w="79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有组织</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0.0875</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0.036</w:t>
                  </w:r>
                </w:p>
              </w:tc>
              <w:tc>
                <w:tcPr>
                  <w:tcW w:w="94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集气罩收集</w:t>
                  </w:r>
                </w:p>
              </w:tc>
              <w:tc>
                <w:tcPr>
                  <w:tcW w:w="71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90</w:t>
                  </w:r>
                </w:p>
              </w:tc>
              <w:tc>
                <w:tcPr>
                  <w:tcW w:w="177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密闭管道输送入沥青烟气处理系统（喷淋+活性炭吸附装置</w:t>
                  </w:r>
                  <w:r>
                    <w:rPr>
                      <w:rFonts w:hint="eastAsia"/>
                      <w:szCs w:val="20"/>
                      <w:lang w:val="en-US" w:eastAsia="zh-CN"/>
                    </w:rPr>
                    <w:t>TA003</w:t>
                  </w:r>
                  <w:r>
                    <w:rPr>
                      <w:rFonts w:hint="eastAsia"/>
                      <w:szCs w:val="20"/>
                    </w:rPr>
                    <w:t>）统一处理达标后通过其15m高的排气筒DA00</w:t>
                  </w:r>
                  <w:r>
                    <w:rPr>
                      <w:rFonts w:hint="eastAsia"/>
                      <w:szCs w:val="20"/>
                      <w:lang w:val="en-US" w:eastAsia="zh-CN"/>
                    </w:rPr>
                    <w:t>3</w:t>
                  </w:r>
                  <w:r>
                    <w:rPr>
                      <w:rFonts w:hint="eastAsia"/>
                      <w:szCs w:val="20"/>
                    </w:rPr>
                    <w:t>排放。</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65</w:t>
                  </w:r>
                </w:p>
              </w:tc>
              <w:tc>
                <w:tcPr>
                  <w:tcW w:w="120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5000</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0.028</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szCs w:val="20"/>
                      <w:lang w:val="en-US" w:eastAsia="zh-CN"/>
                    </w:rPr>
                  </w:pPr>
                  <w:r>
                    <w:rPr>
                      <w:rFonts w:hint="eastAsia" w:eastAsia="宋体"/>
                      <w:sz w:val="21"/>
                      <w:szCs w:val="24"/>
                    </w:rPr>
                    <w:t>苯并[a]芘</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0.00001</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4.2×10</w:t>
                  </w:r>
                  <w:r>
                    <w:rPr>
                      <w:rFonts w:hint="eastAsia"/>
                      <w:szCs w:val="20"/>
                      <w:vertAlign w:val="superscript"/>
                      <w:lang w:val="en-US" w:eastAsia="zh-CN"/>
                    </w:rPr>
                    <w:t>-6</w:t>
                  </w: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71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65</w:t>
                  </w:r>
                </w:p>
              </w:tc>
              <w:tc>
                <w:tcPr>
                  <w:tcW w:w="120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rPr>
                    <w:t>0.0</w:t>
                  </w:r>
                  <w:r>
                    <w:rPr>
                      <w:rFonts w:hint="eastAsia"/>
                      <w:szCs w:val="20"/>
                      <w:lang w:val="en-US" w:eastAsia="zh-CN"/>
                    </w:rPr>
                    <w:t>00003</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szCs w:val="20"/>
                      <w:lang w:val="en-US" w:eastAsia="zh-CN"/>
                    </w:rPr>
                  </w:pPr>
                  <w:r>
                    <w:rPr>
                      <w:rFonts w:hint="eastAsia" w:eastAsia="宋体"/>
                      <w:sz w:val="21"/>
                      <w:szCs w:val="24"/>
                    </w:rPr>
                    <w:t>非甲烷总烃</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0.00013</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0.00005</w:t>
                  </w: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71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65</w:t>
                  </w:r>
                </w:p>
              </w:tc>
              <w:tc>
                <w:tcPr>
                  <w:tcW w:w="120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0.00004</w:t>
                  </w:r>
                </w:p>
              </w:tc>
              <w:tc>
                <w:tcPr>
                  <w:tcW w:w="118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沥青烟</w:t>
                  </w:r>
                </w:p>
              </w:tc>
              <w:tc>
                <w:tcPr>
                  <w:tcW w:w="79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无组织</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0.00875</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0.0036</w:t>
                  </w: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71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77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加强管理</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20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018"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szCs w:val="20"/>
                    </w:rPr>
                  </w:pPr>
                  <w:r>
                    <w:rPr>
                      <w:rFonts w:hint="eastAsia" w:eastAsia="宋体"/>
                      <w:sz w:val="21"/>
                      <w:szCs w:val="24"/>
                    </w:rPr>
                    <w:t>0.00875</w:t>
                  </w:r>
                </w:p>
              </w:tc>
              <w:tc>
                <w:tcPr>
                  <w:tcW w:w="1189"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eastAsia="宋体"/>
                      <w:szCs w:val="20"/>
                      <w:lang w:val="en-US" w:eastAsia="zh-CN"/>
                    </w:rPr>
                  </w:pPr>
                  <w:r>
                    <w:rPr>
                      <w:rFonts w:hint="eastAsia" w:eastAsia="宋体"/>
                      <w:sz w:val="21"/>
                      <w:szCs w:val="24"/>
                    </w:rPr>
                    <w:t>0.</w:t>
                  </w:r>
                  <w:r>
                    <w:rPr>
                      <w:rFonts w:hint="eastAsia"/>
                      <w:sz w:val="21"/>
                      <w:szCs w:val="24"/>
                      <w:lang w:val="en-US" w:eastAsia="zh-CN"/>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苯并[a]芘</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0.000001</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4.2×10</w:t>
                  </w:r>
                  <w:r>
                    <w:rPr>
                      <w:rFonts w:hint="eastAsia"/>
                      <w:szCs w:val="20"/>
                      <w:vertAlign w:val="superscript"/>
                      <w:lang w:val="en-US" w:eastAsia="zh-CN"/>
                    </w:rPr>
                    <w:t>-7</w:t>
                  </w: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71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20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018"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szCs w:val="20"/>
                    </w:rPr>
                  </w:pPr>
                  <w:r>
                    <w:rPr>
                      <w:rFonts w:hint="eastAsia" w:eastAsia="宋体"/>
                      <w:sz w:val="21"/>
                      <w:szCs w:val="24"/>
                    </w:rPr>
                    <w:t>0.000001</w:t>
                  </w:r>
                </w:p>
              </w:tc>
              <w:tc>
                <w:tcPr>
                  <w:tcW w:w="1189"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szCs w:val="20"/>
                    </w:rPr>
                  </w:pPr>
                  <w:r>
                    <w:rPr>
                      <w:rFonts w:hint="eastAsia" w:eastAsia="宋体"/>
                      <w:sz w:val="21"/>
                      <w:szCs w:val="24"/>
                    </w:rPr>
                    <w:t>4.2×10</w:t>
                  </w:r>
                  <w:r>
                    <w:rPr>
                      <w:rFonts w:hint="eastAsia" w:eastAsia="宋体"/>
                      <w:sz w:val="21"/>
                      <w:szCs w:val="24"/>
                      <w:vertAlign w:val="superscript"/>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非甲烷总烃</w:t>
                  </w:r>
                </w:p>
              </w:tc>
              <w:tc>
                <w:tcPr>
                  <w:tcW w:w="7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0.000013</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5.42×10</w:t>
                  </w:r>
                  <w:r>
                    <w:rPr>
                      <w:rFonts w:hint="eastAsia"/>
                      <w:szCs w:val="20"/>
                      <w:vertAlign w:val="superscript"/>
                      <w:lang w:val="en-US" w:eastAsia="zh-CN"/>
                    </w:rPr>
                    <w:t>-6</w:t>
                  </w: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71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7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20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018"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szCs w:val="20"/>
                    </w:rPr>
                  </w:pPr>
                  <w:r>
                    <w:rPr>
                      <w:rFonts w:hint="eastAsia" w:eastAsia="宋体"/>
                      <w:sz w:val="21"/>
                      <w:szCs w:val="24"/>
                    </w:rPr>
                    <w:t>0.000013</w:t>
                  </w:r>
                </w:p>
              </w:tc>
              <w:tc>
                <w:tcPr>
                  <w:tcW w:w="1189"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szCs w:val="20"/>
                    </w:rPr>
                  </w:pPr>
                  <w:r>
                    <w:rPr>
                      <w:rFonts w:hint="eastAsia"/>
                      <w:szCs w:val="20"/>
                      <w:lang w:val="en-US" w:eastAsia="zh-CN"/>
                    </w:rPr>
                    <w:t>5.42×10</w:t>
                  </w:r>
                  <w:r>
                    <w:rPr>
                      <w:rFonts w:hint="eastAsia"/>
                      <w:szCs w:val="20"/>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食堂油烟</w:t>
                  </w: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 w:val="21"/>
                      <w:szCs w:val="24"/>
                      <w:lang w:val="en-US" w:eastAsia="zh-CN"/>
                    </w:rPr>
                  </w:pPr>
                  <w:r>
                    <w:rPr>
                      <w:rFonts w:hint="eastAsia"/>
                      <w:sz w:val="21"/>
                      <w:szCs w:val="24"/>
                      <w:lang w:val="en-US" w:eastAsia="zh-CN"/>
                    </w:rPr>
                    <w:t>油烟</w:t>
                  </w:r>
                </w:p>
              </w:tc>
              <w:tc>
                <w:tcPr>
                  <w:tcW w:w="79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有组织</w:t>
                  </w:r>
                </w:p>
              </w:tc>
              <w:tc>
                <w:tcPr>
                  <w:tcW w:w="101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2.88kg/a</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0.0012</w:t>
                  </w: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油烟净化设施</w:t>
                  </w:r>
                </w:p>
              </w:tc>
              <w:tc>
                <w:tcPr>
                  <w:tcW w:w="71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90</w:t>
                  </w:r>
                </w:p>
              </w:tc>
              <w:tc>
                <w:tcPr>
                  <w:tcW w:w="177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default"/>
                      <w:szCs w:val="20"/>
                      <w:lang w:val="en-US" w:eastAsia="zh-CN"/>
                    </w:rPr>
                    <w:t>油烟净化设施</w:t>
                  </w:r>
                  <w:r>
                    <w:rPr>
                      <w:rFonts w:hint="eastAsia"/>
                      <w:szCs w:val="20"/>
                      <w:lang w:val="en-US" w:eastAsia="zh-CN"/>
                    </w:rPr>
                    <w:t>+</w:t>
                  </w:r>
                  <w:r>
                    <w:rPr>
                      <w:rFonts w:hint="default"/>
                      <w:szCs w:val="20"/>
                      <w:lang w:val="en-US" w:eastAsia="zh-CN"/>
                    </w:rPr>
                    <w:t>专用烟道</w:t>
                  </w:r>
                </w:p>
              </w:tc>
              <w:tc>
                <w:tcPr>
                  <w:tcW w:w="8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60</w:t>
                  </w:r>
                </w:p>
              </w:tc>
              <w:tc>
                <w:tcPr>
                  <w:tcW w:w="120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1000</w:t>
                  </w:r>
                </w:p>
              </w:tc>
              <w:tc>
                <w:tcPr>
                  <w:tcW w:w="1018"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sz w:val="21"/>
                      <w:szCs w:val="24"/>
                    </w:rPr>
                  </w:pPr>
                  <w:r>
                    <w:rPr>
                      <w:rFonts w:hint="eastAsia" w:eastAsia="宋体"/>
                      <w:sz w:val="21"/>
                      <w:szCs w:val="24"/>
                      <w:lang w:val="en-US" w:eastAsia="zh-CN"/>
                    </w:rPr>
                    <w:t>1.03kg/a</w:t>
                  </w:r>
                </w:p>
              </w:tc>
              <w:tc>
                <w:tcPr>
                  <w:tcW w:w="1189"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eastAsia="宋体"/>
                      <w:sz w:val="21"/>
                      <w:szCs w:val="24"/>
                      <w:lang w:val="en-US" w:eastAsia="zh-CN"/>
                    </w:rPr>
                  </w:pPr>
                  <w:r>
                    <w:rPr>
                      <w:rFonts w:hint="eastAsia"/>
                      <w:sz w:val="21"/>
                      <w:szCs w:val="24"/>
                      <w:lang w:val="en-US" w:eastAsia="zh-CN"/>
                    </w:rPr>
                    <w:t>0.0004</w:t>
                  </w:r>
                </w:p>
              </w:tc>
            </w:tr>
          </w:tbl>
          <w:p>
            <w:pPr>
              <w:keepNext w:val="0"/>
              <w:keepLines w:val="0"/>
              <w:suppressLineNumbers w:val="0"/>
              <w:bidi w:val="0"/>
              <w:spacing w:before="0" w:beforeAutospacing="0" w:after="0" w:afterAutospacing="0"/>
              <w:ind w:left="0" w:right="0"/>
              <w:rPr>
                <w:rFonts w:hint="eastAsia"/>
                <w:lang w:val="en-US" w:eastAsia="zh-CN"/>
              </w:rPr>
            </w:pPr>
          </w:p>
          <w:p>
            <w:pPr>
              <w:keepNext w:val="0"/>
              <w:keepLines w:val="0"/>
              <w:suppressLineNumbers w:val="0"/>
              <w:bidi w:val="0"/>
              <w:spacing w:before="0" w:beforeAutospacing="0" w:after="0" w:afterAutospacing="0"/>
              <w:ind w:left="0" w:right="0"/>
              <w:rPr>
                <w:rFonts w:hint="eastAsia"/>
                <w:lang w:val="en-US" w:eastAsia="zh-CN"/>
              </w:rPr>
            </w:pPr>
          </w:p>
          <w:p>
            <w:pPr>
              <w:keepNext w:val="0"/>
              <w:keepLines w:val="0"/>
              <w:suppressLineNumbers w:val="0"/>
              <w:bidi w:val="0"/>
              <w:spacing w:before="0" w:beforeAutospacing="0" w:after="0" w:afterAutospacing="0"/>
              <w:ind w:left="0" w:right="0"/>
              <w:rPr>
                <w:rFonts w:hint="eastAsia"/>
                <w:lang w:val="en-US" w:eastAsia="zh-CN"/>
              </w:rPr>
            </w:pPr>
          </w:p>
          <w:p>
            <w:pPr>
              <w:keepNext w:val="0"/>
              <w:keepLines w:val="0"/>
              <w:suppressLineNumbers w:val="0"/>
              <w:bidi w:val="0"/>
              <w:spacing w:before="0" w:beforeAutospacing="0" w:after="0" w:afterAutospacing="0"/>
              <w:ind w:left="0" w:right="0"/>
              <w:rPr>
                <w:rFonts w:hint="eastAsia"/>
                <w:lang w:val="en-US" w:eastAsia="zh-CN"/>
              </w:rPr>
            </w:pPr>
          </w:p>
          <w:p>
            <w:pPr>
              <w:keepNext w:val="0"/>
              <w:keepLines w:val="0"/>
              <w:suppressLineNumbers w:val="0"/>
              <w:bidi w:val="0"/>
              <w:spacing w:before="0" w:beforeAutospacing="0" w:after="0" w:afterAutospacing="0"/>
              <w:ind w:left="0" w:right="0"/>
              <w:rPr>
                <w:rFonts w:hint="eastAsia"/>
                <w:lang w:val="en-US" w:eastAsia="zh-CN"/>
              </w:rPr>
            </w:pPr>
          </w:p>
          <w:p>
            <w:pPr>
              <w:pStyle w:val="11"/>
              <w:keepNext w:val="0"/>
              <w:keepLines w:val="0"/>
              <w:widowControl/>
              <w:suppressLineNumbers w:val="0"/>
              <w:bidi w:val="0"/>
              <w:spacing w:beforeAutospacing="0" w:after="0" w:afterAutospacing="0"/>
              <w:ind w:left="0" w:right="0"/>
              <w:rPr>
                <w:rFonts w:hint="default"/>
                <w:lang w:val="en-US" w:eastAsia="zh-CN"/>
              </w:rPr>
            </w:pPr>
            <w:r>
              <w:rPr>
                <w:rFonts w:hint="eastAsia"/>
                <w:lang w:val="en-US" w:eastAsia="zh-CN"/>
              </w:rPr>
              <w:t>表4-3  本项目有组织排放污染物汇总表</w:t>
            </w:r>
          </w:p>
          <w:tbl>
            <w:tblPr>
              <w:tblStyle w:val="7"/>
              <w:tblW w:w="12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61"/>
              <w:gridCol w:w="1177"/>
              <w:gridCol w:w="831"/>
              <w:gridCol w:w="912"/>
              <w:gridCol w:w="1107"/>
              <w:gridCol w:w="860"/>
              <w:gridCol w:w="1003"/>
              <w:gridCol w:w="1003"/>
              <w:gridCol w:w="807"/>
              <w:gridCol w:w="1432"/>
              <w:gridCol w:w="110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排放口</w:t>
                  </w:r>
                </w:p>
              </w:tc>
              <w:tc>
                <w:tcPr>
                  <w:tcW w:w="76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污染物</w:t>
                  </w:r>
                </w:p>
              </w:tc>
              <w:tc>
                <w:tcPr>
                  <w:tcW w:w="117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污染源</w:t>
                  </w:r>
                </w:p>
              </w:tc>
              <w:tc>
                <w:tcPr>
                  <w:tcW w:w="1743" w:type="dxa"/>
                  <w:gridSpan w:val="2"/>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污染物产生</w:t>
                  </w:r>
                </w:p>
              </w:tc>
              <w:tc>
                <w:tcPr>
                  <w:tcW w:w="11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治理措施</w:t>
                  </w:r>
                </w:p>
              </w:tc>
              <w:tc>
                <w:tcPr>
                  <w:tcW w:w="3673" w:type="dxa"/>
                  <w:gridSpan w:val="4"/>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污染物排放</w:t>
                  </w:r>
                </w:p>
              </w:tc>
              <w:tc>
                <w:tcPr>
                  <w:tcW w:w="143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执行标准</w:t>
                  </w:r>
                </w:p>
              </w:tc>
              <w:tc>
                <w:tcPr>
                  <w:tcW w:w="11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标准限值</w:t>
                  </w:r>
                  <w:r>
                    <w:rPr>
                      <w:rFonts w:hint="eastAsia"/>
                      <w:b/>
                      <w:sz w:val="21"/>
                      <w:szCs w:val="24"/>
                      <w:lang w:val="en-US" w:eastAsia="zh-CN"/>
                    </w:rPr>
                    <w:t>mg/m</w:t>
                  </w:r>
                  <w:r>
                    <w:rPr>
                      <w:rFonts w:hint="eastAsia"/>
                      <w:b/>
                      <w:sz w:val="21"/>
                      <w:szCs w:val="24"/>
                      <w:vertAlign w:val="superscript"/>
                      <w:lang w:val="en-US" w:eastAsia="zh-CN"/>
                    </w:rPr>
                    <w:t>3</w:t>
                  </w:r>
                </w:p>
              </w:tc>
              <w:tc>
                <w:tcPr>
                  <w:tcW w:w="72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6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17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3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b/>
                      <w:sz w:val="21"/>
                      <w:szCs w:val="24"/>
                    </w:rPr>
                  </w:pPr>
                  <w:r>
                    <w:rPr>
                      <w:rFonts w:hint="eastAsia" w:eastAsia="宋体"/>
                      <w:b/>
                      <w:sz w:val="21"/>
                      <w:szCs w:val="24"/>
                    </w:rPr>
                    <w:t>产生量</w:t>
                  </w:r>
                </w:p>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szCs w:val="20"/>
                      <w:lang w:val="en-US" w:eastAsia="zh-CN"/>
                    </w:rPr>
                  </w:pPr>
                  <w:r>
                    <w:rPr>
                      <w:rFonts w:hint="eastAsia" w:eastAsia="宋体"/>
                      <w:b/>
                      <w:sz w:val="21"/>
                      <w:szCs w:val="24"/>
                    </w:rPr>
                    <w:t>t/a</w:t>
                  </w:r>
                </w:p>
              </w:tc>
              <w:tc>
                <w:tcPr>
                  <w:tcW w:w="912"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b/>
                      <w:sz w:val="21"/>
                      <w:szCs w:val="24"/>
                    </w:rPr>
                  </w:pPr>
                  <w:r>
                    <w:rPr>
                      <w:rFonts w:hint="eastAsia" w:eastAsia="宋体"/>
                      <w:b/>
                      <w:sz w:val="21"/>
                      <w:szCs w:val="24"/>
                    </w:rPr>
                    <w:t>产生速率</w:t>
                  </w:r>
                </w:p>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szCs w:val="20"/>
                    </w:rPr>
                  </w:pPr>
                  <w:r>
                    <w:rPr>
                      <w:rFonts w:hint="eastAsia" w:eastAsia="宋体"/>
                      <w:b/>
                      <w:sz w:val="21"/>
                      <w:szCs w:val="24"/>
                    </w:rPr>
                    <w:t>kg/h</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szCs w:val="20"/>
                    </w:rPr>
                  </w:pPr>
                  <w:r>
                    <w:rPr>
                      <w:rFonts w:hint="eastAsia" w:eastAsia="宋体"/>
                      <w:b/>
                      <w:sz w:val="21"/>
                      <w:szCs w:val="24"/>
                    </w:rPr>
                    <w:t>排放量t/a</w:t>
                  </w:r>
                </w:p>
              </w:tc>
              <w:tc>
                <w:tcPr>
                  <w:tcW w:w="100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eastAsia="宋体"/>
                      <w:b/>
                      <w:sz w:val="21"/>
                      <w:szCs w:val="24"/>
                      <w:lang w:val="en-US" w:eastAsia="zh-CN"/>
                    </w:rPr>
                  </w:pPr>
                  <w:r>
                    <w:rPr>
                      <w:rFonts w:hint="eastAsia"/>
                      <w:b/>
                      <w:sz w:val="21"/>
                      <w:szCs w:val="24"/>
                      <w:lang w:val="en-US" w:eastAsia="zh-CN"/>
                    </w:rPr>
                    <w:t>排放总量t/a</w:t>
                  </w:r>
                </w:p>
              </w:tc>
              <w:tc>
                <w:tcPr>
                  <w:tcW w:w="100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b/>
                      <w:sz w:val="21"/>
                      <w:szCs w:val="24"/>
                    </w:rPr>
                  </w:pPr>
                  <w:r>
                    <w:rPr>
                      <w:rFonts w:hint="eastAsia" w:eastAsia="宋体"/>
                      <w:b/>
                      <w:sz w:val="21"/>
                      <w:szCs w:val="24"/>
                    </w:rPr>
                    <w:t>排放速率</w:t>
                  </w:r>
                </w:p>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szCs w:val="20"/>
                    </w:rPr>
                  </w:pPr>
                  <w:r>
                    <w:rPr>
                      <w:rFonts w:hint="eastAsia" w:eastAsia="宋体"/>
                      <w:b/>
                      <w:sz w:val="21"/>
                      <w:szCs w:val="24"/>
                    </w:rPr>
                    <w:t>kg/h</w:t>
                  </w:r>
                </w:p>
              </w:tc>
              <w:tc>
                <w:tcPr>
                  <w:tcW w:w="807"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szCs w:val="20"/>
                      <w:lang w:val="en-US"/>
                    </w:rPr>
                  </w:pPr>
                  <w:r>
                    <w:rPr>
                      <w:rFonts w:hint="eastAsia" w:eastAsia="宋体"/>
                      <w:b/>
                      <w:sz w:val="21"/>
                      <w:szCs w:val="24"/>
                    </w:rPr>
                    <w:t>排放</w:t>
                  </w:r>
                  <w:r>
                    <w:rPr>
                      <w:rFonts w:hint="eastAsia"/>
                      <w:b/>
                      <w:sz w:val="21"/>
                      <w:szCs w:val="24"/>
                      <w:lang w:val="en-US" w:eastAsia="zh-CN"/>
                    </w:rPr>
                    <w:t>浓度mg/m</w:t>
                  </w:r>
                  <w:r>
                    <w:rPr>
                      <w:rFonts w:hint="eastAsia"/>
                      <w:b/>
                      <w:sz w:val="21"/>
                      <w:szCs w:val="24"/>
                      <w:vertAlign w:val="superscript"/>
                      <w:lang w:val="en-US" w:eastAsia="zh-CN"/>
                    </w:rPr>
                    <w:t>3</w:t>
                  </w:r>
                </w:p>
              </w:tc>
              <w:tc>
                <w:tcPr>
                  <w:tcW w:w="1432" w:type="dxa"/>
                  <w:vMerge w:val="continue"/>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b/>
                      <w:sz w:val="21"/>
                      <w:szCs w:val="24"/>
                    </w:rPr>
                  </w:pPr>
                </w:p>
              </w:tc>
              <w:tc>
                <w:tcPr>
                  <w:tcW w:w="1107" w:type="dxa"/>
                  <w:vMerge w:val="continue"/>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b/>
                      <w:sz w:val="21"/>
                      <w:szCs w:val="24"/>
                    </w:rPr>
                  </w:pPr>
                </w:p>
              </w:tc>
              <w:tc>
                <w:tcPr>
                  <w:tcW w:w="727" w:type="dxa"/>
                  <w:vMerge w:val="continue"/>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DA001</w:t>
                  </w:r>
                </w:p>
              </w:tc>
              <w:tc>
                <w:tcPr>
                  <w:tcW w:w="76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颗粒物</w:t>
                  </w:r>
                </w:p>
              </w:tc>
              <w:tc>
                <w:tcPr>
                  <w:tcW w:w="117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rPr>
                    <w:t>加热烘干、热料提升、筛分粉尘</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4.2</w:t>
                  </w:r>
                </w:p>
              </w:tc>
              <w:tc>
                <w:tcPr>
                  <w:tcW w:w="11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rPr>
                    <w:t>经密闭收集后进入搅拌站除尘系统（袋式除尘</w:t>
                  </w:r>
                  <w:r>
                    <w:rPr>
                      <w:rFonts w:hint="eastAsia"/>
                      <w:szCs w:val="20"/>
                      <w:lang w:val="en-US" w:eastAsia="zh-CN"/>
                    </w:rPr>
                    <w:t>TA001</w:t>
                  </w:r>
                  <w:r>
                    <w:rPr>
                      <w:rFonts w:hint="eastAsia"/>
                      <w:szCs w:val="20"/>
                    </w:rPr>
                    <w:t>）处理后通过一根15m高排气筒（DA001）排放</w:t>
                  </w:r>
                  <w:r>
                    <w:rPr>
                      <w:rFonts w:hint="eastAsia"/>
                      <w:szCs w:val="20"/>
                      <w:lang w:eastAsia="zh-CN"/>
                    </w:rPr>
                    <w:t>。</w:t>
                  </w: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0.1</w:t>
                  </w:r>
                </w:p>
              </w:tc>
              <w:tc>
                <w:tcPr>
                  <w:tcW w:w="100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0.1</w:t>
                  </w:r>
                </w:p>
              </w:tc>
              <w:tc>
                <w:tcPr>
                  <w:tcW w:w="100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0.04</w:t>
                  </w:r>
                </w:p>
              </w:tc>
              <w:tc>
                <w:tcPr>
                  <w:tcW w:w="8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9.26</w:t>
                  </w:r>
                </w:p>
              </w:tc>
              <w:tc>
                <w:tcPr>
                  <w:tcW w:w="143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rPr>
                    <w:t>《大气污染物综合排放标准》（GB16297-1996）表2标准</w:t>
                  </w:r>
                </w:p>
              </w:tc>
              <w:tc>
                <w:tcPr>
                  <w:tcW w:w="11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120</w:t>
                  </w:r>
                </w:p>
              </w:tc>
              <w:tc>
                <w:tcPr>
                  <w:tcW w:w="72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DA002</w:t>
                  </w:r>
                </w:p>
              </w:tc>
              <w:tc>
                <w:tcPr>
                  <w:tcW w:w="76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颗粒物</w:t>
                  </w:r>
                </w:p>
              </w:tc>
              <w:tc>
                <w:tcPr>
                  <w:tcW w:w="117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加热烘干柴油燃烧</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0.15</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0.06</w:t>
                  </w:r>
                </w:p>
              </w:tc>
              <w:tc>
                <w:tcPr>
                  <w:tcW w:w="11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rPr>
                    <w:t>采用低氮燃烧，经密闭收集后汇入搅拌站除尘系统（袋式除尘</w:t>
                  </w:r>
                  <w:r>
                    <w:rPr>
                      <w:rFonts w:hint="eastAsia"/>
                      <w:szCs w:val="20"/>
                      <w:lang w:val="en-US" w:eastAsia="zh-CN"/>
                    </w:rPr>
                    <w:t>TA002</w:t>
                  </w:r>
                  <w:r>
                    <w:rPr>
                      <w:rFonts w:hint="eastAsia"/>
                      <w:szCs w:val="20"/>
                    </w:rPr>
                    <w:t>）后通过一根15m高排气筒（DA00</w:t>
                  </w:r>
                  <w:r>
                    <w:rPr>
                      <w:rFonts w:hint="eastAsia"/>
                      <w:szCs w:val="20"/>
                      <w:lang w:val="en-US" w:eastAsia="zh-CN"/>
                    </w:rPr>
                    <w:t>2</w:t>
                  </w:r>
                  <w:r>
                    <w:rPr>
                      <w:rFonts w:hint="eastAsia"/>
                      <w:szCs w:val="20"/>
                    </w:rPr>
                    <w:t>）排放</w:t>
                  </w: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0.0015</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0.0018</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0.00075</w:t>
                  </w:r>
                </w:p>
              </w:tc>
              <w:tc>
                <w:tcPr>
                  <w:tcW w:w="8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lang w:val="en-US" w:eastAsia="zh-CN"/>
                    </w:rPr>
                    <w:t>0.17</w:t>
                  </w:r>
                </w:p>
              </w:tc>
              <w:tc>
                <w:tcPr>
                  <w:tcW w:w="143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rPr>
                    <w:t>《大气污染物综合排放标准》（GB16297-1996）表2标准</w:t>
                  </w:r>
                </w:p>
              </w:tc>
              <w:tc>
                <w:tcPr>
                  <w:tcW w:w="11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120</w:t>
                  </w:r>
                </w:p>
              </w:tc>
              <w:tc>
                <w:tcPr>
                  <w:tcW w:w="72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6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117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导热油炉柴油燃烧</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0.03</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0.0003</w:t>
                  </w: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43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2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6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二氧化硫</w:t>
                  </w:r>
                </w:p>
              </w:tc>
              <w:tc>
                <w:tcPr>
                  <w:tcW w:w="117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加热烘干柴油燃烧</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1.12</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0.47</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1.12</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1.33</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0.0006</w:t>
                  </w:r>
                </w:p>
              </w:tc>
              <w:tc>
                <w:tcPr>
                  <w:tcW w:w="8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123.1</w:t>
                  </w:r>
                </w:p>
              </w:tc>
              <w:tc>
                <w:tcPr>
                  <w:tcW w:w="143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lang w:val="en-US" w:eastAsia="zh-CN"/>
                    </w:rPr>
                    <w:t>从严执行</w:t>
                  </w:r>
                  <w:r>
                    <w:rPr>
                      <w:rFonts w:hint="eastAsia"/>
                      <w:szCs w:val="20"/>
                    </w:rPr>
                    <w:t>《锅炉大气污染物排放标准》（GB13271-2017）表2燃油锅炉的排放限值</w:t>
                  </w:r>
                </w:p>
              </w:tc>
              <w:tc>
                <w:tcPr>
                  <w:tcW w:w="11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250</w:t>
                  </w:r>
                </w:p>
              </w:tc>
              <w:tc>
                <w:tcPr>
                  <w:tcW w:w="72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6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117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导热油炉柴油燃烧</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0.21</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0.09</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0.21</w:t>
                  </w: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43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2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6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氮氧化物</w:t>
                  </w:r>
                </w:p>
              </w:tc>
              <w:tc>
                <w:tcPr>
                  <w:tcW w:w="117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加热烘干柴油燃烧</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1.08</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0.45</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1.08</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1.29</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0.0005</w:t>
                  </w:r>
                </w:p>
              </w:tc>
              <w:tc>
                <w:tcPr>
                  <w:tcW w:w="8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119.4</w:t>
                  </w:r>
                </w:p>
              </w:tc>
              <w:tc>
                <w:tcPr>
                  <w:tcW w:w="143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1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200</w:t>
                  </w:r>
                </w:p>
              </w:tc>
              <w:tc>
                <w:tcPr>
                  <w:tcW w:w="72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6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117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导热油炉柴油燃烧</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0.21</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0.09</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0.21</w:t>
                  </w: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43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2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67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DA003</w:t>
                  </w:r>
                </w:p>
              </w:tc>
              <w:tc>
                <w:tcPr>
                  <w:tcW w:w="761"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沥青烟</w:t>
                  </w:r>
                </w:p>
              </w:tc>
              <w:tc>
                <w:tcPr>
                  <w:tcW w:w="117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rPr>
                    <w:t>沥青加热、搅拌混合废气</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8.75</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3.65</w:t>
                  </w:r>
                </w:p>
              </w:tc>
              <w:tc>
                <w:tcPr>
                  <w:tcW w:w="11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rPr>
                    <w:t>烟气冷凝器冷凝回收沥青烟，未凝气通过密闭管道输送入沥青烟气处理系统（喷淋+活性炭吸附装置</w:t>
                  </w:r>
                  <w:r>
                    <w:rPr>
                      <w:rFonts w:hint="eastAsia"/>
                      <w:szCs w:val="20"/>
                      <w:lang w:val="en-US" w:eastAsia="zh-CN"/>
                    </w:rPr>
                    <w:t>TA003</w:t>
                  </w:r>
                  <w:r>
                    <w:rPr>
                      <w:rFonts w:hint="eastAsia"/>
                      <w:szCs w:val="20"/>
                    </w:rPr>
                    <w:t>）统一处理达标后通过其15m高的排气筒DA00</w:t>
                  </w:r>
                  <w:r>
                    <w:rPr>
                      <w:rFonts w:hint="eastAsia"/>
                      <w:szCs w:val="20"/>
                      <w:lang w:val="en-US" w:eastAsia="zh-CN"/>
                    </w:rPr>
                    <w:t>3</w:t>
                  </w:r>
                  <w:r>
                    <w:rPr>
                      <w:rFonts w:hint="eastAsia"/>
                      <w:szCs w:val="20"/>
                    </w:rPr>
                    <w:t>排放。</w:t>
                  </w: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0.153</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0.181</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0.075</w:t>
                  </w:r>
                </w:p>
              </w:tc>
              <w:tc>
                <w:tcPr>
                  <w:tcW w:w="8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15.1</w:t>
                  </w:r>
                </w:p>
              </w:tc>
              <w:tc>
                <w:tcPr>
                  <w:tcW w:w="143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rPr>
                    <w:t>大气污染物综合排放标准》（GB16297-1996）中表2中排放监控浓度限值</w:t>
                  </w:r>
                </w:p>
              </w:tc>
              <w:tc>
                <w:tcPr>
                  <w:tcW w:w="11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75</w:t>
                  </w:r>
                </w:p>
              </w:tc>
              <w:tc>
                <w:tcPr>
                  <w:tcW w:w="72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76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 w:val="21"/>
                      <w:szCs w:val="24"/>
                    </w:rPr>
                  </w:pPr>
                </w:p>
              </w:tc>
              <w:tc>
                <w:tcPr>
                  <w:tcW w:w="117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rPr>
                    <w:t>成品出料废气</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0.0875</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2.08</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0.028</w:t>
                  </w: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43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2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61"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苯并[a]芘</w:t>
                  </w:r>
                </w:p>
              </w:tc>
              <w:tc>
                <w:tcPr>
                  <w:tcW w:w="1177"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szCs w:val="20"/>
                    </w:rPr>
                  </w:pPr>
                  <w:r>
                    <w:rPr>
                      <w:rFonts w:hint="eastAsia" w:eastAsia="宋体"/>
                      <w:sz w:val="21"/>
                      <w:szCs w:val="24"/>
                    </w:rPr>
                    <w:t>沥青加热、搅拌混合废气</w:t>
                  </w:r>
                </w:p>
              </w:tc>
              <w:tc>
                <w:tcPr>
                  <w:tcW w:w="83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0"/>
                      <w:lang w:val="en-US" w:eastAsia="zh-CN" w:bidi="ar-SA"/>
                    </w:rPr>
                  </w:pPr>
                  <w:r>
                    <w:rPr>
                      <w:rFonts w:hint="eastAsia" w:eastAsia="宋体"/>
                      <w:sz w:val="21"/>
                      <w:szCs w:val="24"/>
                    </w:rPr>
                    <w:t>0.0001</w:t>
                  </w:r>
                </w:p>
              </w:tc>
              <w:tc>
                <w:tcPr>
                  <w:tcW w:w="912"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0"/>
                      <w:lang w:val="en-US" w:eastAsia="zh-CN" w:bidi="ar-SA"/>
                    </w:rPr>
                  </w:pPr>
                  <w:r>
                    <w:rPr>
                      <w:rFonts w:hint="eastAsia" w:eastAsia="宋体"/>
                      <w:sz w:val="21"/>
                      <w:szCs w:val="24"/>
                    </w:rPr>
                    <w:t>0.00005</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default" w:eastAsia="宋体"/>
                      <w:szCs w:val="20"/>
                      <w:lang w:val="en-US" w:eastAsia="zh-CN"/>
                    </w:rPr>
                    <w:t>0.000002</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0.000006</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0.000002</w:t>
                  </w:r>
                </w:p>
              </w:tc>
              <w:tc>
                <w:tcPr>
                  <w:tcW w:w="8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0.0005</w:t>
                  </w:r>
                </w:p>
              </w:tc>
              <w:tc>
                <w:tcPr>
                  <w:tcW w:w="143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1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0.0003</w:t>
                  </w:r>
                </w:p>
              </w:tc>
              <w:tc>
                <w:tcPr>
                  <w:tcW w:w="72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6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 w:val="21"/>
                      <w:szCs w:val="24"/>
                    </w:rPr>
                  </w:pPr>
                </w:p>
              </w:tc>
              <w:tc>
                <w:tcPr>
                  <w:tcW w:w="1177"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szCs w:val="20"/>
                    </w:rPr>
                  </w:pPr>
                  <w:r>
                    <w:rPr>
                      <w:rFonts w:hint="eastAsia" w:eastAsia="宋体"/>
                      <w:sz w:val="21"/>
                      <w:szCs w:val="24"/>
                    </w:rPr>
                    <w:t>成品出料废气</w:t>
                  </w:r>
                </w:p>
              </w:tc>
              <w:tc>
                <w:tcPr>
                  <w:tcW w:w="83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eastAsia="宋体"/>
                      <w:szCs w:val="20"/>
                      <w:lang w:val="en-US" w:eastAsia="zh-CN"/>
                    </w:rPr>
                  </w:pPr>
                  <w:r>
                    <w:rPr>
                      <w:rFonts w:hint="eastAsia" w:eastAsia="宋体"/>
                      <w:sz w:val="21"/>
                      <w:szCs w:val="24"/>
                    </w:rPr>
                    <w:t>0.00001</w:t>
                  </w:r>
                </w:p>
              </w:tc>
              <w:tc>
                <w:tcPr>
                  <w:tcW w:w="912"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eastAsia="宋体"/>
                      <w:szCs w:val="20"/>
                      <w:lang w:val="en-US" w:eastAsia="zh-CN"/>
                    </w:rPr>
                  </w:pPr>
                  <w:r>
                    <w:rPr>
                      <w:rFonts w:hint="eastAsia" w:eastAsia="宋体"/>
                      <w:sz w:val="21"/>
                      <w:szCs w:val="24"/>
                    </w:rPr>
                    <w:t>4.2×10</w:t>
                  </w:r>
                  <w:r>
                    <w:rPr>
                      <w:rFonts w:hint="eastAsia" w:eastAsia="宋体"/>
                      <w:sz w:val="21"/>
                      <w:szCs w:val="24"/>
                      <w:vertAlign w:val="superscript"/>
                    </w:rPr>
                    <w:t>-6</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default" w:eastAsia="宋体"/>
                      <w:szCs w:val="20"/>
                      <w:lang w:val="en-US" w:eastAsia="zh-CN"/>
                    </w:rPr>
                    <w:t>0.000003</w:t>
                  </w: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43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2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61"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非甲烷总烃</w:t>
                  </w:r>
                </w:p>
              </w:tc>
              <w:tc>
                <w:tcPr>
                  <w:tcW w:w="1177"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szCs w:val="20"/>
                    </w:rPr>
                  </w:pPr>
                  <w:r>
                    <w:rPr>
                      <w:rFonts w:hint="eastAsia" w:eastAsia="宋体"/>
                      <w:sz w:val="21"/>
                      <w:szCs w:val="24"/>
                    </w:rPr>
                    <w:t>沥青加热、搅拌混合废气</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0.013</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0.005</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0.0002</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0.00024</w:t>
                  </w:r>
                </w:p>
              </w:tc>
              <w:tc>
                <w:tcPr>
                  <w:tcW w:w="100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0.0001</w:t>
                  </w:r>
                </w:p>
              </w:tc>
              <w:tc>
                <w:tcPr>
                  <w:tcW w:w="8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0.02</w:t>
                  </w:r>
                </w:p>
              </w:tc>
              <w:tc>
                <w:tcPr>
                  <w:tcW w:w="143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10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120</w:t>
                  </w:r>
                </w:p>
              </w:tc>
              <w:tc>
                <w:tcPr>
                  <w:tcW w:w="727"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6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 w:val="21"/>
                      <w:szCs w:val="24"/>
                    </w:rPr>
                  </w:pPr>
                </w:p>
              </w:tc>
              <w:tc>
                <w:tcPr>
                  <w:tcW w:w="1177"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szCs w:val="20"/>
                    </w:rPr>
                  </w:pPr>
                  <w:r>
                    <w:rPr>
                      <w:rFonts w:hint="eastAsia" w:eastAsia="宋体"/>
                      <w:sz w:val="21"/>
                      <w:szCs w:val="24"/>
                    </w:rPr>
                    <w:t>成品出料废气</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0.00013</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0.003</w:t>
                  </w: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0.00004</w:t>
                  </w: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100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8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43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110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c>
                <w:tcPr>
                  <w:tcW w:w="727"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油烟烟道</w:t>
                  </w:r>
                </w:p>
              </w:tc>
              <w:tc>
                <w:tcPr>
                  <w:tcW w:w="7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 w:val="21"/>
                      <w:szCs w:val="24"/>
                      <w:lang w:val="en-US" w:eastAsia="zh-CN"/>
                    </w:rPr>
                  </w:pPr>
                  <w:r>
                    <w:rPr>
                      <w:rFonts w:hint="eastAsia"/>
                      <w:sz w:val="21"/>
                      <w:szCs w:val="24"/>
                      <w:lang w:val="en-US" w:eastAsia="zh-CN"/>
                    </w:rPr>
                    <w:t>油烟</w:t>
                  </w:r>
                </w:p>
              </w:tc>
              <w:tc>
                <w:tcPr>
                  <w:tcW w:w="1177"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eastAsia="宋体"/>
                      <w:sz w:val="21"/>
                      <w:szCs w:val="24"/>
                      <w:lang w:val="en-US" w:eastAsia="zh-CN"/>
                    </w:rPr>
                  </w:pPr>
                  <w:r>
                    <w:rPr>
                      <w:rFonts w:hint="eastAsia"/>
                      <w:sz w:val="21"/>
                      <w:szCs w:val="24"/>
                      <w:lang w:val="en-US" w:eastAsia="zh-CN"/>
                    </w:rPr>
                    <w:t>食堂油烟</w:t>
                  </w:r>
                </w:p>
              </w:tc>
              <w:tc>
                <w:tcPr>
                  <w:tcW w:w="8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2.88kg/a</w:t>
                  </w:r>
                </w:p>
              </w:tc>
              <w:tc>
                <w:tcPr>
                  <w:tcW w:w="91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szCs w:val="20"/>
                      <w:lang w:val="en-US" w:eastAsia="zh-CN"/>
                    </w:rPr>
                    <w:t>0.0012</w:t>
                  </w:r>
                </w:p>
              </w:tc>
              <w:tc>
                <w:tcPr>
                  <w:tcW w:w="11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lang w:val="en-US" w:eastAsia="zh-CN"/>
                    </w:rPr>
                    <w:t>油烟净化设施+专用烟道</w:t>
                  </w:r>
                </w:p>
              </w:tc>
              <w:tc>
                <w:tcPr>
                  <w:tcW w:w="86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1.03kg/a</w:t>
                  </w:r>
                </w:p>
              </w:tc>
              <w:tc>
                <w:tcPr>
                  <w:tcW w:w="100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1.03kg/a</w:t>
                  </w:r>
                </w:p>
              </w:tc>
              <w:tc>
                <w:tcPr>
                  <w:tcW w:w="100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lang w:val="en-US" w:eastAsia="zh-CN"/>
                    </w:rPr>
                    <w:t>0.0004</w:t>
                  </w:r>
                </w:p>
              </w:tc>
              <w:tc>
                <w:tcPr>
                  <w:tcW w:w="8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0.44</w:t>
                  </w:r>
                </w:p>
              </w:tc>
              <w:tc>
                <w:tcPr>
                  <w:tcW w:w="143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lang w:val="en-US" w:eastAsia="zh-CN"/>
                    </w:rPr>
                    <w:t>《饮食业油烟排放标准》(GB18483-2001)表2中小型最高允许排放浓度</w:t>
                  </w:r>
                </w:p>
              </w:tc>
              <w:tc>
                <w:tcPr>
                  <w:tcW w:w="110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2.0</w:t>
                  </w:r>
                </w:p>
              </w:tc>
              <w:tc>
                <w:tcPr>
                  <w:tcW w:w="72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达标</w:t>
                  </w:r>
                </w:p>
              </w:tc>
            </w:tr>
          </w:tbl>
          <w:p>
            <w:pPr>
              <w:pStyle w:val="11"/>
              <w:keepNext w:val="0"/>
              <w:keepLines w:val="0"/>
              <w:widowControl/>
              <w:suppressLineNumbers w:val="0"/>
              <w:bidi w:val="0"/>
              <w:spacing w:beforeAutospacing="0" w:after="0" w:afterAutospacing="0"/>
              <w:ind w:left="0" w:right="0"/>
              <w:rPr>
                <w:rFonts w:hint="eastAsia"/>
              </w:rPr>
            </w:pPr>
          </w:p>
          <w:p>
            <w:pPr>
              <w:pStyle w:val="11"/>
              <w:keepNext w:val="0"/>
              <w:keepLines w:val="0"/>
              <w:widowControl/>
              <w:suppressLineNumbers w:val="0"/>
              <w:bidi w:val="0"/>
              <w:spacing w:beforeAutospacing="0" w:after="0" w:afterAutospacing="0"/>
              <w:ind w:left="0" w:right="0"/>
              <w:rPr>
                <w:rFonts w:hint="eastAsia"/>
              </w:rPr>
            </w:pPr>
          </w:p>
          <w:p>
            <w:pPr>
              <w:pStyle w:val="11"/>
              <w:keepNext w:val="0"/>
              <w:keepLines w:val="0"/>
              <w:widowControl/>
              <w:suppressLineNumbers w:val="0"/>
              <w:bidi w:val="0"/>
              <w:spacing w:beforeAutospacing="0" w:after="0" w:afterAutospacing="0"/>
              <w:ind w:left="0" w:right="0"/>
              <w:rPr>
                <w:rFonts w:hint="eastAsia"/>
              </w:rPr>
            </w:pPr>
          </w:p>
          <w:p>
            <w:pPr>
              <w:pStyle w:val="11"/>
              <w:keepNext w:val="0"/>
              <w:keepLines w:val="0"/>
              <w:widowControl/>
              <w:suppressLineNumbers w:val="0"/>
              <w:bidi w:val="0"/>
              <w:spacing w:beforeAutospacing="0" w:after="0" w:afterAutospacing="0"/>
              <w:ind w:left="0" w:right="0"/>
              <w:rPr>
                <w:rFonts w:hint="eastAsia"/>
              </w:rPr>
            </w:pPr>
          </w:p>
          <w:p>
            <w:pPr>
              <w:pStyle w:val="11"/>
              <w:keepNext w:val="0"/>
              <w:keepLines w:val="0"/>
              <w:widowControl/>
              <w:suppressLineNumbers w:val="0"/>
              <w:bidi w:val="0"/>
              <w:spacing w:beforeAutospacing="0" w:after="0" w:afterAutospacing="0"/>
              <w:ind w:left="0" w:right="0"/>
              <w:rPr>
                <w:rFonts w:hint="default"/>
              </w:rPr>
            </w:pPr>
            <w:r>
              <w:rPr>
                <w:rFonts w:hint="eastAsia"/>
              </w:rPr>
              <w:t>表</w:t>
            </w:r>
            <w:r>
              <w:rPr>
                <w:rFonts w:hint="eastAsia"/>
                <w:lang w:val="en-US" w:eastAsia="zh-CN"/>
              </w:rPr>
              <w:t>4-4</w:t>
            </w:r>
            <w:r>
              <w:rPr>
                <w:rFonts w:hint="eastAsia"/>
              </w:rPr>
              <w:t xml:space="preserve">  本项目</w:t>
            </w:r>
            <w:r>
              <w:rPr>
                <w:rFonts w:hint="eastAsia"/>
                <w:lang w:val="en-US" w:eastAsia="zh-CN"/>
              </w:rPr>
              <w:t>无</w:t>
            </w:r>
            <w:r>
              <w:rPr>
                <w:rFonts w:hint="eastAsia"/>
              </w:rPr>
              <w:t>组织排放污染物汇总表</w:t>
            </w:r>
          </w:p>
          <w:tbl>
            <w:tblPr>
              <w:tblStyle w:val="7"/>
              <w:tblpPr w:leftFromText="180" w:rightFromText="180" w:vertAnchor="text" w:tblpXSpec="left" w:tblpY="1"/>
              <w:tblOverlap w:val="never"/>
              <w:tblW w:w="12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958"/>
              <w:gridCol w:w="961"/>
              <w:gridCol w:w="961"/>
              <w:gridCol w:w="963"/>
              <w:gridCol w:w="963"/>
              <w:gridCol w:w="963"/>
              <w:gridCol w:w="963"/>
              <w:gridCol w:w="973"/>
              <w:gridCol w:w="1723"/>
              <w:gridCol w:w="105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排放方式</w:t>
                  </w:r>
                </w:p>
              </w:tc>
              <w:tc>
                <w:tcPr>
                  <w:tcW w:w="95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污染物</w:t>
                  </w:r>
                </w:p>
              </w:tc>
              <w:tc>
                <w:tcPr>
                  <w:tcW w:w="96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污染源</w:t>
                  </w:r>
                </w:p>
              </w:tc>
              <w:tc>
                <w:tcPr>
                  <w:tcW w:w="1924" w:type="dxa"/>
                  <w:gridSpan w:val="2"/>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rPr>
                  </w:pPr>
                  <w:r>
                    <w:rPr>
                      <w:rFonts w:hint="eastAsia"/>
                      <w:b/>
                      <w:bCs/>
                      <w:szCs w:val="20"/>
                      <w:lang w:val="en-US" w:eastAsia="zh-CN"/>
                    </w:rPr>
                    <w:t>污染物产生</w:t>
                  </w:r>
                </w:p>
              </w:tc>
              <w:tc>
                <w:tcPr>
                  <w:tcW w:w="96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治理措施</w:t>
                  </w:r>
                </w:p>
              </w:tc>
              <w:tc>
                <w:tcPr>
                  <w:tcW w:w="2899" w:type="dxa"/>
                  <w:gridSpan w:val="3"/>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rPr>
                  </w:pPr>
                  <w:r>
                    <w:rPr>
                      <w:rFonts w:hint="eastAsia"/>
                      <w:b/>
                      <w:bCs/>
                      <w:szCs w:val="20"/>
                      <w:lang w:val="en-US" w:eastAsia="zh-CN"/>
                    </w:rPr>
                    <w:t>污染物排放</w:t>
                  </w:r>
                </w:p>
              </w:tc>
              <w:tc>
                <w:tcPr>
                  <w:tcW w:w="172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执行标准</w:t>
                  </w:r>
                </w:p>
              </w:tc>
              <w:tc>
                <w:tcPr>
                  <w:tcW w:w="105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标准限值</w:t>
                  </w:r>
                  <w:r>
                    <w:rPr>
                      <w:rFonts w:hint="eastAsia"/>
                      <w:b/>
                      <w:bCs/>
                      <w:sz w:val="21"/>
                      <w:szCs w:val="24"/>
                      <w:lang w:val="en-US" w:eastAsia="zh-CN"/>
                    </w:rPr>
                    <w:t>mg/m</w:t>
                  </w:r>
                  <w:r>
                    <w:rPr>
                      <w:rFonts w:hint="eastAsia"/>
                      <w:b/>
                      <w:bCs/>
                      <w:sz w:val="21"/>
                      <w:szCs w:val="24"/>
                      <w:vertAlign w:val="superscript"/>
                      <w:lang w:val="en-US" w:eastAsia="zh-CN"/>
                    </w:rPr>
                    <w:t>3</w:t>
                  </w:r>
                </w:p>
              </w:tc>
              <w:tc>
                <w:tcPr>
                  <w:tcW w:w="96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6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6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rPr>
                  </w:pPr>
                  <w:r>
                    <w:rPr>
                      <w:rFonts w:hint="eastAsia"/>
                      <w:b/>
                      <w:bCs/>
                      <w:szCs w:val="20"/>
                    </w:rPr>
                    <w:t>产生量</w:t>
                  </w:r>
                </w:p>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rPr>
                  </w:pPr>
                  <w:r>
                    <w:rPr>
                      <w:rFonts w:hint="eastAsia"/>
                      <w:b/>
                      <w:bCs/>
                      <w:szCs w:val="20"/>
                    </w:rPr>
                    <w:t>t/a</w:t>
                  </w:r>
                </w:p>
              </w:tc>
              <w:tc>
                <w:tcPr>
                  <w:tcW w:w="96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rPr>
                  </w:pPr>
                  <w:r>
                    <w:rPr>
                      <w:rFonts w:hint="eastAsia"/>
                      <w:b/>
                      <w:bCs/>
                      <w:szCs w:val="20"/>
                    </w:rPr>
                    <w:t>产生速率</w:t>
                  </w:r>
                </w:p>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rPr>
                  </w:pPr>
                  <w:r>
                    <w:rPr>
                      <w:rFonts w:hint="eastAsia"/>
                      <w:b/>
                      <w:bCs/>
                      <w:szCs w:val="20"/>
                    </w:rPr>
                    <w:t>kg/h</w:t>
                  </w:r>
                </w:p>
              </w:tc>
              <w:tc>
                <w:tcPr>
                  <w:tcW w:w="96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rPr>
                  </w:pPr>
                </w:p>
              </w:tc>
              <w:tc>
                <w:tcPr>
                  <w:tcW w:w="9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eastAsia="宋体"/>
                      <w:b/>
                      <w:bCs/>
                      <w:sz w:val="21"/>
                      <w:szCs w:val="24"/>
                    </w:rPr>
                    <w:t>排放量t/a</w:t>
                  </w:r>
                </w:p>
              </w:tc>
              <w:tc>
                <w:tcPr>
                  <w:tcW w:w="9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eastAsia="宋体"/>
                      <w:b/>
                      <w:bCs/>
                      <w:sz w:val="21"/>
                      <w:szCs w:val="24"/>
                    </w:rPr>
                    <w:t>排放总量t/a</w:t>
                  </w:r>
                </w:p>
              </w:tc>
              <w:tc>
                <w:tcPr>
                  <w:tcW w:w="97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bCs/>
                      <w:sz w:val="21"/>
                      <w:szCs w:val="24"/>
                    </w:rPr>
                  </w:pPr>
                  <w:r>
                    <w:rPr>
                      <w:rFonts w:hint="eastAsia" w:eastAsia="宋体"/>
                      <w:b/>
                      <w:bCs/>
                      <w:sz w:val="21"/>
                      <w:szCs w:val="24"/>
                    </w:rPr>
                    <w:t>排放速率</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eastAsia="宋体"/>
                      <w:b/>
                      <w:bCs/>
                      <w:sz w:val="21"/>
                      <w:szCs w:val="24"/>
                    </w:rPr>
                    <w:t>kg/h</w:t>
                  </w:r>
                </w:p>
              </w:tc>
              <w:tc>
                <w:tcPr>
                  <w:tcW w:w="172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sz w:val="21"/>
                      <w:szCs w:val="24"/>
                    </w:rPr>
                  </w:pPr>
                </w:p>
              </w:tc>
              <w:tc>
                <w:tcPr>
                  <w:tcW w:w="105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sz w:val="21"/>
                      <w:szCs w:val="24"/>
                    </w:rPr>
                  </w:pPr>
                </w:p>
              </w:tc>
              <w:tc>
                <w:tcPr>
                  <w:tcW w:w="962"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无组织排放</w:t>
                  </w:r>
                </w:p>
              </w:tc>
              <w:tc>
                <w:tcPr>
                  <w:tcW w:w="95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颗粒物</w:t>
                  </w:r>
                </w:p>
              </w:tc>
              <w:tc>
                <w:tcPr>
                  <w:tcW w:w="96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砂石骨料堆场扬尘</w:t>
                  </w:r>
                </w:p>
              </w:tc>
              <w:tc>
                <w:tcPr>
                  <w:tcW w:w="96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0.85</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0.35</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堆放于半封闭仓库，堆场定期洒水降尘。</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0.09</w:t>
                  </w:r>
                </w:p>
              </w:tc>
              <w:tc>
                <w:tcPr>
                  <w:tcW w:w="96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0.35</w:t>
                  </w:r>
                </w:p>
              </w:tc>
              <w:tc>
                <w:tcPr>
                  <w:tcW w:w="97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0.15</w:t>
                  </w:r>
                </w:p>
              </w:tc>
              <w:tc>
                <w:tcPr>
                  <w:tcW w:w="172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《大气污染物综合排放标准》（GB16297-1996）中表2中无组织限值</w:t>
                  </w:r>
                </w:p>
              </w:tc>
              <w:tc>
                <w:tcPr>
                  <w:tcW w:w="105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w:t>
                  </w:r>
                </w:p>
              </w:tc>
              <w:tc>
                <w:tcPr>
                  <w:tcW w:w="96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6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上料输送粉尘</w:t>
                  </w:r>
                </w:p>
              </w:tc>
              <w:tc>
                <w:tcPr>
                  <w:tcW w:w="96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1.0</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0.42</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洒水降尘</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0.2</w:t>
                  </w:r>
                </w:p>
              </w:tc>
              <w:tc>
                <w:tcPr>
                  <w:tcW w:w="96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7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2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5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6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6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矿粉储罐呼吸粉尘</w:t>
                  </w:r>
                </w:p>
              </w:tc>
              <w:tc>
                <w:tcPr>
                  <w:tcW w:w="96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0.06</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0.025</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0.06</w:t>
                  </w:r>
                </w:p>
              </w:tc>
              <w:tc>
                <w:tcPr>
                  <w:tcW w:w="96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7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72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5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6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58"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沥青烟</w:t>
                  </w:r>
                </w:p>
              </w:tc>
              <w:tc>
                <w:tcPr>
                  <w:tcW w:w="96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r>
                    <w:rPr>
                      <w:rFonts w:hint="eastAsia"/>
                      <w:szCs w:val="20"/>
                    </w:rPr>
                    <w:t>成品出料废气</w:t>
                  </w:r>
                </w:p>
              </w:tc>
              <w:tc>
                <w:tcPr>
                  <w:tcW w:w="96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0.00875</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ascii="Times New Roman" w:hAnsi="Times New Roman" w:eastAsia="宋体" w:cs="Times New Roman"/>
                      <w:sz w:val="21"/>
                      <w:szCs w:val="24"/>
                      <w:lang w:val="en-US" w:eastAsia="zh-CN" w:bidi="ar-SA"/>
                    </w:rPr>
                  </w:pPr>
                  <w:r>
                    <w:rPr>
                      <w:rFonts w:hint="eastAsia" w:eastAsia="宋体"/>
                      <w:sz w:val="21"/>
                      <w:szCs w:val="24"/>
                    </w:rPr>
                    <w:t>0.</w:t>
                  </w:r>
                  <w:r>
                    <w:rPr>
                      <w:rFonts w:hint="eastAsia"/>
                      <w:sz w:val="21"/>
                      <w:szCs w:val="24"/>
                      <w:lang w:val="en-US" w:eastAsia="zh-CN"/>
                    </w:rPr>
                    <w:t>0036</w:t>
                  </w:r>
                </w:p>
              </w:tc>
              <w:tc>
                <w:tcPr>
                  <w:tcW w:w="96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加强管理</w:t>
                  </w:r>
                </w:p>
              </w:tc>
              <w:tc>
                <w:tcPr>
                  <w:tcW w:w="9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0.00875</w:t>
                  </w:r>
                </w:p>
              </w:tc>
              <w:tc>
                <w:tcPr>
                  <w:tcW w:w="9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0.00875</w:t>
                  </w:r>
                </w:p>
              </w:tc>
              <w:tc>
                <w:tcPr>
                  <w:tcW w:w="97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eastAsia="宋体"/>
                      <w:sz w:val="21"/>
                      <w:szCs w:val="24"/>
                    </w:rPr>
                    <w:t>0.</w:t>
                  </w:r>
                  <w:r>
                    <w:rPr>
                      <w:rFonts w:hint="eastAsia"/>
                      <w:sz w:val="21"/>
                      <w:szCs w:val="24"/>
                      <w:lang w:val="en-US" w:eastAsia="zh-CN"/>
                    </w:rPr>
                    <w:t>0036</w:t>
                  </w:r>
                </w:p>
              </w:tc>
              <w:tc>
                <w:tcPr>
                  <w:tcW w:w="172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5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生产设备不得有明显的无组织排放存在</w:t>
                  </w:r>
                </w:p>
              </w:tc>
              <w:tc>
                <w:tcPr>
                  <w:tcW w:w="96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58"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苯并[a]芘</w:t>
                  </w:r>
                </w:p>
              </w:tc>
              <w:tc>
                <w:tcPr>
                  <w:tcW w:w="96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6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0.000001</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4.2×10</w:t>
                  </w:r>
                  <w:r>
                    <w:rPr>
                      <w:rFonts w:hint="eastAsia" w:eastAsia="宋体"/>
                      <w:sz w:val="21"/>
                      <w:szCs w:val="24"/>
                      <w:vertAlign w:val="superscript"/>
                    </w:rPr>
                    <w:t>-7</w:t>
                  </w:r>
                </w:p>
              </w:tc>
              <w:tc>
                <w:tcPr>
                  <w:tcW w:w="96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0.000001</w:t>
                  </w:r>
                </w:p>
              </w:tc>
              <w:tc>
                <w:tcPr>
                  <w:tcW w:w="9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0.000001</w:t>
                  </w:r>
                </w:p>
              </w:tc>
              <w:tc>
                <w:tcPr>
                  <w:tcW w:w="97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eastAsia="宋体"/>
                      <w:sz w:val="21"/>
                      <w:szCs w:val="24"/>
                    </w:rPr>
                    <w:t>4.2×10</w:t>
                  </w:r>
                  <w:r>
                    <w:rPr>
                      <w:rFonts w:hint="eastAsia" w:eastAsia="宋体"/>
                      <w:sz w:val="21"/>
                      <w:szCs w:val="24"/>
                      <w:vertAlign w:val="superscript"/>
                    </w:rPr>
                    <w:t>-7</w:t>
                  </w:r>
                </w:p>
              </w:tc>
              <w:tc>
                <w:tcPr>
                  <w:tcW w:w="172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5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0.008ug/m</w:t>
                  </w:r>
                  <w:r>
                    <w:rPr>
                      <w:rFonts w:hint="eastAsia"/>
                      <w:szCs w:val="20"/>
                      <w:vertAlign w:val="superscript"/>
                      <w:lang w:val="en-US" w:eastAsia="zh-CN"/>
                    </w:rPr>
                    <w:t>3</w:t>
                  </w:r>
                </w:p>
              </w:tc>
              <w:tc>
                <w:tcPr>
                  <w:tcW w:w="96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58"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非甲烷总烃</w:t>
                  </w:r>
                </w:p>
              </w:tc>
              <w:tc>
                <w:tcPr>
                  <w:tcW w:w="96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61"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0.000013</w:t>
                  </w:r>
                </w:p>
              </w:tc>
              <w:tc>
                <w:tcPr>
                  <w:tcW w:w="963"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default" w:ascii="Times New Roman" w:hAnsi="Times New Roman" w:eastAsia="宋体" w:cs="Times New Roman"/>
                      <w:sz w:val="21"/>
                      <w:szCs w:val="24"/>
                      <w:lang w:val="en-US" w:eastAsia="zh-CN" w:bidi="ar-SA"/>
                    </w:rPr>
                  </w:pPr>
                  <w:r>
                    <w:rPr>
                      <w:rFonts w:hint="eastAsia" w:cs="Times New Roman"/>
                      <w:sz w:val="21"/>
                      <w:szCs w:val="24"/>
                      <w:lang w:val="en-US" w:eastAsia="zh-CN" w:bidi="ar-SA"/>
                    </w:rPr>
                    <w:t>5.4×10</w:t>
                  </w:r>
                  <w:r>
                    <w:rPr>
                      <w:rFonts w:hint="eastAsia" w:cs="Times New Roman"/>
                      <w:sz w:val="21"/>
                      <w:szCs w:val="24"/>
                      <w:vertAlign w:val="superscript"/>
                      <w:lang w:val="en-US" w:eastAsia="zh-CN" w:bidi="ar-SA"/>
                    </w:rPr>
                    <w:t>-6</w:t>
                  </w:r>
                </w:p>
              </w:tc>
              <w:tc>
                <w:tcPr>
                  <w:tcW w:w="96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9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0.000013</w:t>
                  </w:r>
                </w:p>
              </w:tc>
              <w:tc>
                <w:tcPr>
                  <w:tcW w:w="96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4"/>
                      <w:lang w:val="en-US" w:eastAsia="zh-CN" w:bidi="ar-SA"/>
                    </w:rPr>
                  </w:pPr>
                  <w:r>
                    <w:rPr>
                      <w:rFonts w:hint="eastAsia" w:eastAsia="宋体"/>
                      <w:sz w:val="21"/>
                      <w:szCs w:val="24"/>
                    </w:rPr>
                    <w:t>0.000013</w:t>
                  </w:r>
                </w:p>
              </w:tc>
              <w:tc>
                <w:tcPr>
                  <w:tcW w:w="97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cs="Times New Roman"/>
                      <w:sz w:val="21"/>
                      <w:szCs w:val="24"/>
                      <w:lang w:val="en-US" w:eastAsia="zh-CN" w:bidi="ar-SA"/>
                    </w:rPr>
                    <w:t>5.4×10</w:t>
                  </w:r>
                  <w:r>
                    <w:rPr>
                      <w:rFonts w:hint="eastAsia" w:cs="Times New Roman"/>
                      <w:sz w:val="21"/>
                      <w:szCs w:val="24"/>
                      <w:vertAlign w:val="superscript"/>
                      <w:lang w:val="en-US" w:eastAsia="zh-CN" w:bidi="ar-SA"/>
                    </w:rPr>
                    <w:t>-6</w:t>
                  </w:r>
                </w:p>
              </w:tc>
              <w:tc>
                <w:tcPr>
                  <w:tcW w:w="172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rPr>
                  </w:pPr>
                </w:p>
              </w:tc>
              <w:tc>
                <w:tcPr>
                  <w:tcW w:w="105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4.0</w:t>
                  </w:r>
                </w:p>
              </w:tc>
              <w:tc>
                <w:tcPr>
                  <w:tcW w:w="96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r>
          </w:tbl>
          <w:p>
            <w:pPr>
              <w:keepNext w:val="0"/>
              <w:keepLines w:val="0"/>
              <w:suppressLineNumbers w:val="0"/>
              <w:bidi w:val="0"/>
              <w:spacing w:before="0" w:beforeAutospacing="0" w:after="0" w:afterAutospacing="0"/>
              <w:ind w:left="0" w:right="0"/>
              <w:rPr>
                <w:rFonts w:hint="default" w:eastAsia="宋体"/>
                <w:lang w:val="en-US" w:eastAsia="zh-CN"/>
              </w:rPr>
            </w:pPr>
          </w:p>
          <w:p>
            <w:pPr>
              <w:keepNext w:val="0"/>
              <w:keepLines w:val="0"/>
              <w:suppressLineNumbers w:val="0"/>
              <w:bidi w:val="0"/>
              <w:spacing w:before="0" w:beforeAutospacing="0" w:after="0" w:afterAutospacing="0"/>
              <w:ind w:left="0" w:right="0"/>
              <w:rPr>
                <w:rFonts w:hint="default" w:eastAsia="宋体"/>
                <w:lang w:val="en-US" w:eastAsia="zh-CN"/>
              </w:rPr>
            </w:pPr>
          </w:p>
          <w:p>
            <w:pPr>
              <w:keepNext w:val="0"/>
              <w:keepLines w:val="0"/>
              <w:suppressLineNumbers w:val="0"/>
              <w:bidi w:val="0"/>
              <w:spacing w:before="0" w:beforeAutospacing="0" w:after="0" w:afterAutospacing="0"/>
              <w:ind w:left="0" w:right="0"/>
              <w:rPr>
                <w:rFonts w:hint="eastAsia"/>
              </w:rPr>
            </w:pPr>
          </w:p>
        </w:tc>
      </w:tr>
    </w:tbl>
    <w:p>
      <w:pPr>
        <w:keepNext w:val="0"/>
        <w:keepLines w:val="0"/>
        <w:suppressLineNumbers w:val="0"/>
        <w:spacing w:before="0" w:beforeAutospacing="0" w:after="0" w:afterAutospacing="0"/>
        <w:ind w:left="0" w:right="0" w:firstLine="0" w:firstLineChars="0"/>
        <w:jc w:val="center"/>
        <w:rPr>
          <w:rFonts w:hint="eastAsia"/>
        </w:rPr>
        <w:sectPr>
          <w:pgSz w:w="16840" w:h="11907" w:orient="landscape"/>
          <w:pgMar w:top="1531" w:right="1701" w:bottom="1531" w:left="2127" w:header="851" w:footer="851" w:gutter="0"/>
          <w:cols w:space="720" w:num="1"/>
          <w:docGrid w:linePitch="312" w:charSpace="0"/>
        </w:sectPr>
      </w:pPr>
    </w:p>
    <w:tbl>
      <w:tblPr>
        <w:tblStyle w:val="6"/>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2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654" w:type="dxa"/>
            <w:tcMar>
              <w:left w:w="28" w:type="dxa"/>
              <w:right w:w="28" w:type="dxa"/>
            </w:tcMar>
            <w:vAlign w:val="center"/>
          </w:tcPr>
          <w:p>
            <w:pPr>
              <w:keepNext w:val="0"/>
              <w:keepLines w:val="0"/>
              <w:suppressLineNumbers w:val="0"/>
              <w:spacing w:before="0" w:beforeAutospacing="0" w:after="0" w:afterAutospacing="0"/>
              <w:ind w:left="0" w:right="0" w:firstLine="0" w:firstLineChars="0"/>
              <w:jc w:val="center"/>
              <w:rPr>
                <w:rFonts w:hint="default"/>
              </w:rPr>
            </w:pPr>
          </w:p>
        </w:tc>
        <w:tc>
          <w:tcPr>
            <w:tcW w:w="8254" w:type="dxa"/>
            <w:vAlign w:val="center"/>
          </w:tcPr>
          <w:p>
            <w:pPr>
              <w:keepNext w:val="0"/>
              <w:keepLines w:val="0"/>
              <w:suppressLineNumbers w:val="0"/>
              <w:spacing w:before="0" w:beforeAutospacing="0" w:after="0" w:afterAutospacing="0"/>
              <w:ind w:left="0" w:right="0" w:firstLine="480"/>
              <w:rPr>
                <w:rFonts w:hint="default"/>
                <w:b/>
                <w:bCs/>
                <w:lang w:val="en-US" w:eastAsia="zh-CN"/>
              </w:rPr>
            </w:pPr>
            <w:r>
              <w:rPr>
                <w:rFonts w:hint="eastAsia"/>
                <w:b/>
                <w:bCs/>
                <w:lang w:val="en-US" w:eastAsia="zh-CN"/>
              </w:rPr>
              <w:t>（2）废气治理措施可行性分析</w:t>
            </w:r>
          </w:p>
          <w:p>
            <w:pPr>
              <w:keepNext w:val="0"/>
              <w:keepLines w:val="0"/>
              <w:suppressLineNumbers w:val="0"/>
              <w:spacing w:before="0" w:beforeAutospacing="0" w:after="0" w:afterAutospacing="0"/>
              <w:ind w:left="0" w:right="0" w:firstLine="480"/>
              <w:rPr>
                <w:rFonts w:hint="eastAsia"/>
              </w:rPr>
            </w:pPr>
            <w:r>
              <w:rPr>
                <w:rFonts w:hint="eastAsia"/>
              </w:rPr>
              <w:t>①措施可行性分析</w:t>
            </w:r>
          </w:p>
          <w:p>
            <w:pPr>
              <w:keepNext w:val="0"/>
              <w:keepLines w:val="0"/>
              <w:suppressLineNumbers w:val="0"/>
              <w:spacing w:before="0" w:beforeAutospacing="0" w:after="0" w:afterAutospacing="0"/>
              <w:ind w:left="0" w:right="0" w:firstLine="480"/>
              <w:rPr>
                <w:rFonts w:hint="default" w:eastAsia="宋体"/>
                <w:lang w:val="en-US" w:eastAsia="zh-CN"/>
              </w:rPr>
            </w:pPr>
            <w:r>
              <w:rPr>
                <w:rFonts w:hint="eastAsia"/>
              </w:rPr>
              <w:t>砂石骨料堆放于半封闭仓库，堆场定期洒水降尘，上料输送皮带设置防尘罩封闭；加热烘干、热料提升、筛分粉尘设备均为密闭设备，该粉尘经密闭收集后进入搅拌站除尘系统（袋式除尘）处理后通过一根15m高排气筒（DA001）排放</w:t>
            </w:r>
            <w:r>
              <w:rPr>
                <w:rFonts w:hint="eastAsia"/>
                <w:lang w:eastAsia="zh-CN"/>
              </w:rPr>
              <w:t>，</w:t>
            </w:r>
            <w:r>
              <w:rPr>
                <w:rFonts w:hint="eastAsia"/>
              </w:rPr>
              <w:t>柴油燃烧废气采用低氮燃烧，经密闭收集后汇入搅拌站除尘系统（袋式除尘）后通过一根15m高排气筒（DA00</w:t>
            </w:r>
            <w:r>
              <w:rPr>
                <w:rFonts w:hint="eastAsia"/>
                <w:lang w:val="en-US" w:eastAsia="zh-CN"/>
              </w:rPr>
              <w:t>2</w:t>
            </w:r>
            <w:r>
              <w:rPr>
                <w:rFonts w:hint="eastAsia"/>
              </w:rPr>
              <w:t>）排放</w:t>
            </w:r>
            <w:r>
              <w:rPr>
                <w:rFonts w:hint="eastAsia"/>
                <w:lang w:eastAsia="zh-CN"/>
              </w:rPr>
              <w:t>；沥青加热、搅拌混合过程烟气先采用冷凝器冷凝回收（冷凝器回流率可达95%以上），未凝气再通过密闭管道输送入沥青烟气处理系统“喷淋+活性炭吸附”处理装置（对沥青烟气去除效率为65%）处理后通过一根15m高排气筒（DA00</w:t>
            </w:r>
            <w:r>
              <w:rPr>
                <w:rFonts w:hint="eastAsia"/>
                <w:lang w:val="en-US" w:eastAsia="zh-CN"/>
              </w:rPr>
              <w:t>3</w:t>
            </w:r>
            <w:r>
              <w:rPr>
                <w:rFonts w:hint="eastAsia"/>
                <w:lang w:eastAsia="zh-CN"/>
              </w:rPr>
              <w:t>）排放；成品出料泄漏出来的沥青烟用引风收集装置收集，装料完毕后，车辆严密遮盖后驶出，收集效率可达90%，经收集后引入沥青烟气处理系统“喷淋+活性炭吸附装置”处理装置处理（对收集的沥青烟气去除效率为65%）后通过一根15m高排气筒（DA00</w:t>
            </w:r>
            <w:r>
              <w:rPr>
                <w:rFonts w:hint="eastAsia"/>
                <w:lang w:val="en-US" w:eastAsia="zh-CN"/>
              </w:rPr>
              <w:t>3</w:t>
            </w:r>
            <w:r>
              <w:rPr>
                <w:rFonts w:hint="eastAsia"/>
                <w:lang w:eastAsia="zh-CN"/>
              </w:rPr>
              <w:t>）排放；</w:t>
            </w:r>
            <w:r>
              <w:rPr>
                <w:rFonts w:hint="eastAsia"/>
                <w:lang w:val="en-US" w:eastAsia="zh-CN"/>
              </w:rPr>
              <w:t>食堂油烟经油烟净化设施处理后经专用烟道引至屋顶排放。</w:t>
            </w:r>
          </w:p>
          <w:p>
            <w:pPr>
              <w:keepNext w:val="0"/>
              <w:keepLines w:val="0"/>
              <w:suppressLineNumbers w:val="0"/>
              <w:spacing w:before="0" w:beforeAutospacing="0" w:after="0" w:afterAutospacing="0"/>
              <w:ind w:left="0" w:right="0" w:firstLine="480"/>
              <w:rPr>
                <w:rFonts w:hint="eastAsia"/>
              </w:rPr>
            </w:pPr>
            <w:r>
              <w:rPr>
                <w:rFonts w:hint="eastAsia"/>
              </w:rPr>
              <w:t>本环评提出的废气污染物处理措施均为《排污许可证申请与核发技术规范 石墨及其他非金属矿物制品制造》</w:t>
            </w:r>
            <w:r>
              <w:rPr>
                <w:rFonts w:hint="eastAsia"/>
                <w:lang w:eastAsia="zh-CN"/>
              </w:rPr>
              <w:t>（</w:t>
            </w:r>
            <w:r>
              <w:rPr>
                <w:rFonts w:hint="eastAsia"/>
              </w:rPr>
              <w:t>HJ1119-2020</w:t>
            </w:r>
            <w:r>
              <w:rPr>
                <w:rFonts w:hint="eastAsia"/>
                <w:lang w:eastAsia="zh-CN"/>
              </w:rPr>
              <w:t>）</w:t>
            </w:r>
            <w:r>
              <w:rPr>
                <w:rFonts w:hint="eastAsia"/>
              </w:rPr>
              <w:t>中可行措施。</w:t>
            </w:r>
          </w:p>
          <w:p>
            <w:pPr>
              <w:keepNext w:val="0"/>
              <w:keepLines w:val="0"/>
              <w:suppressLineNumbers w:val="0"/>
              <w:spacing w:before="0" w:beforeAutospacing="0" w:after="0" w:afterAutospacing="0"/>
              <w:ind w:left="0" w:right="0" w:firstLine="480"/>
              <w:rPr>
                <w:rFonts w:hint="eastAsia"/>
              </w:rPr>
            </w:pPr>
            <w:r>
              <w:rPr>
                <w:rFonts w:hint="eastAsia"/>
              </w:rPr>
              <w:t>②环境影响分析</w:t>
            </w:r>
          </w:p>
          <w:p>
            <w:pPr>
              <w:keepNext w:val="0"/>
              <w:keepLines w:val="0"/>
              <w:suppressLineNumbers w:val="0"/>
              <w:spacing w:before="0" w:beforeAutospacing="0" w:after="0" w:afterAutospacing="0"/>
              <w:ind w:left="0" w:right="0" w:firstLine="480"/>
              <w:rPr>
                <w:rFonts w:hint="eastAsia"/>
              </w:rPr>
            </w:pPr>
            <w:r>
              <w:rPr>
                <w:rFonts w:hint="eastAsia"/>
              </w:rPr>
              <w:t>项目采用的废气污染物治理措施为可行技术，无实施难度，颗粒物、二氧化硫、氮氧化物、沥青烟、苯并[a]芘、非甲烷总烃可达标排放。项目周边空气扩散条件较好，颗粒物排放后不会形成污染聚集，项目产生的废气污染物经采取相应的治理设施处理后，对周围环境影响极小。</w:t>
            </w:r>
          </w:p>
          <w:p>
            <w:pPr>
              <w:keepNext w:val="0"/>
              <w:keepLines w:val="0"/>
              <w:suppressLineNumbers w:val="0"/>
              <w:spacing w:before="0" w:beforeAutospacing="0" w:after="0" w:afterAutospacing="0"/>
              <w:ind w:left="0" w:right="0" w:firstLine="480"/>
              <w:rPr>
                <w:rFonts w:hint="eastAsia"/>
              </w:rPr>
            </w:pPr>
            <w:r>
              <w:rPr>
                <w:rFonts w:hint="eastAsia"/>
              </w:rPr>
              <w:t>综上所述，项目产生的废气污染物经采取措施后排放对周围环境影响较小。</w:t>
            </w:r>
          </w:p>
          <w:p>
            <w:pPr>
              <w:keepNext w:val="0"/>
              <w:keepLines w:val="0"/>
              <w:suppressLineNumbers w:val="0"/>
              <w:spacing w:before="0" w:beforeAutospacing="0" w:after="0" w:afterAutospacing="0"/>
              <w:ind w:left="0" w:right="0" w:firstLine="480"/>
              <w:rPr>
                <w:rFonts w:hint="default" w:eastAsia="宋体"/>
                <w:b/>
                <w:bCs/>
                <w:lang w:val="en-US" w:eastAsia="zh-CN"/>
              </w:rPr>
            </w:pPr>
            <w:r>
              <w:rPr>
                <w:rFonts w:hint="eastAsia"/>
                <w:b/>
                <w:bCs/>
                <w:lang w:eastAsia="zh-CN"/>
              </w:rPr>
              <w:t>（</w:t>
            </w:r>
            <w:r>
              <w:rPr>
                <w:rFonts w:hint="eastAsia"/>
                <w:b/>
                <w:bCs/>
                <w:lang w:val="en-US" w:eastAsia="zh-CN"/>
              </w:rPr>
              <w:t>3）自行监测</w:t>
            </w:r>
          </w:p>
          <w:p>
            <w:pPr>
              <w:keepNext w:val="0"/>
              <w:keepLines w:val="0"/>
              <w:suppressLineNumbers w:val="0"/>
              <w:spacing w:before="0" w:beforeAutospacing="0" w:after="0" w:afterAutospacing="0"/>
              <w:ind w:left="0" w:right="0" w:firstLine="480"/>
              <w:rPr>
                <w:rFonts w:hint="eastAsia"/>
                <w:lang w:val="en-US" w:eastAsia="zh-CN"/>
              </w:rPr>
            </w:pPr>
            <w:r>
              <w:rPr>
                <w:rFonts w:hint="eastAsia"/>
                <w:lang w:val="en-US" w:eastAsia="zh-CN"/>
              </w:rPr>
              <w:t>参照</w:t>
            </w:r>
            <w:r>
              <w:rPr>
                <w:rFonts w:hint="eastAsia"/>
                <w:lang w:eastAsia="zh-CN"/>
              </w:rPr>
              <w:t>《</w:t>
            </w:r>
            <w:r>
              <w:rPr>
                <w:rFonts w:hint="eastAsia"/>
              </w:rPr>
              <w:t>排污许可证申请与核发技术规范 石墨及其他非金属矿物制品制造》</w:t>
            </w:r>
            <w:r>
              <w:rPr>
                <w:rFonts w:hint="eastAsia"/>
                <w:lang w:eastAsia="zh-CN"/>
              </w:rPr>
              <w:t>（</w:t>
            </w:r>
            <w:r>
              <w:rPr>
                <w:rFonts w:hint="eastAsia"/>
              </w:rPr>
              <w:t>HJ1119-2020</w:t>
            </w:r>
            <w:r>
              <w:rPr>
                <w:rFonts w:hint="eastAsia"/>
                <w:lang w:eastAsia="zh-CN"/>
              </w:rPr>
              <w:t>）、</w:t>
            </w:r>
            <w:r>
              <w:rPr>
                <w:rFonts w:hint="eastAsia"/>
                <w:lang w:val="en-US" w:eastAsia="zh-CN"/>
              </w:rPr>
              <w:t>《</w:t>
            </w:r>
            <w:r>
              <w:rPr>
                <w:rFonts w:hint="eastAsia"/>
                <w:lang w:val="en-US" w:eastAsia="zh-CN"/>
              </w:rPr>
              <w:fldChar w:fldCharType="begin"/>
            </w:r>
            <w:r>
              <w:rPr>
                <w:rFonts w:hint="eastAsia"/>
                <w:lang w:val="en-US" w:eastAsia="zh-CN"/>
              </w:rPr>
              <w:instrText xml:space="preserve"> HYPERLINK "https://www.eiacloud.com/hpyzs/lawsRegulations/searchDetail?modelName=%E6%8E%92%E6%B1%A1%E5%90%8D%E5%BD%95&amp;id=9e5919ef42b846ea82534af7032af702" \t "https://www.eiacloud.com/hpyzs/category/_blank" </w:instrText>
            </w:r>
            <w:r>
              <w:rPr>
                <w:rFonts w:hint="eastAsia"/>
                <w:lang w:val="en-US" w:eastAsia="zh-CN"/>
              </w:rPr>
              <w:fldChar w:fldCharType="separate"/>
            </w:r>
            <w:r>
              <w:rPr>
                <w:rFonts w:hint="eastAsia"/>
                <w:lang w:val="en-US" w:eastAsia="zh-CN"/>
              </w:rPr>
              <w:t>排污许可证申请与核发技术规范 总则》（HJ942-201</w:t>
            </w:r>
            <w:r>
              <w:rPr>
                <w:rFonts w:hint="eastAsia"/>
                <w:lang w:val="en-US" w:eastAsia="zh-CN"/>
              </w:rPr>
              <w:fldChar w:fldCharType="end"/>
            </w:r>
            <w:r>
              <w:rPr>
                <w:rFonts w:hint="eastAsia"/>
                <w:lang w:val="en-US" w:eastAsia="zh-CN"/>
              </w:rPr>
              <w:t>8）</w:t>
            </w:r>
            <w:r>
              <w:rPr>
                <w:rFonts w:hint="eastAsia"/>
                <w:lang w:eastAsia="zh-CN"/>
              </w:rPr>
              <w:t>，</w:t>
            </w:r>
            <w:r>
              <w:rPr>
                <w:rFonts w:hint="eastAsia"/>
                <w:lang w:val="en-US" w:eastAsia="zh-CN"/>
              </w:rPr>
              <w:t>本项目废气自行监测计划详见表4-5。</w:t>
            </w:r>
          </w:p>
          <w:p>
            <w:pPr>
              <w:pStyle w:val="11"/>
              <w:keepNext w:val="0"/>
              <w:keepLines w:val="0"/>
              <w:widowControl/>
              <w:suppressLineNumbers w:val="0"/>
              <w:bidi w:val="0"/>
              <w:spacing w:beforeAutospacing="0" w:after="0" w:afterAutospacing="0"/>
              <w:ind w:left="0" w:right="0"/>
              <w:rPr>
                <w:rFonts w:hint="default"/>
                <w:lang w:val="en-US" w:eastAsia="zh-CN"/>
              </w:rPr>
            </w:pPr>
            <w:r>
              <w:rPr>
                <w:rFonts w:hint="eastAsia"/>
                <w:lang w:val="en-US" w:eastAsia="zh-CN"/>
              </w:rPr>
              <w:t>表4-5  大气环境自行监测计划</w:t>
            </w:r>
          </w:p>
          <w:tbl>
            <w:tblPr>
              <w:tblStyle w:val="7"/>
              <w:tblW w:w="8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801"/>
              <w:gridCol w:w="1382"/>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监测点位</w:t>
                  </w:r>
                </w:p>
              </w:tc>
              <w:tc>
                <w:tcPr>
                  <w:tcW w:w="1801"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监测指标</w:t>
                  </w:r>
                </w:p>
              </w:tc>
              <w:tc>
                <w:tcPr>
                  <w:tcW w:w="138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监测频次</w:t>
                  </w:r>
                </w:p>
              </w:tc>
              <w:tc>
                <w:tcPr>
                  <w:tcW w:w="3540"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DA001</w:t>
                  </w:r>
                </w:p>
              </w:tc>
              <w:tc>
                <w:tcPr>
                  <w:tcW w:w="1801"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颗粒物</w:t>
                  </w:r>
                </w:p>
              </w:tc>
              <w:tc>
                <w:tcPr>
                  <w:tcW w:w="138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default" w:eastAsia="宋体"/>
                      <w:szCs w:val="20"/>
                      <w:lang w:val="en-US" w:eastAsia="zh-CN"/>
                    </w:rPr>
                    <w:t>1次/半年</w:t>
                  </w:r>
                </w:p>
              </w:tc>
              <w:tc>
                <w:tcPr>
                  <w:tcW w:w="3540"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rPr>
                  </w:pPr>
                  <w:r>
                    <w:rPr>
                      <w:rFonts w:hint="eastAsia"/>
                      <w:szCs w:val="20"/>
                      <w:lang w:eastAsia="zh-CN"/>
                    </w:rPr>
                    <w:t>《</w:t>
                  </w:r>
                  <w:r>
                    <w:rPr>
                      <w:rFonts w:hint="eastAsia"/>
                      <w:szCs w:val="20"/>
                    </w:rPr>
                    <w:t>大气污染物综合排放标准》（GB16297-1996）中表2中排放监控浓度限值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9"/>
                    <w:keepNext w:val="0"/>
                    <w:keepLines w:val="0"/>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DA002</w:t>
                  </w:r>
                </w:p>
              </w:tc>
              <w:tc>
                <w:tcPr>
                  <w:tcW w:w="180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颗粒物、二氧化硫、氮氧化物</w:t>
                  </w:r>
                </w:p>
              </w:tc>
              <w:tc>
                <w:tcPr>
                  <w:tcW w:w="138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1次/半年</w:t>
                  </w:r>
                </w:p>
              </w:tc>
              <w:tc>
                <w:tcPr>
                  <w:tcW w:w="3540"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rPr>
                  </w:pPr>
                  <w:r>
                    <w:rPr>
                      <w:rFonts w:hint="eastAsia"/>
                      <w:szCs w:val="20"/>
                    </w:rPr>
                    <w:t>从严执行</w:t>
                  </w:r>
                  <w:r>
                    <w:rPr>
                      <w:rFonts w:hint="eastAsia"/>
                      <w:szCs w:val="20"/>
                      <w:lang w:eastAsia="zh-CN"/>
                    </w:rPr>
                    <w:t>《</w:t>
                  </w:r>
                  <w:r>
                    <w:rPr>
                      <w:rFonts w:hint="eastAsia"/>
                      <w:szCs w:val="20"/>
                    </w:rPr>
                    <w:t>锅炉大气污染物排放标准》（GB13271-2017）表2燃油锅炉的排放限值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DA003</w:t>
                  </w:r>
                </w:p>
              </w:tc>
              <w:tc>
                <w:tcPr>
                  <w:tcW w:w="1801"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rPr>
                  </w:pPr>
                  <w:r>
                    <w:rPr>
                      <w:rFonts w:hint="eastAsia"/>
                      <w:szCs w:val="20"/>
                    </w:rPr>
                    <w:t>沥青烟</w:t>
                  </w:r>
                  <w:r>
                    <w:rPr>
                      <w:rFonts w:hint="eastAsia"/>
                      <w:szCs w:val="20"/>
                      <w:lang w:eastAsia="zh-CN"/>
                    </w:rPr>
                    <w:t>、</w:t>
                  </w:r>
                  <w:r>
                    <w:rPr>
                      <w:rFonts w:hint="eastAsia"/>
                      <w:szCs w:val="20"/>
                    </w:rPr>
                    <w:t>苯并[a]芘</w:t>
                  </w:r>
                  <w:r>
                    <w:rPr>
                      <w:rFonts w:hint="eastAsia"/>
                      <w:szCs w:val="20"/>
                      <w:lang w:eastAsia="zh-CN"/>
                    </w:rPr>
                    <w:t>、</w:t>
                  </w:r>
                  <w:r>
                    <w:rPr>
                      <w:rFonts w:hint="eastAsia"/>
                      <w:szCs w:val="20"/>
                    </w:rPr>
                    <w:t>非甲烷总烃</w:t>
                  </w:r>
                </w:p>
              </w:tc>
              <w:tc>
                <w:tcPr>
                  <w:tcW w:w="138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rPr>
                  </w:pPr>
                  <w:r>
                    <w:rPr>
                      <w:rFonts w:hint="eastAsia"/>
                      <w:szCs w:val="20"/>
                      <w:lang w:val="en-US" w:eastAsia="zh-CN"/>
                    </w:rPr>
                    <w:t>1次/半年</w:t>
                  </w:r>
                </w:p>
              </w:tc>
              <w:tc>
                <w:tcPr>
                  <w:tcW w:w="3540"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rPr>
                  </w:pPr>
                  <w:r>
                    <w:rPr>
                      <w:rFonts w:hint="eastAsia"/>
                      <w:szCs w:val="20"/>
                      <w:lang w:eastAsia="zh-CN"/>
                    </w:rPr>
                    <w:t>《</w:t>
                  </w:r>
                  <w:r>
                    <w:rPr>
                      <w:rFonts w:hint="eastAsia"/>
                      <w:szCs w:val="20"/>
                    </w:rPr>
                    <w:t>大气污染物综合排放标准》（GB16297-1996）中表2中排放监控浓度限值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厂界</w:t>
                  </w:r>
                </w:p>
              </w:tc>
              <w:tc>
                <w:tcPr>
                  <w:tcW w:w="1801"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rPr>
                    <w:t>颗粒物</w:t>
                  </w:r>
                  <w:r>
                    <w:rPr>
                      <w:rFonts w:hint="eastAsia"/>
                      <w:szCs w:val="20"/>
                      <w:lang w:eastAsia="zh-CN"/>
                    </w:rPr>
                    <w:t>、</w:t>
                  </w:r>
                  <w:r>
                    <w:rPr>
                      <w:rFonts w:hint="eastAsia"/>
                      <w:szCs w:val="20"/>
                    </w:rPr>
                    <w:t>沥青烟</w:t>
                  </w:r>
                  <w:r>
                    <w:rPr>
                      <w:rFonts w:hint="eastAsia"/>
                      <w:szCs w:val="20"/>
                      <w:lang w:eastAsia="zh-CN"/>
                    </w:rPr>
                    <w:t>、</w:t>
                  </w:r>
                  <w:r>
                    <w:rPr>
                      <w:rFonts w:hint="eastAsia"/>
                      <w:szCs w:val="20"/>
                    </w:rPr>
                    <w:t>苯并[a]芘</w:t>
                  </w:r>
                  <w:r>
                    <w:rPr>
                      <w:rFonts w:hint="eastAsia"/>
                      <w:szCs w:val="20"/>
                      <w:lang w:eastAsia="zh-CN"/>
                    </w:rPr>
                    <w:t>、</w:t>
                  </w:r>
                  <w:r>
                    <w:rPr>
                      <w:rFonts w:hint="eastAsia"/>
                      <w:szCs w:val="20"/>
                    </w:rPr>
                    <w:t>非甲烷总烃</w:t>
                  </w:r>
                  <w:r>
                    <w:rPr>
                      <w:rFonts w:hint="eastAsia"/>
                      <w:szCs w:val="20"/>
                      <w:lang w:eastAsia="zh-CN"/>
                    </w:rPr>
                    <w:t>、</w:t>
                  </w:r>
                  <w:r>
                    <w:rPr>
                      <w:rFonts w:hint="eastAsia"/>
                      <w:szCs w:val="20"/>
                      <w:lang w:val="en-US" w:eastAsia="zh-CN"/>
                    </w:rPr>
                    <w:t>恶臭</w:t>
                  </w:r>
                </w:p>
              </w:tc>
              <w:tc>
                <w:tcPr>
                  <w:tcW w:w="1382" w:type="dxa"/>
                  <w:vAlign w:val="center"/>
                </w:tcPr>
                <w:p>
                  <w:pPr>
                    <w:pStyle w:val="9"/>
                    <w:keepNext w:val="0"/>
                    <w:keepLines w:val="0"/>
                    <w:widowControl/>
                    <w:suppressLineNumbers w:val="0"/>
                    <w:bidi w:val="0"/>
                    <w:spacing w:before="0" w:beforeAutospacing="0" w:after="0" w:afterAutospacing="0"/>
                    <w:ind w:left="0" w:right="0"/>
                    <w:jc w:val="center"/>
                    <w:rPr>
                      <w:rFonts w:hint="eastAsia"/>
                      <w:szCs w:val="20"/>
                    </w:rPr>
                  </w:pPr>
                  <w:r>
                    <w:rPr>
                      <w:rFonts w:hint="eastAsia"/>
                      <w:szCs w:val="20"/>
                      <w:lang w:val="en-US" w:eastAsia="zh-CN"/>
                    </w:rPr>
                    <w:t>1次/a</w:t>
                  </w:r>
                </w:p>
              </w:tc>
              <w:tc>
                <w:tcPr>
                  <w:tcW w:w="3540"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eastAsia="zh-CN"/>
                    </w:rPr>
                  </w:pPr>
                  <w:r>
                    <w:rPr>
                      <w:rFonts w:hint="eastAsia"/>
                      <w:szCs w:val="20"/>
                    </w:rPr>
                    <w:t>《大气污染物综合排放标准》（GB16297-1996）中表2中无组织限值</w:t>
                  </w:r>
                  <w:r>
                    <w:rPr>
                      <w:rFonts w:hint="eastAsia"/>
                      <w:szCs w:val="20"/>
                      <w:lang w:eastAsia="zh-CN"/>
                    </w:rPr>
                    <w:t>、《恶臭污染物排放标准》（GB 14554-93）表1二级新扩改建标准</w:t>
                  </w:r>
                </w:p>
              </w:tc>
            </w:tr>
          </w:tbl>
          <w:p>
            <w:pPr>
              <w:keepNext w:val="0"/>
              <w:keepLines w:val="0"/>
              <w:suppressLineNumbers w:val="0"/>
              <w:spacing w:before="0" w:beforeAutospacing="0" w:after="0" w:afterAutospacing="0"/>
              <w:ind w:left="0" w:right="0" w:firstLine="480"/>
              <w:rPr>
                <w:rFonts w:hint="default" w:eastAsia="宋体"/>
                <w:b/>
                <w:bCs/>
                <w:lang w:val="en-US" w:eastAsia="zh-CN"/>
              </w:rPr>
            </w:pPr>
            <w:r>
              <w:rPr>
                <w:rFonts w:hint="eastAsia"/>
                <w:b/>
                <w:bCs/>
                <w:lang w:val="en-US" w:eastAsia="zh-CN"/>
              </w:rPr>
              <w:t>2、地表水环境影响分析</w:t>
            </w:r>
          </w:p>
          <w:p>
            <w:pPr>
              <w:keepNext w:val="0"/>
              <w:keepLines w:val="0"/>
              <w:suppressLineNumbers w:val="0"/>
              <w:spacing w:before="0" w:beforeAutospacing="0" w:after="0" w:afterAutospacing="0"/>
              <w:ind w:left="0" w:right="0" w:firstLine="482"/>
              <w:rPr>
                <w:rFonts w:hint="default"/>
                <w:b/>
                <w:bCs/>
                <w:highlight w:val="none"/>
              </w:rPr>
            </w:pPr>
            <w:r>
              <w:rPr>
                <w:rFonts w:hint="eastAsia"/>
                <w:b/>
                <w:bCs/>
                <w:highlight w:val="none"/>
              </w:rPr>
              <w:t>（1）废水源强</w:t>
            </w:r>
          </w:p>
          <w:p>
            <w:pPr>
              <w:keepNext w:val="0"/>
              <w:keepLines w:val="0"/>
              <w:suppressLineNumbers w:val="0"/>
              <w:spacing w:before="0" w:beforeAutospacing="0" w:after="0" w:afterAutospacing="0"/>
              <w:ind w:left="0" w:right="0" w:firstLine="480"/>
              <w:rPr>
                <w:rFonts w:hint="default" w:eastAsia="宋体"/>
                <w:highlight w:val="none"/>
                <w:lang w:val="en-US" w:eastAsia="zh-CN"/>
              </w:rPr>
            </w:pPr>
            <w:r>
              <w:rPr>
                <w:rFonts w:hint="eastAsia"/>
                <w:highlight w:val="none"/>
                <w:lang w:val="en-US" w:eastAsia="zh-CN"/>
              </w:rPr>
              <w:t>①降尘用水</w:t>
            </w:r>
          </w:p>
          <w:p>
            <w:pPr>
              <w:keepNext w:val="0"/>
              <w:keepLines w:val="0"/>
              <w:suppressLineNumbers w:val="0"/>
              <w:spacing w:before="0" w:beforeAutospacing="0" w:after="0" w:afterAutospacing="0"/>
              <w:ind w:left="0" w:right="0" w:firstLine="480"/>
              <w:rPr>
                <w:rFonts w:hint="eastAsia" w:eastAsia="宋体"/>
                <w:highlight w:val="none"/>
                <w:lang w:eastAsia="zh-CN"/>
              </w:rPr>
            </w:pPr>
            <w:r>
              <w:rPr>
                <w:rFonts w:hint="eastAsia" w:eastAsia="宋体"/>
                <w:highlight w:val="none"/>
                <w:lang w:eastAsia="zh-CN"/>
              </w:rPr>
              <w:t>项目砂石投料、堆放及运输车辆装卸过程会产生粉尘，建设单位拟于砂石堆场库、下料区等位置</w:t>
            </w:r>
            <w:r>
              <w:rPr>
                <w:rFonts w:hint="eastAsia"/>
                <w:highlight w:val="none"/>
                <w:lang w:val="en-US" w:eastAsia="zh-CN"/>
              </w:rPr>
              <w:t>洒水</w:t>
            </w:r>
            <w:r>
              <w:rPr>
                <w:rFonts w:hint="eastAsia" w:eastAsia="宋体"/>
                <w:highlight w:val="none"/>
                <w:lang w:eastAsia="zh-CN"/>
              </w:rPr>
              <w:t>降尘，用水量以3.0L/m</w:t>
            </w:r>
            <w:r>
              <w:rPr>
                <w:rFonts w:hint="eastAsia" w:eastAsia="宋体"/>
                <w:highlight w:val="none"/>
                <w:vertAlign w:val="superscript"/>
                <w:lang w:eastAsia="zh-CN"/>
              </w:rPr>
              <w:t>2</w:t>
            </w:r>
            <w:r>
              <w:rPr>
                <w:rFonts w:hint="eastAsia" w:eastAsia="宋体"/>
                <w:highlight w:val="none"/>
                <w:lang w:eastAsia="zh-CN"/>
              </w:rPr>
              <w:t>计，砂石堆场面积约为</w:t>
            </w:r>
            <w:r>
              <w:rPr>
                <w:rFonts w:hint="eastAsia"/>
                <w:highlight w:val="none"/>
                <w:lang w:val="en-US" w:eastAsia="zh-CN"/>
              </w:rPr>
              <w:t>1300</w:t>
            </w:r>
            <w:r>
              <w:rPr>
                <w:rFonts w:hint="eastAsia" w:eastAsia="宋体"/>
                <w:highlight w:val="none"/>
                <w:lang w:eastAsia="zh-CN"/>
              </w:rPr>
              <w:t>m</w:t>
            </w:r>
            <w:r>
              <w:rPr>
                <w:rFonts w:hint="eastAsia" w:eastAsia="宋体"/>
                <w:highlight w:val="none"/>
                <w:vertAlign w:val="superscript"/>
                <w:lang w:eastAsia="zh-CN"/>
              </w:rPr>
              <w:t>2</w:t>
            </w:r>
            <w:r>
              <w:rPr>
                <w:rFonts w:hint="eastAsia" w:eastAsia="宋体"/>
                <w:highlight w:val="none"/>
                <w:lang w:eastAsia="zh-CN"/>
              </w:rPr>
              <w:t>，则</w:t>
            </w:r>
            <w:r>
              <w:rPr>
                <w:rFonts w:hint="eastAsia"/>
                <w:highlight w:val="none"/>
                <w:lang w:val="en-US" w:eastAsia="zh-CN"/>
              </w:rPr>
              <w:t>洒水降尘</w:t>
            </w:r>
            <w:r>
              <w:rPr>
                <w:rFonts w:hint="eastAsia" w:eastAsia="宋体"/>
                <w:highlight w:val="none"/>
                <w:lang w:eastAsia="zh-CN"/>
              </w:rPr>
              <w:t>用水量约为</w:t>
            </w:r>
            <w:r>
              <w:rPr>
                <w:rFonts w:hint="eastAsia"/>
                <w:highlight w:val="none"/>
                <w:lang w:val="en-US" w:eastAsia="zh-CN"/>
              </w:rPr>
              <w:t>3.9</w:t>
            </w:r>
            <w:r>
              <w:rPr>
                <w:rFonts w:hint="eastAsia" w:eastAsia="宋体"/>
                <w:highlight w:val="none"/>
                <w:lang w:eastAsia="zh-CN"/>
              </w:rPr>
              <w:t>t/d（</w:t>
            </w:r>
            <w:r>
              <w:rPr>
                <w:rFonts w:hint="eastAsia"/>
                <w:highlight w:val="none"/>
                <w:lang w:val="en-US" w:eastAsia="zh-CN"/>
              </w:rPr>
              <w:t>1170</w:t>
            </w:r>
            <w:r>
              <w:rPr>
                <w:rFonts w:hint="eastAsia" w:eastAsia="宋体"/>
                <w:highlight w:val="none"/>
                <w:lang w:eastAsia="zh-CN"/>
              </w:rPr>
              <w:t>t/a），降尘用水均被原料带走或蒸发，不外排。</w:t>
            </w:r>
          </w:p>
          <w:p>
            <w:pPr>
              <w:keepNext w:val="0"/>
              <w:keepLines w:val="0"/>
              <w:suppressLineNumbers w:val="0"/>
              <w:spacing w:before="0" w:beforeAutospacing="0" w:after="0" w:afterAutospacing="0"/>
              <w:ind w:left="0" w:right="0" w:firstLine="480"/>
              <w:rPr>
                <w:rFonts w:hint="default"/>
              </w:rPr>
            </w:pPr>
            <w:r>
              <w:rPr>
                <w:rFonts w:hint="eastAsia"/>
                <w:lang w:val="en-US" w:eastAsia="zh-CN"/>
              </w:rPr>
              <w:t>②</w:t>
            </w:r>
            <w:r>
              <w:rPr>
                <w:rFonts w:hint="eastAsia"/>
              </w:rPr>
              <w:t>生活污水</w:t>
            </w:r>
          </w:p>
          <w:p>
            <w:pPr>
              <w:keepNext w:val="0"/>
              <w:keepLines w:val="0"/>
              <w:suppressLineNumbers w:val="0"/>
              <w:spacing w:before="0" w:beforeAutospacing="0" w:after="0" w:afterAutospacing="0"/>
              <w:ind w:left="0" w:right="0" w:firstLine="480"/>
              <w:rPr>
                <w:rFonts w:hint="eastAsia"/>
                <w:color w:val="auto"/>
                <w:u w:val="none"/>
                <w:lang w:val="en-US" w:eastAsia="zh-CN"/>
              </w:rPr>
            </w:pPr>
            <w:r>
              <w:rPr>
                <w:rFonts w:hint="default"/>
                <w:color w:val="auto"/>
                <w:u w:val="none"/>
              </w:rPr>
              <w:t>项目员工</w:t>
            </w:r>
            <w:r>
              <w:rPr>
                <w:rFonts w:hint="eastAsia"/>
                <w:color w:val="auto"/>
                <w:u w:val="none"/>
                <w:lang w:val="en-US" w:eastAsia="zh-CN"/>
              </w:rPr>
              <w:t>均在厂区</w:t>
            </w:r>
            <w:r>
              <w:rPr>
                <w:rFonts w:hint="default"/>
                <w:color w:val="auto"/>
                <w:u w:val="none"/>
              </w:rPr>
              <w:t>食宿，项目有员工</w:t>
            </w:r>
            <w:r>
              <w:rPr>
                <w:rFonts w:hint="eastAsia"/>
                <w:color w:val="auto"/>
                <w:u w:val="none"/>
                <w:lang w:val="en-US" w:eastAsia="zh-CN"/>
              </w:rPr>
              <w:t>8</w:t>
            </w:r>
            <w:r>
              <w:rPr>
                <w:rFonts w:hint="default"/>
                <w:color w:val="auto"/>
                <w:u w:val="none"/>
              </w:rPr>
              <w:t>人，年工作300天</w:t>
            </w:r>
            <w:r>
              <w:rPr>
                <w:rFonts w:hint="eastAsia"/>
                <w:color w:val="auto"/>
                <w:u w:val="none"/>
                <w:lang w:val="en-US" w:eastAsia="zh-CN"/>
              </w:rPr>
              <w:t>，用水主要为食堂用水和其它办公生活用水。根据《云南省地方标准用水定额》（DB53/T168-2019）表12城镇居民生活用水定额，用水定额按100L/（人·d）计，则办公生活区用水量为0.8m</w:t>
            </w:r>
            <w:r>
              <w:rPr>
                <w:rFonts w:hint="eastAsia"/>
                <w:color w:val="auto"/>
                <w:u w:val="none"/>
                <w:vertAlign w:val="superscript"/>
                <w:lang w:val="en-US" w:eastAsia="zh-CN"/>
              </w:rPr>
              <w:t>3</w:t>
            </w:r>
            <w:r>
              <w:rPr>
                <w:rFonts w:hint="eastAsia"/>
                <w:color w:val="auto"/>
                <w:u w:val="none"/>
                <w:lang w:val="en-US" w:eastAsia="zh-CN"/>
              </w:rPr>
              <w:t>/d、240m</w:t>
            </w:r>
            <w:r>
              <w:rPr>
                <w:rFonts w:hint="eastAsia"/>
                <w:color w:val="auto"/>
                <w:u w:val="none"/>
                <w:vertAlign w:val="superscript"/>
                <w:lang w:val="en-US" w:eastAsia="zh-CN"/>
              </w:rPr>
              <w:t>3</w:t>
            </w:r>
            <w:r>
              <w:rPr>
                <w:rFonts w:hint="eastAsia"/>
                <w:color w:val="auto"/>
                <w:u w:val="none"/>
                <w:lang w:val="en-US" w:eastAsia="zh-CN"/>
              </w:rPr>
              <w:t>/a，产污系数按0.8计算，废水量为0.64m</w:t>
            </w:r>
            <w:r>
              <w:rPr>
                <w:rFonts w:hint="eastAsia"/>
                <w:color w:val="auto"/>
                <w:u w:val="none"/>
                <w:vertAlign w:val="superscript"/>
                <w:lang w:val="en-US" w:eastAsia="zh-CN"/>
              </w:rPr>
              <w:t>3</w:t>
            </w:r>
            <w:r>
              <w:rPr>
                <w:rFonts w:hint="eastAsia"/>
                <w:color w:val="auto"/>
                <w:u w:val="none"/>
                <w:lang w:val="en-US" w:eastAsia="zh-CN"/>
              </w:rPr>
              <w:t>/d、192m</w:t>
            </w:r>
            <w:r>
              <w:rPr>
                <w:rFonts w:hint="eastAsia"/>
                <w:color w:val="auto"/>
                <w:u w:val="none"/>
                <w:vertAlign w:val="superscript"/>
                <w:lang w:val="en-US" w:eastAsia="zh-CN"/>
              </w:rPr>
              <w:t>3</w:t>
            </w:r>
            <w:r>
              <w:rPr>
                <w:rFonts w:hint="eastAsia"/>
                <w:color w:val="auto"/>
                <w:u w:val="none"/>
                <w:lang w:val="en-US" w:eastAsia="zh-CN"/>
              </w:rPr>
              <w:t>/a。</w:t>
            </w:r>
          </w:p>
          <w:p>
            <w:pPr>
              <w:keepNext w:val="0"/>
              <w:keepLines w:val="0"/>
              <w:suppressLineNumbers w:val="0"/>
              <w:spacing w:before="0" w:beforeAutospacing="0" w:after="0" w:afterAutospacing="0"/>
              <w:ind w:left="0" w:right="0" w:firstLine="480"/>
              <w:rPr>
                <w:rFonts w:hint="default"/>
                <w:color w:val="auto"/>
                <w:u w:val="none"/>
              </w:rPr>
            </w:pPr>
            <w:r>
              <w:rPr>
                <w:rFonts w:hint="eastAsia"/>
                <w:color w:val="auto"/>
                <w:u w:val="none"/>
                <w:lang w:val="en-US" w:eastAsia="zh-CN"/>
              </w:rPr>
              <w:t>其中食堂用水量占生活总用水量的20%，其他办公生活用水占80%，则食堂用水量为0.16m3/d、48m</w:t>
            </w:r>
            <w:r>
              <w:rPr>
                <w:rFonts w:hint="eastAsia"/>
                <w:color w:val="auto"/>
                <w:u w:val="none"/>
                <w:vertAlign w:val="superscript"/>
                <w:lang w:val="en-US" w:eastAsia="zh-CN"/>
              </w:rPr>
              <w:t>3</w:t>
            </w:r>
            <w:r>
              <w:rPr>
                <w:rFonts w:hint="eastAsia"/>
                <w:color w:val="auto"/>
                <w:u w:val="none"/>
                <w:lang w:val="en-US" w:eastAsia="zh-CN"/>
              </w:rPr>
              <w:t>/a，废水量为0.128m</w:t>
            </w:r>
            <w:r>
              <w:rPr>
                <w:rFonts w:hint="eastAsia"/>
                <w:color w:val="auto"/>
                <w:u w:val="none"/>
                <w:vertAlign w:val="superscript"/>
                <w:lang w:val="en-US" w:eastAsia="zh-CN"/>
              </w:rPr>
              <w:t>3</w:t>
            </w:r>
            <w:r>
              <w:rPr>
                <w:rFonts w:hint="eastAsia"/>
                <w:color w:val="auto"/>
                <w:u w:val="none"/>
                <w:lang w:val="en-US" w:eastAsia="zh-CN"/>
              </w:rPr>
              <w:t>/d、38.4m</w:t>
            </w:r>
            <w:r>
              <w:rPr>
                <w:rFonts w:hint="eastAsia"/>
                <w:color w:val="auto"/>
                <w:u w:val="none"/>
                <w:vertAlign w:val="superscript"/>
                <w:lang w:val="en-US" w:eastAsia="zh-CN"/>
              </w:rPr>
              <w:t>3</w:t>
            </w:r>
            <w:r>
              <w:rPr>
                <w:rFonts w:hint="eastAsia"/>
                <w:color w:val="auto"/>
                <w:u w:val="none"/>
                <w:lang w:val="en-US" w:eastAsia="zh-CN"/>
              </w:rPr>
              <w:t>/a；其他办公生活用水量为0.64m</w:t>
            </w:r>
            <w:r>
              <w:rPr>
                <w:rFonts w:hint="eastAsia"/>
                <w:color w:val="auto"/>
                <w:u w:val="none"/>
                <w:vertAlign w:val="superscript"/>
                <w:lang w:val="en-US" w:eastAsia="zh-CN"/>
              </w:rPr>
              <w:t>3</w:t>
            </w:r>
            <w:r>
              <w:rPr>
                <w:rFonts w:hint="eastAsia"/>
                <w:color w:val="auto"/>
                <w:u w:val="none"/>
                <w:lang w:val="en-US" w:eastAsia="zh-CN"/>
              </w:rPr>
              <w:t>/d、192m</w:t>
            </w:r>
            <w:r>
              <w:rPr>
                <w:rFonts w:hint="eastAsia"/>
                <w:color w:val="auto"/>
                <w:u w:val="none"/>
                <w:vertAlign w:val="superscript"/>
                <w:lang w:val="en-US" w:eastAsia="zh-CN"/>
              </w:rPr>
              <w:t>3</w:t>
            </w:r>
            <w:r>
              <w:rPr>
                <w:rFonts w:hint="eastAsia"/>
                <w:color w:val="auto"/>
                <w:u w:val="none"/>
                <w:lang w:val="en-US" w:eastAsia="zh-CN"/>
              </w:rPr>
              <w:t>/a，废水量为0.512m</w:t>
            </w:r>
            <w:r>
              <w:rPr>
                <w:rFonts w:hint="eastAsia"/>
                <w:color w:val="auto"/>
                <w:u w:val="none"/>
                <w:vertAlign w:val="superscript"/>
                <w:lang w:val="en-US" w:eastAsia="zh-CN"/>
              </w:rPr>
              <w:t>3</w:t>
            </w:r>
            <w:r>
              <w:rPr>
                <w:rFonts w:hint="eastAsia"/>
                <w:color w:val="auto"/>
                <w:u w:val="none"/>
                <w:lang w:val="en-US" w:eastAsia="zh-CN"/>
              </w:rPr>
              <w:t>/d、153.6m</w:t>
            </w:r>
            <w:r>
              <w:rPr>
                <w:rFonts w:hint="eastAsia"/>
                <w:color w:val="auto"/>
                <w:u w:val="none"/>
                <w:vertAlign w:val="superscript"/>
                <w:lang w:val="en-US" w:eastAsia="zh-CN"/>
              </w:rPr>
              <w:t>3</w:t>
            </w:r>
            <w:r>
              <w:rPr>
                <w:rFonts w:hint="eastAsia"/>
                <w:color w:val="auto"/>
                <w:u w:val="none"/>
                <w:lang w:val="en-US" w:eastAsia="zh-CN"/>
              </w:rPr>
              <w:t>/a。</w:t>
            </w:r>
          </w:p>
          <w:p>
            <w:pPr>
              <w:keepNext w:val="0"/>
              <w:keepLines w:val="0"/>
              <w:suppressLineNumbers w:val="0"/>
              <w:spacing w:before="0" w:beforeAutospacing="0" w:after="0" w:afterAutospacing="0"/>
              <w:ind w:left="0" w:right="0" w:firstLine="482"/>
              <w:rPr>
                <w:rFonts w:hint="default"/>
                <w:b/>
                <w:bCs/>
              </w:rPr>
            </w:pPr>
            <w:r>
              <w:rPr>
                <w:rFonts w:hint="eastAsia"/>
                <w:b/>
                <w:bCs/>
              </w:rPr>
              <w:t>（2）废水治理措施及排放去向</w:t>
            </w:r>
          </w:p>
          <w:p>
            <w:pPr>
              <w:keepNext w:val="0"/>
              <w:keepLines w:val="0"/>
              <w:suppressLineNumbers w:val="0"/>
              <w:spacing w:before="0" w:beforeAutospacing="0" w:after="0" w:afterAutospacing="0"/>
              <w:ind w:left="0" w:right="0" w:firstLine="480"/>
              <w:rPr>
                <w:rFonts w:hint="default"/>
              </w:rPr>
            </w:pPr>
            <w:r>
              <w:rPr>
                <w:rFonts w:hint="eastAsia"/>
              </w:rPr>
              <w:t>本项目生产废水和生活污水治理措施及排放去向见表4-</w:t>
            </w:r>
            <w:r>
              <w:rPr>
                <w:rFonts w:hint="eastAsia"/>
                <w:lang w:val="en-US" w:eastAsia="zh-CN"/>
              </w:rPr>
              <w:t>6</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表4-</w:t>
            </w:r>
            <w:r>
              <w:rPr>
                <w:rFonts w:hint="eastAsia"/>
                <w:lang w:val="en-US" w:eastAsia="zh-CN"/>
              </w:rPr>
              <w:t>6</w:t>
            </w:r>
            <w:r>
              <w:rPr>
                <w:rFonts w:hint="default"/>
              </w:rPr>
              <w:t xml:space="preserve">  废水治理措施及排放去向一览表</w:t>
            </w:r>
          </w:p>
          <w:tbl>
            <w:tblPr>
              <w:tblStyle w:val="7"/>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571"/>
              <w:gridCol w:w="2352"/>
              <w:gridCol w:w="1152"/>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废水类型</w:t>
                  </w:r>
                </w:p>
              </w:tc>
              <w:tc>
                <w:tcPr>
                  <w:tcW w:w="257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治理措施</w:t>
                  </w:r>
                </w:p>
              </w:tc>
              <w:tc>
                <w:tcPr>
                  <w:tcW w:w="2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是否符合污染物防治技术规范及排污许可证推荐治理措施</w:t>
                  </w:r>
                </w:p>
              </w:tc>
              <w:tc>
                <w:tcPr>
                  <w:tcW w:w="11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排放标准</w:t>
                  </w:r>
                </w:p>
              </w:tc>
              <w:tc>
                <w:tcPr>
                  <w:tcW w:w="112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生活污水</w:t>
                  </w:r>
                </w:p>
              </w:tc>
              <w:tc>
                <w:tcPr>
                  <w:tcW w:w="257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b w:val="0"/>
                      <w:bCs w:val="0"/>
                      <w:szCs w:val="20"/>
                      <w:lang w:val="en-US" w:eastAsia="zh-CN"/>
                    </w:rPr>
                    <w:t>食堂</w:t>
                  </w:r>
                  <w:r>
                    <w:rPr>
                      <w:rFonts w:hint="eastAsia"/>
                      <w:b w:val="0"/>
                      <w:bCs w:val="0"/>
                      <w:szCs w:val="20"/>
                    </w:rPr>
                    <w:t>废水经自建隔油池（1.0m</w:t>
                  </w:r>
                  <w:r>
                    <w:rPr>
                      <w:rFonts w:hint="eastAsia"/>
                      <w:b w:val="0"/>
                      <w:bCs w:val="0"/>
                      <w:szCs w:val="20"/>
                      <w:vertAlign w:val="superscript"/>
                    </w:rPr>
                    <w:t>3</w:t>
                  </w:r>
                  <w:r>
                    <w:rPr>
                      <w:rFonts w:hint="eastAsia"/>
                      <w:b w:val="0"/>
                      <w:bCs w:val="0"/>
                      <w:szCs w:val="20"/>
                    </w:rPr>
                    <w:t>）处理后与</w:t>
                  </w:r>
                  <w:r>
                    <w:rPr>
                      <w:rFonts w:hint="eastAsia"/>
                      <w:b w:val="0"/>
                      <w:bCs w:val="0"/>
                      <w:szCs w:val="20"/>
                      <w:lang w:val="en-US" w:eastAsia="zh-CN"/>
                    </w:rPr>
                    <w:t>其他办公</w:t>
                  </w:r>
                  <w:r>
                    <w:rPr>
                      <w:rFonts w:hint="eastAsia"/>
                      <w:b w:val="0"/>
                      <w:bCs w:val="0"/>
                      <w:szCs w:val="20"/>
                    </w:rPr>
                    <w:t>废水一起进入化粪池（2.0m</w:t>
                  </w:r>
                  <w:r>
                    <w:rPr>
                      <w:rFonts w:hint="eastAsia"/>
                      <w:b w:val="0"/>
                      <w:bCs w:val="0"/>
                      <w:szCs w:val="20"/>
                      <w:vertAlign w:val="superscript"/>
                    </w:rPr>
                    <w:t>3</w:t>
                  </w:r>
                  <w:r>
                    <w:rPr>
                      <w:rFonts w:hint="eastAsia"/>
                      <w:b w:val="0"/>
                      <w:bCs w:val="0"/>
                      <w:szCs w:val="20"/>
                    </w:rPr>
                    <w:t>）处理，</w:t>
                  </w:r>
                  <w:r>
                    <w:rPr>
                      <w:rFonts w:hint="eastAsia"/>
                      <w:b w:val="0"/>
                      <w:bCs w:val="0"/>
                      <w:szCs w:val="20"/>
                      <w:lang w:val="en-US" w:eastAsia="zh-CN"/>
                    </w:rPr>
                    <w:t>回用于洒水降尘</w:t>
                  </w:r>
                  <w:r>
                    <w:rPr>
                      <w:rFonts w:hint="eastAsia"/>
                      <w:b w:val="0"/>
                      <w:bCs w:val="0"/>
                      <w:szCs w:val="20"/>
                    </w:rPr>
                    <w:t>，不外排</w:t>
                  </w:r>
                  <w:r>
                    <w:rPr>
                      <w:rFonts w:hint="default"/>
                      <w:color w:val="auto"/>
                      <w:szCs w:val="20"/>
                      <w:u w:val="none"/>
                    </w:rPr>
                    <w:t>。</w:t>
                  </w:r>
                </w:p>
              </w:tc>
              <w:tc>
                <w:tcPr>
                  <w:tcW w:w="2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是，技术可行</w:t>
                  </w:r>
                </w:p>
              </w:tc>
              <w:tc>
                <w:tcPr>
                  <w:tcW w:w="11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12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不外排</w:t>
                  </w:r>
                </w:p>
              </w:tc>
            </w:tr>
          </w:tbl>
          <w:p>
            <w:pPr>
              <w:keepNext w:val="0"/>
              <w:keepLines w:val="0"/>
              <w:suppressLineNumbers w:val="0"/>
              <w:spacing w:before="0" w:beforeAutospacing="0" w:after="0" w:afterAutospacing="0"/>
              <w:ind w:left="0" w:right="0" w:firstLine="482"/>
              <w:rPr>
                <w:rFonts w:hint="default"/>
                <w:b/>
                <w:bCs/>
              </w:rPr>
            </w:pPr>
            <w:r>
              <w:rPr>
                <w:rFonts w:hint="eastAsia"/>
                <w:b/>
                <w:bCs/>
              </w:rPr>
              <w:t>（3）项目废水污染物产排情况</w:t>
            </w:r>
          </w:p>
          <w:p>
            <w:pPr>
              <w:keepNext w:val="0"/>
              <w:keepLines w:val="0"/>
              <w:suppressLineNumbers w:val="0"/>
              <w:spacing w:before="0" w:beforeAutospacing="0" w:after="0" w:afterAutospacing="0"/>
              <w:ind w:left="0" w:right="0" w:firstLine="480"/>
              <w:rPr>
                <w:rFonts w:hint="default"/>
              </w:rPr>
            </w:pPr>
            <w:r>
              <w:rPr>
                <w:rFonts w:hint="default"/>
              </w:rPr>
              <w:t>①生活污水</w:t>
            </w:r>
          </w:p>
          <w:p>
            <w:pPr>
              <w:keepNext w:val="0"/>
              <w:keepLines w:val="0"/>
              <w:suppressLineNumbers w:val="0"/>
              <w:spacing w:before="0" w:beforeAutospacing="0" w:after="0" w:afterAutospacing="0"/>
              <w:ind w:left="0" w:right="0" w:firstLine="480"/>
              <w:rPr>
                <w:rFonts w:hint="eastAsia"/>
                <w:lang w:eastAsia="zh-CN"/>
              </w:rPr>
            </w:pPr>
            <w:r>
              <w:rPr>
                <w:rFonts w:hint="default"/>
              </w:rPr>
              <w:t>生活污水水质数据参照</w:t>
            </w:r>
            <w:r>
              <w:rPr>
                <w:rFonts w:hint="default"/>
                <w:lang w:val="zh-CN"/>
              </w:rPr>
              <w:t>《城市污水回用技术手册》（金兆丰、徐竟成等编著，化学工业出版社，2004年版），我国城市生活污水水质统计数据中，COD约为250~1000mg/L、BOD</w:t>
            </w:r>
            <w:r>
              <w:rPr>
                <w:rFonts w:hint="default" w:eastAsia="宋体"/>
                <w:vertAlign w:val="subscript"/>
              </w:rPr>
              <w:t>5</w:t>
            </w:r>
            <w:r>
              <w:rPr>
                <w:rFonts w:hint="default"/>
                <w:lang w:val="zh-CN"/>
              </w:rPr>
              <w:t>为</w:t>
            </w:r>
            <w:r>
              <w:rPr>
                <w:rFonts w:hint="default"/>
              </w:rPr>
              <w:t>10</w:t>
            </w:r>
            <w:r>
              <w:rPr>
                <w:rFonts w:hint="default"/>
                <w:lang w:val="zh-CN"/>
              </w:rPr>
              <w:t>0-400mg/L、SS为200-350mg/L、氨氮为20-85mg/L、总磷为4～15mg/L、动植物油</w:t>
            </w:r>
            <w:r>
              <w:rPr>
                <w:rFonts w:hint="default"/>
              </w:rPr>
              <w:t>20</w:t>
            </w:r>
            <w:r>
              <w:rPr>
                <w:rFonts w:hint="default"/>
                <w:lang w:val="zh-CN"/>
              </w:rPr>
              <w:t>～</w:t>
            </w:r>
            <w:r>
              <w:rPr>
                <w:rFonts w:hint="default"/>
              </w:rPr>
              <w:t>100</w:t>
            </w:r>
            <w:r>
              <w:rPr>
                <w:rFonts w:hint="default"/>
                <w:lang w:val="zh-CN"/>
              </w:rPr>
              <w:t>mg/L</w:t>
            </w:r>
            <w:r>
              <w:rPr>
                <w:rFonts w:hint="eastAsia"/>
                <w:lang w:val="zh-CN"/>
              </w:rPr>
              <w:t>。</w:t>
            </w:r>
            <w:r>
              <w:rPr>
                <w:rFonts w:hint="default"/>
                <w:lang w:val="zh-CN"/>
              </w:rPr>
              <w:t>本环评采用水质统计数据中中等浓度值进行生活污水水质进行预测</w:t>
            </w:r>
            <w:r>
              <w:rPr>
                <w:rFonts w:hint="eastAsia"/>
                <w:lang w:val="zh-CN"/>
              </w:rPr>
              <w:t>，</w:t>
            </w:r>
            <w:r>
              <w:rPr>
                <w:rFonts w:hint="default"/>
              </w:rPr>
              <w:t>项目生活废水水质产生情况如下：COD为520mg/L、BOD</w:t>
            </w:r>
            <w:r>
              <w:rPr>
                <w:rFonts w:hint="default"/>
                <w:vertAlign w:val="subscript"/>
              </w:rPr>
              <w:t>5</w:t>
            </w:r>
            <w:r>
              <w:rPr>
                <w:rFonts w:hint="default"/>
              </w:rPr>
              <w:t>为100mg/L、SS为350mg/L、氨氮为40mg/L、总磷为8mg/L、动植物油为35mg/L</w:t>
            </w:r>
            <w:r>
              <w:rPr>
                <w:rFonts w:hint="eastAsia"/>
                <w:lang w:eastAsia="zh-CN"/>
              </w:rPr>
              <w:t>。</w:t>
            </w:r>
          </w:p>
          <w:p>
            <w:pPr>
              <w:keepNext w:val="0"/>
              <w:keepLines w:val="0"/>
              <w:suppressLineNumbers w:val="0"/>
              <w:spacing w:before="0" w:beforeAutospacing="0" w:after="0" w:afterAutospacing="0"/>
              <w:ind w:left="0" w:right="0" w:firstLine="480"/>
              <w:rPr>
                <w:rFonts w:hint="eastAsia"/>
                <w:lang w:eastAsia="zh-CN"/>
              </w:rPr>
            </w:pPr>
            <w:r>
              <w:rPr>
                <w:rFonts w:hint="eastAsia"/>
                <w:lang w:eastAsia="zh-CN"/>
              </w:rPr>
              <w:t>根据《常用污水处理设备及去除率》进行确定，</w:t>
            </w:r>
            <w:r>
              <w:rPr>
                <w:rFonts w:hint="eastAsia"/>
                <w:lang w:val="zh-CN" w:eastAsia="zh-CN"/>
              </w:rPr>
              <w:t>化粪池对COD、BOD</w:t>
            </w:r>
            <w:r>
              <w:rPr>
                <w:rFonts w:hint="eastAsia" w:eastAsia="宋体"/>
                <w:vertAlign w:val="subscript"/>
                <w:lang w:val="zh-CN" w:eastAsia="zh-CN"/>
              </w:rPr>
              <w:t>5</w:t>
            </w:r>
            <w:r>
              <w:rPr>
                <w:rFonts w:hint="eastAsia"/>
                <w:lang w:val="zh-CN" w:eastAsia="zh-CN"/>
              </w:rPr>
              <w:t>、SS、</w:t>
            </w:r>
            <w:r>
              <w:rPr>
                <w:rFonts w:hint="eastAsia"/>
                <w:lang w:val="en-US" w:eastAsia="zh-CN"/>
              </w:rPr>
              <w:t>氨氮</w:t>
            </w:r>
            <w:r>
              <w:rPr>
                <w:rFonts w:hint="eastAsia"/>
                <w:lang w:val="zh-CN" w:eastAsia="zh-CN"/>
              </w:rPr>
              <w:t>、总磷的处理效率</w:t>
            </w:r>
            <w:r>
              <w:rPr>
                <w:rFonts w:hint="eastAsia"/>
                <w:lang w:eastAsia="zh-CN"/>
              </w:rPr>
              <w:t>分别为：15%、10%、30%、0%、0%。根据《废水处理工程技术手册》（潘涛、田刚主编，</w:t>
            </w:r>
            <w:r>
              <w:rPr>
                <w:rFonts w:hint="eastAsia"/>
                <w:lang w:val="zh-CN" w:eastAsia="zh-CN"/>
              </w:rPr>
              <w:t>化学工业出版社，</w:t>
            </w:r>
            <w:r>
              <w:rPr>
                <w:rFonts w:hint="eastAsia"/>
                <w:lang w:eastAsia="zh-CN"/>
              </w:rPr>
              <w:t>2010年版），隔油池对生活废水中动植物油去除效率为60%~80%，本项目取80%。</w:t>
            </w:r>
          </w:p>
          <w:p>
            <w:pPr>
              <w:keepNext w:val="0"/>
              <w:keepLines w:val="0"/>
              <w:suppressLineNumbers w:val="0"/>
              <w:spacing w:before="0" w:beforeAutospacing="0" w:after="0" w:afterAutospacing="0"/>
              <w:ind w:left="0" w:right="0" w:firstLine="480"/>
              <w:rPr>
                <w:rFonts w:hint="default"/>
              </w:rPr>
            </w:pPr>
            <w:r>
              <w:rPr>
                <w:rFonts w:hint="default"/>
              </w:rPr>
              <w:t>项目废水污染物产排情况见表4-</w:t>
            </w:r>
            <w:r>
              <w:rPr>
                <w:rFonts w:hint="eastAsia"/>
                <w:lang w:val="en-US" w:eastAsia="zh-CN"/>
              </w:rPr>
              <w:t>7</w:t>
            </w:r>
            <w:r>
              <w:rPr>
                <w:rFonts w:hint="default"/>
              </w:rPr>
              <w:t>。</w:t>
            </w:r>
          </w:p>
          <w:p>
            <w:pPr>
              <w:pStyle w:val="11"/>
              <w:keepNext w:val="0"/>
              <w:keepLines w:val="0"/>
              <w:widowControl/>
              <w:suppressLineNumbers w:val="0"/>
              <w:bidi w:val="0"/>
              <w:spacing w:beforeAutospacing="0" w:after="0" w:afterAutospacing="0"/>
              <w:ind w:left="0" w:right="0"/>
              <w:rPr>
                <w:rFonts w:hint="default"/>
              </w:rPr>
            </w:pPr>
            <w:r>
              <w:rPr>
                <w:rFonts w:hint="default"/>
              </w:rPr>
              <w:t>表4-</w:t>
            </w:r>
            <w:r>
              <w:rPr>
                <w:rFonts w:hint="eastAsia"/>
                <w:lang w:val="en-US" w:eastAsia="zh-CN"/>
              </w:rPr>
              <w:t>7</w:t>
            </w:r>
            <w:r>
              <w:rPr>
                <w:rFonts w:hint="default"/>
              </w:rPr>
              <w:t xml:space="preserve">  项目废水污染物产生及排放情况</w:t>
            </w:r>
          </w:p>
          <w:tbl>
            <w:tblPr>
              <w:tblStyle w:val="7"/>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64"/>
              <w:gridCol w:w="1049"/>
              <w:gridCol w:w="829"/>
              <w:gridCol w:w="832"/>
              <w:gridCol w:w="832"/>
              <w:gridCol w:w="716"/>
              <w:gridCol w:w="71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gridSpan w:val="2"/>
                  <w:vMerge w:val="restart"/>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rPr>
                  </w:pPr>
                  <w:r>
                    <w:rPr>
                      <w:rFonts w:hint="eastAsia"/>
                      <w:b/>
                      <w:bCs/>
                      <w:szCs w:val="20"/>
                      <w:lang w:val="en-US" w:eastAsia="zh-CN"/>
                    </w:rPr>
                    <w:t>污染源</w:t>
                  </w:r>
                </w:p>
              </w:tc>
              <w:tc>
                <w:tcPr>
                  <w:tcW w:w="1049"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废水量m</w:t>
                  </w:r>
                  <w:r>
                    <w:rPr>
                      <w:rFonts w:hint="eastAsia"/>
                      <w:b/>
                      <w:bCs/>
                      <w:szCs w:val="20"/>
                      <w:vertAlign w:val="superscript"/>
                      <w:lang w:val="en-US" w:eastAsia="zh-CN"/>
                    </w:rPr>
                    <w:t>3</w:t>
                  </w:r>
                  <w:r>
                    <w:rPr>
                      <w:rFonts w:hint="eastAsia"/>
                      <w:b/>
                      <w:bCs/>
                      <w:szCs w:val="20"/>
                      <w:vertAlign w:val="baseline"/>
                      <w:lang w:val="en-US" w:eastAsia="zh-CN"/>
                    </w:rPr>
                    <w:t>/</w:t>
                  </w:r>
                  <w:r>
                    <w:rPr>
                      <w:rFonts w:hint="eastAsia"/>
                      <w:b/>
                      <w:bCs/>
                      <w:szCs w:val="20"/>
                      <w:lang w:val="en-US" w:eastAsia="zh-CN"/>
                    </w:rPr>
                    <w:t>a</w:t>
                  </w:r>
                </w:p>
              </w:tc>
              <w:tc>
                <w:tcPr>
                  <w:tcW w:w="5019" w:type="dxa"/>
                  <w:gridSpan w:val="6"/>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rPr>
                  </w:pPr>
                  <w:r>
                    <w:rPr>
                      <w:rFonts w:hint="eastAsia"/>
                      <w:b/>
                      <w:bCs/>
                      <w:szCs w:val="20"/>
                      <w:lang w:val="en-US" w:eastAsia="zh-CN"/>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gridSpan w:val="2"/>
                  <w:vMerge w:val="continue"/>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rPr>
                  </w:pPr>
                </w:p>
              </w:tc>
              <w:tc>
                <w:tcPr>
                  <w:tcW w:w="1049"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rPr>
                  </w:pPr>
                </w:p>
              </w:tc>
              <w:tc>
                <w:tcPr>
                  <w:tcW w:w="829"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COD</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BOD</w:t>
                  </w:r>
                  <w:r>
                    <w:rPr>
                      <w:rFonts w:hint="eastAsia"/>
                      <w:b/>
                      <w:bCs/>
                      <w:szCs w:val="20"/>
                      <w:vertAlign w:val="subscript"/>
                      <w:lang w:val="en-US" w:eastAsia="zh-CN"/>
                    </w:rPr>
                    <w:t>5</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氨氮</w:t>
                  </w:r>
                </w:p>
              </w:tc>
              <w:tc>
                <w:tcPr>
                  <w:tcW w:w="716"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SS</w:t>
                  </w:r>
                </w:p>
              </w:tc>
              <w:tc>
                <w:tcPr>
                  <w:tcW w:w="718"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TP</w:t>
                  </w:r>
                </w:p>
              </w:tc>
              <w:tc>
                <w:tcPr>
                  <w:tcW w:w="1092"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生活污水</w:t>
                  </w:r>
                </w:p>
              </w:tc>
              <w:tc>
                <w:tcPr>
                  <w:tcW w:w="1164"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产生浓度（mg/L）</w:t>
                  </w:r>
                </w:p>
              </w:tc>
              <w:tc>
                <w:tcPr>
                  <w:tcW w:w="1049"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192</w:t>
                  </w:r>
                </w:p>
              </w:tc>
              <w:tc>
                <w:tcPr>
                  <w:tcW w:w="829"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520</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100</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40</w:t>
                  </w:r>
                </w:p>
              </w:tc>
              <w:tc>
                <w:tcPr>
                  <w:tcW w:w="716"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350</w:t>
                  </w:r>
                </w:p>
              </w:tc>
              <w:tc>
                <w:tcPr>
                  <w:tcW w:w="718"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8</w:t>
                  </w:r>
                </w:p>
              </w:tc>
              <w:tc>
                <w:tcPr>
                  <w:tcW w:w="109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4" w:hRule="atLeast"/>
                <w:jc w:val="center"/>
              </w:trPr>
              <w:tc>
                <w:tcPr>
                  <w:tcW w:w="796" w:type="dxa"/>
                  <w:vMerge w:val="restart"/>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处理效率%</w:t>
                  </w:r>
                </w:p>
              </w:tc>
              <w:tc>
                <w:tcPr>
                  <w:tcW w:w="1164"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隔油池</w:t>
                  </w:r>
                </w:p>
              </w:tc>
              <w:tc>
                <w:tcPr>
                  <w:tcW w:w="1049"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829"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716"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718"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09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vMerge w:val="continue"/>
                  <w:vAlign w:val="center"/>
                </w:tcPr>
                <w:p>
                  <w:pPr>
                    <w:pStyle w:val="9"/>
                    <w:keepNext w:val="0"/>
                    <w:keepLines w:val="0"/>
                    <w:widowControl/>
                    <w:suppressLineNumbers w:val="0"/>
                    <w:bidi w:val="0"/>
                    <w:spacing w:before="0" w:beforeAutospacing="0" w:after="0" w:afterAutospacing="0"/>
                    <w:ind w:left="0" w:right="0"/>
                    <w:jc w:val="center"/>
                    <w:rPr>
                      <w:rFonts w:hint="default"/>
                      <w:szCs w:val="20"/>
                    </w:rPr>
                  </w:pPr>
                </w:p>
              </w:tc>
              <w:tc>
                <w:tcPr>
                  <w:tcW w:w="1164"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化粪池</w:t>
                  </w:r>
                </w:p>
              </w:tc>
              <w:tc>
                <w:tcPr>
                  <w:tcW w:w="1049"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829"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15</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10</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w:t>
                  </w:r>
                </w:p>
              </w:tc>
              <w:tc>
                <w:tcPr>
                  <w:tcW w:w="716"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30</w:t>
                  </w:r>
                </w:p>
              </w:tc>
              <w:tc>
                <w:tcPr>
                  <w:tcW w:w="718"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c>
                <w:tcPr>
                  <w:tcW w:w="1092"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9" w:type="dxa"/>
                  <w:gridSpan w:val="3"/>
                  <w:vAlign w:val="center"/>
                </w:tcPr>
                <w:p>
                  <w:pPr>
                    <w:pStyle w:val="9"/>
                    <w:keepNext w:val="0"/>
                    <w:keepLines w:val="0"/>
                    <w:widowControl/>
                    <w:suppressLineNumbers w:val="0"/>
                    <w:bidi w:val="0"/>
                    <w:spacing w:before="0" w:beforeAutospacing="0" w:after="0" w:afterAutospacing="0"/>
                    <w:ind w:left="0" w:right="0"/>
                    <w:jc w:val="center"/>
                    <w:rPr>
                      <w:rFonts w:hint="default"/>
                      <w:szCs w:val="20"/>
                    </w:rPr>
                  </w:pPr>
                  <w:r>
                    <w:rPr>
                      <w:rFonts w:hint="eastAsia"/>
                      <w:szCs w:val="20"/>
                      <w:lang w:val="en-US" w:eastAsia="zh-CN"/>
                    </w:rPr>
                    <w:t>排放浓度（mg/L）</w:t>
                  </w:r>
                </w:p>
              </w:tc>
              <w:tc>
                <w:tcPr>
                  <w:tcW w:w="829"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442</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90</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40</w:t>
                  </w:r>
                </w:p>
              </w:tc>
              <w:tc>
                <w:tcPr>
                  <w:tcW w:w="716"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245</w:t>
                  </w:r>
                </w:p>
              </w:tc>
              <w:tc>
                <w:tcPr>
                  <w:tcW w:w="718"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8</w:t>
                  </w:r>
                </w:p>
              </w:tc>
              <w:tc>
                <w:tcPr>
                  <w:tcW w:w="1092"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9" w:type="dxa"/>
                  <w:gridSpan w:val="3"/>
                  <w:vAlign w:val="center"/>
                </w:tcPr>
                <w:p>
                  <w:pPr>
                    <w:pStyle w:val="9"/>
                    <w:keepNext w:val="0"/>
                    <w:keepLines w:val="0"/>
                    <w:widowControl/>
                    <w:suppressLineNumbers w:val="0"/>
                    <w:bidi w:val="0"/>
                    <w:spacing w:before="0" w:beforeAutospacing="0" w:after="0" w:afterAutospacing="0"/>
                    <w:ind w:left="0" w:right="0"/>
                    <w:jc w:val="center"/>
                    <w:rPr>
                      <w:rFonts w:hint="default"/>
                      <w:szCs w:val="20"/>
                    </w:rPr>
                  </w:pPr>
                  <w:r>
                    <w:rPr>
                      <w:rFonts w:hint="eastAsia"/>
                      <w:szCs w:val="20"/>
                      <w:lang w:val="en-US" w:eastAsia="zh-CN"/>
                    </w:rPr>
                    <w:t>排放量（t/a）</w:t>
                  </w:r>
                </w:p>
              </w:tc>
              <w:tc>
                <w:tcPr>
                  <w:tcW w:w="829"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0.08</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0.02</w:t>
                  </w:r>
                </w:p>
              </w:tc>
              <w:tc>
                <w:tcPr>
                  <w:tcW w:w="83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0.008</w:t>
                  </w:r>
                </w:p>
              </w:tc>
              <w:tc>
                <w:tcPr>
                  <w:tcW w:w="716"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0.05</w:t>
                  </w:r>
                </w:p>
              </w:tc>
              <w:tc>
                <w:tcPr>
                  <w:tcW w:w="718"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0.002</w:t>
                  </w:r>
                </w:p>
              </w:tc>
              <w:tc>
                <w:tcPr>
                  <w:tcW w:w="1092"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w:t>
                  </w:r>
                </w:p>
              </w:tc>
            </w:tr>
          </w:tbl>
          <w:p>
            <w:pPr>
              <w:keepNext w:val="0"/>
              <w:keepLines w:val="0"/>
              <w:suppressLineNumbers w:val="0"/>
              <w:spacing w:before="0" w:beforeAutospacing="0" w:after="0" w:afterAutospacing="0"/>
              <w:ind w:left="0" w:right="0" w:firstLine="482"/>
              <w:rPr>
                <w:rFonts w:hint="default"/>
                <w:b/>
                <w:bCs/>
              </w:rPr>
            </w:pPr>
            <w:r>
              <w:rPr>
                <w:rFonts w:hint="eastAsia"/>
                <w:b/>
                <w:bCs/>
              </w:rPr>
              <w:t>（4）废水排放口设置情况</w:t>
            </w:r>
          </w:p>
          <w:p>
            <w:pPr>
              <w:keepNext w:val="0"/>
              <w:keepLines w:val="0"/>
              <w:suppressLineNumbers w:val="0"/>
              <w:spacing w:before="120" w:beforeLines="50" w:beforeAutospacing="0" w:after="0" w:afterAutospacing="0"/>
              <w:ind w:left="0" w:right="0" w:firstLine="482"/>
              <w:rPr>
                <w:rFonts w:hint="eastAsia"/>
                <w:b w:val="0"/>
                <w:bCs w:val="0"/>
              </w:rPr>
            </w:pPr>
            <w:r>
              <w:rPr>
                <w:rFonts w:hint="eastAsia"/>
                <w:b w:val="0"/>
                <w:bCs w:val="0"/>
                <w:lang w:val="en-US" w:eastAsia="zh-CN"/>
              </w:rPr>
              <w:t>项目食堂</w:t>
            </w:r>
            <w:r>
              <w:rPr>
                <w:rFonts w:hint="eastAsia"/>
                <w:b w:val="0"/>
                <w:bCs w:val="0"/>
              </w:rPr>
              <w:t>废水经自建隔油池（1.0m</w:t>
            </w:r>
            <w:r>
              <w:rPr>
                <w:rFonts w:hint="eastAsia"/>
                <w:b w:val="0"/>
                <w:bCs w:val="0"/>
                <w:vertAlign w:val="superscript"/>
              </w:rPr>
              <w:t>3</w:t>
            </w:r>
            <w:r>
              <w:rPr>
                <w:rFonts w:hint="eastAsia"/>
                <w:b w:val="0"/>
                <w:bCs w:val="0"/>
              </w:rPr>
              <w:t>）处理后与</w:t>
            </w:r>
            <w:r>
              <w:rPr>
                <w:rFonts w:hint="eastAsia"/>
                <w:b w:val="0"/>
                <w:bCs w:val="0"/>
                <w:lang w:val="en-US" w:eastAsia="zh-CN"/>
              </w:rPr>
              <w:t>其他办公</w:t>
            </w:r>
            <w:r>
              <w:rPr>
                <w:rFonts w:hint="eastAsia"/>
                <w:b w:val="0"/>
                <w:bCs w:val="0"/>
              </w:rPr>
              <w:t>废水一起进入化粪池（2.0m</w:t>
            </w:r>
            <w:r>
              <w:rPr>
                <w:rFonts w:hint="eastAsia"/>
                <w:b w:val="0"/>
                <w:bCs w:val="0"/>
                <w:vertAlign w:val="superscript"/>
              </w:rPr>
              <w:t>3</w:t>
            </w:r>
            <w:r>
              <w:rPr>
                <w:rFonts w:hint="eastAsia"/>
                <w:b w:val="0"/>
                <w:bCs w:val="0"/>
              </w:rPr>
              <w:t>）处理，</w:t>
            </w:r>
            <w:r>
              <w:rPr>
                <w:rFonts w:hint="eastAsia"/>
                <w:b w:val="0"/>
                <w:bCs w:val="0"/>
                <w:lang w:val="en-US" w:eastAsia="zh-CN"/>
              </w:rPr>
              <w:t>回用于洒水降尘</w:t>
            </w:r>
            <w:r>
              <w:rPr>
                <w:rFonts w:hint="eastAsia"/>
                <w:b w:val="0"/>
                <w:bCs w:val="0"/>
              </w:rPr>
              <w:t>，不外排</w:t>
            </w:r>
            <w:r>
              <w:rPr>
                <w:rFonts w:hint="eastAsia"/>
                <w:b w:val="0"/>
                <w:bCs w:val="0"/>
                <w:lang w:eastAsia="zh-CN"/>
              </w:rPr>
              <w:t>，</w:t>
            </w:r>
            <w:r>
              <w:rPr>
                <w:rFonts w:hint="eastAsia"/>
                <w:b w:val="0"/>
                <w:bCs w:val="0"/>
                <w:lang w:val="en-US" w:eastAsia="zh-CN"/>
              </w:rPr>
              <w:t>不设废水排放口</w:t>
            </w:r>
            <w:r>
              <w:rPr>
                <w:rFonts w:hint="default"/>
                <w:color w:val="auto"/>
                <w:u w:val="none"/>
              </w:rPr>
              <w:t>。</w:t>
            </w:r>
          </w:p>
          <w:p>
            <w:pPr>
              <w:keepNext w:val="0"/>
              <w:keepLines w:val="0"/>
              <w:suppressLineNumbers w:val="0"/>
              <w:spacing w:before="120" w:beforeLines="50" w:beforeAutospacing="0" w:after="0" w:afterAutospacing="0"/>
              <w:ind w:left="0" w:right="0" w:firstLine="482"/>
              <w:rPr>
                <w:rFonts w:hint="default"/>
                <w:b/>
                <w:bCs/>
              </w:rPr>
            </w:pPr>
            <w:r>
              <w:rPr>
                <w:rFonts w:hint="eastAsia"/>
                <w:b/>
                <w:bCs/>
              </w:rPr>
              <w:t>（5）废水处置措施可行性分析</w:t>
            </w:r>
          </w:p>
          <w:p>
            <w:pPr>
              <w:keepNext w:val="0"/>
              <w:keepLines w:val="0"/>
              <w:suppressLineNumbers w:val="0"/>
              <w:spacing w:before="0" w:beforeAutospacing="0" w:after="0" w:afterAutospacing="0"/>
              <w:ind w:left="0" w:right="0" w:firstLine="480"/>
              <w:rPr>
                <w:rFonts w:hint="default"/>
              </w:rPr>
            </w:pPr>
            <w:r>
              <w:rPr>
                <w:rFonts w:hint="default"/>
              </w:rPr>
              <w:t>项目</w:t>
            </w:r>
            <w:r>
              <w:rPr>
                <w:rFonts w:hint="eastAsia"/>
                <w:color w:val="auto"/>
                <w:u w:val="none"/>
                <w:lang w:val="en-US" w:eastAsia="zh-CN"/>
              </w:rPr>
              <w:t>食堂废水量为0.128m</w:t>
            </w:r>
            <w:r>
              <w:rPr>
                <w:rFonts w:hint="eastAsia"/>
                <w:color w:val="auto"/>
                <w:u w:val="none"/>
                <w:vertAlign w:val="superscript"/>
                <w:lang w:val="en-US" w:eastAsia="zh-CN"/>
              </w:rPr>
              <w:t>3</w:t>
            </w:r>
            <w:r>
              <w:rPr>
                <w:rFonts w:hint="eastAsia"/>
                <w:color w:val="auto"/>
                <w:u w:val="none"/>
                <w:lang w:val="en-US" w:eastAsia="zh-CN"/>
              </w:rPr>
              <w:t>/d，隔油池容积为1.0m</w:t>
            </w:r>
            <w:r>
              <w:rPr>
                <w:rFonts w:hint="eastAsia"/>
                <w:color w:val="auto"/>
                <w:u w:val="none"/>
                <w:vertAlign w:val="superscript"/>
                <w:lang w:val="en-US" w:eastAsia="zh-CN"/>
              </w:rPr>
              <w:t>3</w:t>
            </w:r>
            <w:r>
              <w:rPr>
                <w:rFonts w:hint="eastAsia"/>
                <w:color w:val="auto"/>
                <w:u w:val="none"/>
                <w:lang w:val="en-US" w:eastAsia="zh-CN"/>
              </w:rPr>
              <w:t>，隔油池容积能够废水停留48小时以上的需要；项目生活污水总废水量为0.64m</w:t>
            </w:r>
            <w:r>
              <w:rPr>
                <w:rFonts w:hint="eastAsia"/>
                <w:color w:val="auto"/>
                <w:u w:val="none"/>
                <w:vertAlign w:val="superscript"/>
                <w:lang w:val="en-US" w:eastAsia="zh-CN"/>
              </w:rPr>
              <w:t>3</w:t>
            </w:r>
            <w:r>
              <w:rPr>
                <w:rFonts w:hint="eastAsia"/>
                <w:color w:val="auto"/>
                <w:u w:val="none"/>
                <w:lang w:val="en-US" w:eastAsia="zh-CN"/>
              </w:rPr>
              <w:t>/d，化粪池容积为2.0m</w:t>
            </w:r>
            <w:r>
              <w:rPr>
                <w:rFonts w:hint="eastAsia"/>
                <w:color w:val="auto"/>
                <w:u w:val="none"/>
                <w:vertAlign w:val="superscript"/>
                <w:lang w:val="en-US" w:eastAsia="zh-CN"/>
              </w:rPr>
              <w:t>3</w:t>
            </w:r>
            <w:r>
              <w:rPr>
                <w:rFonts w:hint="eastAsia"/>
                <w:color w:val="auto"/>
                <w:u w:val="none"/>
                <w:lang w:val="en-US" w:eastAsia="zh-CN"/>
              </w:rPr>
              <w:t>，化粪池</w:t>
            </w:r>
            <w:r>
              <w:rPr>
                <w:rFonts w:hint="default"/>
              </w:rPr>
              <w:t>的容积</w:t>
            </w:r>
            <w:r>
              <w:rPr>
                <w:rFonts w:hint="eastAsia"/>
                <w:lang w:val="en-US" w:eastAsia="zh-CN"/>
              </w:rPr>
              <w:t>也</w:t>
            </w:r>
            <w:r>
              <w:rPr>
                <w:rFonts w:hint="default"/>
              </w:rPr>
              <w:t>可满足废水停留48小时以上的需要，满足相关要求</w:t>
            </w:r>
            <w:r>
              <w:rPr>
                <w:rFonts w:hint="eastAsia"/>
                <w:lang w:eastAsia="zh-CN"/>
              </w:rPr>
              <w:t>。</w:t>
            </w:r>
            <w:r>
              <w:rPr>
                <w:rFonts w:hint="eastAsia"/>
              </w:rPr>
              <w:t>因此，本项目</w:t>
            </w:r>
            <w:r>
              <w:rPr>
                <w:rFonts w:hint="eastAsia"/>
                <w:lang w:val="en-US" w:eastAsia="zh-CN"/>
              </w:rPr>
              <w:t>隔油池、化粪池</w:t>
            </w:r>
            <w:r>
              <w:rPr>
                <w:rFonts w:hint="eastAsia"/>
              </w:rPr>
              <w:t>设置合理。</w:t>
            </w:r>
          </w:p>
          <w:p>
            <w:pPr>
              <w:keepNext w:val="0"/>
              <w:keepLines w:val="0"/>
              <w:suppressLineNumbers w:val="0"/>
              <w:spacing w:before="0" w:beforeAutospacing="0" w:after="0" w:afterAutospacing="0"/>
              <w:ind w:left="0" w:right="0" w:firstLine="480"/>
              <w:rPr>
                <w:rFonts w:hint="eastAsia"/>
              </w:rPr>
            </w:pPr>
            <w:r>
              <w:rPr>
                <w:rFonts w:hint="eastAsia"/>
              </w:rPr>
              <w:t>综上，本项目</w:t>
            </w:r>
            <w:r>
              <w:rPr>
                <w:rFonts w:hint="eastAsia"/>
                <w:b w:val="0"/>
                <w:bCs w:val="0"/>
                <w:lang w:val="en-US" w:eastAsia="zh-CN"/>
              </w:rPr>
              <w:t>食堂</w:t>
            </w:r>
            <w:r>
              <w:rPr>
                <w:rFonts w:hint="eastAsia"/>
                <w:b w:val="0"/>
                <w:bCs w:val="0"/>
              </w:rPr>
              <w:t>废水经自建隔油池（1.0m</w:t>
            </w:r>
            <w:r>
              <w:rPr>
                <w:rFonts w:hint="eastAsia"/>
                <w:b w:val="0"/>
                <w:bCs w:val="0"/>
                <w:vertAlign w:val="superscript"/>
              </w:rPr>
              <w:t>3</w:t>
            </w:r>
            <w:r>
              <w:rPr>
                <w:rFonts w:hint="eastAsia"/>
                <w:b w:val="0"/>
                <w:bCs w:val="0"/>
              </w:rPr>
              <w:t>）处理后与</w:t>
            </w:r>
            <w:r>
              <w:rPr>
                <w:rFonts w:hint="eastAsia"/>
                <w:b w:val="0"/>
                <w:bCs w:val="0"/>
                <w:lang w:val="en-US" w:eastAsia="zh-CN"/>
              </w:rPr>
              <w:t>其他办公</w:t>
            </w:r>
            <w:r>
              <w:rPr>
                <w:rFonts w:hint="eastAsia"/>
                <w:b w:val="0"/>
                <w:bCs w:val="0"/>
              </w:rPr>
              <w:t>废水一起进入化粪池（2.0m</w:t>
            </w:r>
            <w:r>
              <w:rPr>
                <w:rFonts w:hint="eastAsia"/>
                <w:b w:val="0"/>
                <w:bCs w:val="0"/>
                <w:vertAlign w:val="superscript"/>
              </w:rPr>
              <w:t>3</w:t>
            </w:r>
            <w:r>
              <w:rPr>
                <w:rFonts w:hint="eastAsia"/>
                <w:b w:val="0"/>
                <w:bCs w:val="0"/>
              </w:rPr>
              <w:t>）处理，</w:t>
            </w:r>
            <w:r>
              <w:rPr>
                <w:rFonts w:hint="eastAsia"/>
                <w:b w:val="0"/>
                <w:bCs w:val="0"/>
                <w:lang w:val="en-US" w:eastAsia="zh-CN"/>
              </w:rPr>
              <w:t>回用于洒水降尘</w:t>
            </w:r>
            <w:r>
              <w:rPr>
                <w:rFonts w:hint="eastAsia"/>
              </w:rPr>
              <w:t>处理可行。</w:t>
            </w: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default"/>
              </w:rPr>
            </w:pPr>
          </w:p>
        </w:tc>
      </w:tr>
    </w:tbl>
    <w:p>
      <w:pPr>
        <w:adjustRightInd w:val="0"/>
        <w:snapToGrid w:val="0"/>
        <w:ind w:firstLine="0" w:firstLineChars="0"/>
        <w:jc w:val="center"/>
        <w:rPr>
          <w:rFonts w:ascii="宋体" w:hAnsi="宋体" w:cs="宋体"/>
          <w:bCs/>
          <w:szCs w:val="21"/>
        </w:rPr>
        <w:sectPr>
          <w:pgSz w:w="11907" w:h="16840"/>
          <w:pgMar w:top="1701" w:right="1531" w:bottom="2127" w:left="1531" w:header="851" w:footer="851" w:gutter="0"/>
          <w:cols w:space="720" w:num="1"/>
          <w:docGrid w:linePitch="312" w:charSpace="0"/>
        </w:sectPr>
      </w:pPr>
    </w:p>
    <w:tbl>
      <w:tblPr>
        <w:tblStyle w:val="7"/>
        <w:tblW w:w="13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8" w:type="dxa"/>
            <w:vAlign w:val="center"/>
          </w:tcPr>
          <w:p>
            <w:pPr>
              <w:keepNext w:val="0"/>
              <w:keepLines w:val="0"/>
              <w:suppressLineNumbers w:val="0"/>
              <w:spacing w:before="0" w:beforeAutospacing="0" w:after="0" w:afterAutospacing="0"/>
              <w:ind w:left="0" w:right="0" w:firstLine="0" w:firstLineChars="0"/>
              <w:jc w:val="center"/>
              <w:rPr>
                <w:rFonts w:hint="default"/>
              </w:rPr>
            </w:pPr>
          </w:p>
        </w:tc>
        <w:tc>
          <w:tcPr>
            <w:tcW w:w="12805" w:type="dxa"/>
          </w:tcPr>
          <w:p>
            <w:pPr>
              <w:keepNext w:val="0"/>
              <w:keepLines w:val="0"/>
              <w:suppressLineNumbers w:val="0"/>
              <w:spacing w:before="0" w:beforeAutospacing="0" w:after="0" w:afterAutospacing="0"/>
              <w:ind w:left="0" w:right="0" w:firstLine="482"/>
              <w:rPr>
                <w:rFonts w:hint="default"/>
              </w:rPr>
            </w:pPr>
            <w:r>
              <w:rPr>
                <w:rFonts w:hint="default"/>
                <w:b/>
                <w:bCs/>
              </w:rPr>
              <w:t>3、运营期声环境影响保护措施</w:t>
            </w:r>
          </w:p>
          <w:p>
            <w:pPr>
              <w:keepNext w:val="0"/>
              <w:keepLines w:val="0"/>
              <w:suppressLineNumbers w:val="0"/>
              <w:spacing w:before="0" w:beforeAutospacing="0" w:after="0" w:afterAutospacing="0"/>
              <w:ind w:left="0" w:right="0" w:firstLine="482"/>
              <w:rPr>
                <w:rFonts w:hint="default"/>
                <w:b/>
                <w:bCs/>
              </w:rPr>
            </w:pPr>
            <w:r>
              <w:rPr>
                <w:rFonts w:hint="eastAsia"/>
                <w:b/>
                <w:bCs/>
              </w:rPr>
              <w:t>（1）噪声源强</w:t>
            </w:r>
          </w:p>
          <w:p>
            <w:pPr>
              <w:keepNext w:val="0"/>
              <w:keepLines w:val="0"/>
              <w:suppressLineNumbers w:val="0"/>
              <w:spacing w:before="0" w:beforeAutospacing="0" w:after="0" w:afterAutospacing="0"/>
              <w:ind w:left="0" w:right="0" w:firstLine="480"/>
              <w:rPr>
                <w:rFonts w:hint="default"/>
              </w:rPr>
            </w:pPr>
            <w:r>
              <w:rPr>
                <w:rFonts w:hint="eastAsia"/>
              </w:rPr>
              <w:t>本项目噪声来源主要为车间内生产设备产生的噪声，均为小型加工设备，噪声源</w:t>
            </w:r>
            <w:r>
              <w:rPr>
                <w:rFonts w:hint="eastAsia"/>
                <w:lang w:val="en-US" w:eastAsia="zh-CN"/>
              </w:rPr>
              <w:t>为烘干机、筛分机、搅拌机、提升机等设备</w:t>
            </w:r>
            <w:r>
              <w:rPr>
                <w:rFonts w:hint="eastAsia"/>
              </w:rPr>
              <w:t>，根据同类型企业设备噪声情况类别调查，其声功率级在</w:t>
            </w:r>
            <w:r>
              <w:rPr>
                <w:rFonts w:hint="eastAsia"/>
                <w:lang w:val="en-US" w:eastAsia="zh-CN"/>
              </w:rPr>
              <w:t>75~85</w:t>
            </w:r>
            <w:r>
              <w:rPr>
                <w:rFonts w:hint="eastAsia"/>
              </w:rPr>
              <w:t>dB（A）之间，各噪声源源强及治理措施见表4-</w:t>
            </w:r>
            <w:r>
              <w:rPr>
                <w:rFonts w:hint="eastAsia"/>
                <w:lang w:val="en-US" w:eastAsia="zh-CN"/>
              </w:rPr>
              <w:t>8</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表4-</w:t>
            </w:r>
            <w:r>
              <w:rPr>
                <w:rFonts w:hint="eastAsia"/>
                <w:lang w:val="en-US" w:eastAsia="zh-CN"/>
              </w:rPr>
              <w:t>8</w:t>
            </w:r>
            <w:r>
              <w:rPr>
                <w:rFonts w:hint="default"/>
              </w:rPr>
              <w:t xml:space="preserve">  工业企业噪声源强调查清单（室内声源）</w:t>
            </w:r>
          </w:p>
          <w:tbl>
            <w:tblPr>
              <w:tblStyle w:val="7"/>
              <w:tblW w:w="12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58"/>
              <w:gridCol w:w="1404"/>
              <w:gridCol w:w="946"/>
              <w:gridCol w:w="760"/>
              <w:gridCol w:w="780"/>
              <w:gridCol w:w="785"/>
              <w:gridCol w:w="805"/>
              <w:gridCol w:w="785"/>
              <w:gridCol w:w="785"/>
              <w:gridCol w:w="790"/>
              <w:gridCol w:w="785"/>
              <w:gridCol w:w="790"/>
              <w:gridCol w:w="79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6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建筑物名称</w:t>
                  </w:r>
                </w:p>
              </w:tc>
              <w:tc>
                <w:tcPr>
                  <w:tcW w:w="85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声源名称</w:t>
                  </w:r>
                </w:p>
              </w:tc>
              <w:tc>
                <w:tcPr>
                  <w:tcW w:w="1404"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型号</w:t>
                  </w:r>
                </w:p>
              </w:tc>
              <w:tc>
                <w:tcPr>
                  <w:tcW w:w="94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声功率级/dB（A）</w:t>
                  </w:r>
                </w:p>
              </w:tc>
              <w:tc>
                <w:tcPr>
                  <w:tcW w:w="76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声源控制措施</w:t>
                  </w:r>
                </w:p>
              </w:tc>
              <w:tc>
                <w:tcPr>
                  <w:tcW w:w="2370" w:type="dxa"/>
                  <w:gridSpan w:val="3"/>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空间相对位置/m</w:t>
                  </w:r>
                </w:p>
              </w:tc>
              <w:tc>
                <w:tcPr>
                  <w:tcW w:w="1570" w:type="dxa"/>
                  <w:gridSpan w:val="2"/>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距室内边界距离/m</w:t>
                  </w:r>
                </w:p>
              </w:tc>
              <w:tc>
                <w:tcPr>
                  <w:tcW w:w="79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室内边界声级/dB（A）</w:t>
                  </w:r>
                </w:p>
              </w:tc>
              <w:tc>
                <w:tcPr>
                  <w:tcW w:w="78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运行时段</w:t>
                  </w:r>
                </w:p>
              </w:tc>
              <w:tc>
                <w:tcPr>
                  <w:tcW w:w="79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建筑物插入损失/dB（A）</w:t>
                  </w:r>
                </w:p>
              </w:tc>
              <w:tc>
                <w:tcPr>
                  <w:tcW w:w="1640" w:type="dxa"/>
                  <w:gridSpan w:val="2"/>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p>
              </w:tc>
              <w:tc>
                <w:tcPr>
                  <w:tcW w:w="78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X</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Y</w:t>
                  </w:r>
                </w:p>
              </w:tc>
              <w:tc>
                <w:tcPr>
                  <w:tcW w:w="80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Z</w:t>
                  </w:r>
                </w:p>
              </w:tc>
              <w:tc>
                <w:tcPr>
                  <w:tcW w:w="1570" w:type="dxa"/>
                  <w:gridSpan w:val="2"/>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声压级/dB（A）</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建筑物外距离/m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bookmarkStart w:id="6" w:name="OLE_LINK1" w:colFirst="8" w:colLast="8"/>
                  <w:r>
                    <w:rPr>
                      <w:rFonts w:hint="eastAsia"/>
                      <w:color w:val="auto"/>
                      <w:szCs w:val="20"/>
                      <w:u w:val="none"/>
                    </w:rPr>
                    <w:t>生产车间</w:t>
                  </w:r>
                </w:p>
              </w:tc>
              <w:tc>
                <w:tcPr>
                  <w:tcW w:w="85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烘干机</w:t>
                  </w:r>
                </w:p>
              </w:tc>
              <w:tc>
                <w:tcPr>
                  <w:tcW w:w="1404"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94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85</w:t>
                  </w:r>
                </w:p>
              </w:tc>
              <w:tc>
                <w:tcPr>
                  <w:tcW w:w="76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厂房隔声、基础减震</w:t>
                  </w:r>
                </w:p>
              </w:tc>
              <w:tc>
                <w:tcPr>
                  <w:tcW w:w="78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-13</w:t>
                  </w:r>
                </w:p>
              </w:tc>
              <w:tc>
                <w:tcPr>
                  <w:tcW w:w="78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w:t>
                  </w:r>
                </w:p>
              </w:tc>
              <w:tc>
                <w:tcPr>
                  <w:tcW w:w="80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0.5</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东</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36</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53.9</w:t>
                  </w:r>
                </w:p>
              </w:tc>
              <w:tc>
                <w:tcPr>
                  <w:tcW w:w="78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昼间运行</w:t>
                  </w:r>
                </w:p>
              </w:tc>
              <w:tc>
                <w:tcPr>
                  <w:tcW w:w="79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11</w:t>
                  </w: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42.9</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南</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34</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54.4</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43.4</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西</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29</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55.8</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44.8</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北</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52</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50.7</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39.7</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lang w:val="en-US" w:eastAsia="zh-CN"/>
                    </w:rPr>
                    <w:t>筛分机</w:t>
                  </w:r>
                </w:p>
              </w:tc>
              <w:tc>
                <w:tcPr>
                  <w:tcW w:w="1404"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94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80</w:t>
                  </w: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-6</w:t>
                  </w:r>
                </w:p>
              </w:tc>
              <w:tc>
                <w:tcPr>
                  <w:tcW w:w="78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0</w:t>
                  </w:r>
                </w:p>
              </w:tc>
              <w:tc>
                <w:tcPr>
                  <w:tcW w:w="80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0.5</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东</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40</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48.0</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37.0</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南</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31</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50.2</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39.2</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西</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26</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51.7</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40.7</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北</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44</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47.1</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36.1</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lang w:val="en-US" w:eastAsia="zh-CN"/>
                    </w:rPr>
                    <w:t>搅拌机</w:t>
                  </w:r>
                </w:p>
              </w:tc>
              <w:tc>
                <w:tcPr>
                  <w:tcW w:w="1404"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94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80</w:t>
                  </w: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-20</w:t>
                  </w:r>
                </w:p>
              </w:tc>
              <w:tc>
                <w:tcPr>
                  <w:tcW w:w="78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-13</w:t>
                  </w:r>
                </w:p>
              </w:tc>
              <w:tc>
                <w:tcPr>
                  <w:tcW w:w="80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1.0</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东</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53</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45.5</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34.5</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南</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31</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50.2</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39.2</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西</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13</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57.7</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46.7</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北</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52</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45.7</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34.7</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eastAsia="宋体"/>
                      <w:color w:val="auto"/>
                      <w:szCs w:val="20"/>
                      <w:u w:val="none"/>
                      <w:lang w:val="en-US" w:eastAsia="zh-CN"/>
                    </w:rPr>
                    <w:t>提升机</w:t>
                  </w:r>
                </w:p>
              </w:tc>
              <w:tc>
                <w:tcPr>
                  <w:tcW w:w="1404"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94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78</w:t>
                  </w: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color w:val="auto"/>
                      <w:sz w:val="21"/>
                      <w:szCs w:val="20"/>
                      <w:u w:val="none"/>
                      <w:lang w:val="en-US" w:eastAsia="zh-CN" w:bidi="ar-SA"/>
                    </w:rPr>
                  </w:pPr>
                  <w:r>
                    <w:rPr>
                      <w:rFonts w:hint="eastAsia"/>
                      <w:color w:val="auto"/>
                      <w:szCs w:val="20"/>
                      <w:u w:val="none"/>
                      <w:lang w:val="en-US" w:eastAsia="zh-CN"/>
                    </w:rPr>
                    <w:t>-6</w:t>
                  </w:r>
                </w:p>
              </w:tc>
              <w:tc>
                <w:tcPr>
                  <w:tcW w:w="78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color w:val="auto"/>
                      <w:sz w:val="21"/>
                      <w:szCs w:val="20"/>
                      <w:u w:val="none"/>
                      <w:lang w:val="en-US" w:eastAsia="zh-CN" w:bidi="ar-SA"/>
                    </w:rPr>
                  </w:pPr>
                  <w:r>
                    <w:rPr>
                      <w:rFonts w:hint="eastAsia"/>
                      <w:color w:val="auto"/>
                      <w:szCs w:val="20"/>
                      <w:u w:val="none"/>
                      <w:lang w:val="en-US" w:eastAsia="zh-CN"/>
                    </w:rPr>
                    <w:t>0</w:t>
                  </w:r>
                </w:p>
              </w:tc>
              <w:tc>
                <w:tcPr>
                  <w:tcW w:w="805"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color w:val="auto"/>
                      <w:sz w:val="21"/>
                      <w:szCs w:val="20"/>
                      <w:u w:val="none"/>
                      <w:lang w:val="en-US" w:eastAsia="zh-CN" w:bidi="ar-SA"/>
                    </w:rPr>
                  </w:pPr>
                  <w:r>
                    <w:rPr>
                      <w:rFonts w:hint="eastAsia"/>
                      <w:color w:val="auto"/>
                      <w:szCs w:val="20"/>
                      <w:u w:val="none"/>
                      <w:lang w:val="en-US" w:eastAsia="zh-CN"/>
                    </w:rPr>
                    <w:t>0.5</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东</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color w:val="auto"/>
                      <w:sz w:val="21"/>
                      <w:szCs w:val="20"/>
                      <w:u w:val="none"/>
                      <w:lang w:val="en-US" w:eastAsia="zh-CN" w:bidi="ar-SA"/>
                    </w:rPr>
                  </w:pPr>
                  <w:r>
                    <w:rPr>
                      <w:rFonts w:hint="eastAsia"/>
                      <w:color w:val="auto"/>
                      <w:szCs w:val="20"/>
                      <w:u w:val="none"/>
                      <w:lang w:val="en-US" w:eastAsia="zh-CN"/>
                    </w:rPr>
                    <w:t>40</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46.0</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35.0</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南</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color w:val="auto"/>
                      <w:sz w:val="21"/>
                      <w:szCs w:val="20"/>
                      <w:u w:val="none"/>
                      <w:lang w:val="en-US" w:eastAsia="zh-CN" w:bidi="ar-SA"/>
                    </w:rPr>
                  </w:pPr>
                  <w:r>
                    <w:rPr>
                      <w:rFonts w:hint="eastAsia"/>
                      <w:color w:val="auto"/>
                      <w:szCs w:val="20"/>
                      <w:u w:val="none"/>
                      <w:lang w:val="en-US" w:eastAsia="zh-CN"/>
                    </w:rPr>
                    <w:t>31</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48.2</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37.2</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西</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color w:val="auto"/>
                      <w:sz w:val="21"/>
                      <w:szCs w:val="20"/>
                      <w:u w:val="none"/>
                      <w:lang w:val="en-US" w:eastAsia="zh-CN" w:bidi="ar-SA"/>
                    </w:rPr>
                  </w:pPr>
                  <w:r>
                    <w:rPr>
                      <w:rFonts w:hint="eastAsia"/>
                      <w:color w:val="auto"/>
                      <w:szCs w:val="20"/>
                      <w:u w:val="none"/>
                      <w:lang w:val="en-US" w:eastAsia="zh-CN"/>
                    </w:rPr>
                    <w:t>26</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49.7</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38.7</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5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140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6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80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北</w:t>
                  </w:r>
                </w:p>
              </w:tc>
              <w:tc>
                <w:tcPr>
                  <w:tcW w:w="78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color w:val="auto"/>
                      <w:sz w:val="21"/>
                      <w:szCs w:val="20"/>
                      <w:u w:val="none"/>
                      <w:lang w:val="en-US" w:eastAsia="zh-CN" w:bidi="ar-SA"/>
                    </w:rPr>
                  </w:pPr>
                  <w:r>
                    <w:rPr>
                      <w:rFonts w:hint="eastAsia"/>
                      <w:color w:val="auto"/>
                      <w:szCs w:val="20"/>
                      <w:u w:val="none"/>
                      <w:lang w:val="en-US" w:eastAsia="zh-CN"/>
                    </w:rPr>
                    <w:t>44</w:t>
                  </w:r>
                </w:p>
              </w:tc>
              <w:tc>
                <w:tcPr>
                  <w:tcW w:w="79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45.1</w:t>
                  </w:r>
                </w:p>
              </w:tc>
              <w:tc>
                <w:tcPr>
                  <w:tcW w:w="785"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p>
              </w:tc>
              <w:tc>
                <w:tcPr>
                  <w:tcW w:w="790" w:type="dxa"/>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34.1</w:t>
                  </w:r>
                </w:p>
              </w:tc>
              <w:tc>
                <w:tcPr>
                  <w:tcW w:w="8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1.0</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79" w:type="dxa"/>
                  <w:gridSpan w:val="15"/>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b/>
                      <w:bCs/>
                      <w:color w:val="auto"/>
                      <w:szCs w:val="20"/>
                      <w:u w:val="none"/>
                    </w:rPr>
                    <w:t>注：</w:t>
                  </w:r>
                  <w:r>
                    <w:rPr>
                      <w:rFonts w:hint="eastAsia"/>
                      <w:color w:val="auto"/>
                      <w:szCs w:val="20"/>
                      <w:u w:val="none"/>
                    </w:rPr>
                    <w:t>①空间相对位置坐标原点为生产车间中心（102°38′27.858″</w:t>
                  </w:r>
                  <w:r>
                    <w:rPr>
                      <w:rFonts w:hint="eastAsia"/>
                      <w:color w:val="auto"/>
                      <w:szCs w:val="20"/>
                      <w:u w:val="none"/>
                      <w:lang w:eastAsia="zh-CN"/>
                    </w:rPr>
                    <w:t>，</w:t>
                  </w:r>
                  <w:r>
                    <w:rPr>
                      <w:rFonts w:hint="eastAsia"/>
                      <w:color w:val="auto"/>
                      <w:szCs w:val="20"/>
                      <w:u w:val="none"/>
                    </w:rPr>
                    <w:t>25°16′53.922″），正东方向为X轴，正北方向为Y轴，空间坐标原点X、Y、Z（0，0，0）；②表中涉及多台设备的噪声声功率级已叠加。</w:t>
                  </w:r>
                </w:p>
              </w:tc>
            </w:tr>
          </w:tbl>
          <w:p>
            <w:pPr>
              <w:keepNext w:val="0"/>
              <w:keepLines w:val="0"/>
              <w:suppressLineNumbers w:val="0"/>
              <w:spacing w:before="0" w:beforeAutospacing="0" w:after="0" w:afterAutospacing="0"/>
              <w:ind w:left="0" w:right="0" w:firstLine="480"/>
              <w:rPr>
                <w:rFonts w:hint="default"/>
              </w:rPr>
            </w:pPr>
          </w:p>
        </w:tc>
      </w:tr>
    </w:tbl>
    <w:p>
      <w:pPr>
        <w:adjustRightInd w:val="0"/>
        <w:snapToGrid w:val="0"/>
        <w:ind w:firstLine="0" w:firstLineChars="0"/>
        <w:jc w:val="center"/>
        <w:rPr>
          <w:rFonts w:ascii="宋体" w:hAnsi="宋体" w:cs="宋体"/>
          <w:bCs/>
          <w:szCs w:val="21"/>
        </w:rPr>
        <w:sectPr>
          <w:pgSz w:w="16840" w:h="11907" w:orient="landscape"/>
          <w:pgMar w:top="1531" w:right="1701" w:bottom="1531" w:left="2127" w:header="851" w:footer="851" w:gutter="0"/>
          <w:cols w:space="720" w:num="1"/>
          <w:docGrid w:linePitch="312" w:charSpace="0"/>
        </w:sectPr>
      </w:pPr>
    </w:p>
    <w:tbl>
      <w:tblPr>
        <w:tblStyle w:val="6"/>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2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654" w:type="dxa"/>
            <w:tcMar>
              <w:left w:w="28" w:type="dxa"/>
              <w:right w:w="28" w:type="dxa"/>
            </w:tcMar>
            <w:vAlign w:val="center"/>
          </w:tcPr>
          <w:p>
            <w:pPr>
              <w:keepNext w:val="0"/>
              <w:keepLines w:val="0"/>
              <w:suppressLineNumbers w:val="0"/>
              <w:adjustRightInd w:val="0"/>
              <w:snapToGrid w:val="0"/>
              <w:spacing w:before="0" w:beforeAutospacing="0" w:after="0" w:afterAutospacing="0"/>
              <w:ind w:left="0" w:right="0" w:firstLine="0" w:firstLineChars="0"/>
              <w:jc w:val="center"/>
              <w:rPr>
                <w:rFonts w:hint="default" w:ascii="宋体" w:hAnsi="宋体" w:cs="宋体"/>
                <w:bCs/>
                <w:szCs w:val="21"/>
              </w:rPr>
            </w:pPr>
          </w:p>
        </w:tc>
        <w:tc>
          <w:tcPr>
            <w:tcW w:w="8254" w:type="dxa"/>
            <w:vAlign w:val="center"/>
          </w:tcPr>
          <w:p>
            <w:pPr>
              <w:keepNext w:val="0"/>
              <w:keepLines w:val="0"/>
              <w:suppressLineNumbers w:val="0"/>
              <w:spacing w:before="0" w:beforeAutospacing="0" w:after="0" w:afterAutospacing="0"/>
              <w:ind w:left="0" w:right="0" w:firstLine="482"/>
              <w:rPr>
                <w:rFonts w:hint="default"/>
                <w:b/>
                <w:bCs/>
              </w:rPr>
            </w:pPr>
            <w:r>
              <w:rPr>
                <w:rFonts w:hint="eastAsia"/>
                <w:b/>
                <w:bCs/>
              </w:rPr>
              <w:t>（2）</w:t>
            </w:r>
            <w:r>
              <w:rPr>
                <w:rFonts w:hint="default"/>
                <w:b/>
                <w:bCs/>
              </w:rPr>
              <w:t>预测模式</w:t>
            </w:r>
          </w:p>
          <w:p>
            <w:pPr>
              <w:keepNext w:val="0"/>
              <w:keepLines w:val="0"/>
              <w:suppressLineNumbers w:val="0"/>
              <w:spacing w:before="0" w:beforeAutospacing="0" w:after="0" w:afterAutospacing="0"/>
              <w:ind w:left="0" w:right="0" w:firstLine="480"/>
              <w:rPr>
                <w:rFonts w:hint="default"/>
              </w:rPr>
            </w:pPr>
            <w:r>
              <w:rPr>
                <w:rFonts w:hint="eastAsia"/>
              </w:rPr>
              <w:t>1）</w:t>
            </w:r>
            <w:r>
              <w:rPr>
                <w:rFonts w:hint="default"/>
              </w:rPr>
              <w:t>室内、外声源等效计算</w:t>
            </w:r>
          </w:p>
          <w:p>
            <w:pPr>
              <w:keepNext w:val="0"/>
              <w:keepLines w:val="0"/>
              <w:suppressLineNumbers w:val="0"/>
              <w:spacing w:before="0" w:beforeAutospacing="0" w:after="0" w:afterAutospacing="0"/>
              <w:ind w:left="0" w:right="0" w:firstLine="480"/>
              <w:rPr>
                <w:rFonts w:hint="default"/>
              </w:rPr>
            </w:pPr>
            <w:r>
              <w:rPr>
                <w:rFonts w:hint="default"/>
              </w:rPr>
              <w:t>本项目生产设备均位于厂房内，对于室内声源，首先将其等效为室外声源在进行预测计算，根据《环境影响评价技术导则 声环境》（HJ2.4-2021）附录B中公式B.1，等效计算公式如下：</w:t>
            </w:r>
          </w:p>
          <w:p>
            <w:pPr>
              <w:keepNext w:val="0"/>
              <w:keepLines w:val="0"/>
              <w:suppressLineNumbers w:val="0"/>
              <w:spacing w:before="0" w:beforeAutospacing="0" w:after="0" w:afterAutospacing="0"/>
              <w:ind w:left="0" w:right="0" w:firstLine="480"/>
              <w:rPr>
                <w:rFonts w:hint="default"/>
              </w:rPr>
            </w:pPr>
            <m:oMathPara>
              <m:oMath>
                <m:sSub>
                  <m:sSubPr>
                    <m:ctrlPr>
                      <w:rPr>
                        <w:rFonts w:hint="default" w:ascii="Cambria Math" w:hAnsi="Cambria Math"/>
                      </w:rPr>
                    </m:ctrlPr>
                  </m:sSubPr>
                  <m:e>
                    <m:r>
                      <m:rPr>
                        <m:sty m:val="p"/>
                      </m:rPr>
                      <w:rPr>
                        <w:rFonts w:hint="default" w:ascii="Cambria Math" w:hAnsi="Cambria Math"/>
                      </w:rPr>
                      <m:t>L</m:t>
                    </m:r>
                    <m:ctrlPr>
                      <w:rPr>
                        <w:rFonts w:hint="default" w:ascii="Cambria Math" w:hAnsi="Cambria Math"/>
                      </w:rPr>
                    </m:ctrlPr>
                  </m:e>
                  <m:sub>
                    <m:r>
                      <m:rPr>
                        <m:sty m:val="p"/>
                      </m:rPr>
                      <w:rPr>
                        <w:rFonts w:hint="default" w:ascii="Cambria Math" w:hAnsi="Cambria Math"/>
                      </w:rPr>
                      <m:t>p2</m:t>
                    </m:r>
                    <m:ctrlPr>
                      <w:rPr>
                        <w:rFonts w:hint="default" w:ascii="Cambria Math" w:hAnsi="Cambria Math"/>
                      </w:rPr>
                    </m:ctrlPr>
                  </m:sub>
                </m:sSub>
                <m:r>
                  <m:rPr>
                    <m:sty m:val="p"/>
                  </m:rPr>
                  <w:rPr>
                    <w:rFonts w:hint="default" w:ascii="Cambria Math" w:hAnsi="Cambria Math"/>
                  </w:rPr>
                  <m:t>=</m:t>
                </m:r>
                <m:sSub>
                  <m:sSubPr>
                    <m:ctrlPr>
                      <w:rPr>
                        <w:rFonts w:hint="default" w:ascii="Cambria Math" w:hAnsi="Cambria Math"/>
                      </w:rPr>
                    </m:ctrlPr>
                  </m:sSubPr>
                  <m:e>
                    <m:r>
                      <m:rPr>
                        <m:sty m:val="p"/>
                      </m:rPr>
                      <w:rPr>
                        <w:rFonts w:hint="default" w:ascii="Cambria Math" w:hAnsi="Cambria Math"/>
                      </w:rPr>
                      <m:t>L</m:t>
                    </m:r>
                    <m:ctrlPr>
                      <w:rPr>
                        <w:rFonts w:hint="default" w:ascii="Cambria Math" w:hAnsi="Cambria Math"/>
                      </w:rPr>
                    </m:ctrlPr>
                  </m:e>
                  <m:sub>
                    <m:r>
                      <m:rPr>
                        <m:sty m:val="p"/>
                      </m:rPr>
                      <w:rPr>
                        <w:rFonts w:hint="default" w:ascii="Cambria Math" w:hAnsi="Cambria Math"/>
                      </w:rPr>
                      <m:t>P1</m:t>
                    </m:r>
                    <m:ctrlPr>
                      <w:rPr>
                        <w:rFonts w:hint="default" w:ascii="Cambria Math" w:hAnsi="Cambria Math"/>
                      </w:rPr>
                    </m:ctrlPr>
                  </m:sub>
                </m:sSub>
                <m:r>
                  <m:rPr>
                    <m:sty m:val="p"/>
                  </m:rPr>
                  <w:rPr>
                    <w:rFonts w:hint="default" w:ascii="Cambria Math" w:hAnsi="Cambria Math"/>
                  </w:rPr>
                  <m:t>−(TL+6)</m:t>
                </m:r>
              </m:oMath>
            </m:oMathPara>
          </w:p>
          <w:p>
            <w:pPr>
              <w:keepNext w:val="0"/>
              <w:keepLines w:val="0"/>
              <w:suppressLineNumbers w:val="0"/>
              <w:spacing w:before="0" w:beforeAutospacing="0" w:after="0" w:afterAutospacing="0"/>
              <w:ind w:left="0" w:right="0" w:firstLine="480"/>
              <w:rPr>
                <w:rFonts w:hint="default"/>
              </w:rPr>
            </w:pPr>
            <w:r>
              <w:rPr>
                <w:rFonts w:hint="default"/>
              </w:rPr>
              <w:t>式中：</w:t>
            </w:r>
          </w:p>
          <w:p>
            <w:pPr>
              <w:keepNext w:val="0"/>
              <w:keepLines w:val="0"/>
              <w:suppressLineNumbers w:val="0"/>
              <w:spacing w:before="0" w:beforeAutospacing="0" w:after="0" w:afterAutospacing="0"/>
              <w:ind w:left="0" w:right="0" w:firstLine="480"/>
              <w:rPr>
                <w:rFonts w:hint="default"/>
              </w:rPr>
            </w:pPr>
            <w:r>
              <w:rPr>
                <w:rFonts w:hint="default"/>
              </w:rPr>
              <w:t>L</w:t>
            </w:r>
            <w:r>
              <w:rPr>
                <w:rFonts w:hint="default"/>
                <w:vertAlign w:val="subscript"/>
              </w:rPr>
              <w:t>P1</w:t>
            </w:r>
            <w:r>
              <w:rPr>
                <w:rFonts w:hint="default"/>
              </w:rPr>
              <w:t>—室内设备声压级，dB；</w:t>
            </w:r>
          </w:p>
          <w:p>
            <w:pPr>
              <w:keepNext w:val="0"/>
              <w:keepLines w:val="0"/>
              <w:suppressLineNumbers w:val="0"/>
              <w:spacing w:before="0" w:beforeAutospacing="0" w:after="0" w:afterAutospacing="0"/>
              <w:ind w:left="0" w:right="0" w:firstLine="480"/>
              <w:rPr>
                <w:rFonts w:hint="default"/>
              </w:rPr>
            </w:pPr>
            <w:r>
              <w:rPr>
                <w:rFonts w:hint="default"/>
              </w:rPr>
              <w:t>L</w:t>
            </w:r>
            <w:r>
              <w:rPr>
                <w:rFonts w:hint="default"/>
                <w:vertAlign w:val="subscript"/>
              </w:rPr>
              <w:t>P2</w:t>
            </w:r>
            <w:r>
              <w:rPr>
                <w:rFonts w:hint="default"/>
              </w:rPr>
              <w:t>—等效室外设备声压级，dB；</w:t>
            </w:r>
          </w:p>
          <w:p>
            <w:pPr>
              <w:keepNext w:val="0"/>
              <w:keepLines w:val="0"/>
              <w:suppressLineNumbers w:val="0"/>
              <w:spacing w:before="0" w:beforeAutospacing="0" w:after="0" w:afterAutospacing="0"/>
              <w:ind w:left="0" w:right="0" w:firstLine="480"/>
              <w:rPr>
                <w:rFonts w:hint="default"/>
              </w:rPr>
            </w:pPr>
            <w:r>
              <w:rPr>
                <w:rFonts w:hint="default"/>
              </w:rPr>
              <w:t>TL—墙体隔声量，dB，各设备均采取吸收、隔声措施。根据</w:t>
            </w:r>
            <w:r>
              <w:rPr>
                <w:rFonts w:hint="eastAsia"/>
              </w:rPr>
              <w:t>《工业企业噪声控制设计规范》（</w:t>
            </w:r>
            <w:r>
              <w:rPr>
                <w:rFonts w:hint="default"/>
              </w:rPr>
              <w:t>GB/T50087-2013</w:t>
            </w:r>
            <w:r>
              <w:rPr>
                <w:rFonts w:hint="eastAsia"/>
              </w:rPr>
              <w:t>）</w:t>
            </w:r>
            <w:r>
              <w:rPr>
                <w:rFonts w:hint="default"/>
              </w:rPr>
              <w:t>，本项目属于一般车间厂房，厂房隔声降噪量5dB；因此建筑物的插入损失为</w:t>
            </w:r>
            <w:r>
              <w:rPr>
                <w:rFonts w:hint="eastAsia"/>
              </w:rPr>
              <w:t>11</w:t>
            </w:r>
            <w:r>
              <w:rPr>
                <w:rFonts w:hint="default"/>
              </w:rPr>
              <w:t>dB。</w:t>
            </w:r>
          </w:p>
          <w:p>
            <w:pPr>
              <w:keepNext w:val="0"/>
              <w:keepLines w:val="0"/>
              <w:suppressLineNumbers w:val="0"/>
              <w:spacing w:before="0" w:beforeAutospacing="0" w:after="0" w:afterAutospacing="0"/>
              <w:ind w:left="0" w:right="0" w:firstLine="480"/>
              <w:jc w:val="center"/>
              <w:rPr>
                <w:rFonts w:hint="default"/>
              </w:rPr>
            </w:pPr>
            <w:r>
              <w:rPr>
                <w:rFonts w:hint="default"/>
              </w:rPr>
              <w:drawing>
                <wp:inline distT="0" distB="0" distL="114300" distR="114300">
                  <wp:extent cx="3327400" cy="1808480"/>
                  <wp:effectExtent l="9525" t="9525" r="15875" b="10795"/>
                  <wp:docPr id="1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1"/>
                          <pic:cNvPicPr>
                            <a:picLocks noChangeAspect="1"/>
                          </pic:cNvPicPr>
                        </pic:nvPicPr>
                        <pic:blipFill>
                          <a:blip r:embed="rId13"/>
                          <a:stretch>
                            <a:fillRect/>
                          </a:stretch>
                        </pic:blipFill>
                        <pic:spPr>
                          <a:xfrm>
                            <a:off x="0" y="0"/>
                            <a:ext cx="3327400" cy="1808480"/>
                          </a:xfrm>
                          <a:prstGeom prst="rect">
                            <a:avLst/>
                          </a:prstGeom>
                          <a:noFill/>
                          <a:ln>
                            <a:solidFill>
                              <a:schemeClr val="tx1"/>
                            </a:solidFill>
                          </a:ln>
                        </pic:spPr>
                      </pic:pic>
                    </a:graphicData>
                  </a:graphic>
                </wp:inline>
              </w:drawing>
            </w:r>
          </w:p>
          <w:p>
            <w:pPr>
              <w:pStyle w:val="10"/>
              <w:keepNext w:val="0"/>
              <w:keepLines w:val="0"/>
              <w:suppressLineNumbers w:val="0"/>
              <w:spacing w:before="0" w:beforeAutospacing="0" w:after="120" w:afterAutospacing="0"/>
              <w:ind w:left="0" w:right="0"/>
              <w:rPr>
                <w:rFonts w:hint="default"/>
              </w:rPr>
            </w:pPr>
            <w:r>
              <w:rPr>
                <w:rFonts w:hint="default"/>
              </w:rPr>
              <w:t>图4-</w:t>
            </w:r>
            <w:r>
              <w:rPr>
                <w:rFonts w:hint="eastAsia"/>
              </w:rPr>
              <w:t>1</w:t>
            </w:r>
            <w:r>
              <w:rPr>
                <w:rFonts w:hint="default"/>
              </w:rPr>
              <w:t xml:space="preserve">  室内声源等效为室外声源图例</w:t>
            </w:r>
          </w:p>
          <w:p>
            <w:pPr>
              <w:keepNext w:val="0"/>
              <w:keepLines w:val="0"/>
              <w:suppressLineNumbers w:val="0"/>
              <w:spacing w:before="0" w:beforeAutospacing="0" w:after="0" w:afterAutospacing="0"/>
              <w:ind w:left="0" w:right="0" w:firstLine="480"/>
              <w:rPr>
                <w:rFonts w:hint="default"/>
              </w:rPr>
            </w:pPr>
            <w:r>
              <w:rPr>
                <w:rFonts w:hint="eastAsia"/>
              </w:rPr>
              <w:t>2）</w:t>
            </w:r>
            <w:r>
              <w:rPr>
                <w:rFonts w:hint="default"/>
              </w:rPr>
              <w:t>预测模式</w:t>
            </w:r>
          </w:p>
          <w:p>
            <w:pPr>
              <w:keepNext w:val="0"/>
              <w:keepLines w:val="0"/>
              <w:suppressLineNumbers w:val="0"/>
              <w:spacing w:before="0" w:beforeAutospacing="0" w:after="0" w:afterAutospacing="0"/>
              <w:ind w:left="0" w:right="0" w:firstLine="480"/>
              <w:rPr>
                <w:rFonts w:hint="default"/>
              </w:rPr>
            </w:pPr>
            <w:r>
              <w:rPr>
                <w:rFonts w:hint="default"/>
              </w:rPr>
              <w:t>评价根据《环境影响评价技术导则-声环境》（HJ2.4-2021）对项目营运期噪声进行环境影响分析，预测模式如下：</w:t>
            </w:r>
          </w:p>
          <w:p>
            <w:pPr>
              <w:keepNext w:val="0"/>
              <w:keepLines w:val="0"/>
              <w:suppressLineNumbers w:val="0"/>
              <w:spacing w:before="0" w:beforeAutospacing="0" w:after="0" w:afterAutospacing="0"/>
              <w:ind w:left="0" w:right="0" w:firstLine="480"/>
              <w:rPr>
                <w:rFonts w:hint="default"/>
              </w:rPr>
            </w:pPr>
            <w:r>
              <w:rPr>
                <w:rFonts w:hint="eastAsia"/>
              </w:rPr>
              <w:t>①</w:t>
            </w:r>
            <w:r>
              <w:rPr>
                <w:rFonts w:hint="default"/>
              </w:rPr>
              <w:t>点声源衰减</w:t>
            </w:r>
          </w:p>
          <w:p>
            <w:pPr>
              <w:keepNext w:val="0"/>
              <w:keepLines w:val="0"/>
              <w:suppressLineNumbers w:val="0"/>
              <w:spacing w:before="0" w:beforeAutospacing="0" w:after="0" w:afterAutospacing="0"/>
              <w:ind w:left="0" w:right="0" w:firstLine="480"/>
              <w:rPr>
                <w:rFonts w:hint="default"/>
              </w:rPr>
            </w:pPr>
            <w:r>
              <w:rPr>
                <w:rFonts w:hint="eastAsia"/>
              </w:rPr>
              <w:t>A</w:t>
            </w:r>
            <w:r>
              <w:rPr>
                <w:rFonts w:hint="default"/>
              </w:rPr>
              <w:t>衰减公式</w:t>
            </w:r>
          </w:p>
          <w:p>
            <w:pPr>
              <w:keepNext w:val="0"/>
              <w:keepLines w:val="0"/>
              <w:suppressLineNumbers w:val="0"/>
              <w:spacing w:before="0" w:beforeAutospacing="0" w:after="0" w:afterAutospacing="0"/>
              <w:ind w:left="0" w:right="0" w:firstLine="480"/>
              <w:rPr>
                <w:rFonts w:hint="default"/>
              </w:rPr>
            </w:pPr>
            <w:r>
              <w:rPr>
                <w:rFonts w:hint="default"/>
              </w:rPr>
              <w:t>本项目只考虑几何发散衰减，参照HJ2.4-2021附录A中公式A.4，衰减公式为：</w:t>
            </w:r>
          </w:p>
          <w:p>
            <w:pPr>
              <w:keepNext w:val="0"/>
              <w:keepLines w:val="0"/>
              <w:suppressLineNumbers w:val="0"/>
              <w:spacing w:before="0" w:beforeAutospacing="0" w:after="0" w:afterAutospacing="0"/>
              <w:ind w:left="0" w:right="0" w:firstLine="480"/>
              <w:rPr>
                <w:rFonts w:hint="default"/>
              </w:rPr>
            </w:pPr>
            <m:oMathPara>
              <m:oMath>
                <m:sSub>
                  <m:sSubPr>
                    <m:ctrlPr>
                      <w:rPr>
                        <w:rFonts w:hint="default" w:ascii="Cambria Math" w:hAnsi="Cambria Math"/>
                      </w:rPr>
                    </m:ctrlPr>
                  </m:sSubPr>
                  <m:e>
                    <m:r>
                      <m:rPr>
                        <m:sty m:val="p"/>
                      </m:rPr>
                      <w:rPr>
                        <w:rFonts w:hint="default" w:ascii="Cambria Math" w:hAnsi="Cambria Math"/>
                      </w:rPr>
                      <m:t>L</m:t>
                    </m:r>
                    <m:ctrlPr>
                      <w:rPr>
                        <w:rFonts w:hint="default" w:ascii="Cambria Math" w:hAnsi="Cambria Math"/>
                      </w:rPr>
                    </m:ctrlPr>
                  </m:e>
                  <m:sub>
                    <m:r>
                      <m:rPr>
                        <m:sty m:val="p"/>
                      </m:rPr>
                      <w:rPr>
                        <w:rFonts w:hint="default" w:ascii="Cambria Math" w:hAnsi="Cambria Math"/>
                      </w:rPr>
                      <m:t>A</m:t>
                    </m:r>
                    <m:ctrlPr>
                      <w:rPr>
                        <w:rFonts w:hint="default" w:ascii="Cambria Math" w:hAnsi="Cambria Math"/>
                      </w:rPr>
                    </m:ctrlPr>
                  </m:sub>
                </m:sSub>
                <m:r>
                  <m:rPr>
                    <m:sty m:val="p"/>
                  </m:rPr>
                  <w:rPr>
                    <w:rFonts w:hint="default" w:ascii="Cambria Math" w:hAnsi="Cambria Math"/>
                  </w:rPr>
                  <m:t>(r)=</m:t>
                </m:r>
                <m:sSub>
                  <m:sSubPr>
                    <m:ctrlPr>
                      <w:rPr>
                        <w:rFonts w:hint="default" w:ascii="Cambria Math" w:hAnsi="Cambria Math"/>
                      </w:rPr>
                    </m:ctrlPr>
                  </m:sSubPr>
                  <m:e>
                    <m:r>
                      <m:rPr>
                        <m:sty m:val="p"/>
                      </m:rPr>
                      <w:rPr>
                        <w:rFonts w:hint="default" w:ascii="Cambria Math" w:hAnsi="Cambria Math"/>
                      </w:rPr>
                      <m:t>L</m:t>
                    </m:r>
                    <m:ctrlPr>
                      <w:rPr>
                        <w:rFonts w:hint="default" w:ascii="Cambria Math" w:hAnsi="Cambria Math"/>
                      </w:rPr>
                    </m:ctrlPr>
                  </m:e>
                  <m:sub>
                    <m:r>
                      <m:rPr>
                        <m:sty m:val="p"/>
                      </m:rPr>
                      <w:rPr>
                        <w:rFonts w:hint="default" w:ascii="Cambria Math" w:hAnsi="Cambria Math"/>
                      </w:rPr>
                      <m:t>A</m:t>
                    </m:r>
                    <m:ctrlPr>
                      <w:rPr>
                        <w:rFonts w:hint="default" w:ascii="Cambria Math" w:hAnsi="Cambria Math"/>
                      </w:rPr>
                    </m:ctrlPr>
                  </m:sub>
                </m:sSub>
                <m:r>
                  <m:rPr>
                    <m:sty m:val="p"/>
                  </m:rPr>
                  <w:rPr>
                    <w:rFonts w:hint="default" w:ascii="Cambria Math" w:hAnsi="Cambria Math"/>
                  </w:rPr>
                  <m:t>(</m:t>
                </m:r>
                <m:sSub>
                  <m:sSubPr>
                    <m:ctrlPr>
                      <w:rPr>
                        <w:rFonts w:hint="default" w:ascii="Cambria Math" w:hAnsi="Cambria Math"/>
                      </w:rPr>
                    </m:ctrlPr>
                  </m:sSubPr>
                  <m:e>
                    <m:r>
                      <m:rPr>
                        <m:sty m:val="p"/>
                      </m:rPr>
                      <w:rPr>
                        <w:rFonts w:hint="default" w:ascii="Cambria Math" w:hAnsi="Cambria Math"/>
                      </w:rPr>
                      <m:t>r</m:t>
                    </m:r>
                    <m:ctrlPr>
                      <w:rPr>
                        <w:rFonts w:hint="default" w:ascii="Cambria Math" w:hAnsi="Cambria Math"/>
                      </w:rPr>
                    </m:ctrlPr>
                  </m:e>
                  <m:sub>
                    <m:r>
                      <m:rPr>
                        <m:sty m:val="p"/>
                      </m:rPr>
                      <w:rPr>
                        <w:rFonts w:hint="default" w:ascii="Cambria Math" w:hAnsi="Cambria Math"/>
                      </w:rPr>
                      <m:t>0</m:t>
                    </m:r>
                    <m:ctrlPr>
                      <w:rPr>
                        <w:rFonts w:hint="default" w:ascii="Cambria Math" w:hAnsi="Cambria Math"/>
                      </w:rPr>
                    </m:ctrlPr>
                  </m:sub>
                </m:sSub>
                <m:r>
                  <m:rPr>
                    <m:sty m:val="p"/>
                  </m:rPr>
                  <w:rPr>
                    <w:rFonts w:hint="default" w:ascii="Cambria Math" w:hAnsi="Cambria Math"/>
                  </w:rPr>
                  <m:t>)−</m:t>
                </m:r>
                <m:sSub>
                  <m:sSubPr>
                    <m:ctrlPr>
                      <w:rPr>
                        <w:rFonts w:hint="default" w:ascii="Cambria Math" w:hAnsi="Cambria Math"/>
                      </w:rPr>
                    </m:ctrlPr>
                  </m:sSubPr>
                  <m:e>
                    <m:r>
                      <m:rPr>
                        <m:sty m:val="p"/>
                      </m:rPr>
                      <w:rPr>
                        <w:rFonts w:hint="default" w:ascii="Cambria Math" w:hAnsi="Cambria Math"/>
                      </w:rPr>
                      <m:t>A</m:t>
                    </m:r>
                    <m:ctrlPr>
                      <w:rPr>
                        <w:rFonts w:hint="default" w:ascii="Cambria Math" w:hAnsi="Cambria Math"/>
                      </w:rPr>
                    </m:ctrlPr>
                  </m:e>
                  <m:sub>
                    <m:r>
                      <m:rPr>
                        <m:sty m:val="p"/>
                      </m:rPr>
                      <w:rPr>
                        <w:rFonts w:hint="default" w:ascii="Cambria Math" w:hAnsi="Cambria Math"/>
                      </w:rPr>
                      <m:t>div</m:t>
                    </m:r>
                    <m:ctrlPr>
                      <w:rPr>
                        <w:rFonts w:hint="default" w:ascii="Cambria Math" w:hAnsi="Cambria Math"/>
                      </w:rPr>
                    </m:ctrlPr>
                  </m:sub>
                </m:sSub>
              </m:oMath>
            </m:oMathPara>
          </w:p>
          <w:p>
            <w:pPr>
              <w:keepNext w:val="0"/>
              <w:keepLines w:val="0"/>
              <w:suppressLineNumbers w:val="0"/>
              <w:spacing w:before="0" w:beforeAutospacing="0" w:after="0" w:afterAutospacing="0"/>
              <w:ind w:left="0" w:right="0" w:firstLine="480"/>
              <w:rPr>
                <w:rFonts w:hint="default"/>
              </w:rPr>
            </w:pPr>
            <w:r>
              <w:rPr>
                <w:rFonts w:hint="default"/>
              </w:rPr>
              <w:t>式中：</w:t>
            </w:r>
          </w:p>
          <w:p>
            <w:pPr>
              <w:keepNext w:val="0"/>
              <w:keepLines w:val="0"/>
              <w:suppressLineNumbers w:val="0"/>
              <w:spacing w:before="0" w:beforeAutospacing="0" w:after="0" w:afterAutospacing="0"/>
              <w:ind w:left="0" w:right="0" w:firstLine="480"/>
              <w:rPr>
                <w:rFonts w:hint="default"/>
              </w:rPr>
            </w:pPr>
            <w:r>
              <w:rPr>
                <w:rFonts w:hint="default"/>
              </w:rPr>
              <w:t>L</w:t>
            </w:r>
            <w:r>
              <w:rPr>
                <w:rFonts w:hint="default"/>
                <w:vertAlign w:val="subscript"/>
              </w:rPr>
              <w:t>A</w:t>
            </w:r>
            <w:r>
              <w:rPr>
                <w:rFonts w:hint="default"/>
              </w:rPr>
              <w:t>（r）—距声源r处的A声级，dB（A）；</w:t>
            </w:r>
          </w:p>
          <w:p>
            <w:pPr>
              <w:keepNext w:val="0"/>
              <w:keepLines w:val="0"/>
              <w:suppressLineNumbers w:val="0"/>
              <w:spacing w:before="0" w:beforeAutospacing="0" w:after="0" w:afterAutospacing="0"/>
              <w:ind w:left="0" w:right="0" w:firstLine="480"/>
              <w:rPr>
                <w:rFonts w:hint="default"/>
              </w:rPr>
            </w:pPr>
            <w:r>
              <w:rPr>
                <w:rFonts w:hint="default"/>
              </w:rPr>
              <w:t>L</w:t>
            </w:r>
            <w:r>
              <w:rPr>
                <w:rFonts w:hint="default"/>
                <w:vertAlign w:val="subscript"/>
              </w:rPr>
              <w:t>A</w:t>
            </w:r>
            <w:r>
              <w:rPr>
                <w:rFonts w:hint="default"/>
              </w:rPr>
              <w:t>（r</w:t>
            </w:r>
            <w:r>
              <w:rPr>
                <w:rFonts w:hint="default"/>
                <w:vertAlign w:val="subscript"/>
              </w:rPr>
              <w:t>0</w:t>
            </w:r>
            <w:r>
              <w:rPr>
                <w:rFonts w:hint="default"/>
              </w:rPr>
              <w:t>）—参考位置r</w:t>
            </w:r>
            <w:r>
              <w:rPr>
                <w:rFonts w:hint="default"/>
                <w:vertAlign w:val="subscript"/>
              </w:rPr>
              <w:t>0</w:t>
            </w:r>
            <w:r>
              <w:rPr>
                <w:rFonts w:hint="default"/>
              </w:rPr>
              <w:t>处的A声级，dB（A）；</w:t>
            </w:r>
          </w:p>
          <w:p>
            <w:pPr>
              <w:keepNext w:val="0"/>
              <w:keepLines w:val="0"/>
              <w:suppressLineNumbers w:val="0"/>
              <w:spacing w:before="0" w:beforeAutospacing="0" w:after="0" w:afterAutospacing="0"/>
              <w:ind w:left="0" w:right="0" w:firstLine="480"/>
              <w:rPr>
                <w:rFonts w:hint="default"/>
              </w:rPr>
            </w:pPr>
            <w:r>
              <w:rPr>
                <w:rFonts w:hint="default"/>
              </w:rPr>
              <w:t>A</w:t>
            </w:r>
            <w:r>
              <w:rPr>
                <w:rFonts w:hint="default"/>
                <w:vertAlign w:val="subscript"/>
              </w:rPr>
              <w:t>div</w:t>
            </w:r>
            <w:r>
              <w:rPr>
                <w:rFonts w:hint="default"/>
              </w:rPr>
              <w:t>—几何发散引起的衰减，dB。</w:t>
            </w:r>
          </w:p>
          <w:p>
            <w:pPr>
              <w:keepNext w:val="0"/>
              <w:keepLines w:val="0"/>
              <w:suppressLineNumbers w:val="0"/>
              <w:spacing w:before="0" w:beforeAutospacing="0" w:after="0" w:afterAutospacing="0"/>
              <w:ind w:left="0" w:right="0" w:firstLine="480"/>
              <w:rPr>
                <w:rFonts w:hint="default"/>
              </w:rPr>
            </w:pPr>
            <w:r>
              <w:rPr>
                <w:rFonts w:hint="eastAsia"/>
              </w:rPr>
              <w:t>B</w:t>
            </w:r>
            <w:r>
              <w:rPr>
                <w:rFonts w:hint="default"/>
              </w:rPr>
              <w:t>声源几何发散衰减公式</w:t>
            </w:r>
          </w:p>
          <w:p>
            <w:pPr>
              <w:keepNext w:val="0"/>
              <w:keepLines w:val="0"/>
              <w:suppressLineNumbers w:val="0"/>
              <w:spacing w:before="0" w:beforeAutospacing="0" w:after="0" w:afterAutospacing="0"/>
              <w:ind w:left="0" w:right="0" w:firstLine="480"/>
              <w:rPr>
                <w:rFonts w:hint="default"/>
              </w:rPr>
            </w:pPr>
            <m:oMathPara>
              <m:oMath>
                <m:sSub>
                  <m:sSubPr>
                    <m:ctrlPr>
                      <w:rPr>
                        <w:rFonts w:hint="default" w:ascii="Cambria Math" w:hAnsi="Cambria Math"/>
                      </w:rPr>
                    </m:ctrlPr>
                  </m:sSubPr>
                  <m:e>
                    <m:r>
                      <m:rPr>
                        <m:sty m:val="p"/>
                      </m:rPr>
                      <w:rPr>
                        <w:rFonts w:hint="default" w:ascii="Cambria Math" w:hAnsi="Cambria Math"/>
                      </w:rPr>
                      <m:t>A</m:t>
                    </m:r>
                    <m:ctrlPr>
                      <w:rPr>
                        <w:rFonts w:hint="default" w:ascii="Cambria Math" w:hAnsi="Cambria Math"/>
                      </w:rPr>
                    </m:ctrlPr>
                  </m:e>
                  <m:sub>
                    <m:r>
                      <m:rPr>
                        <m:sty m:val="p"/>
                      </m:rPr>
                      <w:rPr>
                        <w:rFonts w:hint="default" w:ascii="Cambria Math" w:hAnsi="Cambria Math"/>
                      </w:rPr>
                      <m:t>div</m:t>
                    </m:r>
                    <m:ctrlPr>
                      <w:rPr>
                        <w:rFonts w:hint="default" w:ascii="Cambria Math" w:hAnsi="Cambria Math"/>
                      </w:rPr>
                    </m:ctrlPr>
                  </m:sub>
                </m:sSub>
                <m:r>
                  <m:rPr>
                    <m:sty m:val="p"/>
                  </m:rPr>
                  <w:rPr>
                    <w:rFonts w:hint="default" w:ascii="Cambria Math" w:hAnsi="Cambria Math"/>
                  </w:rPr>
                  <m:t>=20</m:t>
                </m:r>
                <m:func>
                  <m:funcPr>
                    <m:ctrlPr>
                      <w:rPr>
                        <w:rFonts w:hint="default" w:ascii="Cambria Math" w:hAnsi="Cambria Math"/>
                      </w:rPr>
                    </m:ctrlPr>
                  </m:funcPr>
                  <m:fName>
                    <m:r>
                      <m:rPr>
                        <m:sty m:val="p"/>
                      </m:rPr>
                      <w:rPr>
                        <w:rFonts w:hint="default" w:ascii="Cambria Math" w:hAnsi="Cambria Math"/>
                      </w:rPr>
                      <m:t>log</m:t>
                    </m:r>
                    <m:ctrlPr>
                      <w:rPr>
                        <w:rFonts w:hint="default" w:ascii="Cambria Math" w:hAnsi="Cambria Math"/>
                      </w:rPr>
                    </m:ctrlPr>
                  </m:fName>
                  <m:e>
                    <m:r>
                      <m:rPr>
                        <m:sty m:val="p"/>
                      </m:rPr>
                      <w:rPr>
                        <w:rFonts w:hint="default" w:ascii="Cambria Math" w:hAnsi="Cambria Math"/>
                      </w:rPr>
                      <m:t>(</m:t>
                    </m:r>
                    <m:f>
                      <m:fPr>
                        <m:ctrlPr>
                          <w:rPr>
                            <w:rFonts w:hint="default" w:ascii="Cambria Math" w:hAnsi="Cambria Math"/>
                          </w:rPr>
                        </m:ctrlPr>
                      </m:fPr>
                      <m:num>
                        <m:r>
                          <m:rPr>
                            <m:sty m:val="p"/>
                          </m:rPr>
                          <w:rPr>
                            <w:rFonts w:hint="default" w:ascii="Cambria Math" w:hAnsi="Cambria Math"/>
                          </w:rPr>
                          <m:t>r</m:t>
                        </m:r>
                        <m:ctrlPr>
                          <w:rPr>
                            <w:rFonts w:hint="default" w:ascii="Cambria Math" w:hAnsi="Cambria Math"/>
                          </w:rPr>
                        </m:ctrlPr>
                      </m:num>
                      <m:den>
                        <m:sSub>
                          <m:sSubPr>
                            <m:ctrlPr>
                              <w:rPr>
                                <w:rFonts w:hint="default" w:ascii="Cambria Math" w:hAnsi="Cambria Math"/>
                              </w:rPr>
                            </m:ctrlPr>
                          </m:sSubPr>
                          <m:e>
                            <m:r>
                              <m:rPr>
                                <m:sty m:val="p"/>
                              </m:rPr>
                              <w:rPr>
                                <w:rFonts w:hint="default" w:ascii="Cambria Math" w:hAnsi="Cambria Math"/>
                              </w:rPr>
                              <m:t>r</m:t>
                            </m:r>
                            <m:ctrlPr>
                              <w:rPr>
                                <w:rFonts w:hint="default" w:ascii="Cambria Math" w:hAnsi="Cambria Math"/>
                              </w:rPr>
                            </m:ctrlPr>
                          </m:e>
                          <m:sub>
                            <m:r>
                              <m:rPr>
                                <m:sty m:val="p"/>
                              </m:rPr>
                              <w:rPr>
                                <w:rFonts w:hint="default" w:ascii="Cambria Math" w:hAnsi="Cambria Math"/>
                              </w:rPr>
                              <m:t>0</m:t>
                            </m:r>
                            <m:ctrlPr>
                              <w:rPr>
                                <w:rFonts w:hint="default" w:ascii="Cambria Math" w:hAnsi="Cambria Math"/>
                              </w:rPr>
                            </m:ctrlPr>
                          </m:sub>
                        </m:sSub>
                        <m:ctrlPr>
                          <w:rPr>
                            <w:rFonts w:hint="default" w:ascii="Cambria Math" w:hAnsi="Cambria Math"/>
                          </w:rPr>
                        </m:ctrlPr>
                      </m:den>
                    </m:f>
                    <m:r>
                      <m:rPr>
                        <m:sty m:val="p"/>
                      </m:rPr>
                      <w:rPr>
                        <w:rFonts w:hint="default" w:ascii="Cambria Math" w:hAnsi="Cambria Math"/>
                      </w:rPr>
                      <m:t>)</m:t>
                    </m:r>
                    <m:ctrlPr>
                      <w:rPr>
                        <w:rFonts w:hint="default" w:ascii="Cambria Math" w:hAnsi="Cambria Math"/>
                      </w:rPr>
                    </m:ctrlPr>
                  </m:e>
                </m:func>
              </m:oMath>
            </m:oMathPara>
          </w:p>
          <w:p>
            <w:pPr>
              <w:keepNext w:val="0"/>
              <w:keepLines w:val="0"/>
              <w:suppressLineNumbers w:val="0"/>
              <w:spacing w:before="0" w:beforeAutospacing="0" w:after="0" w:afterAutospacing="0"/>
              <w:ind w:left="0" w:right="0" w:firstLine="480"/>
              <w:rPr>
                <w:rFonts w:hint="default"/>
              </w:rPr>
            </w:pPr>
            <w:r>
              <w:rPr>
                <w:rFonts w:hint="default"/>
              </w:rPr>
              <w:t>式中：</w:t>
            </w:r>
          </w:p>
          <w:p>
            <w:pPr>
              <w:keepNext w:val="0"/>
              <w:keepLines w:val="0"/>
              <w:suppressLineNumbers w:val="0"/>
              <w:spacing w:before="0" w:beforeAutospacing="0" w:after="0" w:afterAutospacing="0"/>
              <w:ind w:left="0" w:right="0" w:firstLine="480"/>
              <w:rPr>
                <w:rFonts w:hint="default"/>
              </w:rPr>
            </w:pPr>
            <w:r>
              <w:rPr>
                <w:rFonts w:hint="default"/>
              </w:rPr>
              <w:t>A</w:t>
            </w:r>
            <w:r>
              <w:rPr>
                <w:rFonts w:hint="default"/>
                <w:vertAlign w:val="subscript"/>
              </w:rPr>
              <w:t>div</w:t>
            </w:r>
            <w:r>
              <w:rPr>
                <w:rFonts w:hint="default"/>
              </w:rPr>
              <w:t>—几何发散引起的衰减，dB；</w:t>
            </w:r>
          </w:p>
          <w:p>
            <w:pPr>
              <w:keepNext w:val="0"/>
              <w:keepLines w:val="0"/>
              <w:suppressLineNumbers w:val="0"/>
              <w:spacing w:before="0" w:beforeAutospacing="0" w:after="0" w:afterAutospacing="0"/>
              <w:ind w:left="0" w:right="0" w:firstLine="480"/>
              <w:rPr>
                <w:rFonts w:hint="default"/>
              </w:rPr>
            </w:pPr>
            <w:r>
              <w:rPr>
                <w:rFonts w:hint="default"/>
              </w:rPr>
              <w:t>r—预测点距声源的距离；</w:t>
            </w:r>
          </w:p>
          <w:p>
            <w:pPr>
              <w:keepNext w:val="0"/>
              <w:keepLines w:val="0"/>
              <w:suppressLineNumbers w:val="0"/>
              <w:spacing w:before="0" w:beforeAutospacing="0" w:after="0" w:afterAutospacing="0"/>
              <w:ind w:left="0" w:right="0" w:firstLine="480"/>
              <w:rPr>
                <w:rFonts w:hint="default"/>
              </w:rPr>
            </w:pPr>
            <w:r>
              <w:rPr>
                <w:rFonts w:hint="default"/>
              </w:rPr>
              <w:t>r</w:t>
            </w:r>
            <w:r>
              <w:rPr>
                <w:rFonts w:hint="default"/>
                <w:vertAlign w:val="subscript"/>
              </w:rPr>
              <w:t>0</w:t>
            </w:r>
            <w:r>
              <w:rPr>
                <w:rFonts w:hint="default"/>
              </w:rPr>
              <w:t>—参考位置距声源的距离。</w:t>
            </w:r>
          </w:p>
          <w:p>
            <w:pPr>
              <w:keepNext w:val="0"/>
              <w:keepLines w:val="0"/>
              <w:suppressLineNumbers w:val="0"/>
              <w:spacing w:before="0" w:beforeAutospacing="0" w:after="0" w:afterAutospacing="0"/>
              <w:ind w:left="0" w:right="0" w:firstLine="480"/>
              <w:rPr>
                <w:rFonts w:hint="default"/>
              </w:rPr>
            </w:pPr>
            <w:r>
              <w:rPr>
                <w:rFonts w:hint="eastAsia"/>
              </w:rPr>
              <w:t>②</w:t>
            </w:r>
            <w:r>
              <w:rPr>
                <w:rFonts w:hint="default"/>
              </w:rPr>
              <w:t>预测噪声值</w:t>
            </w:r>
          </w:p>
          <w:p>
            <w:pPr>
              <w:keepNext w:val="0"/>
              <w:keepLines w:val="0"/>
              <w:suppressLineNumbers w:val="0"/>
              <w:spacing w:before="0" w:beforeAutospacing="0" w:after="0" w:afterAutospacing="0"/>
              <w:ind w:left="0" w:right="0" w:firstLine="480"/>
              <w:rPr>
                <w:rFonts w:hint="default"/>
              </w:rPr>
            </w:pPr>
            <w:r>
              <w:rPr>
                <w:rFonts w:hint="default"/>
              </w:rPr>
              <w:t>在同一受声点接受来自多个点声源的声能，可通过叠加得出该受声点的声压级。根据现场踏勘，本项目</w:t>
            </w:r>
            <w:r>
              <w:rPr>
                <w:rFonts w:hint="eastAsia"/>
              </w:rPr>
              <w:t>为新建项目，</w:t>
            </w:r>
            <w:r>
              <w:rPr>
                <w:rFonts w:hint="default"/>
              </w:rPr>
              <w:t>50m范围内没有声环境保护目标，因此，本评价对项目厂界噪声进行预测，不叠加背景值，噪声叠加公式如下：</w:t>
            </w:r>
          </w:p>
          <w:p>
            <w:pPr>
              <w:keepNext w:val="0"/>
              <w:keepLines w:val="0"/>
              <w:suppressLineNumbers w:val="0"/>
              <w:spacing w:before="0" w:beforeAutospacing="0" w:after="0" w:afterAutospacing="0"/>
              <w:ind w:left="0" w:right="0" w:firstLine="480"/>
              <w:rPr>
                <w:rFonts w:hint="default"/>
              </w:rPr>
            </w:pPr>
            <m:oMathPara>
              <m:oMath>
                <m:sSub>
                  <m:sSubPr>
                    <m:ctrlPr>
                      <w:rPr>
                        <w:rFonts w:hint="default" w:ascii="Cambria Math" w:hAnsi="Cambria Math"/>
                      </w:rPr>
                    </m:ctrlPr>
                  </m:sSubPr>
                  <m:e>
                    <m:r>
                      <m:rPr>
                        <m:sty m:val="p"/>
                      </m:rPr>
                      <w:rPr>
                        <w:rFonts w:hint="default" w:ascii="Cambria Math" w:hAnsi="Cambria Math"/>
                      </w:rPr>
                      <m:t>L</m:t>
                    </m:r>
                    <m:ctrlPr>
                      <w:rPr>
                        <w:rFonts w:hint="default" w:ascii="Cambria Math" w:hAnsi="Cambria Math"/>
                      </w:rPr>
                    </m:ctrlPr>
                  </m:e>
                  <m:sub>
                    <m:r>
                      <m:rPr>
                        <m:sty m:val="p"/>
                      </m:rPr>
                      <w:rPr>
                        <w:rFonts w:hint="default" w:ascii="Cambria Math" w:hAnsi="Cambria Math"/>
                      </w:rPr>
                      <m:t>eq</m:t>
                    </m:r>
                    <m:ctrlPr>
                      <w:rPr>
                        <w:rFonts w:hint="default" w:ascii="Cambria Math" w:hAnsi="Cambria Math"/>
                      </w:rPr>
                    </m:ctrlPr>
                  </m:sub>
                </m:sSub>
                <m:r>
                  <m:rPr>
                    <m:sty m:val="p"/>
                  </m:rPr>
                  <w:rPr>
                    <w:rFonts w:hint="default" w:ascii="Cambria Math" w:hAnsi="Cambria Math"/>
                  </w:rPr>
                  <m:t>=10</m:t>
                </m:r>
                <m:func>
                  <m:funcPr>
                    <m:ctrlPr>
                      <w:rPr>
                        <w:rFonts w:hint="default" w:ascii="Cambria Math" w:hAnsi="Cambria Math"/>
                      </w:rPr>
                    </m:ctrlPr>
                  </m:funcPr>
                  <m:fName>
                    <m:r>
                      <m:rPr>
                        <m:sty m:val="p"/>
                      </m:rPr>
                      <w:rPr>
                        <w:rFonts w:hint="default" w:ascii="Cambria Math" w:hAnsi="Cambria Math"/>
                      </w:rPr>
                      <m:t>log</m:t>
                    </m:r>
                    <m:ctrlPr>
                      <w:rPr>
                        <w:rFonts w:hint="default" w:ascii="Cambria Math" w:hAnsi="Cambria Math"/>
                      </w:rPr>
                    </m:ctrlPr>
                  </m:fName>
                  <m:e>
                    <m:d>
                      <m:dPr>
                        <m:ctrlPr>
                          <w:rPr>
                            <w:rFonts w:hint="default" w:ascii="Cambria Math" w:hAnsi="Cambria Math"/>
                          </w:rPr>
                        </m:ctrlPr>
                      </m:dPr>
                      <m:e>
                        <m:sSup>
                          <m:sSupPr>
                            <m:ctrlPr>
                              <w:rPr>
                                <w:rFonts w:hint="default" w:ascii="Cambria Math" w:hAnsi="Cambria Math"/>
                              </w:rPr>
                            </m:ctrlPr>
                          </m:sSupPr>
                          <m:e>
                            <m:r>
                              <m:rPr>
                                <m:sty m:val="p"/>
                              </m:rPr>
                              <w:rPr>
                                <w:rFonts w:hint="default" w:ascii="Cambria Math" w:hAnsi="Cambria Math"/>
                              </w:rPr>
                              <m:t>10</m:t>
                            </m:r>
                            <m:ctrlPr>
                              <w:rPr>
                                <w:rFonts w:hint="default" w:ascii="Cambria Math" w:hAnsi="Cambria Math"/>
                              </w:rPr>
                            </m:ctrlPr>
                          </m:e>
                          <m:sup>
                            <m:r>
                              <m:rPr>
                                <m:sty m:val="p"/>
                              </m:rPr>
                              <w:rPr>
                                <w:rFonts w:hint="default" w:ascii="Cambria Math" w:hAnsi="Cambria Math"/>
                              </w:rPr>
                              <m:t>0.1</m:t>
                            </m:r>
                            <m:sSub>
                              <m:sSubPr>
                                <m:ctrlPr>
                                  <w:rPr>
                                    <w:rFonts w:hint="default" w:ascii="Cambria Math" w:hAnsi="Cambria Math"/>
                                  </w:rPr>
                                </m:ctrlPr>
                              </m:sSubPr>
                              <m:e>
                                <m:r>
                                  <m:rPr>
                                    <m:sty m:val="p"/>
                                  </m:rPr>
                                  <w:rPr>
                                    <w:rFonts w:hint="default" w:ascii="Cambria Math" w:hAnsi="Cambria Math"/>
                                  </w:rPr>
                                  <m:t>L</m:t>
                                </m:r>
                                <m:ctrlPr>
                                  <w:rPr>
                                    <w:rFonts w:hint="default" w:ascii="Cambria Math" w:hAnsi="Cambria Math"/>
                                  </w:rPr>
                                </m:ctrlPr>
                              </m:e>
                              <m:sub>
                                <m:r>
                                  <m:rPr>
                                    <m:sty m:val="p"/>
                                  </m:rPr>
                                  <w:rPr>
                                    <w:rFonts w:hint="default" w:ascii="Cambria Math" w:hAnsi="Cambria Math"/>
                                  </w:rPr>
                                  <m:t>eqg</m:t>
                                </m:r>
                                <m:ctrlPr>
                                  <w:rPr>
                                    <w:rFonts w:hint="default" w:ascii="Cambria Math" w:hAnsi="Cambria Math"/>
                                  </w:rPr>
                                </m:ctrlPr>
                              </m:sub>
                            </m:sSub>
                            <m:ctrlPr>
                              <w:rPr>
                                <w:rFonts w:hint="default" w:ascii="Cambria Math" w:hAnsi="Cambria Math"/>
                              </w:rPr>
                            </m:ctrlPr>
                          </m:sup>
                        </m:sSup>
                        <m:r>
                          <m:rPr>
                            <m:sty m:val="p"/>
                          </m:rPr>
                          <w:rPr>
                            <w:rFonts w:hint="default" w:ascii="Cambria Math" w:hAnsi="Cambria Math"/>
                          </w:rPr>
                          <m:t>+</m:t>
                        </m:r>
                        <m:sSup>
                          <m:sSupPr>
                            <m:ctrlPr>
                              <w:rPr>
                                <w:rFonts w:hint="default" w:ascii="Cambria Math" w:hAnsi="Cambria Math"/>
                              </w:rPr>
                            </m:ctrlPr>
                          </m:sSupPr>
                          <m:e>
                            <m:r>
                              <m:rPr>
                                <m:sty m:val="p"/>
                              </m:rPr>
                              <w:rPr>
                                <w:rFonts w:hint="default" w:ascii="Cambria Math" w:hAnsi="Cambria Math"/>
                              </w:rPr>
                              <m:t>10</m:t>
                            </m:r>
                            <m:ctrlPr>
                              <w:rPr>
                                <w:rFonts w:hint="default" w:ascii="Cambria Math" w:hAnsi="Cambria Math"/>
                              </w:rPr>
                            </m:ctrlPr>
                          </m:e>
                          <m:sup>
                            <m:r>
                              <m:rPr>
                                <m:sty m:val="p"/>
                              </m:rPr>
                              <w:rPr>
                                <w:rFonts w:hint="default" w:ascii="Cambria Math" w:hAnsi="Cambria Math"/>
                              </w:rPr>
                              <m:t>0.1</m:t>
                            </m:r>
                            <m:sSub>
                              <m:sSubPr>
                                <m:ctrlPr>
                                  <w:rPr>
                                    <w:rFonts w:hint="default" w:ascii="Cambria Math" w:hAnsi="Cambria Math"/>
                                  </w:rPr>
                                </m:ctrlPr>
                              </m:sSubPr>
                              <m:e>
                                <m:r>
                                  <m:rPr>
                                    <m:sty m:val="p"/>
                                  </m:rPr>
                                  <w:rPr>
                                    <w:rFonts w:hint="default" w:ascii="Cambria Math" w:hAnsi="Cambria Math"/>
                                  </w:rPr>
                                  <m:t>L</m:t>
                                </m:r>
                                <m:ctrlPr>
                                  <w:rPr>
                                    <w:rFonts w:hint="default" w:ascii="Cambria Math" w:hAnsi="Cambria Math"/>
                                  </w:rPr>
                                </m:ctrlPr>
                              </m:e>
                              <m:sub>
                                <m:r>
                                  <m:rPr>
                                    <m:sty m:val="p"/>
                                  </m:rPr>
                                  <w:rPr>
                                    <w:rFonts w:hint="default" w:ascii="Cambria Math" w:hAnsi="Cambria Math"/>
                                  </w:rPr>
                                  <m:t>eqb</m:t>
                                </m:r>
                                <m:ctrlPr>
                                  <w:rPr>
                                    <w:rFonts w:hint="default" w:ascii="Cambria Math" w:hAnsi="Cambria Math"/>
                                  </w:rPr>
                                </m:ctrlPr>
                              </m:sub>
                            </m:sSub>
                            <m:ctrlPr>
                              <w:rPr>
                                <w:rFonts w:hint="default" w:ascii="Cambria Math" w:hAnsi="Cambria Math"/>
                              </w:rPr>
                            </m:ctrlPr>
                          </m:sup>
                        </m:sSup>
                        <m:ctrlPr>
                          <w:rPr>
                            <w:rFonts w:hint="default" w:ascii="Cambria Math" w:hAnsi="Cambria Math"/>
                          </w:rPr>
                        </m:ctrlPr>
                      </m:e>
                    </m:d>
                    <m:ctrlPr>
                      <w:rPr>
                        <w:rFonts w:hint="default" w:ascii="Cambria Math" w:hAnsi="Cambria Math"/>
                      </w:rPr>
                    </m:ctrlPr>
                  </m:e>
                </m:func>
              </m:oMath>
            </m:oMathPara>
          </w:p>
          <w:p>
            <w:pPr>
              <w:keepNext w:val="0"/>
              <w:keepLines w:val="0"/>
              <w:suppressLineNumbers w:val="0"/>
              <w:spacing w:before="0" w:beforeAutospacing="0" w:after="0" w:afterAutospacing="0"/>
              <w:ind w:left="0" w:right="0" w:firstLine="480"/>
              <w:rPr>
                <w:rFonts w:hint="default"/>
              </w:rPr>
            </w:pPr>
            <w:r>
              <w:rPr>
                <w:rFonts w:hint="default"/>
              </w:rPr>
              <w:t>式中：L</w:t>
            </w:r>
            <w:r>
              <w:rPr>
                <w:rFonts w:hint="default"/>
                <w:vertAlign w:val="subscript"/>
              </w:rPr>
              <w:t>eq</w:t>
            </w:r>
            <w:r>
              <w:rPr>
                <w:rFonts w:hint="default"/>
              </w:rPr>
              <w:t>——预测点的噪声预测值，dB(A)；</w:t>
            </w:r>
          </w:p>
          <w:p>
            <w:pPr>
              <w:keepNext w:val="0"/>
              <w:keepLines w:val="0"/>
              <w:suppressLineNumbers w:val="0"/>
              <w:spacing w:before="0" w:beforeAutospacing="0" w:after="0" w:afterAutospacing="0"/>
              <w:ind w:left="0" w:right="0" w:firstLine="480"/>
              <w:rPr>
                <w:rFonts w:hint="default"/>
              </w:rPr>
            </w:pPr>
            <w:r>
              <w:rPr>
                <w:rFonts w:hint="default"/>
              </w:rPr>
              <w:t>L</w:t>
            </w:r>
            <w:r>
              <w:rPr>
                <w:rFonts w:hint="default"/>
                <w:vertAlign w:val="subscript"/>
              </w:rPr>
              <w:t>eqg</w:t>
            </w:r>
            <w:r>
              <w:rPr>
                <w:rFonts w:hint="default"/>
              </w:rPr>
              <w:t>——建设项目声源再预测点产生的噪声贡献值，dB；</w:t>
            </w:r>
          </w:p>
          <w:p>
            <w:pPr>
              <w:keepNext w:val="0"/>
              <w:keepLines w:val="0"/>
              <w:suppressLineNumbers w:val="0"/>
              <w:spacing w:before="0" w:beforeAutospacing="0" w:after="0" w:afterAutospacing="0"/>
              <w:ind w:left="0" w:right="0" w:firstLine="480"/>
              <w:rPr>
                <w:rFonts w:hint="default"/>
              </w:rPr>
            </w:pPr>
            <w:r>
              <w:rPr>
                <w:rFonts w:hint="default"/>
              </w:rPr>
              <w:t>L</w:t>
            </w:r>
            <w:r>
              <w:rPr>
                <w:rFonts w:hint="default"/>
                <w:vertAlign w:val="subscript"/>
              </w:rPr>
              <w:t>eqb</w:t>
            </w:r>
            <w:r>
              <w:rPr>
                <w:rFonts w:hint="default"/>
              </w:rPr>
              <w:t>——预测点的背景噪声值。</w:t>
            </w:r>
          </w:p>
          <w:p>
            <w:pPr>
              <w:keepNext w:val="0"/>
              <w:keepLines w:val="0"/>
              <w:suppressLineNumbers w:val="0"/>
              <w:spacing w:before="0" w:beforeAutospacing="0" w:after="0" w:afterAutospacing="0"/>
              <w:ind w:left="0" w:right="0" w:firstLine="482"/>
              <w:rPr>
                <w:rFonts w:hint="default"/>
                <w:b/>
                <w:bCs/>
              </w:rPr>
            </w:pPr>
            <w:r>
              <w:rPr>
                <w:rFonts w:hint="eastAsia"/>
                <w:b/>
                <w:bCs/>
              </w:rPr>
              <w:t>（3）厂界噪声预测结果及分析</w:t>
            </w:r>
          </w:p>
          <w:p>
            <w:pPr>
              <w:keepNext w:val="0"/>
              <w:keepLines w:val="0"/>
              <w:suppressLineNumbers w:val="0"/>
              <w:spacing w:before="0" w:beforeAutospacing="0" w:after="0" w:afterAutospacing="0"/>
              <w:ind w:left="0" w:right="0" w:firstLine="480"/>
              <w:rPr>
                <w:rFonts w:hint="default"/>
              </w:rPr>
            </w:pPr>
            <w:r>
              <w:rPr>
                <w:rFonts w:hint="eastAsia"/>
              </w:rPr>
              <w:t>根据表4-</w:t>
            </w:r>
            <w:r>
              <w:rPr>
                <w:rFonts w:hint="eastAsia"/>
                <w:lang w:val="en-US" w:eastAsia="zh-CN"/>
              </w:rPr>
              <w:t>8</w:t>
            </w:r>
            <w:r>
              <w:rPr>
                <w:rFonts w:hint="eastAsia"/>
              </w:rPr>
              <w:t>调查清单和噪声叠加公式，可以预测生产设备同时工作时各厂界噪声值，具体见表4-</w:t>
            </w:r>
            <w:r>
              <w:rPr>
                <w:rFonts w:hint="eastAsia"/>
                <w:lang w:val="en-US" w:eastAsia="zh-CN"/>
              </w:rPr>
              <w:t>9</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表4-</w:t>
            </w:r>
            <w:r>
              <w:rPr>
                <w:rFonts w:hint="eastAsia"/>
                <w:lang w:val="en-US" w:eastAsia="zh-CN"/>
              </w:rPr>
              <w:t>9</w:t>
            </w:r>
            <w:r>
              <w:rPr>
                <w:rFonts w:hint="default"/>
              </w:rPr>
              <w:t xml:space="preserve">  各厂界噪声预测结果一览表      单位：dB（A）</w:t>
            </w:r>
          </w:p>
          <w:tbl>
            <w:tblPr>
              <w:tblStyle w:val="7"/>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521"/>
              <w:gridCol w:w="1739"/>
              <w:gridCol w:w="1304"/>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1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厂界</w:t>
                  </w:r>
                </w:p>
              </w:tc>
              <w:tc>
                <w:tcPr>
                  <w:tcW w:w="152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预测噪声值</w:t>
                  </w:r>
                </w:p>
              </w:tc>
              <w:tc>
                <w:tcPr>
                  <w:tcW w:w="17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标准限值（昼间）</w:t>
                  </w:r>
                </w:p>
              </w:tc>
              <w:tc>
                <w:tcPr>
                  <w:tcW w:w="130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达标情况</w:t>
                  </w:r>
                </w:p>
              </w:tc>
              <w:tc>
                <w:tcPr>
                  <w:tcW w:w="194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东厂界</w:t>
                  </w:r>
                </w:p>
              </w:tc>
              <w:tc>
                <w:tcPr>
                  <w:tcW w:w="152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44.8</w:t>
                  </w:r>
                </w:p>
              </w:tc>
              <w:tc>
                <w:tcPr>
                  <w:tcW w:w="17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rPr>
                    <w:t>6</w:t>
                  </w:r>
                  <w:r>
                    <w:rPr>
                      <w:rFonts w:hint="eastAsia"/>
                      <w:szCs w:val="20"/>
                      <w:lang w:val="en-US" w:eastAsia="zh-CN"/>
                    </w:rPr>
                    <w:t>0</w:t>
                  </w:r>
                </w:p>
              </w:tc>
              <w:tc>
                <w:tcPr>
                  <w:tcW w:w="130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达标</w:t>
                  </w:r>
                </w:p>
              </w:tc>
              <w:tc>
                <w:tcPr>
                  <w:tcW w:w="194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《工业企业厂界环境噪声排放标准》（GB12348-2008）</w:t>
                  </w:r>
                  <w:r>
                    <w:rPr>
                      <w:rFonts w:hint="eastAsia"/>
                      <w:szCs w:val="20"/>
                      <w:lang w:val="en-US" w:eastAsia="zh-CN"/>
                    </w:rPr>
                    <w:t>2</w:t>
                  </w:r>
                  <w:r>
                    <w:rPr>
                      <w:rFonts w:hint="default"/>
                      <w:szCs w:val="20"/>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南</w:t>
                  </w:r>
                  <w:r>
                    <w:rPr>
                      <w:rFonts w:hint="default"/>
                      <w:szCs w:val="20"/>
                    </w:rPr>
                    <w:t>厂界</w:t>
                  </w:r>
                </w:p>
              </w:tc>
              <w:tc>
                <w:tcPr>
                  <w:tcW w:w="152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46.4</w:t>
                  </w:r>
                </w:p>
              </w:tc>
              <w:tc>
                <w:tcPr>
                  <w:tcW w:w="17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rPr>
                    <w:t>6</w:t>
                  </w:r>
                  <w:r>
                    <w:rPr>
                      <w:rFonts w:hint="eastAsia"/>
                      <w:szCs w:val="20"/>
                      <w:lang w:val="en-US" w:eastAsia="zh-CN"/>
                    </w:rPr>
                    <w:t>0</w:t>
                  </w:r>
                </w:p>
              </w:tc>
              <w:tc>
                <w:tcPr>
                  <w:tcW w:w="130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达标</w:t>
                  </w:r>
                </w:p>
              </w:tc>
              <w:tc>
                <w:tcPr>
                  <w:tcW w:w="1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西</w:t>
                  </w:r>
                  <w:r>
                    <w:rPr>
                      <w:rFonts w:hint="default"/>
                      <w:szCs w:val="20"/>
                    </w:rPr>
                    <w:t>厂界</w:t>
                  </w:r>
                </w:p>
              </w:tc>
              <w:tc>
                <w:tcPr>
                  <w:tcW w:w="152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49.8</w:t>
                  </w:r>
                </w:p>
              </w:tc>
              <w:tc>
                <w:tcPr>
                  <w:tcW w:w="17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rPr>
                    <w:t>6</w:t>
                  </w:r>
                  <w:r>
                    <w:rPr>
                      <w:rFonts w:hint="eastAsia"/>
                      <w:szCs w:val="20"/>
                      <w:lang w:val="en-US" w:eastAsia="zh-CN"/>
                    </w:rPr>
                    <w:t>0</w:t>
                  </w:r>
                </w:p>
              </w:tc>
              <w:tc>
                <w:tcPr>
                  <w:tcW w:w="130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达标</w:t>
                  </w:r>
                </w:p>
              </w:tc>
              <w:tc>
                <w:tcPr>
                  <w:tcW w:w="1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北</w:t>
                  </w:r>
                  <w:r>
                    <w:rPr>
                      <w:rFonts w:hint="default"/>
                      <w:szCs w:val="20"/>
                    </w:rPr>
                    <w:t>厂界</w:t>
                  </w:r>
                </w:p>
              </w:tc>
              <w:tc>
                <w:tcPr>
                  <w:tcW w:w="152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42.8</w:t>
                  </w:r>
                </w:p>
              </w:tc>
              <w:tc>
                <w:tcPr>
                  <w:tcW w:w="17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rPr>
                    <w:t>6</w:t>
                  </w:r>
                  <w:r>
                    <w:rPr>
                      <w:rFonts w:hint="eastAsia"/>
                      <w:szCs w:val="20"/>
                      <w:lang w:val="en-US" w:eastAsia="zh-CN"/>
                    </w:rPr>
                    <w:t>0</w:t>
                  </w:r>
                </w:p>
              </w:tc>
              <w:tc>
                <w:tcPr>
                  <w:tcW w:w="130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达标</w:t>
                  </w:r>
                </w:p>
              </w:tc>
              <w:tc>
                <w:tcPr>
                  <w:tcW w:w="194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8" w:type="dxa"/>
                  <w:gridSpan w:val="5"/>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b/>
                      <w:bCs/>
                      <w:szCs w:val="20"/>
                    </w:rPr>
                    <w:t>注：</w:t>
                  </w:r>
                  <w:r>
                    <w:rPr>
                      <w:rFonts w:hint="eastAsia"/>
                      <w:szCs w:val="20"/>
                    </w:rPr>
                    <w:t>本项目夜间不生产。</w:t>
                  </w:r>
                </w:p>
              </w:tc>
            </w:tr>
          </w:tbl>
          <w:p>
            <w:pPr>
              <w:keepNext w:val="0"/>
              <w:keepLines w:val="0"/>
              <w:suppressLineNumbers w:val="0"/>
              <w:spacing w:before="0" w:beforeAutospacing="0" w:after="0" w:afterAutospacing="0"/>
              <w:ind w:left="0" w:right="0" w:firstLine="480"/>
              <w:rPr>
                <w:rFonts w:hint="default"/>
              </w:rPr>
            </w:pPr>
            <w:r>
              <w:rPr>
                <w:rFonts w:hint="eastAsia"/>
              </w:rPr>
              <w:t>根据上表预测结果，采取厂房隔声、基础减震等措施后，项目各厂界噪声均能满足《工业企业厂界环境噪声排放标准》（GB12348-2008）</w:t>
            </w:r>
            <w:r>
              <w:rPr>
                <w:rFonts w:hint="eastAsia"/>
                <w:lang w:val="en-US" w:eastAsia="zh-CN"/>
              </w:rPr>
              <w:t>2</w:t>
            </w:r>
            <w:r>
              <w:rPr>
                <w:rFonts w:hint="eastAsia"/>
              </w:rPr>
              <w:t>类标准限值。</w:t>
            </w:r>
          </w:p>
          <w:p>
            <w:pPr>
              <w:keepNext w:val="0"/>
              <w:keepLines w:val="0"/>
              <w:suppressLineNumbers w:val="0"/>
              <w:spacing w:before="0" w:beforeAutospacing="0" w:after="0" w:afterAutospacing="0"/>
              <w:ind w:left="0" w:right="0" w:firstLine="480"/>
              <w:rPr>
                <w:rFonts w:hint="default"/>
              </w:rPr>
            </w:pPr>
            <w:r>
              <w:rPr>
                <w:rFonts w:hint="eastAsia"/>
              </w:rPr>
              <w:t>为减小运营期间噪声对周边环境的影响，本评价提出如下措施：</w:t>
            </w:r>
          </w:p>
          <w:p>
            <w:pPr>
              <w:keepNext w:val="0"/>
              <w:keepLines w:val="0"/>
              <w:suppressLineNumbers w:val="0"/>
              <w:spacing w:before="0" w:beforeAutospacing="0" w:after="0" w:afterAutospacing="0"/>
              <w:ind w:left="0" w:right="0" w:firstLine="480"/>
              <w:rPr>
                <w:rFonts w:hint="default"/>
              </w:rPr>
            </w:pPr>
            <w:r>
              <w:rPr>
                <w:rFonts w:hint="eastAsia"/>
              </w:rPr>
              <w:t>①选用低噪声设备；</w:t>
            </w:r>
          </w:p>
          <w:p>
            <w:pPr>
              <w:keepNext w:val="0"/>
              <w:keepLines w:val="0"/>
              <w:suppressLineNumbers w:val="0"/>
              <w:spacing w:before="0" w:beforeAutospacing="0" w:after="0" w:afterAutospacing="0"/>
              <w:ind w:left="0" w:right="0" w:firstLine="480"/>
              <w:rPr>
                <w:rFonts w:hint="default"/>
              </w:rPr>
            </w:pPr>
            <w:r>
              <w:rPr>
                <w:rFonts w:hint="eastAsia"/>
              </w:rPr>
              <w:t>②运营过程中加强主要产噪设备的保养、检修，保证设备处于良好的运转状态，减少机械振动和摩擦产生的噪声；</w:t>
            </w:r>
          </w:p>
          <w:p>
            <w:pPr>
              <w:keepNext w:val="0"/>
              <w:keepLines w:val="0"/>
              <w:suppressLineNumbers w:val="0"/>
              <w:spacing w:before="0" w:beforeAutospacing="0" w:after="0" w:afterAutospacing="0"/>
              <w:ind w:left="0" w:right="0" w:firstLine="480"/>
              <w:rPr>
                <w:rFonts w:hint="default"/>
              </w:rPr>
            </w:pPr>
            <w:r>
              <w:rPr>
                <w:rFonts w:hint="eastAsia"/>
              </w:rPr>
              <w:t>③高噪声设备安装减震垫机型基础减震，对设备进行有效的减震、隔声处理；</w:t>
            </w:r>
          </w:p>
          <w:p>
            <w:pPr>
              <w:keepNext w:val="0"/>
              <w:keepLines w:val="0"/>
              <w:suppressLineNumbers w:val="0"/>
              <w:spacing w:before="0" w:beforeAutospacing="0" w:after="0" w:afterAutospacing="0"/>
              <w:ind w:left="0" w:right="0" w:firstLine="480"/>
              <w:rPr>
                <w:rFonts w:hint="default"/>
              </w:rPr>
            </w:pPr>
            <w:r>
              <w:rPr>
                <w:rFonts w:hint="default"/>
              </w:rPr>
              <w:t>本项目厂界周边50m范围内无声环境敏感点，</w:t>
            </w:r>
            <w:r>
              <w:rPr>
                <w:rFonts w:hint="eastAsia"/>
              </w:rPr>
              <w:t>在落实上述处理措施后，</w:t>
            </w:r>
            <w:r>
              <w:rPr>
                <w:rFonts w:hint="default"/>
              </w:rPr>
              <w:t>可确保厂界噪声达标，对周围环境影响较小。</w:t>
            </w:r>
          </w:p>
          <w:p>
            <w:pPr>
              <w:keepNext w:val="0"/>
              <w:keepLines w:val="0"/>
              <w:suppressLineNumbers w:val="0"/>
              <w:spacing w:before="0" w:beforeAutospacing="0" w:after="0" w:afterAutospacing="0"/>
              <w:ind w:left="0" w:right="0" w:firstLine="482"/>
              <w:rPr>
                <w:rFonts w:hint="default"/>
              </w:rPr>
            </w:pPr>
            <w:r>
              <w:rPr>
                <w:rFonts w:hint="eastAsia"/>
                <w:b/>
                <w:bCs/>
              </w:rPr>
              <w:t>（4）监测计划</w:t>
            </w:r>
          </w:p>
          <w:p>
            <w:pPr>
              <w:keepNext w:val="0"/>
              <w:keepLines w:val="0"/>
              <w:suppressLineNumbers w:val="0"/>
              <w:spacing w:before="0" w:beforeAutospacing="0" w:after="0" w:afterAutospacing="0"/>
              <w:ind w:left="0" w:right="0" w:firstLine="480"/>
              <w:rPr>
                <w:rFonts w:hint="default"/>
              </w:rPr>
            </w:pPr>
            <w:r>
              <w:rPr>
                <w:rFonts w:hint="default"/>
              </w:rPr>
              <w:t>根据《排污单位自行监测技术指南 总则》（HJ819-2017），本项目在运行阶段噪声监测计划要求详见下表。</w:t>
            </w:r>
          </w:p>
          <w:p>
            <w:pPr>
              <w:pStyle w:val="11"/>
              <w:keepNext w:val="0"/>
              <w:keepLines w:val="0"/>
              <w:widowControl/>
              <w:suppressLineNumbers w:val="0"/>
              <w:bidi w:val="0"/>
              <w:spacing w:beforeAutospacing="0" w:after="0" w:afterAutospacing="0"/>
              <w:ind w:left="0" w:right="0"/>
              <w:rPr>
                <w:rFonts w:hint="default"/>
              </w:rPr>
            </w:pPr>
            <w:r>
              <w:rPr>
                <w:rFonts w:hint="default"/>
              </w:rPr>
              <w:t>表4-</w:t>
            </w:r>
            <w:r>
              <w:rPr>
                <w:rFonts w:hint="eastAsia"/>
                <w:lang w:val="en-US" w:eastAsia="zh-CN"/>
              </w:rPr>
              <w:t>10</w:t>
            </w:r>
            <w:r>
              <w:rPr>
                <w:rFonts w:hint="default"/>
              </w:rPr>
              <w:t xml:space="preserve">  噪声监测计划一览表</w:t>
            </w:r>
          </w:p>
          <w:tbl>
            <w:tblPr>
              <w:tblStyle w:val="7"/>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927"/>
              <w:gridCol w:w="1235"/>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监测点位</w:t>
                  </w:r>
                </w:p>
              </w:tc>
              <w:tc>
                <w:tcPr>
                  <w:tcW w:w="19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监测因子</w:t>
                  </w:r>
                </w:p>
              </w:tc>
              <w:tc>
                <w:tcPr>
                  <w:tcW w:w="123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监测频次</w:t>
                  </w:r>
                </w:p>
              </w:tc>
              <w:tc>
                <w:tcPr>
                  <w:tcW w:w="315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厂房四周边界</w:t>
                  </w:r>
                </w:p>
              </w:tc>
              <w:tc>
                <w:tcPr>
                  <w:tcW w:w="19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等效连续A声级</w:t>
                  </w:r>
                </w:p>
              </w:tc>
              <w:tc>
                <w:tcPr>
                  <w:tcW w:w="123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1次/季度</w:t>
                  </w:r>
                </w:p>
              </w:tc>
              <w:tc>
                <w:tcPr>
                  <w:tcW w:w="315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《工业企业厂界环境噪声排放标准》（GB12348-2008）</w:t>
                  </w:r>
                  <w:r>
                    <w:rPr>
                      <w:rFonts w:hint="eastAsia"/>
                      <w:szCs w:val="20"/>
                      <w:lang w:val="en-US" w:eastAsia="zh-CN"/>
                    </w:rPr>
                    <w:t>2</w:t>
                  </w:r>
                  <w:r>
                    <w:rPr>
                      <w:rFonts w:hint="default"/>
                      <w:szCs w:val="20"/>
                    </w:rPr>
                    <w:t>类标准</w:t>
                  </w:r>
                </w:p>
              </w:tc>
            </w:tr>
          </w:tbl>
          <w:p>
            <w:pPr>
              <w:keepNext w:val="0"/>
              <w:keepLines w:val="0"/>
              <w:suppressLineNumbers w:val="0"/>
              <w:spacing w:before="120" w:beforeLines="50" w:beforeAutospacing="0" w:after="0" w:afterAutospacing="0"/>
              <w:ind w:left="0" w:right="0" w:firstLine="482"/>
              <w:rPr>
                <w:rFonts w:hint="default"/>
              </w:rPr>
            </w:pPr>
            <w:r>
              <w:rPr>
                <w:rFonts w:hint="default"/>
                <w:b/>
                <w:bCs/>
              </w:rPr>
              <w:t>4、运营期固体废弃物环境影响保护措施</w:t>
            </w:r>
          </w:p>
          <w:p>
            <w:pPr>
              <w:keepNext w:val="0"/>
              <w:keepLines w:val="0"/>
              <w:suppressLineNumbers w:val="0"/>
              <w:spacing w:before="0" w:beforeAutospacing="0" w:after="0" w:afterAutospacing="0"/>
              <w:ind w:left="0" w:right="0" w:firstLine="480"/>
              <w:rPr>
                <w:rFonts w:hint="default"/>
              </w:rPr>
            </w:pPr>
            <w:r>
              <w:rPr>
                <w:rFonts w:hint="default"/>
              </w:rPr>
              <w:t>项目运营期产生的固体废物主要包括一般生产固体废物、危险废物和生活垃圾。</w:t>
            </w:r>
          </w:p>
          <w:p>
            <w:pPr>
              <w:keepNext w:val="0"/>
              <w:keepLines w:val="0"/>
              <w:suppressLineNumbers w:val="0"/>
              <w:spacing w:before="0" w:beforeAutospacing="0" w:after="0" w:afterAutospacing="0"/>
              <w:ind w:left="0" w:right="0" w:firstLine="482"/>
              <w:rPr>
                <w:rFonts w:hint="default"/>
                <w:b/>
                <w:bCs/>
              </w:rPr>
            </w:pPr>
            <w:r>
              <w:rPr>
                <w:rFonts w:hint="eastAsia"/>
                <w:b/>
                <w:bCs/>
              </w:rPr>
              <w:t>（1）生活垃圾</w:t>
            </w:r>
          </w:p>
          <w:p>
            <w:pPr>
              <w:keepNext w:val="0"/>
              <w:keepLines w:val="0"/>
              <w:suppressLineNumbers w:val="0"/>
              <w:spacing w:before="0" w:beforeAutospacing="0" w:after="0" w:afterAutospacing="0"/>
              <w:ind w:left="0" w:right="0" w:firstLine="480"/>
              <w:rPr>
                <w:rFonts w:hint="default"/>
                <w:highlight w:val="yellow"/>
              </w:rPr>
            </w:pPr>
            <w:r>
              <w:rPr>
                <w:rFonts w:hint="eastAsia"/>
              </w:rPr>
              <w:t>项目劳动定员</w:t>
            </w:r>
            <w:r>
              <w:rPr>
                <w:rFonts w:hint="eastAsia"/>
                <w:lang w:val="en-US" w:eastAsia="zh-CN"/>
              </w:rPr>
              <w:t>8</w:t>
            </w:r>
            <w:r>
              <w:rPr>
                <w:rFonts w:hint="eastAsia"/>
              </w:rPr>
              <w:t>人，员工在项目区食宿</w:t>
            </w:r>
            <w:r>
              <w:rPr>
                <w:rFonts w:hint="eastAsia"/>
                <w:lang w:eastAsia="zh-CN"/>
              </w:rPr>
              <w:t>、</w:t>
            </w:r>
            <w:r>
              <w:rPr>
                <w:rFonts w:hint="eastAsia"/>
                <w:lang w:val="en-US" w:eastAsia="zh-CN"/>
              </w:rPr>
              <w:t>办公</w:t>
            </w:r>
            <w:r>
              <w:rPr>
                <w:rFonts w:hint="eastAsia"/>
              </w:rPr>
              <w:t>。根据城镇生活源产排污系数手册，食宿工作人员生活垃圾产生量按1kg/d·人计算，产生的办公生活垃圾为</w:t>
            </w:r>
            <w:r>
              <w:rPr>
                <w:rFonts w:hint="eastAsia"/>
                <w:lang w:val="en-US" w:eastAsia="zh-CN"/>
              </w:rPr>
              <w:t>8</w:t>
            </w:r>
            <w:r>
              <w:rPr>
                <w:rFonts w:hint="eastAsia"/>
              </w:rPr>
              <w:t>kg/d、</w:t>
            </w:r>
            <w:r>
              <w:rPr>
                <w:rFonts w:hint="eastAsia"/>
                <w:lang w:val="en-US" w:eastAsia="zh-CN"/>
              </w:rPr>
              <w:t>2.4</w:t>
            </w:r>
            <w:r>
              <w:rPr>
                <w:rFonts w:hint="eastAsia"/>
              </w:rPr>
              <w:t>t/a，收集后由环卫部门统一清运处理。</w:t>
            </w:r>
          </w:p>
          <w:p>
            <w:pPr>
              <w:keepNext w:val="0"/>
              <w:keepLines w:val="0"/>
              <w:suppressLineNumbers w:val="0"/>
              <w:spacing w:before="0" w:beforeAutospacing="0" w:after="0" w:afterAutospacing="0"/>
              <w:ind w:left="0" w:right="0" w:firstLine="482"/>
              <w:rPr>
                <w:rFonts w:hint="default"/>
                <w:b/>
                <w:bCs/>
              </w:rPr>
            </w:pPr>
            <w:r>
              <w:rPr>
                <w:rFonts w:hint="eastAsia"/>
                <w:b/>
                <w:bCs/>
              </w:rPr>
              <w:t>（2）一般工业固体废物</w:t>
            </w:r>
          </w:p>
          <w:p>
            <w:pPr>
              <w:keepNext w:val="0"/>
              <w:keepLines w:val="0"/>
              <w:suppressLineNumbers w:val="0"/>
              <w:spacing w:before="0" w:beforeAutospacing="0" w:after="0" w:afterAutospacing="0"/>
              <w:ind w:left="0" w:right="0" w:firstLine="480"/>
              <w:rPr>
                <w:rFonts w:hint="eastAsia" w:eastAsia="宋体"/>
                <w:lang w:val="en-US" w:eastAsia="zh-CN"/>
              </w:rPr>
            </w:pPr>
            <w:r>
              <w:rPr>
                <w:rFonts w:hint="eastAsia"/>
              </w:rPr>
              <w:t>①废石</w:t>
            </w:r>
            <w:r>
              <w:rPr>
                <w:rFonts w:hint="eastAsia"/>
                <w:lang w:val="en-US" w:eastAsia="zh-CN"/>
              </w:rPr>
              <w:t>料</w:t>
            </w:r>
          </w:p>
          <w:p>
            <w:pPr>
              <w:keepNext w:val="0"/>
              <w:keepLines w:val="0"/>
              <w:suppressLineNumbers w:val="0"/>
              <w:spacing w:before="0" w:beforeAutospacing="0" w:after="0" w:afterAutospacing="0"/>
              <w:ind w:left="0" w:right="0" w:firstLine="480"/>
              <w:rPr>
                <w:rFonts w:hint="default"/>
              </w:rPr>
            </w:pPr>
            <w:r>
              <w:rPr>
                <w:rFonts w:hint="eastAsia"/>
              </w:rPr>
              <w:t>碎石骨料经干燥后进入振动筛筛选，筛选出粒度不合格（过大）的废石料。废石料产生量与供应商供应的石料质量有关，根据建设单位提供的资料，振动筛筛选出来的废石料产生量约占</w:t>
            </w:r>
            <w:r>
              <w:rPr>
                <w:rFonts w:hint="eastAsia"/>
                <w:lang w:val="en-US" w:eastAsia="zh-CN"/>
              </w:rPr>
              <w:t>砂石</w:t>
            </w:r>
            <w:r>
              <w:rPr>
                <w:rFonts w:hint="eastAsia"/>
              </w:rPr>
              <w:t>原料用量的0.1%，</w:t>
            </w:r>
            <w:r>
              <w:rPr>
                <w:rFonts w:hint="eastAsia"/>
                <w:highlight w:val="none"/>
                <w:lang w:val="en-US" w:eastAsia="zh-CN"/>
              </w:rPr>
              <w:t>砂石</w:t>
            </w:r>
            <w:r>
              <w:rPr>
                <w:rFonts w:hint="eastAsia"/>
                <w:highlight w:val="none"/>
              </w:rPr>
              <w:t>原料用量</w:t>
            </w:r>
            <w:r>
              <w:rPr>
                <w:rFonts w:hint="eastAsia"/>
                <w:highlight w:val="none"/>
                <w:lang w:val="en-US" w:eastAsia="zh-CN"/>
              </w:rPr>
              <w:t>10万t/a</w:t>
            </w:r>
            <w:r>
              <w:rPr>
                <w:rFonts w:hint="eastAsia"/>
                <w:lang w:val="en-US" w:eastAsia="zh-CN"/>
              </w:rPr>
              <w:t>，则废石料产生量</w:t>
            </w:r>
            <w:r>
              <w:rPr>
                <w:rFonts w:hint="eastAsia"/>
              </w:rPr>
              <w:t>为</w:t>
            </w:r>
            <w:r>
              <w:rPr>
                <w:rFonts w:hint="eastAsia"/>
                <w:lang w:val="en-US" w:eastAsia="zh-CN"/>
              </w:rPr>
              <w:t>100</w:t>
            </w:r>
            <w:r>
              <w:rPr>
                <w:rFonts w:hint="eastAsia"/>
              </w:rPr>
              <w:t>t/a，该项固废暂存于</w:t>
            </w:r>
            <w:r>
              <w:rPr>
                <w:rFonts w:hint="eastAsia"/>
                <w:lang w:val="en-US" w:eastAsia="zh-CN"/>
              </w:rPr>
              <w:t>一般固废暂存场所</w:t>
            </w:r>
            <w:r>
              <w:rPr>
                <w:rFonts w:hint="eastAsia"/>
              </w:rPr>
              <w:t>，定期由石料生产商回收破碎利用。</w:t>
            </w:r>
          </w:p>
          <w:p>
            <w:pPr>
              <w:keepNext w:val="0"/>
              <w:keepLines w:val="0"/>
              <w:suppressLineNumbers w:val="0"/>
              <w:spacing w:before="0" w:beforeAutospacing="0" w:after="0" w:afterAutospacing="0"/>
              <w:ind w:left="0" w:right="0" w:firstLine="480"/>
              <w:rPr>
                <w:rFonts w:hint="default" w:eastAsia="宋体"/>
                <w:highlight w:val="none"/>
                <w:lang w:val="en-US" w:eastAsia="zh-CN"/>
              </w:rPr>
            </w:pPr>
            <w:r>
              <w:rPr>
                <w:rFonts w:hint="eastAsia"/>
                <w:highlight w:val="none"/>
              </w:rPr>
              <w:t>②</w:t>
            </w:r>
            <w:r>
              <w:rPr>
                <w:rFonts w:hint="eastAsia"/>
                <w:highlight w:val="none"/>
                <w:lang w:val="en-US" w:eastAsia="zh-CN"/>
              </w:rPr>
              <w:t>除尘器收集粉尘</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根据大气专项分析中数据计算，项目</w:t>
            </w:r>
            <w:r>
              <w:rPr>
                <w:rFonts w:hint="eastAsia"/>
                <w:highlight w:val="none"/>
                <w:lang w:val="en-US" w:eastAsia="zh-CN"/>
              </w:rPr>
              <w:t>布袋</w:t>
            </w:r>
            <w:r>
              <w:rPr>
                <w:rFonts w:hint="eastAsia"/>
                <w:highlight w:val="none"/>
              </w:rPr>
              <w:t>除尘器</w:t>
            </w:r>
            <w:r>
              <w:rPr>
                <w:rFonts w:hint="eastAsia"/>
                <w:highlight w:val="none"/>
                <w:lang w:eastAsia="zh-CN"/>
              </w:rPr>
              <w:t>（</w:t>
            </w:r>
            <w:r>
              <w:rPr>
                <w:rFonts w:hint="eastAsia"/>
                <w:highlight w:val="none"/>
                <w:lang w:val="en-US" w:eastAsia="zh-CN"/>
              </w:rPr>
              <w:t>TA001、TA002</w:t>
            </w:r>
            <w:r>
              <w:rPr>
                <w:rFonts w:hint="eastAsia"/>
                <w:highlight w:val="none"/>
                <w:lang w:eastAsia="zh-CN"/>
              </w:rPr>
              <w:t>）</w:t>
            </w:r>
            <w:r>
              <w:rPr>
                <w:rFonts w:hint="eastAsia"/>
                <w:highlight w:val="none"/>
              </w:rPr>
              <w:t>收集的粉尘量约为</w:t>
            </w:r>
            <w:r>
              <w:rPr>
                <w:rFonts w:hint="eastAsia"/>
                <w:highlight w:val="none"/>
                <w:lang w:val="en-US" w:eastAsia="zh-CN"/>
              </w:rPr>
              <w:t>10.0782</w:t>
            </w:r>
            <w:r>
              <w:rPr>
                <w:rFonts w:hint="eastAsia"/>
                <w:highlight w:val="none"/>
              </w:rPr>
              <w:t>t/a，该项固废暂存于</w:t>
            </w:r>
            <w:r>
              <w:rPr>
                <w:rFonts w:hint="eastAsia"/>
                <w:highlight w:val="none"/>
                <w:lang w:val="en-US" w:eastAsia="zh-CN"/>
              </w:rPr>
              <w:t>一般固废暂存场所</w:t>
            </w:r>
            <w:r>
              <w:rPr>
                <w:rFonts w:hint="eastAsia"/>
                <w:highlight w:val="none"/>
              </w:rPr>
              <w:t>，定期回用到沥青混凝土生产。</w:t>
            </w:r>
          </w:p>
          <w:p>
            <w:pPr>
              <w:keepNext w:val="0"/>
              <w:keepLines w:val="0"/>
              <w:suppressLineNumbers w:val="0"/>
              <w:spacing w:before="0" w:beforeAutospacing="0" w:after="0" w:afterAutospacing="0"/>
              <w:ind w:left="0" w:right="0" w:firstLine="480"/>
              <w:rPr>
                <w:rFonts w:hint="default"/>
                <w:highlight w:val="none"/>
              </w:rPr>
            </w:pPr>
            <w:r>
              <w:rPr>
                <w:rFonts w:hint="eastAsia"/>
              </w:rPr>
              <w:t>③滴漏沥青及残渣：当散装沥青运输车将沥青输入厂区内沥青储罐，沥青泵将沥青从储罐打入拌合系统时，由于接口的密闭性问题，会滴漏少量沥青；搅拌缸和成品仓清理会产生少量的沥青混凝土残渣。滴漏沥青和废沥青混凝土暴露于常温下时呈凝固状态，不会四处流溢，产生量约为普通沥青用量的0.05%，普通沥青用量</w:t>
            </w:r>
            <w:r>
              <w:rPr>
                <w:rFonts w:hint="eastAsia"/>
                <w:lang w:val="en-US" w:eastAsia="zh-CN"/>
              </w:rPr>
              <w:t>为5000</w:t>
            </w:r>
            <w:r>
              <w:rPr>
                <w:rFonts w:hint="eastAsia"/>
                <w:highlight w:val="none"/>
                <w:lang w:val="en-US" w:eastAsia="zh-CN"/>
              </w:rPr>
              <w:t>t/a，</w:t>
            </w:r>
            <w:r>
              <w:rPr>
                <w:rFonts w:hint="eastAsia"/>
                <w:highlight w:val="none"/>
              </w:rPr>
              <w:t>则废沥青和废沥青混凝土产生量为</w:t>
            </w:r>
            <w:r>
              <w:rPr>
                <w:rFonts w:hint="eastAsia"/>
                <w:highlight w:val="none"/>
                <w:lang w:val="en-US" w:eastAsia="zh-CN"/>
              </w:rPr>
              <w:t>0.25</w:t>
            </w:r>
            <w:r>
              <w:rPr>
                <w:rFonts w:hint="eastAsia"/>
                <w:highlight w:val="none"/>
              </w:rPr>
              <w:t>t/a。</w:t>
            </w:r>
            <w:r>
              <w:rPr>
                <w:rFonts w:hint="eastAsia"/>
                <w:highlight w:val="none"/>
                <w:lang w:val="en-US" w:eastAsia="zh-CN"/>
              </w:rPr>
              <w:t>收集后</w:t>
            </w:r>
            <w:r>
              <w:rPr>
                <w:rFonts w:hint="eastAsia"/>
                <w:highlight w:val="none"/>
              </w:rPr>
              <w:t>暂存于一般固废暂存场所内，定期回用到沥青混凝土生产。</w:t>
            </w:r>
          </w:p>
          <w:p>
            <w:pPr>
              <w:keepNext w:val="0"/>
              <w:keepLines w:val="0"/>
              <w:suppressLineNumbers w:val="0"/>
              <w:spacing w:before="0" w:beforeAutospacing="0" w:after="0" w:afterAutospacing="0"/>
              <w:ind w:left="0" w:right="0" w:firstLine="482"/>
              <w:rPr>
                <w:rFonts w:hint="default"/>
                <w:b/>
                <w:bCs/>
              </w:rPr>
            </w:pPr>
            <w:r>
              <w:rPr>
                <w:rFonts w:hint="eastAsia"/>
                <w:b/>
                <w:bCs/>
              </w:rPr>
              <w:t>（3）危险废物</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①废活性炭</w:t>
            </w:r>
          </w:p>
          <w:p>
            <w:pPr>
              <w:keepNext w:val="0"/>
              <w:keepLines w:val="0"/>
              <w:suppressLineNumbers w:val="0"/>
              <w:spacing w:before="0" w:beforeAutospacing="0" w:after="0" w:afterAutospacing="0"/>
              <w:ind w:left="0" w:right="0" w:firstLine="480"/>
              <w:rPr>
                <w:rFonts w:hint="default"/>
                <w:highlight w:val="none"/>
              </w:rPr>
            </w:pPr>
            <w:r>
              <w:rPr>
                <w:rFonts w:hint="eastAsia"/>
                <w:highlight w:val="none"/>
              </w:rPr>
              <w:t>项目废气治理设施使用的活性炭吸附装置需定期更换活性炭</w:t>
            </w:r>
            <w:r>
              <w:rPr>
                <w:rFonts w:hint="eastAsia"/>
                <w:highlight w:val="none"/>
                <w:lang w:eastAsia="zh-CN"/>
              </w:rPr>
              <w:t>，项目全厂共设置1套活性炭吸附装置，</w:t>
            </w:r>
            <w:r>
              <w:rPr>
                <w:rFonts w:hint="default"/>
                <w:highlight w:val="none"/>
              </w:rPr>
              <w:t>根据《活性炭吸附手册》，活性炭对有机废气的吸附总量为0.1-0.4kg/kg（活性炭），本项目按0.3kg/kg（活性炭）计。项目有机废气吸附量为</w:t>
            </w:r>
            <w:r>
              <w:rPr>
                <w:rFonts w:hint="eastAsia"/>
                <w:highlight w:val="none"/>
                <w:lang w:val="en-US" w:eastAsia="zh-CN"/>
              </w:rPr>
              <w:t>0.285t</w:t>
            </w:r>
            <w:r>
              <w:rPr>
                <w:rFonts w:hint="default"/>
                <w:highlight w:val="none"/>
              </w:rPr>
              <w:t>/a，则需要消耗活性</w:t>
            </w:r>
            <w:r>
              <w:rPr>
                <w:rFonts w:hint="eastAsia"/>
                <w:highlight w:val="none"/>
                <w:lang w:val="en-US" w:eastAsia="zh-CN"/>
              </w:rPr>
              <w:t>0.95t</w:t>
            </w:r>
            <w:r>
              <w:rPr>
                <w:rFonts w:hint="default"/>
                <w:highlight w:val="none"/>
              </w:rPr>
              <w:t>/a。根据《国家危险废物名录》(2021年版)，废活性炭属于“HW49其他废物，废物代码为900-039-49，VOCs治理过程产生的废活性炭”</w:t>
            </w:r>
            <w:r>
              <w:rPr>
                <w:rFonts w:hint="eastAsia"/>
                <w:highlight w:val="none"/>
              </w:rPr>
              <w:t>，</w:t>
            </w:r>
            <w:r>
              <w:rPr>
                <w:rFonts w:hint="default"/>
                <w:highlight w:val="none"/>
              </w:rPr>
              <w:t>活性炭按照设计要求足量添加、及时更换</w:t>
            </w:r>
            <w:r>
              <w:rPr>
                <w:rFonts w:hint="eastAsia"/>
                <w:highlight w:val="none"/>
              </w:rPr>
              <w:t>，更换的</w:t>
            </w:r>
            <w:r>
              <w:rPr>
                <w:rFonts w:hint="default"/>
                <w:highlight w:val="none"/>
              </w:rPr>
              <w:t>废活性炭暂存至危废暂存间，定期委托有资质单位清运处置。</w:t>
            </w:r>
          </w:p>
          <w:p>
            <w:pPr>
              <w:keepNext w:val="0"/>
              <w:keepLines w:val="0"/>
              <w:suppressLineNumbers w:val="0"/>
              <w:spacing w:before="0" w:beforeAutospacing="0" w:after="0" w:afterAutospacing="0"/>
              <w:ind w:left="0" w:right="0" w:firstLine="480"/>
              <w:rPr>
                <w:rFonts w:hint="default"/>
              </w:rPr>
            </w:pPr>
            <w:r>
              <w:rPr>
                <w:rFonts w:hint="default"/>
              </w:rPr>
              <w:t>②</w:t>
            </w:r>
            <w:r>
              <w:rPr>
                <w:rFonts w:hint="eastAsia"/>
              </w:rPr>
              <w:t>废导热油：导热油在使用过程会逐渐老化、变质，需要定期更换</w:t>
            </w:r>
            <w:r>
              <w:rPr>
                <w:rFonts w:hint="eastAsia"/>
                <w:lang w:eastAsia="zh-CN"/>
              </w:rPr>
              <w:t>，</w:t>
            </w:r>
            <w:r>
              <w:rPr>
                <w:rFonts w:hint="eastAsia"/>
                <w:lang w:val="en-US" w:eastAsia="zh-CN"/>
              </w:rPr>
              <w:t>产生量约为0.1t/a</w:t>
            </w:r>
            <w:r>
              <w:rPr>
                <w:rFonts w:hint="eastAsia"/>
              </w:rPr>
              <w:t>。对照《国家危险废物名录（2021年版）》，废导热油属于危险废物HW08废矿物油与含矿物油废物：900-249-08（其他生产、销售、使用过程中产生的废矿物油及沾染矿物油的废弃包装物）。更换出来的废导热油使用加盖密封桶装，暂存于危废暂存间内，定期由有资质单位转运处置。</w:t>
            </w:r>
          </w:p>
          <w:p>
            <w:pPr>
              <w:keepNext w:val="0"/>
              <w:keepLines w:val="0"/>
              <w:suppressLineNumbers w:val="0"/>
              <w:spacing w:before="0" w:beforeAutospacing="0" w:after="0" w:afterAutospacing="0"/>
              <w:ind w:left="0" w:right="0" w:firstLine="480"/>
              <w:rPr>
                <w:rFonts w:hint="eastAsia"/>
                <w:lang w:val="en-US" w:eastAsia="zh-CN"/>
              </w:rPr>
            </w:pPr>
            <w:r>
              <w:rPr>
                <w:rFonts w:hint="eastAsia"/>
              </w:rPr>
              <w:t>③</w:t>
            </w:r>
            <w:r>
              <w:rPr>
                <w:rFonts w:hint="eastAsia"/>
                <w:lang w:val="en-US" w:eastAsia="zh-CN"/>
              </w:rPr>
              <w:t>废机油</w:t>
            </w:r>
          </w:p>
          <w:p>
            <w:pPr>
              <w:keepNext w:val="0"/>
              <w:keepLines w:val="0"/>
              <w:suppressLineNumbers w:val="0"/>
              <w:spacing w:before="0" w:beforeAutospacing="0" w:after="0" w:afterAutospacing="0"/>
              <w:ind w:left="0" w:right="0" w:firstLine="480"/>
              <w:rPr>
                <w:rFonts w:hint="default"/>
              </w:rPr>
            </w:pPr>
            <w:r>
              <w:rPr>
                <w:rFonts w:hint="eastAsia"/>
                <w:lang w:val="en-US" w:eastAsia="zh-CN"/>
              </w:rPr>
              <w:t>在项目运行期间，若生产设备发生故障需要维修，将产生少量废机油，年产量约为0.1t，根据《国家危险废物名录》（2021版），产生的废机油等属于名录中“HW08废矿物油与含矿物油废物”类中非特定行业“900-214- 08车辆、轮船及其他机械维修过程中产生的废发动机油、制动器油、自动变速器油、齿轮油等废润滑油”类废物，暂存于危废暂存间内，定期由有资质单位转运处置。</w:t>
            </w:r>
          </w:p>
          <w:p>
            <w:pPr>
              <w:keepNext w:val="0"/>
              <w:keepLines w:val="0"/>
              <w:suppressLineNumbers w:val="0"/>
              <w:spacing w:before="0" w:beforeAutospacing="0" w:after="0" w:afterAutospacing="0"/>
              <w:ind w:left="0" w:right="0" w:firstLine="480"/>
              <w:rPr>
                <w:rFonts w:hint="eastAsia"/>
                <w:lang w:val="en-US" w:eastAsia="zh-CN"/>
              </w:rPr>
            </w:pPr>
            <w:r>
              <w:rPr>
                <w:rFonts w:hint="eastAsia"/>
              </w:rPr>
              <w:t>④</w:t>
            </w:r>
            <w:r>
              <w:rPr>
                <w:rFonts w:hint="eastAsia"/>
                <w:lang w:val="en-US" w:eastAsia="zh-CN"/>
              </w:rPr>
              <w:t>废机油桶、导热油空桶</w:t>
            </w:r>
          </w:p>
          <w:p>
            <w:pPr>
              <w:keepNext w:val="0"/>
              <w:keepLines w:val="0"/>
              <w:suppressLineNumbers w:val="0"/>
              <w:spacing w:before="0" w:beforeAutospacing="0" w:after="0" w:afterAutospacing="0"/>
              <w:ind w:left="0" w:right="0" w:firstLine="480"/>
              <w:rPr>
                <w:rFonts w:hint="default"/>
              </w:rPr>
            </w:pPr>
            <w:r>
              <w:rPr>
                <w:rFonts w:hint="eastAsia"/>
                <w:lang w:val="en-US" w:eastAsia="zh-CN"/>
              </w:rPr>
              <w:t>本项目运营期会产生废机油桶、导热油空桶。根据建设单位提供的资料，机油使用量较小，废机油桶产生量约为0.01t/a；导热油空桶约为0.1t/a。属于《国家危险废物名录（2021年版）》中HW08废矿物油与含矿物油废物类别中900-249-08规定的危险废物，经收集后暂存于危废暂存间，定期交由有资质单位进行处理，并建立健全危险废物产生、处理、转移台账记录。</w:t>
            </w:r>
          </w:p>
          <w:p>
            <w:pPr>
              <w:keepNext w:val="0"/>
              <w:keepLines w:val="0"/>
              <w:suppressLineNumbers w:val="0"/>
              <w:spacing w:before="0" w:beforeAutospacing="0" w:after="0" w:afterAutospacing="0"/>
              <w:ind w:left="0" w:right="0" w:firstLine="480"/>
              <w:rPr>
                <w:rFonts w:hint="default"/>
              </w:rPr>
            </w:pPr>
            <w:r>
              <w:rPr>
                <w:rFonts w:hint="eastAsia"/>
              </w:rPr>
              <w:t>本项目固体废物产生及治理情况见表4-</w:t>
            </w:r>
            <w:r>
              <w:rPr>
                <w:rFonts w:hint="eastAsia"/>
                <w:lang w:val="en-US" w:eastAsia="zh-CN"/>
              </w:rPr>
              <w:t>11</w:t>
            </w:r>
            <w:r>
              <w:rPr>
                <w:rFonts w:hint="eastAsia"/>
              </w:rPr>
              <w:t>。</w:t>
            </w:r>
          </w:p>
          <w:p>
            <w:pPr>
              <w:pStyle w:val="11"/>
              <w:keepNext w:val="0"/>
              <w:keepLines w:val="0"/>
              <w:widowControl/>
              <w:suppressLineNumbers w:val="0"/>
              <w:bidi w:val="0"/>
              <w:spacing w:beforeAutospacing="0" w:after="0" w:afterAutospacing="0"/>
              <w:ind w:left="0" w:right="0"/>
              <w:rPr>
                <w:rFonts w:hint="default"/>
                <w:szCs w:val="20"/>
                <w:highlight w:val="yellow"/>
              </w:rPr>
            </w:pPr>
            <w:r>
              <w:rPr>
                <w:rFonts w:hint="default"/>
              </w:rPr>
              <w:t>表4-</w:t>
            </w:r>
            <w:r>
              <w:rPr>
                <w:rFonts w:hint="eastAsia"/>
                <w:lang w:val="en-US" w:eastAsia="zh-CN"/>
              </w:rPr>
              <w:t>11</w:t>
            </w:r>
            <w:r>
              <w:rPr>
                <w:rFonts w:hint="default"/>
              </w:rPr>
              <w:t xml:space="preserve">  本项目固体废物产生及治理情况一览表</w:t>
            </w:r>
          </w:p>
          <w:tbl>
            <w:tblPr>
              <w:tblStyle w:val="7"/>
              <w:tblW w:w="8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61"/>
              <w:gridCol w:w="1026"/>
              <w:gridCol w:w="796"/>
              <w:gridCol w:w="1313"/>
              <w:gridCol w:w="698"/>
              <w:gridCol w:w="110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固废属性</w:t>
                  </w:r>
                </w:p>
              </w:tc>
              <w:tc>
                <w:tcPr>
                  <w:tcW w:w="11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固废名称</w:t>
                  </w:r>
                </w:p>
              </w:tc>
              <w:tc>
                <w:tcPr>
                  <w:tcW w:w="102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产生环节</w:t>
                  </w:r>
                </w:p>
              </w:tc>
              <w:tc>
                <w:tcPr>
                  <w:tcW w:w="7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主要成分</w:t>
                  </w:r>
                </w:p>
              </w:tc>
              <w:tc>
                <w:tcPr>
                  <w:tcW w:w="131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lang w:val="en-US" w:eastAsia="zh-CN"/>
                    </w:rPr>
                    <w:t>废物</w:t>
                  </w:r>
                  <w:r>
                    <w:rPr>
                      <w:rFonts w:hint="eastAsia"/>
                      <w:b/>
                      <w:bCs/>
                      <w:szCs w:val="20"/>
                    </w:rPr>
                    <w:t>类别及代码</w:t>
                  </w:r>
                </w:p>
              </w:tc>
              <w:tc>
                <w:tcPr>
                  <w:tcW w:w="69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危险特性</w:t>
                  </w: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产生量</w:t>
                  </w:r>
                </w:p>
              </w:tc>
              <w:tc>
                <w:tcPr>
                  <w:tcW w:w="122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生活垃圾</w:t>
                  </w:r>
                </w:p>
              </w:tc>
              <w:tc>
                <w:tcPr>
                  <w:tcW w:w="11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生活垃圾</w:t>
                  </w:r>
                </w:p>
              </w:tc>
              <w:tc>
                <w:tcPr>
                  <w:tcW w:w="102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员工办公生活</w:t>
                  </w:r>
                </w:p>
              </w:tc>
              <w:tc>
                <w:tcPr>
                  <w:tcW w:w="7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生活垃圾</w:t>
                  </w:r>
                </w:p>
              </w:tc>
              <w:tc>
                <w:tcPr>
                  <w:tcW w:w="131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rPr>
                    <w:t>SW64其他垃圾</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900-002-S64</w:t>
                  </w:r>
                </w:p>
              </w:tc>
              <w:tc>
                <w:tcPr>
                  <w:tcW w:w="69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2.4</w:t>
                  </w:r>
                  <w:r>
                    <w:rPr>
                      <w:rFonts w:hint="eastAsia"/>
                      <w:szCs w:val="20"/>
                    </w:rPr>
                    <w:t>t/a</w:t>
                  </w:r>
                </w:p>
              </w:tc>
              <w:tc>
                <w:tcPr>
                  <w:tcW w:w="122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一般工业固废</w:t>
                  </w:r>
                </w:p>
              </w:tc>
              <w:tc>
                <w:tcPr>
                  <w:tcW w:w="11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废石</w:t>
                  </w:r>
                  <w:r>
                    <w:rPr>
                      <w:rFonts w:hint="eastAsia"/>
                      <w:szCs w:val="20"/>
                      <w:lang w:val="en-US" w:eastAsia="zh-CN"/>
                    </w:rPr>
                    <w:t>料</w:t>
                  </w:r>
                </w:p>
              </w:tc>
              <w:tc>
                <w:tcPr>
                  <w:tcW w:w="102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筛分</w:t>
                  </w:r>
                </w:p>
              </w:tc>
              <w:tc>
                <w:tcPr>
                  <w:tcW w:w="7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废石</w:t>
                  </w:r>
                  <w:r>
                    <w:rPr>
                      <w:rFonts w:hint="eastAsia"/>
                      <w:szCs w:val="20"/>
                      <w:lang w:val="en-US" w:eastAsia="zh-CN"/>
                    </w:rPr>
                    <w:t>料</w:t>
                  </w:r>
                </w:p>
              </w:tc>
              <w:tc>
                <w:tcPr>
                  <w:tcW w:w="131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rPr>
                    <w:t>SW17可再生类废物</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r>
                    <w:rPr>
                      <w:rFonts w:hint="eastAsia"/>
                      <w:szCs w:val="20"/>
                      <w:lang w:val="en-US" w:eastAsia="zh-CN"/>
                    </w:rPr>
                    <w:t>900-010-S17</w:t>
                  </w:r>
                </w:p>
              </w:tc>
              <w:tc>
                <w:tcPr>
                  <w:tcW w:w="69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100t/a</w:t>
                  </w:r>
                </w:p>
              </w:tc>
              <w:tc>
                <w:tcPr>
                  <w:tcW w:w="122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暂存于</w:t>
                  </w:r>
                  <w:r>
                    <w:rPr>
                      <w:rFonts w:hint="eastAsia"/>
                      <w:szCs w:val="20"/>
                      <w:lang w:val="en-US" w:eastAsia="zh-CN"/>
                    </w:rPr>
                    <w:t>一般固废暂存场所</w:t>
                  </w:r>
                  <w:r>
                    <w:rPr>
                      <w:rFonts w:hint="eastAsia"/>
                      <w:szCs w:val="20"/>
                    </w:rPr>
                    <w:t>，定期由石料生产商回收破碎利用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除尘器收集粉尘</w:t>
                  </w:r>
                </w:p>
              </w:tc>
              <w:tc>
                <w:tcPr>
                  <w:tcW w:w="102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布袋除尘</w:t>
                  </w:r>
                </w:p>
              </w:tc>
              <w:tc>
                <w:tcPr>
                  <w:tcW w:w="7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粉尘</w:t>
                  </w:r>
                </w:p>
              </w:tc>
              <w:tc>
                <w:tcPr>
                  <w:tcW w:w="131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SW17可再生类废物</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900-099-S17</w:t>
                  </w:r>
                </w:p>
              </w:tc>
              <w:tc>
                <w:tcPr>
                  <w:tcW w:w="69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10.0782t/a</w:t>
                  </w:r>
                </w:p>
              </w:tc>
              <w:tc>
                <w:tcPr>
                  <w:tcW w:w="122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暂存于</w:t>
                  </w:r>
                  <w:r>
                    <w:rPr>
                      <w:rFonts w:hint="eastAsia"/>
                      <w:szCs w:val="20"/>
                      <w:lang w:val="en-US" w:eastAsia="zh-CN"/>
                    </w:rPr>
                    <w:t>一般固废暂存场所</w:t>
                  </w:r>
                  <w:r>
                    <w:rPr>
                      <w:rFonts w:hint="eastAsia"/>
                      <w:szCs w:val="20"/>
                    </w:rPr>
                    <w:t>，定期回用到沥青混凝土生产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滴漏沥青及残渣</w:t>
                  </w:r>
                </w:p>
              </w:tc>
              <w:tc>
                <w:tcPr>
                  <w:tcW w:w="102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沥青混凝土生产</w:t>
                  </w:r>
                </w:p>
              </w:tc>
              <w:tc>
                <w:tcPr>
                  <w:tcW w:w="7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废沥青</w:t>
                  </w:r>
                  <w:r>
                    <w:rPr>
                      <w:rFonts w:hint="eastAsia"/>
                      <w:szCs w:val="20"/>
                      <w:lang w:eastAsia="zh-CN"/>
                    </w:rPr>
                    <w:t>、</w:t>
                  </w:r>
                  <w:r>
                    <w:rPr>
                      <w:rFonts w:hint="eastAsia"/>
                      <w:szCs w:val="20"/>
                    </w:rPr>
                    <w:t>废沥青混凝土</w:t>
                  </w:r>
                </w:p>
              </w:tc>
              <w:tc>
                <w:tcPr>
                  <w:tcW w:w="131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SW17可再生类废物</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900-099-S17</w:t>
                  </w:r>
                </w:p>
              </w:tc>
              <w:tc>
                <w:tcPr>
                  <w:tcW w:w="69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0.25t/a</w:t>
                  </w:r>
                </w:p>
              </w:tc>
              <w:tc>
                <w:tcPr>
                  <w:tcW w:w="122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暂存于一般固废暂存场所内，定期回用到沥青混凝土生产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02"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危废</w:t>
                  </w:r>
                </w:p>
              </w:tc>
              <w:tc>
                <w:tcPr>
                  <w:tcW w:w="11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废活性炭</w:t>
                  </w:r>
                </w:p>
              </w:tc>
              <w:tc>
                <w:tcPr>
                  <w:tcW w:w="102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废气处理</w:t>
                  </w:r>
                </w:p>
              </w:tc>
              <w:tc>
                <w:tcPr>
                  <w:tcW w:w="7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废活性炭</w:t>
                  </w:r>
                </w:p>
              </w:tc>
              <w:tc>
                <w:tcPr>
                  <w:tcW w:w="131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HW49</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default"/>
                      <w:szCs w:val="20"/>
                    </w:rPr>
                    <w:t>900-039-49</w:t>
                  </w:r>
                </w:p>
              </w:tc>
              <w:tc>
                <w:tcPr>
                  <w:tcW w:w="69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kern w:val="2"/>
                      <w:szCs w:val="24"/>
                    </w:rPr>
                    <w:t>T、I</w:t>
                  </w: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0.95t/a</w:t>
                  </w:r>
                </w:p>
              </w:tc>
              <w:tc>
                <w:tcPr>
                  <w:tcW w:w="1223"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暂存于危废暂存间，定期委托有资质单位清运处置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废导热油</w:t>
                  </w:r>
                </w:p>
              </w:tc>
              <w:tc>
                <w:tcPr>
                  <w:tcW w:w="102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导热油更换</w:t>
                  </w:r>
                </w:p>
              </w:tc>
              <w:tc>
                <w:tcPr>
                  <w:tcW w:w="7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废导热油</w:t>
                  </w:r>
                </w:p>
              </w:tc>
              <w:tc>
                <w:tcPr>
                  <w:tcW w:w="131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HW08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default"/>
                      <w:szCs w:val="20"/>
                    </w:rPr>
                    <w:t>900-249-08</w:t>
                  </w:r>
                </w:p>
              </w:tc>
              <w:tc>
                <w:tcPr>
                  <w:tcW w:w="69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kern w:val="2"/>
                      <w:szCs w:val="24"/>
                    </w:rPr>
                    <w:t>T</w:t>
                  </w: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0.1t</w:t>
                  </w:r>
                  <w:r>
                    <w:rPr>
                      <w:rFonts w:hint="eastAsia"/>
                      <w:szCs w:val="20"/>
                    </w:rPr>
                    <w:t>/a</w:t>
                  </w:r>
                </w:p>
              </w:tc>
              <w:tc>
                <w:tcPr>
                  <w:tcW w:w="122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废机油</w:t>
                  </w:r>
                </w:p>
              </w:tc>
              <w:tc>
                <w:tcPr>
                  <w:tcW w:w="102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设备维修</w:t>
                  </w:r>
                </w:p>
              </w:tc>
              <w:tc>
                <w:tcPr>
                  <w:tcW w:w="7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废机油</w:t>
                  </w:r>
                </w:p>
              </w:tc>
              <w:tc>
                <w:tcPr>
                  <w:tcW w:w="131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rPr>
                    <w:t>HW</w:t>
                  </w:r>
                  <w:r>
                    <w:rPr>
                      <w:rFonts w:hint="eastAsia"/>
                      <w:szCs w:val="20"/>
                      <w:lang w:val="en-US" w:eastAsia="zh-CN"/>
                    </w:rPr>
                    <w:t>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900-214-08</w:t>
                  </w:r>
                </w:p>
              </w:tc>
              <w:tc>
                <w:tcPr>
                  <w:tcW w:w="69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T</w:t>
                  </w: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0.1t/a</w:t>
                  </w:r>
                </w:p>
              </w:tc>
              <w:tc>
                <w:tcPr>
                  <w:tcW w:w="122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废机油桶</w:t>
                  </w:r>
                </w:p>
              </w:tc>
              <w:tc>
                <w:tcPr>
                  <w:tcW w:w="102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设备维修</w:t>
                  </w:r>
                </w:p>
              </w:tc>
              <w:tc>
                <w:tcPr>
                  <w:tcW w:w="7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szCs w:val="20"/>
                      <w:lang w:val="en-US" w:eastAsia="zh-CN"/>
                    </w:rPr>
                    <w:t>废机油桶</w:t>
                  </w:r>
                </w:p>
              </w:tc>
              <w:tc>
                <w:tcPr>
                  <w:tcW w:w="1313"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HW08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szCs w:val="20"/>
                    </w:rPr>
                    <w:t>900-249-08</w:t>
                  </w:r>
                </w:p>
              </w:tc>
              <w:tc>
                <w:tcPr>
                  <w:tcW w:w="69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kern w:val="2"/>
                      <w:szCs w:val="24"/>
                    </w:rPr>
                    <w:t>T</w:t>
                  </w: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0.01t</w:t>
                  </w:r>
                  <w:r>
                    <w:rPr>
                      <w:rFonts w:hint="eastAsia"/>
                      <w:szCs w:val="20"/>
                    </w:rPr>
                    <w:t>/a</w:t>
                  </w:r>
                </w:p>
              </w:tc>
              <w:tc>
                <w:tcPr>
                  <w:tcW w:w="122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2"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16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lang w:val="en-US" w:eastAsia="zh-CN"/>
                    </w:rPr>
                    <w:t>导热油空桶</w:t>
                  </w:r>
                </w:p>
              </w:tc>
              <w:tc>
                <w:tcPr>
                  <w:tcW w:w="102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lang w:val="en-US" w:eastAsia="zh-CN"/>
                    </w:rPr>
                    <w:t>导热油更换</w:t>
                  </w:r>
                </w:p>
              </w:tc>
              <w:tc>
                <w:tcPr>
                  <w:tcW w:w="7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0"/>
                      <w:lang w:val="en-US" w:eastAsia="zh-CN" w:bidi="ar-SA"/>
                    </w:rPr>
                  </w:pPr>
                  <w:r>
                    <w:rPr>
                      <w:rFonts w:hint="eastAsia"/>
                      <w:szCs w:val="20"/>
                      <w:lang w:val="en-US" w:eastAsia="zh-CN"/>
                    </w:rPr>
                    <w:t>导热油空桶</w:t>
                  </w:r>
                </w:p>
              </w:tc>
              <w:tc>
                <w:tcPr>
                  <w:tcW w:w="131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c>
                <w:tcPr>
                  <w:tcW w:w="69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c>
                <w:tcPr>
                  <w:tcW w:w="11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0.1t/a</w:t>
                  </w:r>
                </w:p>
              </w:tc>
              <w:tc>
                <w:tcPr>
                  <w:tcW w:w="1223"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8" w:type="dxa"/>
                  <w:gridSpan w:val="8"/>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b/>
                      <w:bCs/>
                      <w:szCs w:val="20"/>
                    </w:rPr>
                    <w:t>注：</w:t>
                  </w:r>
                  <w:r>
                    <w:rPr>
                      <w:rFonts w:hint="eastAsia"/>
                      <w:szCs w:val="20"/>
                    </w:rPr>
                    <w:t>危险特性中T为毒性、I为易燃性、R为反应性、In为感染性、C为腐蚀性。</w:t>
                  </w:r>
                </w:p>
              </w:tc>
            </w:tr>
          </w:tbl>
          <w:p>
            <w:pPr>
              <w:keepNext w:val="0"/>
              <w:keepLines w:val="0"/>
              <w:suppressLineNumbers w:val="0"/>
              <w:spacing w:before="120" w:beforeLines="50" w:beforeAutospacing="0" w:after="0" w:afterAutospacing="0"/>
              <w:ind w:left="0" w:right="0" w:firstLine="480"/>
              <w:rPr>
                <w:rFonts w:hint="default"/>
              </w:rPr>
            </w:pPr>
            <w:r>
              <w:rPr>
                <w:rFonts w:hint="eastAsia"/>
              </w:rPr>
              <w:t>本项目危险废物汇总见表4-</w:t>
            </w:r>
            <w:r>
              <w:rPr>
                <w:rFonts w:hint="eastAsia"/>
                <w:lang w:val="en-US" w:eastAsia="zh-CN"/>
              </w:rPr>
              <w:t>12</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表4-</w:t>
            </w:r>
            <w:r>
              <w:rPr>
                <w:rFonts w:hint="eastAsia"/>
                <w:lang w:val="en-US" w:eastAsia="zh-CN"/>
              </w:rPr>
              <w:t>12</w:t>
            </w:r>
            <w:r>
              <w:rPr>
                <w:rFonts w:hint="default"/>
              </w:rPr>
              <w:t xml:space="preserve">  本项目危险废物汇总表</w:t>
            </w:r>
          </w:p>
          <w:tbl>
            <w:tblPr>
              <w:tblStyle w:val="6"/>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855"/>
              <w:gridCol w:w="1200"/>
              <w:gridCol w:w="691"/>
              <w:gridCol w:w="729"/>
              <w:gridCol w:w="545"/>
              <w:gridCol w:w="729"/>
              <w:gridCol w:w="655"/>
              <w:gridCol w:w="688"/>
              <w:gridCol w:w="729"/>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序号</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危废名称</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危废类别</w:t>
                  </w:r>
                  <w:r>
                    <w:rPr>
                      <w:rFonts w:hint="eastAsia"/>
                      <w:b/>
                      <w:bCs/>
                      <w:szCs w:val="20"/>
                    </w:rPr>
                    <w:t>、代码</w:t>
                  </w: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产生量</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lang w:val="en-US" w:eastAsia="zh-CN"/>
                    </w:rPr>
                    <w:t>t</w:t>
                  </w:r>
                  <w:r>
                    <w:rPr>
                      <w:rFonts w:hint="default"/>
                      <w:b/>
                      <w:bCs/>
                      <w:szCs w:val="20"/>
                    </w:rPr>
                    <w:t>/a</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产生工序</w:t>
                  </w: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形态</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主要成分</w:t>
                  </w:r>
                </w:p>
              </w:tc>
              <w:tc>
                <w:tcPr>
                  <w:tcW w:w="6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有害成分</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产生周期</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危险特性</w:t>
                  </w:r>
                </w:p>
              </w:tc>
              <w:tc>
                <w:tcPr>
                  <w:tcW w:w="73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1</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废活性炭</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HW49</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default"/>
                      <w:szCs w:val="20"/>
                    </w:rPr>
                    <w:t>900-039-49</w:t>
                  </w: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0.95</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szCs w:val="20"/>
                    </w:rPr>
                    <w:t>废气处理</w:t>
                  </w: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固态</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szCs w:val="20"/>
                    </w:rPr>
                    <w:t>废活性炭</w:t>
                  </w:r>
                </w:p>
              </w:tc>
              <w:tc>
                <w:tcPr>
                  <w:tcW w:w="6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szCs w:val="20"/>
                    </w:rPr>
                    <w:t>废活性炭</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2次/a</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kern w:val="2"/>
                      <w:szCs w:val="24"/>
                    </w:rPr>
                    <w:t>T、I</w:t>
                  </w:r>
                </w:p>
              </w:tc>
              <w:tc>
                <w:tcPr>
                  <w:tcW w:w="730" w:type="dxa"/>
                  <w:vMerge w:val="restart"/>
                  <w:tcBorders>
                    <w:top w:val="single" w:color="auto" w:sz="4" w:space="0"/>
                    <w:left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暂存于危废暂存间，定期委托有资质单位清运处置</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47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2</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废导热油</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HW08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default"/>
                      <w:szCs w:val="20"/>
                    </w:rPr>
                    <w:t>900-249-08</w:t>
                  </w: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0.1</w:t>
                  </w:r>
                </w:p>
              </w:tc>
              <w:tc>
                <w:tcPr>
                  <w:tcW w:w="729" w:type="dxa"/>
                  <w:tcBorders>
                    <w:top w:val="single" w:color="auto" w:sz="4" w:space="0"/>
                    <w:left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kern w:val="2"/>
                      <w:szCs w:val="24"/>
                      <w:lang w:val="en-US" w:eastAsia="zh-CN"/>
                    </w:rPr>
                    <w:t>导热油更换</w:t>
                  </w: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液</w:t>
                  </w:r>
                  <w:r>
                    <w:rPr>
                      <w:rFonts w:hint="default"/>
                      <w:szCs w:val="20"/>
                    </w:rPr>
                    <w:t>态</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szCs w:val="20"/>
                    </w:rPr>
                    <w:t>废导热油</w:t>
                  </w:r>
                </w:p>
              </w:tc>
              <w:tc>
                <w:tcPr>
                  <w:tcW w:w="6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szCs w:val="20"/>
                    </w:rPr>
                    <w:t>废导热油</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1</w:t>
                  </w:r>
                  <w:r>
                    <w:rPr>
                      <w:rFonts w:hint="default"/>
                      <w:szCs w:val="20"/>
                    </w:rPr>
                    <w:t>次/a</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kern w:val="2"/>
                      <w:szCs w:val="24"/>
                    </w:rPr>
                    <w:t>T</w:t>
                  </w:r>
                </w:p>
              </w:tc>
              <w:tc>
                <w:tcPr>
                  <w:tcW w:w="730" w:type="dxa"/>
                  <w:vMerge w:val="continue"/>
                  <w:tcBorders>
                    <w:left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4" w:hRule="atLeast"/>
                <w:jc w:val="center"/>
              </w:trPr>
              <w:tc>
                <w:tcPr>
                  <w:tcW w:w="47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3</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废机油</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rPr>
                    <w:t>HW</w:t>
                  </w:r>
                  <w:r>
                    <w:rPr>
                      <w:rFonts w:hint="eastAsia"/>
                      <w:szCs w:val="20"/>
                      <w:lang w:val="en-US" w:eastAsia="zh-CN"/>
                    </w:rPr>
                    <w:t>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szCs w:val="20"/>
                      <w:lang w:val="en-US" w:eastAsia="zh-CN"/>
                    </w:rPr>
                    <w:t>900-214-08</w:t>
                  </w: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0.1</w:t>
                  </w:r>
                </w:p>
              </w:tc>
              <w:tc>
                <w:tcPr>
                  <w:tcW w:w="729" w:type="dxa"/>
                  <w:tcBorders>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设备维修保养</w:t>
                  </w: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液</w:t>
                  </w:r>
                  <w:r>
                    <w:rPr>
                      <w:rFonts w:hint="default"/>
                      <w:szCs w:val="20"/>
                    </w:rPr>
                    <w:t>态</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szCs w:val="20"/>
                      <w:lang w:val="en-US" w:eastAsia="zh-CN"/>
                    </w:rPr>
                    <w:t>废机油</w:t>
                  </w:r>
                </w:p>
              </w:tc>
              <w:tc>
                <w:tcPr>
                  <w:tcW w:w="6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szCs w:val="20"/>
                      <w:lang w:val="en-US" w:eastAsia="zh-CN"/>
                    </w:rPr>
                    <w:t>废机油</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szCs w:val="20"/>
                    </w:rPr>
                    <w:t>T</w:t>
                  </w:r>
                </w:p>
              </w:tc>
              <w:tc>
                <w:tcPr>
                  <w:tcW w:w="730" w:type="dxa"/>
                  <w:vMerge w:val="continue"/>
                  <w:tcBorders>
                    <w:left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4</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废机油桶</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HW08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default"/>
                      <w:szCs w:val="20"/>
                    </w:rPr>
                    <w:t>900-249-08</w:t>
                  </w: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0.01</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kern w:val="2"/>
                      <w:szCs w:val="24"/>
                    </w:rPr>
                    <w:t>设备维修保养</w:t>
                  </w: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固态</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szCs w:val="20"/>
                      <w:lang w:val="en-US" w:eastAsia="zh-CN"/>
                    </w:rPr>
                    <w:t>废机油桶</w:t>
                  </w:r>
                </w:p>
              </w:tc>
              <w:tc>
                <w:tcPr>
                  <w:tcW w:w="6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szCs w:val="20"/>
                      <w:lang w:val="en-US" w:eastAsia="zh-CN"/>
                    </w:rPr>
                    <w:t>废机油桶</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kern w:val="2"/>
                      <w:szCs w:val="24"/>
                    </w:rPr>
                    <w:t>T</w:t>
                  </w:r>
                </w:p>
              </w:tc>
              <w:tc>
                <w:tcPr>
                  <w:tcW w:w="730" w:type="dxa"/>
                  <w:vMerge w:val="continue"/>
                  <w:tcBorders>
                    <w:left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5</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导热油空桶</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default"/>
                      <w:kern w:val="2"/>
                      <w:szCs w:val="24"/>
                    </w:rPr>
                    <w:t>HW08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default"/>
                      <w:kern w:val="2"/>
                      <w:szCs w:val="24"/>
                    </w:rPr>
                    <w:t>900-249-08</w:t>
                  </w: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0.1</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szCs w:val="20"/>
                      <w:lang w:val="en-US" w:eastAsia="zh-CN"/>
                    </w:rPr>
                    <w:t>导热油更换</w:t>
                  </w: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固</w:t>
                  </w:r>
                  <w:r>
                    <w:rPr>
                      <w:rFonts w:hint="eastAsia"/>
                      <w:szCs w:val="20"/>
                    </w:rPr>
                    <w:t>态</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szCs w:val="20"/>
                      <w:lang w:val="en-US" w:eastAsia="zh-CN"/>
                    </w:rPr>
                    <w:t>导热油空桶</w:t>
                  </w:r>
                </w:p>
              </w:tc>
              <w:tc>
                <w:tcPr>
                  <w:tcW w:w="655"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0"/>
                      <w:lang w:val="en-US" w:eastAsia="zh-CN" w:bidi="ar-SA"/>
                    </w:rPr>
                  </w:pPr>
                  <w:r>
                    <w:rPr>
                      <w:rFonts w:hint="eastAsia"/>
                      <w:szCs w:val="20"/>
                      <w:lang w:val="en-US" w:eastAsia="zh-CN"/>
                    </w:rPr>
                    <w:t>导热油空桶</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1</w:t>
                  </w:r>
                  <w:r>
                    <w:rPr>
                      <w:rFonts w:hint="eastAsia"/>
                      <w:szCs w:val="20"/>
                    </w:rPr>
                    <w:t>天/次</w:t>
                  </w:r>
                </w:p>
              </w:tc>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eastAsia"/>
                      <w:kern w:val="2"/>
                      <w:szCs w:val="24"/>
                    </w:rPr>
                    <w:t>T</w:t>
                  </w:r>
                </w:p>
              </w:tc>
              <w:tc>
                <w:tcPr>
                  <w:tcW w:w="730" w:type="dxa"/>
                  <w:vMerge w:val="continue"/>
                  <w:tcBorders>
                    <w:left w:val="single" w:color="auto" w:sz="4" w:space="0"/>
                    <w:bottom w:val="single" w:color="auto" w:sz="4" w:space="0"/>
                    <w:right w:val="single" w:color="auto" w:sz="4" w:space="0"/>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firstLine="480"/>
              <w:rPr>
                <w:rFonts w:hint="default"/>
              </w:rPr>
            </w:pPr>
            <w:r>
              <w:rPr>
                <w:rFonts w:hint="eastAsia"/>
              </w:rPr>
              <w:t>本项目危险废物贮存场所见表4-</w:t>
            </w:r>
            <w:r>
              <w:rPr>
                <w:rFonts w:hint="eastAsia"/>
                <w:lang w:val="en-US" w:eastAsia="zh-CN"/>
              </w:rPr>
              <w:t>13</w:t>
            </w:r>
            <w:r>
              <w:rPr>
                <w:rFonts w:hint="eastAsia"/>
              </w:rPr>
              <w:t>。</w:t>
            </w:r>
          </w:p>
          <w:p>
            <w:pPr>
              <w:pStyle w:val="11"/>
              <w:keepNext w:val="0"/>
              <w:keepLines w:val="0"/>
              <w:widowControl/>
              <w:suppressLineNumbers w:val="0"/>
              <w:bidi w:val="0"/>
              <w:spacing w:beforeAutospacing="0" w:after="0" w:afterAutospacing="0"/>
              <w:ind w:left="0" w:right="0"/>
              <w:rPr>
                <w:rFonts w:hint="default"/>
              </w:rPr>
            </w:pPr>
          </w:p>
          <w:p>
            <w:pPr>
              <w:pStyle w:val="11"/>
              <w:keepNext w:val="0"/>
              <w:keepLines w:val="0"/>
              <w:widowControl/>
              <w:suppressLineNumbers w:val="0"/>
              <w:bidi w:val="0"/>
              <w:spacing w:beforeAutospacing="0" w:after="0" w:afterAutospacing="0"/>
              <w:ind w:left="0" w:right="0"/>
              <w:rPr>
                <w:rFonts w:hint="default"/>
              </w:rPr>
            </w:pPr>
          </w:p>
          <w:p>
            <w:pPr>
              <w:pStyle w:val="11"/>
              <w:keepNext w:val="0"/>
              <w:keepLines w:val="0"/>
              <w:widowControl/>
              <w:suppressLineNumbers w:val="0"/>
              <w:bidi w:val="0"/>
              <w:spacing w:beforeAutospacing="0" w:after="0" w:afterAutospacing="0"/>
              <w:ind w:left="0" w:right="0"/>
              <w:rPr>
                <w:rFonts w:hint="default"/>
                <w:szCs w:val="20"/>
                <w:highlight w:val="yellow"/>
              </w:rPr>
            </w:pPr>
            <w:r>
              <w:rPr>
                <w:rFonts w:hint="default"/>
              </w:rPr>
              <w:t>表4-</w:t>
            </w:r>
            <w:r>
              <w:rPr>
                <w:rFonts w:hint="eastAsia"/>
                <w:lang w:val="en-US" w:eastAsia="zh-CN"/>
              </w:rPr>
              <w:t>13</w:t>
            </w:r>
            <w:r>
              <w:rPr>
                <w:rFonts w:hint="default"/>
              </w:rPr>
              <w:t xml:space="preserve">  本项目危废贮存场所（设施）基本情况表</w:t>
            </w:r>
          </w:p>
          <w:tbl>
            <w:tblPr>
              <w:tblStyle w:val="7"/>
              <w:tblW w:w="8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41"/>
              <w:gridCol w:w="927"/>
              <w:gridCol w:w="1550"/>
              <w:gridCol w:w="809"/>
              <w:gridCol w:w="809"/>
              <w:gridCol w:w="809"/>
              <w:gridCol w:w="80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序号</w:t>
                  </w:r>
                </w:p>
              </w:tc>
              <w:tc>
                <w:tcPr>
                  <w:tcW w:w="94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贮存场所（设施）名称</w:t>
                  </w:r>
                </w:p>
              </w:tc>
              <w:tc>
                <w:tcPr>
                  <w:tcW w:w="9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危废名称</w:t>
                  </w:r>
                </w:p>
              </w:tc>
              <w:tc>
                <w:tcPr>
                  <w:tcW w:w="15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危废类别、代码</w:t>
                  </w: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位置</w:t>
                  </w: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占地面积</w:t>
                  </w: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贮存方式</w:t>
                  </w: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贮存能力</w:t>
                  </w:r>
                </w:p>
              </w:tc>
              <w:tc>
                <w:tcPr>
                  <w:tcW w:w="81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1</w:t>
                  </w:r>
                </w:p>
              </w:tc>
              <w:tc>
                <w:tcPr>
                  <w:tcW w:w="941"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危废暂存间</w:t>
                  </w:r>
                </w:p>
              </w:tc>
              <w:tc>
                <w:tcPr>
                  <w:tcW w:w="9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szCs w:val="20"/>
                    </w:rPr>
                    <w:t>废活性炭</w:t>
                  </w:r>
                </w:p>
              </w:tc>
              <w:tc>
                <w:tcPr>
                  <w:tcW w:w="15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HW49</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szCs w:val="20"/>
                    </w:rPr>
                    <w:t>900-039-49</w:t>
                  </w:r>
                </w:p>
              </w:tc>
              <w:tc>
                <w:tcPr>
                  <w:tcW w:w="80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砂石堆场</w:t>
                  </w:r>
                </w:p>
              </w:tc>
              <w:tc>
                <w:tcPr>
                  <w:tcW w:w="80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4m</w:t>
                  </w:r>
                  <w:r>
                    <w:rPr>
                      <w:rFonts w:hint="eastAsia"/>
                      <w:szCs w:val="20"/>
                      <w:vertAlign w:val="superscript"/>
                    </w:rPr>
                    <w:t>2</w:t>
                  </w: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袋装</w:t>
                  </w: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0.1t</w:t>
                  </w:r>
                </w:p>
              </w:tc>
              <w:tc>
                <w:tcPr>
                  <w:tcW w:w="81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2</w:t>
                  </w:r>
                </w:p>
              </w:tc>
              <w:tc>
                <w:tcPr>
                  <w:tcW w:w="94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9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szCs w:val="20"/>
                    </w:rPr>
                    <w:t>废导热油</w:t>
                  </w:r>
                </w:p>
              </w:tc>
              <w:tc>
                <w:tcPr>
                  <w:tcW w:w="15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HW08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szCs w:val="20"/>
                    </w:rPr>
                    <w:t>900-249-08</w:t>
                  </w:r>
                </w:p>
              </w:tc>
              <w:tc>
                <w:tcPr>
                  <w:tcW w:w="80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80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桶装</w:t>
                  </w: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0.1t</w:t>
                  </w:r>
                </w:p>
              </w:tc>
              <w:tc>
                <w:tcPr>
                  <w:tcW w:w="81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3</w:t>
                  </w:r>
                </w:p>
              </w:tc>
              <w:tc>
                <w:tcPr>
                  <w:tcW w:w="94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9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szCs w:val="20"/>
                      <w:lang w:val="en-US" w:eastAsia="zh-CN"/>
                    </w:rPr>
                    <w:t>废机油</w:t>
                  </w:r>
                </w:p>
              </w:tc>
              <w:tc>
                <w:tcPr>
                  <w:tcW w:w="15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rPr>
                    <w:t>HW</w:t>
                  </w:r>
                  <w:r>
                    <w:rPr>
                      <w:rFonts w:hint="eastAsia"/>
                      <w:szCs w:val="20"/>
                      <w:lang w:val="en-US" w:eastAsia="zh-CN"/>
                    </w:rPr>
                    <w:t>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eastAsia"/>
                      <w:szCs w:val="20"/>
                      <w:lang w:val="en-US" w:eastAsia="zh-CN"/>
                    </w:rPr>
                    <w:t>900-214-08</w:t>
                  </w:r>
                </w:p>
              </w:tc>
              <w:tc>
                <w:tcPr>
                  <w:tcW w:w="80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80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桶</w:t>
                  </w:r>
                  <w:r>
                    <w:rPr>
                      <w:rFonts w:hint="eastAsia"/>
                      <w:szCs w:val="20"/>
                    </w:rPr>
                    <w:t>装</w:t>
                  </w: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0.1t</w:t>
                  </w:r>
                </w:p>
              </w:tc>
              <w:tc>
                <w:tcPr>
                  <w:tcW w:w="81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4</w:t>
                  </w:r>
                </w:p>
              </w:tc>
              <w:tc>
                <w:tcPr>
                  <w:tcW w:w="94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9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szCs w:val="20"/>
                      <w:lang w:val="en-US" w:eastAsia="zh-CN"/>
                    </w:rPr>
                    <w:t>废机油桶</w:t>
                  </w:r>
                </w:p>
              </w:tc>
              <w:tc>
                <w:tcPr>
                  <w:tcW w:w="15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HW08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szCs w:val="20"/>
                    </w:rPr>
                    <w:t>900-249-08</w:t>
                  </w:r>
                </w:p>
              </w:tc>
              <w:tc>
                <w:tcPr>
                  <w:tcW w:w="80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80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袋装</w:t>
                  </w: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81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5</w:t>
                  </w:r>
                </w:p>
              </w:tc>
              <w:tc>
                <w:tcPr>
                  <w:tcW w:w="94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9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szCs w:val="20"/>
                      <w:lang w:val="en-US" w:eastAsia="zh-CN"/>
                    </w:rPr>
                    <w:t>导热油空桶</w:t>
                  </w:r>
                </w:p>
              </w:tc>
              <w:tc>
                <w:tcPr>
                  <w:tcW w:w="155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kern w:val="2"/>
                      <w:szCs w:val="24"/>
                    </w:rPr>
                  </w:pPr>
                  <w:r>
                    <w:rPr>
                      <w:rFonts w:hint="default"/>
                      <w:kern w:val="2"/>
                      <w:szCs w:val="24"/>
                    </w:rPr>
                    <w:t>HW08</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kern w:val="2"/>
                      <w:sz w:val="21"/>
                      <w:szCs w:val="24"/>
                      <w:lang w:val="en-US" w:eastAsia="zh-CN" w:bidi="ar-SA"/>
                    </w:rPr>
                  </w:pPr>
                  <w:r>
                    <w:rPr>
                      <w:rFonts w:hint="default"/>
                      <w:kern w:val="2"/>
                      <w:szCs w:val="24"/>
                    </w:rPr>
                    <w:t>900-249-08</w:t>
                  </w:r>
                </w:p>
              </w:tc>
              <w:tc>
                <w:tcPr>
                  <w:tcW w:w="80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80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袋</w:t>
                  </w:r>
                  <w:r>
                    <w:rPr>
                      <w:rFonts w:hint="eastAsia"/>
                      <w:szCs w:val="20"/>
                    </w:rPr>
                    <w:t>装</w:t>
                  </w:r>
                </w:p>
              </w:tc>
              <w:tc>
                <w:tcPr>
                  <w:tcW w:w="80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81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半年</w:t>
                  </w:r>
                </w:p>
              </w:tc>
            </w:tr>
          </w:tbl>
          <w:p>
            <w:pPr>
              <w:keepNext w:val="0"/>
              <w:keepLines w:val="0"/>
              <w:suppressLineNumbers w:val="0"/>
              <w:spacing w:before="0" w:beforeAutospacing="0" w:after="0" w:afterAutospacing="0"/>
              <w:ind w:left="0" w:right="0" w:firstLine="480"/>
              <w:rPr>
                <w:rFonts w:hint="default"/>
              </w:rPr>
            </w:pPr>
            <w:r>
              <w:rPr>
                <w:rFonts w:hint="default"/>
              </w:rPr>
              <w:t>综上所述，本项目固废去向明确，且均能得到有效的处理、处置，固废处置率达100%，不会对环境造成影响。</w:t>
            </w:r>
          </w:p>
          <w:p>
            <w:pPr>
              <w:keepNext w:val="0"/>
              <w:keepLines w:val="0"/>
              <w:suppressLineNumbers w:val="0"/>
              <w:spacing w:before="0" w:beforeAutospacing="0" w:after="0" w:afterAutospacing="0"/>
              <w:ind w:left="0" w:right="0" w:firstLine="482"/>
              <w:rPr>
                <w:rFonts w:hint="default"/>
                <w:b/>
                <w:bCs/>
              </w:rPr>
            </w:pPr>
            <w:r>
              <w:rPr>
                <w:rFonts w:hint="eastAsia"/>
                <w:b/>
                <w:bCs/>
              </w:rPr>
              <w:t>（4）固废管理要求</w:t>
            </w:r>
          </w:p>
          <w:p>
            <w:pPr>
              <w:keepNext w:val="0"/>
              <w:keepLines w:val="0"/>
              <w:suppressLineNumbers w:val="0"/>
              <w:spacing w:before="0" w:beforeAutospacing="0" w:after="0" w:afterAutospacing="0"/>
              <w:ind w:left="0" w:right="0" w:firstLine="480"/>
              <w:rPr>
                <w:rFonts w:hint="default"/>
              </w:rPr>
            </w:pPr>
            <w:r>
              <w:rPr>
                <w:rFonts w:hint="default"/>
              </w:rPr>
              <w:t>①一般固废暂存间</w:t>
            </w:r>
          </w:p>
          <w:p>
            <w:pPr>
              <w:keepNext w:val="0"/>
              <w:keepLines w:val="0"/>
              <w:suppressLineNumbers w:val="0"/>
              <w:spacing w:before="0" w:beforeAutospacing="0" w:after="0" w:afterAutospacing="0"/>
              <w:ind w:left="0" w:right="0" w:firstLine="480"/>
              <w:rPr>
                <w:rFonts w:hint="default"/>
              </w:rPr>
            </w:pPr>
            <w:r>
              <w:rPr>
                <w:rFonts w:hint="default"/>
              </w:rPr>
              <w:t>本项目新建一座面积</w:t>
            </w:r>
            <w:r>
              <w:rPr>
                <w:rFonts w:hint="eastAsia"/>
                <w:lang w:val="en-US" w:eastAsia="zh-CN"/>
              </w:rPr>
              <w:t>10</w:t>
            </w:r>
            <w:r>
              <w:rPr>
                <w:rFonts w:hint="default"/>
              </w:rPr>
              <w:t>m</w:t>
            </w:r>
            <w:r>
              <w:rPr>
                <w:rFonts w:hint="default"/>
                <w:vertAlign w:val="superscript"/>
              </w:rPr>
              <w:t>2</w:t>
            </w:r>
            <w:r>
              <w:rPr>
                <w:rFonts w:hint="default"/>
              </w:rPr>
              <w:t>的一般固废暂存间。用于</w:t>
            </w:r>
            <w:r>
              <w:rPr>
                <w:rFonts w:hint="eastAsia"/>
              </w:rPr>
              <w:t>废石料</w:t>
            </w:r>
            <w:r>
              <w:rPr>
                <w:rFonts w:hint="eastAsia"/>
                <w:lang w:eastAsia="zh-CN"/>
              </w:rPr>
              <w:t>、</w:t>
            </w:r>
            <w:r>
              <w:rPr>
                <w:rFonts w:hint="eastAsia"/>
              </w:rPr>
              <w:t>除尘器收集粉尘</w:t>
            </w:r>
            <w:r>
              <w:rPr>
                <w:rFonts w:hint="eastAsia"/>
                <w:lang w:eastAsia="zh-CN"/>
              </w:rPr>
              <w:t>、</w:t>
            </w:r>
            <w:r>
              <w:rPr>
                <w:rFonts w:hint="eastAsia"/>
              </w:rPr>
              <w:t>滴漏沥青及残渣</w:t>
            </w:r>
            <w:r>
              <w:rPr>
                <w:rFonts w:hint="default"/>
              </w:rPr>
              <w:t>的暂存，分区暂存。</w:t>
            </w:r>
          </w:p>
          <w:p>
            <w:pPr>
              <w:keepNext w:val="0"/>
              <w:keepLines w:val="0"/>
              <w:suppressLineNumbers w:val="0"/>
              <w:spacing w:before="0" w:beforeAutospacing="0" w:after="0" w:afterAutospacing="0"/>
              <w:ind w:left="0" w:right="0" w:firstLine="480"/>
              <w:rPr>
                <w:rFonts w:hint="default"/>
              </w:rPr>
            </w:pPr>
            <w:r>
              <w:rPr>
                <w:rFonts w:hint="default"/>
              </w:rPr>
              <w:t>②危废暂存间</w:t>
            </w:r>
          </w:p>
          <w:p>
            <w:pPr>
              <w:keepNext w:val="0"/>
              <w:keepLines w:val="0"/>
              <w:suppressLineNumbers w:val="0"/>
              <w:spacing w:before="0" w:beforeAutospacing="0" w:after="0" w:afterAutospacing="0"/>
              <w:ind w:left="0" w:right="0" w:firstLine="480"/>
              <w:rPr>
                <w:rFonts w:hint="default"/>
              </w:rPr>
            </w:pPr>
            <w:r>
              <w:rPr>
                <w:rFonts w:hint="default"/>
              </w:rPr>
              <w:t>本项目建设一座面积</w:t>
            </w:r>
            <w:r>
              <w:rPr>
                <w:rFonts w:hint="eastAsia"/>
              </w:rPr>
              <w:t>4</w:t>
            </w:r>
            <w:r>
              <w:rPr>
                <w:rFonts w:hint="default"/>
              </w:rPr>
              <w:t>m</w:t>
            </w:r>
            <w:r>
              <w:rPr>
                <w:rFonts w:hint="default"/>
                <w:vertAlign w:val="superscript"/>
              </w:rPr>
              <w:t>2</w:t>
            </w:r>
            <w:r>
              <w:rPr>
                <w:rFonts w:hint="default"/>
              </w:rPr>
              <w:t>的危废暂存间。用于</w:t>
            </w:r>
            <w:r>
              <w:rPr>
                <w:rFonts w:hint="eastAsia"/>
              </w:rPr>
              <w:t>废活性炭</w:t>
            </w:r>
            <w:r>
              <w:rPr>
                <w:rFonts w:hint="eastAsia"/>
                <w:lang w:eastAsia="zh-CN"/>
              </w:rPr>
              <w:t>、</w:t>
            </w:r>
            <w:r>
              <w:rPr>
                <w:rFonts w:hint="eastAsia"/>
              </w:rPr>
              <w:t>废导热油</w:t>
            </w:r>
            <w:r>
              <w:rPr>
                <w:rFonts w:hint="eastAsia"/>
                <w:lang w:eastAsia="zh-CN"/>
              </w:rPr>
              <w:t>、</w:t>
            </w:r>
            <w:r>
              <w:rPr>
                <w:rFonts w:hint="eastAsia"/>
              </w:rPr>
              <w:t>废机油</w:t>
            </w:r>
            <w:r>
              <w:rPr>
                <w:rFonts w:hint="eastAsia"/>
                <w:lang w:eastAsia="zh-CN"/>
              </w:rPr>
              <w:t>、</w:t>
            </w:r>
            <w:r>
              <w:rPr>
                <w:rFonts w:hint="eastAsia"/>
              </w:rPr>
              <w:t>废机油桶</w:t>
            </w:r>
            <w:r>
              <w:rPr>
                <w:rFonts w:hint="eastAsia"/>
                <w:lang w:eastAsia="zh-CN"/>
              </w:rPr>
              <w:t>、</w:t>
            </w:r>
            <w:r>
              <w:rPr>
                <w:rFonts w:hint="eastAsia"/>
              </w:rPr>
              <w:t>导热油空桶</w:t>
            </w:r>
            <w:r>
              <w:rPr>
                <w:rFonts w:hint="default"/>
              </w:rPr>
              <w:t>暂存，定期委托有资质单位处置。</w:t>
            </w:r>
          </w:p>
          <w:p>
            <w:pPr>
              <w:keepNext w:val="0"/>
              <w:keepLines w:val="0"/>
              <w:suppressLineNumbers w:val="0"/>
              <w:spacing w:before="0" w:beforeAutospacing="0" w:after="0" w:afterAutospacing="0"/>
              <w:ind w:left="0" w:right="0" w:firstLine="480"/>
              <w:rPr>
                <w:rFonts w:hint="default"/>
              </w:rPr>
            </w:pPr>
            <w:r>
              <w:rPr>
                <w:rFonts w:hint="default"/>
              </w:rPr>
              <w:t>根据国家对工业固废，尤其是危险废物处置减量化、资源化和无害化的技术政策，建设单位应优先对各类可回收工业固废进行回收利用，对无法利用的部分交由有资质专业单位处理或处置。</w:t>
            </w:r>
          </w:p>
          <w:p>
            <w:pPr>
              <w:keepNext w:val="0"/>
              <w:keepLines w:val="0"/>
              <w:suppressLineNumbers w:val="0"/>
              <w:spacing w:before="0" w:beforeAutospacing="0" w:after="0" w:afterAutospacing="0"/>
              <w:ind w:left="0" w:right="0" w:firstLine="480"/>
              <w:rPr>
                <w:rFonts w:hint="default"/>
              </w:rPr>
            </w:pPr>
            <w:r>
              <w:rPr>
                <w:rFonts w:hint="default"/>
              </w:rPr>
              <w:t>项目涉及的危险废物主要以委托有资质单位处置的方式处理，因此项目产生的危险固废基本得到妥善处理或综合利用，但企业应考虑危废有不能及时处置的可能，因此在处置前企业可将危废暂存在危废专用场所内，做好防渗、防漏等控制。具体危险固废的暂存处置须按照《危险废物贮存污染控制标准》（GB18597-2023）等有关国家标准进行。本环评建议必须从以下几方面加强对危废的管理力度：</w:t>
            </w:r>
          </w:p>
          <w:p>
            <w:pPr>
              <w:keepNext w:val="0"/>
              <w:keepLines w:val="0"/>
              <w:suppressLineNumbers w:val="0"/>
              <w:spacing w:before="0" w:beforeAutospacing="0" w:after="0" w:afterAutospacing="0"/>
              <w:ind w:left="0" w:right="0" w:firstLine="480"/>
              <w:rPr>
                <w:rFonts w:hint="default"/>
              </w:rPr>
            </w:pPr>
            <w:r>
              <w:rPr>
                <w:rFonts w:hint="default"/>
              </w:rPr>
              <w:t>A管理方面</w:t>
            </w:r>
          </w:p>
          <w:p>
            <w:pPr>
              <w:keepNext w:val="0"/>
              <w:keepLines w:val="0"/>
              <w:suppressLineNumbers w:val="0"/>
              <w:spacing w:before="0" w:beforeAutospacing="0" w:after="0" w:afterAutospacing="0"/>
              <w:ind w:left="0" w:right="0" w:firstLine="480"/>
              <w:rPr>
                <w:rFonts w:hint="default"/>
              </w:rPr>
            </w:pPr>
            <w:r>
              <w:rPr>
                <w:rFonts w:hint="default"/>
              </w:rPr>
              <w:t>a按照《危险废物贮存污染控制标准》（GB18597-2023）的要求规范化建造专用的危险废物贮存设施。</w:t>
            </w:r>
          </w:p>
          <w:p>
            <w:pPr>
              <w:keepNext w:val="0"/>
              <w:keepLines w:val="0"/>
              <w:suppressLineNumbers w:val="0"/>
              <w:spacing w:before="0" w:beforeAutospacing="0" w:after="0" w:afterAutospacing="0"/>
              <w:ind w:left="0" w:right="0" w:firstLine="480"/>
              <w:rPr>
                <w:rFonts w:hint="default"/>
              </w:rPr>
            </w:pPr>
            <w:r>
              <w:rPr>
                <w:rFonts w:hint="default"/>
              </w:rPr>
              <w:t>b加强厂内危险固废暂存场所的管理，规范厂内暂存措施，标识危险废物堆场。</w:t>
            </w:r>
          </w:p>
          <w:p>
            <w:pPr>
              <w:keepNext w:val="0"/>
              <w:keepLines w:val="0"/>
              <w:suppressLineNumbers w:val="0"/>
              <w:spacing w:before="0" w:beforeAutospacing="0" w:after="0" w:afterAutospacing="0"/>
              <w:ind w:left="0" w:right="0" w:firstLine="480"/>
              <w:rPr>
                <w:rFonts w:hint="default"/>
              </w:rPr>
            </w:pPr>
            <w:r>
              <w:rPr>
                <w:rFonts w:hint="default"/>
              </w:rPr>
              <w:t>c设立企业固废管理台账，规范危险废物情况的记录，记录上须注明危险废物的名称、来源、数量、特性和包装容器的类别、入库日期、存放库位、废物出库日期及接收单位名称，确保厂内所有危险废物流向清楚规范。</w:t>
            </w:r>
          </w:p>
          <w:p>
            <w:pPr>
              <w:keepNext w:val="0"/>
              <w:keepLines w:val="0"/>
              <w:suppressLineNumbers w:val="0"/>
              <w:spacing w:before="0" w:beforeAutospacing="0" w:after="0" w:afterAutospacing="0"/>
              <w:ind w:left="0" w:right="0" w:firstLine="480"/>
              <w:rPr>
                <w:rFonts w:hint="default"/>
              </w:rPr>
            </w:pPr>
            <w:r>
              <w:rPr>
                <w:rFonts w:hint="default"/>
              </w:rPr>
              <w:t>d制定和落实危险废物管理计划，执行危险废物申报登记制度。及时向当地环保部门申报危险废物种类、产生量、流向、处置等资料，办理临时申报登记手续。</w:t>
            </w:r>
          </w:p>
          <w:p>
            <w:pPr>
              <w:keepNext w:val="0"/>
              <w:keepLines w:val="0"/>
              <w:suppressLineNumbers w:val="0"/>
              <w:spacing w:before="0" w:beforeAutospacing="0" w:after="0" w:afterAutospacing="0"/>
              <w:ind w:left="0" w:right="0" w:firstLine="480"/>
              <w:rPr>
                <w:rFonts w:hint="default"/>
              </w:rPr>
            </w:pPr>
            <w:r>
              <w:rPr>
                <w:rFonts w:hint="default"/>
              </w:rPr>
              <w:t>e严格执行危险废物交换转移审批制度。所有危险废物交换转移向环保部门提出申请，经环保部门预审后报上级环保部门批准。危险废物交换转移前到当地环保部门领取五联单。绝不擅自交换、向无危险废物经营许可证单位转移。</w:t>
            </w:r>
          </w:p>
          <w:p>
            <w:pPr>
              <w:keepNext w:val="0"/>
              <w:keepLines w:val="0"/>
              <w:suppressLineNumbers w:val="0"/>
              <w:spacing w:before="0" w:beforeAutospacing="0" w:after="0" w:afterAutospacing="0"/>
              <w:ind w:left="0" w:right="0" w:firstLine="480"/>
              <w:rPr>
                <w:rFonts w:hint="default"/>
              </w:rPr>
            </w:pPr>
            <w:r>
              <w:rPr>
                <w:rFonts w:hint="default"/>
              </w:rPr>
              <w:t>f必须定期对所贮存的危险废物包装容器及贮存设施进行检查，发现破损，应及时采取措施清理更换。</w:t>
            </w:r>
          </w:p>
          <w:p>
            <w:pPr>
              <w:keepNext w:val="0"/>
              <w:keepLines w:val="0"/>
              <w:suppressLineNumbers w:val="0"/>
              <w:spacing w:before="0" w:beforeAutospacing="0" w:after="0" w:afterAutospacing="0"/>
              <w:ind w:left="0" w:right="0" w:firstLine="480"/>
              <w:rPr>
                <w:rFonts w:hint="default"/>
              </w:rPr>
            </w:pPr>
            <w:r>
              <w:rPr>
                <w:rFonts w:hint="default"/>
              </w:rPr>
              <w:t>B危废包装方面</w:t>
            </w:r>
          </w:p>
          <w:p>
            <w:pPr>
              <w:keepNext w:val="0"/>
              <w:keepLines w:val="0"/>
              <w:suppressLineNumbers w:val="0"/>
              <w:spacing w:before="0" w:beforeAutospacing="0" w:after="0" w:afterAutospacing="0"/>
              <w:ind w:left="0" w:right="0" w:firstLine="480"/>
              <w:rPr>
                <w:rFonts w:hint="default"/>
              </w:rPr>
            </w:pPr>
            <w:r>
              <w:rPr>
                <w:rFonts w:hint="default"/>
              </w:rPr>
              <w:t>将液态状或半固态状的危险废物装入容器内，且容器内须留足够空间，容器顶部与液体表面之间保留100毫米以上的空间。容器必须完好无损，容量及材质要满足相应的强度要求，衬里要与危险废物相容，容器外必须粘贴符合标准规范的标签。</w:t>
            </w:r>
          </w:p>
          <w:p>
            <w:pPr>
              <w:keepNext w:val="0"/>
              <w:keepLines w:val="0"/>
              <w:suppressLineNumbers w:val="0"/>
              <w:spacing w:before="0" w:beforeAutospacing="0" w:after="0" w:afterAutospacing="0"/>
              <w:ind w:left="0" w:right="0" w:firstLine="480"/>
              <w:rPr>
                <w:rFonts w:hint="default"/>
              </w:rPr>
            </w:pPr>
            <w:r>
              <w:rPr>
                <w:rFonts w:hint="default"/>
              </w:rPr>
              <w:t>C贮存设施的选址与设计方面</w:t>
            </w:r>
          </w:p>
          <w:p>
            <w:pPr>
              <w:keepNext w:val="0"/>
              <w:keepLines w:val="0"/>
              <w:suppressLineNumbers w:val="0"/>
              <w:spacing w:before="0" w:beforeAutospacing="0" w:after="0" w:afterAutospacing="0"/>
              <w:ind w:left="0" w:right="0" w:firstLine="480"/>
              <w:rPr>
                <w:rFonts w:hint="default"/>
              </w:rPr>
            </w:pPr>
            <w:r>
              <w:rPr>
                <w:rFonts w:hint="default"/>
              </w:rPr>
              <w:t>a贮存场所及设施底部必须高于地下水最高水位。</w:t>
            </w:r>
          </w:p>
          <w:p>
            <w:pPr>
              <w:keepNext w:val="0"/>
              <w:keepLines w:val="0"/>
              <w:suppressLineNumbers w:val="0"/>
              <w:spacing w:before="0" w:beforeAutospacing="0" w:after="0" w:afterAutospacing="0"/>
              <w:ind w:left="0" w:right="0" w:firstLine="480"/>
              <w:rPr>
                <w:rFonts w:hint="default"/>
              </w:rPr>
            </w:pPr>
            <w:r>
              <w:rPr>
                <w:rFonts w:hint="default"/>
              </w:rPr>
              <w:t>b用以存放装载液体、半固体危险废物容器的地方，必须有耐腐蚀的硬化地面，且表面无裂隙。</w:t>
            </w:r>
          </w:p>
          <w:p>
            <w:pPr>
              <w:keepNext w:val="0"/>
              <w:keepLines w:val="0"/>
              <w:suppressLineNumbers w:val="0"/>
              <w:spacing w:before="0" w:beforeAutospacing="0" w:after="0" w:afterAutospacing="0"/>
              <w:ind w:left="0" w:right="0" w:firstLine="480"/>
              <w:rPr>
                <w:rFonts w:hint="default"/>
              </w:rPr>
            </w:pPr>
            <w:r>
              <w:rPr>
                <w:rFonts w:hint="default"/>
              </w:rPr>
              <w:t>c贮存场所及设施地面与裙脚要用坚固、防渗的材料建造，且必须与危险废物相容。</w:t>
            </w:r>
          </w:p>
          <w:p>
            <w:pPr>
              <w:keepNext w:val="0"/>
              <w:keepLines w:val="0"/>
              <w:suppressLineNumbers w:val="0"/>
              <w:spacing w:before="0" w:beforeAutospacing="0" w:after="0" w:afterAutospacing="0"/>
              <w:ind w:left="0" w:right="0" w:firstLine="480"/>
              <w:rPr>
                <w:rFonts w:hint="default"/>
              </w:rPr>
            </w:pPr>
            <w:r>
              <w:rPr>
                <w:rFonts w:hint="default"/>
              </w:rPr>
              <w:t>d贮存场所及设施应设计堵截泄漏的裙脚，地面与裙脚所围建的容积不低于堵截最大容器的最大储量或总储量的五分之一。</w:t>
            </w:r>
          </w:p>
          <w:p>
            <w:pPr>
              <w:keepNext w:val="0"/>
              <w:keepLines w:val="0"/>
              <w:suppressLineNumbers w:val="0"/>
              <w:spacing w:before="0" w:beforeAutospacing="0" w:after="0" w:afterAutospacing="0"/>
              <w:ind w:left="0" w:right="0" w:firstLine="480"/>
              <w:rPr>
                <w:rFonts w:hint="default"/>
              </w:rPr>
            </w:pPr>
            <w:r>
              <w:rPr>
                <w:rFonts w:hint="default"/>
              </w:rPr>
              <w:t>e贮存场所及设施必须有泄漏液体收集装置、气体导出口及气体净化装置。</w:t>
            </w:r>
          </w:p>
          <w:p>
            <w:pPr>
              <w:keepNext w:val="0"/>
              <w:keepLines w:val="0"/>
              <w:suppressLineNumbers w:val="0"/>
              <w:spacing w:before="0" w:beforeAutospacing="0" w:after="0" w:afterAutospacing="0"/>
              <w:ind w:left="0" w:right="0" w:firstLine="480"/>
              <w:rPr>
                <w:rFonts w:hint="default"/>
              </w:rPr>
            </w:pPr>
            <w:r>
              <w:rPr>
                <w:rFonts w:hint="default"/>
              </w:rPr>
              <w:t>f贮存场所及设施内要有安全照明设施和观察窗口，防渗系数≤1.0×10</w:t>
            </w:r>
            <w:r>
              <w:rPr>
                <w:rFonts w:hint="default"/>
                <w:vertAlign w:val="superscript"/>
              </w:rPr>
              <w:t>-</w:t>
            </w:r>
            <w:r>
              <w:rPr>
                <w:rFonts w:hint="eastAsia"/>
                <w:vertAlign w:val="superscript"/>
              </w:rPr>
              <w:t>10</w:t>
            </w:r>
            <w:r>
              <w:rPr>
                <w:rFonts w:hint="default"/>
              </w:rPr>
              <w:t>cm/s。</w:t>
            </w:r>
          </w:p>
          <w:p>
            <w:pPr>
              <w:keepNext w:val="0"/>
              <w:keepLines w:val="0"/>
              <w:suppressLineNumbers w:val="0"/>
              <w:spacing w:before="0" w:beforeAutospacing="0" w:after="0" w:afterAutospacing="0"/>
              <w:ind w:left="0" w:right="0" w:firstLine="480"/>
              <w:rPr>
                <w:rFonts w:hint="default"/>
              </w:rPr>
            </w:pPr>
            <w:r>
              <w:rPr>
                <w:rFonts w:hint="default"/>
              </w:rPr>
              <w:t>D贮存设施的安全防护方面</w:t>
            </w:r>
          </w:p>
          <w:p>
            <w:pPr>
              <w:keepNext w:val="0"/>
              <w:keepLines w:val="0"/>
              <w:suppressLineNumbers w:val="0"/>
              <w:spacing w:before="0" w:beforeAutospacing="0" w:after="0" w:afterAutospacing="0"/>
              <w:ind w:left="0" w:right="0" w:firstLine="480"/>
              <w:rPr>
                <w:rFonts w:hint="default"/>
              </w:rPr>
            </w:pPr>
            <w:r>
              <w:rPr>
                <w:rFonts w:hint="default"/>
              </w:rPr>
              <w:t>a贮存设施都必须按《环境保护图形标志-固体废物贮存（处置）场》（GB15562.2-1995）及修改单和《危险废物识别标志设置技术规范》（HJ1276-2022）的规定设置警示标志。</w:t>
            </w:r>
          </w:p>
          <w:p>
            <w:pPr>
              <w:keepNext w:val="0"/>
              <w:keepLines w:val="0"/>
              <w:suppressLineNumbers w:val="0"/>
              <w:spacing w:before="0" w:beforeAutospacing="0" w:after="0" w:afterAutospacing="0"/>
              <w:ind w:left="0" w:right="0" w:firstLine="480"/>
              <w:rPr>
                <w:rFonts w:hint="default"/>
              </w:rPr>
            </w:pPr>
            <w:r>
              <w:rPr>
                <w:rFonts w:hint="default"/>
              </w:rPr>
              <w:t>b贮存场所及设施周围应设置围墙或其它防护栅栏。</w:t>
            </w:r>
          </w:p>
          <w:p>
            <w:pPr>
              <w:keepNext w:val="0"/>
              <w:keepLines w:val="0"/>
              <w:suppressLineNumbers w:val="0"/>
              <w:spacing w:before="0" w:beforeAutospacing="0" w:after="0" w:afterAutospacing="0"/>
              <w:ind w:left="0" w:right="0" w:firstLine="480"/>
              <w:rPr>
                <w:rFonts w:hint="default"/>
              </w:rPr>
            </w:pPr>
            <w:r>
              <w:rPr>
                <w:rFonts w:hint="default"/>
              </w:rPr>
              <w:t>c贮存场所及设施应配备通讯设备、安全防护服装及工具，并设有应急防护设施。</w:t>
            </w:r>
          </w:p>
          <w:p>
            <w:pPr>
              <w:keepNext w:val="0"/>
              <w:keepLines w:val="0"/>
              <w:suppressLineNumbers w:val="0"/>
              <w:spacing w:before="0" w:beforeAutospacing="0" w:after="0" w:afterAutospacing="0"/>
              <w:ind w:left="0" w:right="0" w:firstLine="480"/>
              <w:rPr>
                <w:rFonts w:hint="default"/>
              </w:rPr>
            </w:pPr>
            <w:r>
              <w:rPr>
                <w:rFonts w:hint="default"/>
              </w:rPr>
              <w:t>d贮存场所及设施内清理出来的泄漏物，一律按危险废物处理。对于一般固废要求按照《一般工业固体废物贮存和填埋污染控制标准》（GB18599-2020）中的标准进行，具体可从以下几方面加强对固废的管理力度：一般工业废弃物贮存仓库，禁止危险废物和生活垃圾混入；应建立检查、维护制度，定期检查设施，发现有损坏可能或异常情况，应及时采取必要措施，以保障正常运行；应建立档案制度，将一般固体废弃物的种类、数量记录在案。</w:t>
            </w:r>
          </w:p>
          <w:p>
            <w:pPr>
              <w:keepNext w:val="0"/>
              <w:keepLines w:val="0"/>
              <w:suppressLineNumbers w:val="0"/>
              <w:spacing w:before="0" w:beforeAutospacing="0" w:after="0" w:afterAutospacing="0"/>
              <w:ind w:left="0" w:right="0" w:firstLine="480"/>
              <w:rPr>
                <w:rFonts w:hint="default"/>
              </w:rPr>
            </w:pPr>
            <w:r>
              <w:rPr>
                <w:rFonts w:hint="default"/>
              </w:rPr>
              <w:t>综上所述，采取上述措施后，项目产生的固体废弃物基本上不会对周围环境造成不利影响。</w:t>
            </w:r>
          </w:p>
          <w:p>
            <w:pPr>
              <w:keepNext w:val="0"/>
              <w:keepLines w:val="0"/>
              <w:suppressLineNumbers w:val="0"/>
              <w:spacing w:before="0" w:beforeAutospacing="0" w:after="0" w:afterAutospacing="0"/>
              <w:ind w:left="0" w:right="0" w:firstLine="482"/>
              <w:rPr>
                <w:rFonts w:hint="default"/>
                <w:b/>
                <w:bCs/>
              </w:rPr>
            </w:pPr>
            <w:r>
              <w:rPr>
                <w:rFonts w:hint="default"/>
                <w:b/>
                <w:bCs/>
              </w:rPr>
              <w:t>5、地下水</w:t>
            </w:r>
            <w:r>
              <w:rPr>
                <w:rFonts w:hint="eastAsia"/>
                <w:b/>
                <w:bCs/>
                <w:lang w:val="en-US" w:eastAsia="zh-CN"/>
              </w:rPr>
              <w:t>及土壤</w:t>
            </w:r>
            <w:r>
              <w:rPr>
                <w:rFonts w:hint="default"/>
                <w:b/>
                <w:bCs/>
              </w:rPr>
              <w:t>环境环境影响保护措施</w:t>
            </w:r>
          </w:p>
          <w:p>
            <w:pPr>
              <w:keepNext w:val="0"/>
              <w:keepLines w:val="0"/>
              <w:suppressLineNumbers w:val="0"/>
              <w:spacing w:before="0" w:beforeAutospacing="0" w:after="0" w:afterAutospacing="0"/>
              <w:ind w:left="0" w:right="0" w:firstLine="480"/>
              <w:rPr>
                <w:rFonts w:hint="eastAsia"/>
                <w:lang w:val="en-US" w:eastAsia="zh-CN"/>
              </w:rPr>
            </w:pPr>
            <w:r>
              <w:rPr>
                <w:rFonts w:hint="eastAsia"/>
              </w:rPr>
              <w:t>根据《环境影响评价技术导则 地下水环境》（HJ610-2016）和《环境影响评价技术导则 土壤环境》（HJ964-2018）可知，项目地下水环境和土壤环境污染源和污染影响识别判定情况见表4-</w:t>
            </w:r>
            <w:r>
              <w:rPr>
                <w:rFonts w:hint="eastAsia"/>
                <w:lang w:val="en-US" w:eastAsia="zh-CN"/>
              </w:rPr>
              <w:t>14。</w:t>
            </w:r>
          </w:p>
          <w:p>
            <w:pPr>
              <w:keepNext w:val="0"/>
              <w:keepLines w:val="0"/>
              <w:suppressLineNumbers w:val="0"/>
              <w:spacing w:before="0" w:beforeAutospacing="0" w:after="0" w:afterAutospacing="0"/>
              <w:ind w:left="0" w:right="0" w:firstLine="480"/>
              <w:rPr>
                <w:rFonts w:hint="eastAsia"/>
                <w:lang w:val="en-US" w:eastAsia="zh-CN"/>
              </w:rPr>
            </w:pPr>
          </w:p>
          <w:p>
            <w:pPr>
              <w:keepNext w:val="0"/>
              <w:keepLines w:val="0"/>
              <w:suppressLineNumbers w:val="0"/>
              <w:spacing w:before="0" w:beforeAutospacing="0" w:after="0" w:afterAutospacing="0"/>
              <w:ind w:left="0" w:right="0" w:firstLine="480"/>
              <w:rPr>
                <w:rFonts w:hint="default"/>
                <w:lang w:val="en-US" w:eastAsia="zh-CN"/>
              </w:rPr>
            </w:pPr>
          </w:p>
          <w:p>
            <w:pPr>
              <w:pStyle w:val="11"/>
              <w:keepNext w:val="0"/>
              <w:keepLines w:val="0"/>
              <w:widowControl/>
              <w:suppressLineNumbers w:val="0"/>
              <w:bidi w:val="0"/>
              <w:spacing w:beforeAutospacing="0" w:after="0" w:afterAutospacing="0"/>
              <w:ind w:left="0" w:right="0"/>
              <w:rPr>
                <w:rFonts w:hint="default"/>
                <w:lang w:val="en-US" w:eastAsia="zh-CN"/>
              </w:rPr>
            </w:pPr>
            <w:r>
              <w:rPr>
                <w:rFonts w:hint="eastAsia"/>
                <w:lang w:val="en-US" w:eastAsia="zh-CN"/>
              </w:rPr>
              <w:t>表4-14  地下水及土壤环境判定结果</w:t>
            </w:r>
          </w:p>
          <w:tbl>
            <w:tblPr>
              <w:tblStyle w:val="7"/>
              <w:tblW w:w="8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36"/>
              <w:gridCol w:w="1337"/>
              <w:gridCol w:w="1339"/>
              <w:gridCol w:w="1337"/>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36"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环境要素</w:t>
                  </w:r>
                </w:p>
              </w:tc>
              <w:tc>
                <w:tcPr>
                  <w:tcW w:w="1336"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b/>
                      <w:bCs/>
                      <w:szCs w:val="20"/>
                      <w:lang w:val="en-US" w:eastAsia="zh-CN"/>
                    </w:rPr>
                  </w:pPr>
                  <w:r>
                    <w:rPr>
                      <w:rFonts w:hint="eastAsia"/>
                      <w:b/>
                      <w:bCs/>
                      <w:szCs w:val="20"/>
                      <w:lang w:val="en-US" w:eastAsia="zh-CN"/>
                    </w:rPr>
                    <w:t>行业</w:t>
                  </w:r>
                </w:p>
              </w:tc>
              <w:tc>
                <w:tcPr>
                  <w:tcW w:w="2676" w:type="dxa"/>
                  <w:gridSpan w:val="2"/>
                  <w:vAlign w:val="center"/>
                </w:tcPr>
                <w:p>
                  <w:pPr>
                    <w:pStyle w:val="9"/>
                    <w:keepNext w:val="0"/>
                    <w:keepLines w:val="0"/>
                    <w:widowControl/>
                    <w:suppressLineNumbers w:val="0"/>
                    <w:bidi w:val="0"/>
                    <w:spacing w:before="0" w:beforeAutospacing="0" w:after="0" w:afterAutospacing="0"/>
                    <w:ind w:left="0" w:right="0"/>
                    <w:jc w:val="center"/>
                    <w:rPr>
                      <w:rFonts w:hint="default"/>
                      <w:b/>
                      <w:bCs/>
                      <w:szCs w:val="20"/>
                    </w:rPr>
                  </w:pPr>
                  <w:r>
                    <w:rPr>
                      <w:rFonts w:hint="eastAsia"/>
                      <w:b/>
                      <w:bCs/>
                      <w:szCs w:val="20"/>
                      <w:lang w:val="en-US" w:eastAsia="zh-CN"/>
                    </w:rPr>
                    <w:t>项目类别</w:t>
                  </w:r>
                </w:p>
              </w:tc>
              <w:tc>
                <w:tcPr>
                  <w:tcW w:w="1337"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环境敏感程度</w:t>
                  </w:r>
                </w:p>
              </w:tc>
              <w:tc>
                <w:tcPr>
                  <w:tcW w:w="1340"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b/>
                      <w:bCs/>
                      <w:szCs w:val="20"/>
                      <w:lang w:val="en-US" w:eastAsia="zh-CN"/>
                    </w:rPr>
                  </w:pPr>
                  <w:r>
                    <w:rPr>
                      <w:rFonts w:hint="eastAsia"/>
                      <w:b/>
                      <w:bCs/>
                      <w:szCs w:val="20"/>
                      <w:lang w:val="en-US" w:eastAsia="zh-CN"/>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地下水环境</w:t>
                  </w:r>
                </w:p>
              </w:tc>
              <w:tc>
                <w:tcPr>
                  <w:tcW w:w="1336" w:type="dxa"/>
                  <w:vAlign w:val="center"/>
                </w:tcPr>
                <w:p>
                  <w:pPr>
                    <w:pStyle w:val="9"/>
                    <w:keepNext w:val="0"/>
                    <w:keepLines w:val="0"/>
                    <w:widowControl/>
                    <w:suppressLineNumbers w:val="0"/>
                    <w:bidi w:val="0"/>
                    <w:spacing w:before="0" w:beforeAutospacing="0" w:after="0" w:afterAutospacing="0"/>
                    <w:ind w:left="0" w:right="0"/>
                    <w:jc w:val="center"/>
                    <w:rPr>
                      <w:rFonts w:hint="default"/>
                      <w:szCs w:val="20"/>
                    </w:rPr>
                  </w:pPr>
                  <w:r>
                    <w:rPr>
                      <w:rFonts w:hint="eastAsia"/>
                      <w:szCs w:val="20"/>
                    </w:rPr>
                    <w:t>石墨及其他非金属矿物制品</w:t>
                  </w:r>
                </w:p>
              </w:tc>
              <w:tc>
                <w:tcPr>
                  <w:tcW w:w="1337"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报告表</w:t>
                  </w:r>
                </w:p>
              </w:tc>
              <w:tc>
                <w:tcPr>
                  <w:tcW w:w="1339"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Ⅳ类</w:t>
                  </w:r>
                </w:p>
              </w:tc>
              <w:tc>
                <w:tcPr>
                  <w:tcW w:w="1337"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不敏感</w:t>
                  </w:r>
                </w:p>
              </w:tc>
              <w:tc>
                <w:tcPr>
                  <w:tcW w:w="1340"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可不开展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6"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highlight w:val="none"/>
                      <w:lang w:val="en-US" w:eastAsia="zh-CN"/>
                    </w:rPr>
                  </w:pPr>
                  <w:r>
                    <w:rPr>
                      <w:rFonts w:hint="eastAsia"/>
                      <w:szCs w:val="20"/>
                      <w:highlight w:val="none"/>
                      <w:lang w:val="en-US" w:eastAsia="zh-CN"/>
                    </w:rPr>
                    <w:t>土壤环境</w:t>
                  </w:r>
                </w:p>
              </w:tc>
              <w:tc>
                <w:tcPr>
                  <w:tcW w:w="1336" w:type="dxa"/>
                  <w:vAlign w:val="center"/>
                </w:tcPr>
                <w:p>
                  <w:pPr>
                    <w:pStyle w:val="9"/>
                    <w:keepNext w:val="0"/>
                    <w:keepLines w:val="0"/>
                    <w:widowControl/>
                    <w:suppressLineNumbers w:val="0"/>
                    <w:bidi w:val="0"/>
                    <w:spacing w:before="0" w:beforeAutospacing="0" w:after="0" w:afterAutospacing="0"/>
                    <w:ind w:left="0" w:right="0"/>
                    <w:jc w:val="center"/>
                    <w:rPr>
                      <w:rFonts w:hint="default" w:eastAsia="宋体"/>
                      <w:szCs w:val="20"/>
                      <w:highlight w:val="none"/>
                      <w:lang w:val="en-US" w:eastAsia="zh-CN"/>
                    </w:rPr>
                  </w:pPr>
                  <w:r>
                    <w:rPr>
                      <w:rFonts w:hint="eastAsia"/>
                      <w:szCs w:val="20"/>
                      <w:highlight w:val="none"/>
                      <w:lang w:val="en-US" w:eastAsia="zh-CN"/>
                    </w:rPr>
                    <w:t>金属冶炼和压延加工及非金属矿物制品—其他</w:t>
                  </w:r>
                </w:p>
              </w:tc>
              <w:tc>
                <w:tcPr>
                  <w:tcW w:w="2676" w:type="dxa"/>
                  <w:gridSpan w:val="2"/>
                  <w:vAlign w:val="center"/>
                </w:tcPr>
                <w:p>
                  <w:pPr>
                    <w:pStyle w:val="9"/>
                    <w:keepNext w:val="0"/>
                    <w:keepLines w:val="0"/>
                    <w:widowControl/>
                    <w:suppressLineNumbers w:val="0"/>
                    <w:bidi w:val="0"/>
                    <w:spacing w:before="0" w:beforeAutospacing="0" w:after="0" w:afterAutospacing="0"/>
                    <w:ind w:left="0" w:right="0"/>
                    <w:jc w:val="center"/>
                    <w:rPr>
                      <w:rFonts w:hint="default"/>
                      <w:szCs w:val="20"/>
                      <w:highlight w:val="none"/>
                    </w:rPr>
                  </w:pPr>
                  <w:r>
                    <w:rPr>
                      <w:rFonts w:hint="eastAsia"/>
                      <w:szCs w:val="20"/>
                      <w:highlight w:val="none"/>
                      <w:lang w:val="en-US" w:eastAsia="zh-CN"/>
                    </w:rPr>
                    <w:t>Ⅲ类项目，占地类型为小型</w:t>
                  </w:r>
                </w:p>
              </w:tc>
              <w:tc>
                <w:tcPr>
                  <w:tcW w:w="1337" w:type="dxa"/>
                  <w:vAlign w:val="center"/>
                </w:tcPr>
                <w:p>
                  <w:pPr>
                    <w:pStyle w:val="9"/>
                    <w:keepNext w:val="0"/>
                    <w:keepLines w:val="0"/>
                    <w:widowControl/>
                    <w:suppressLineNumbers w:val="0"/>
                    <w:bidi w:val="0"/>
                    <w:spacing w:before="0" w:beforeAutospacing="0" w:after="0" w:afterAutospacing="0"/>
                    <w:ind w:left="0" w:right="0"/>
                    <w:jc w:val="center"/>
                    <w:rPr>
                      <w:rFonts w:hint="eastAsia" w:eastAsia="宋体"/>
                      <w:szCs w:val="20"/>
                      <w:highlight w:val="none"/>
                      <w:lang w:val="en-US" w:eastAsia="zh-CN"/>
                    </w:rPr>
                  </w:pPr>
                  <w:r>
                    <w:rPr>
                      <w:rFonts w:hint="eastAsia"/>
                      <w:szCs w:val="20"/>
                      <w:highlight w:val="none"/>
                      <w:lang w:val="en-US" w:eastAsia="zh-CN"/>
                    </w:rPr>
                    <w:t>不敏感</w:t>
                  </w:r>
                </w:p>
              </w:tc>
              <w:tc>
                <w:tcPr>
                  <w:tcW w:w="1340" w:type="dxa"/>
                  <w:vAlign w:val="center"/>
                </w:tcPr>
                <w:p>
                  <w:pPr>
                    <w:pStyle w:val="9"/>
                    <w:keepNext w:val="0"/>
                    <w:keepLines w:val="0"/>
                    <w:widowControl/>
                    <w:suppressLineNumbers w:val="0"/>
                    <w:bidi w:val="0"/>
                    <w:spacing w:before="0" w:beforeAutospacing="0" w:after="0" w:afterAutospacing="0"/>
                    <w:ind w:left="0" w:right="0"/>
                    <w:jc w:val="center"/>
                    <w:rPr>
                      <w:rFonts w:hint="default"/>
                      <w:szCs w:val="20"/>
                      <w:highlight w:val="none"/>
                    </w:rPr>
                  </w:pPr>
                  <w:r>
                    <w:rPr>
                      <w:rFonts w:hint="eastAsia"/>
                      <w:szCs w:val="20"/>
                      <w:highlight w:val="none"/>
                      <w:lang w:val="en-US" w:eastAsia="zh-CN"/>
                    </w:rPr>
                    <w:t>可不开展</w:t>
                  </w:r>
                </w:p>
              </w:tc>
            </w:tr>
          </w:tbl>
          <w:p>
            <w:pPr>
              <w:keepNext w:val="0"/>
              <w:keepLines w:val="0"/>
              <w:suppressLineNumbers w:val="0"/>
              <w:spacing w:before="0" w:beforeAutospacing="0" w:after="0" w:afterAutospacing="0"/>
              <w:ind w:left="0" w:right="0" w:firstLine="482"/>
              <w:rPr>
                <w:rFonts w:hint="default"/>
                <w:b/>
                <w:bCs/>
              </w:rPr>
            </w:pPr>
            <w:r>
              <w:rPr>
                <w:rFonts w:hint="eastAsia"/>
                <w:b/>
                <w:bCs/>
                <w:lang w:val="en-US" w:eastAsia="zh-CN"/>
              </w:rPr>
              <w:t>6</w:t>
            </w:r>
            <w:r>
              <w:rPr>
                <w:rFonts w:hint="eastAsia"/>
                <w:b/>
                <w:bCs/>
              </w:rPr>
              <w:t>、环境风险影响分析</w:t>
            </w:r>
          </w:p>
          <w:p>
            <w:pPr>
              <w:keepNext w:val="0"/>
              <w:keepLines w:val="0"/>
              <w:suppressLineNumbers w:val="0"/>
              <w:spacing w:before="0" w:beforeAutospacing="0" w:after="0" w:afterAutospacing="0"/>
              <w:ind w:left="0" w:right="0" w:firstLine="482"/>
              <w:rPr>
                <w:rFonts w:hint="default"/>
                <w:b/>
                <w:bCs/>
              </w:rPr>
            </w:pPr>
            <w:r>
              <w:rPr>
                <w:rFonts w:hint="eastAsia"/>
                <w:b/>
                <w:bCs/>
              </w:rPr>
              <w:t>（1）风险源调查</w:t>
            </w:r>
          </w:p>
          <w:p>
            <w:pPr>
              <w:keepNext w:val="0"/>
              <w:keepLines w:val="0"/>
              <w:suppressLineNumbers w:val="0"/>
              <w:spacing w:before="0" w:beforeAutospacing="0" w:after="0" w:afterAutospacing="0"/>
              <w:ind w:left="0" w:right="0" w:firstLine="480"/>
              <w:rPr>
                <w:rFonts w:hint="eastAsia"/>
              </w:rPr>
            </w:pPr>
            <w:r>
              <w:rPr>
                <w:rFonts w:hint="eastAsia"/>
              </w:rPr>
              <w:t>根据《建设项目环境风险评价技术导则》（HJ169-2018）附录B和《危险化学品重大危险源辨识》（GB18218-2018），本项目风险物质为</w:t>
            </w:r>
            <w:r>
              <w:rPr>
                <w:rFonts w:hint="eastAsia"/>
                <w:lang w:val="en-US" w:eastAsia="zh-CN"/>
              </w:rPr>
              <w:t>沥青、柴油、导热油、废机油</w:t>
            </w:r>
            <w:r>
              <w:rPr>
                <w:rFonts w:hint="eastAsia"/>
              </w:rPr>
              <w:t>，风险物质最大存储量及临界量见表4-</w:t>
            </w:r>
            <w:r>
              <w:rPr>
                <w:rFonts w:hint="eastAsia"/>
                <w:lang w:val="en-US" w:eastAsia="zh-CN"/>
              </w:rPr>
              <w:t>15</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表4-</w:t>
            </w:r>
            <w:r>
              <w:rPr>
                <w:rFonts w:hint="eastAsia"/>
                <w:lang w:val="en-US" w:eastAsia="zh-CN"/>
              </w:rPr>
              <w:t>15</w:t>
            </w:r>
            <w:r>
              <w:rPr>
                <w:rFonts w:hint="default"/>
              </w:rPr>
              <w:t xml:space="preserve"> 本项目风险物质储存量及临界量一览表</w:t>
            </w:r>
          </w:p>
          <w:tbl>
            <w:tblPr>
              <w:tblStyle w:val="7"/>
              <w:tblW w:w="8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453"/>
              <w:gridCol w:w="1289"/>
              <w:gridCol w:w="1605"/>
              <w:gridCol w:w="110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3"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风险物质</w:t>
                  </w:r>
                </w:p>
              </w:tc>
              <w:tc>
                <w:tcPr>
                  <w:tcW w:w="1453"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年用量（t）</w:t>
                  </w:r>
                </w:p>
              </w:tc>
              <w:tc>
                <w:tcPr>
                  <w:tcW w:w="1289"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储存量（t）</w:t>
                  </w:r>
                </w:p>
              </w:tc>
              <w:tc>
                <w:tcPr>
                  <w:tcW w:w="1605"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CAS号</w:t>
                  </w:r>
                </w:p>
              </w:tc>
              <w:tc>
                <w:tcPr>
                  <w:tcW w:w="110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临界量（t）</w:t>
                  </w:r>
                </w:p>
              </w:tc>
              <w:tc>
                <w:tcPr>
                  <w:tcW w:w="1199"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color w:val="auto"/>
                      <w:szCs w:val="20"/>
                      <w:u w:val="none"/>
                    </w:rPr>
                  </w:pPr>
                  <w:r>
                    <w:rPr>
                      <w:rFonts w:hint="eastAsia"/>
                      <w:b/>
                      <w:bCs/>
                      <w:color w:val="auto"/>
                      <w:szCs w:val="20"/>
                      <w:u w:val="none"/>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3"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沥青</w:t>
                  </w:r>
                </w:p>
              </w:tc>
              <w:tc>
                <w:tcPr>
                  <w:tcW w:w="1453"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5000</w:t>
                  </w:r>
                </w:p>
              </w:tc>
              <w:tc>
                <w:tcPr>
                  <w:tcW w:w="1289"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200</w:t>
                  </w:r>
                </w:p>
              </w:tc>
              <w:tc>
                <w:tcPr>
                  <w:tcW w:w="1605"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110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1199"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3"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柴油</w:t>
                  </w:r>
                </w:p>
              </w:tc>
              <w:tc>
                <w:tcPr>
                  <w:tcW w:w="1453"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700</w:t>
                  </w:r>
                </w:p>
              </w:tc>
              <w:tc>
                <w:tcPr>
                  <w:tcW w:w="1289"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60</w:t>
                  </w:r>
                </w:p>
              </w:tc>
              <w:tc>
                <w:tcPr>
                  <w:tcW w:w="1605"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110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2500</w:t>
                  </w:r>
                </w:p>
              </w:tc>
              <w:tc>
                <w:tcPr>
                  <w:tcW w:w="1199"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3"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废机油</w:t>
                  </w:r>
                </w:p>
              </w:tc>
              <w:tc>
                <w:tcPr>
                  <w:tcW w:w="1453"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w:t>
                  </w:r>
                </w:p>
              </w:tc>
              <w:tc>
                <w:tcPr>
                  <w:tcW w:w="1289"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0.1</w:t>
                  </w:r>
                </w:p>
              </w:tc>
              <w:tc>
                <w:tcPr>
                  <w:tcW w:w="1605"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110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2500</w:t>
                  </w:r>
                </w:p>
              </w:tc>
              <w:tc>
                <w:tcPr>
                  <w:tcW w:w="1199"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color w:val="auto"/>
                      <w:szCs w:val="20"/>
                      <w:u w:val="none"/>
                      <w:lang w:val="en-US" w:eastAsia="zh-CN"/>
                    </w:rPr>
                  </w:pPr>
                  <w:r>
                    <w:rPr>
                      <w:rFonts w:hint="eastAsia"/>
                      <w:color w:val="auto"/>
                      <w:szCs w:val="20"/>
                      <w:u w:val="none"/>
                      <w:lang w:val="en-US" w:eastAsia="zh-CN"/>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5" w:type="dxa"/>
                  <w:gridSpan w:val="6"/>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m:oMath>
                    <m:nary>
                      <m:naryPr>
                        <m:chr m:val="∑"/>
                        <m:limLoc m:val="undOvr"/>
                        <m:subHide m:val="1"/>
                        <m:supHide m:val="1"/>
                        <m:ctrlPr>
                          <w:rPr>
                            <w:rFonts w:hint="default" w:ascii="Cambria Math" w:hAnsi="Cambria Math"/>
                            <w:i/>
                            <w:color w:val="auto"/>
                            <w:szCs w:val="20"/>
                            <w:u w:val="none"/>
                          </w:rPr>
                        </m:ctrlPr>
                      </m:naryPr>
                      <m:sub>
                        <m:ctrlPr>
                          <w:rPr>
                            <w:rFonts w:hint="default" w:ascii="Cambria Math" w:hAnsi="Cambria Math"/>
                            <w:i/>
                            <w:color w:val="auto"/>
                            <w:szCs w:val="20"/>
                            <w:u w:val="none"/>
                          </w:rPr>
                        </m:ctrlPr>
                      </m:sub>
                      <m:sup>
                        <m:ctrlPr>
                          <w:rPr>
                            <w:rFonts w:hint="default" w:ascii="Cambria Math" w:hAnsi="Cambria Math"/>
                            <w:i/>
                            <w:color w:val="auto"/>
                            <w:szCs w:val="20"/>
                            <w:u w:val="none"/>
                          </w:rPr>
                        </m:ctrlPr>
                      </m:sup>
                      <m:e>
                        <m:r>
                          <w:rPr>
                            <w:rFonts w:hint="default" w:ascii="Cambria Math" w:hAnsi="Cambria Math"/>
                            <w:color w:val="auto"/>
                            <w:szCs w:val="20"/>
                            <w:u w:val="none"/>
                          </w:rPr>
                          <m:t>Q</m:t>
                        </m:r>
                        <m:ctrlPr>
                          <w:rPr>
                            <w:rFonts w:hint="default" w:ascii="Cambria Math" w:hAnsi="Cambria Math"/>
                            <w:i/>
                            <w:color w:val="auto"/>
                            <w:szCs w:val="20"/>
                            <w:u w:val="none"/>
                          </w:rPr>
                        </m:ctrlPr>
                      </m:e>
                    </m:nary>
                  </m:oMath>
                  <w:r>
                    <w:rPr>
                      <w:rFonts w:hint="eastAsia"/>
                      <w:color w:val="auto"/>
                      <w:szCs w:val="20"/>
                      <w:u w:val="none"/>
                    </w:rPr>
                    <w:t>=</w:t>
                  </w:r>
                  <w:r>
                    <w:rPr>
                      <w:rFonts w:hint="eastAsia"/>
                      <w:color w:val="auto"/>
                      <w:szCs w:val="20"/>
                      <w:u w:val="none"/>
                      <w:lang w:val="en-US" w:eastAsia="zh-CN"/>
                    </w:rPr>
                    <w:t>0.02404</w:t>
                  </w:r>
                  <w:r>
                    <w:rPr>
                      <w:rFonts w:hint="eastAsia"/>
                      <w:color w:val="auto"/>
                      <w:szCs w:val="20"/>
                      <w:u w:val="none"/>
                    </w:rPr>
                    <w:t>＜1</w:t>
                  </w:r>
                </w:p>
              </w:tc>
            </w:tr>
          </w:tbl>
          <w:p>
            <w:pPr>
              <w:keepNext w:val="0"/>
              <w:keepLines w:val="0"/>
              <w:suppressLineNumbers w:val="0"/>
              <w:spacing w:before="0" w:beforeAutospacing="0" w:after="0" w:afterAutospacing="0"/>
              <w:ind w:left="0" w:right="0" w:firstLine="480"/>
              <w:rPr>
                <w:rFonts w:hint="default"/>
              </w:rPr>
            </w:pPr>
            <w:r>
              <w:rPr>
                <w:rFonts w:hint="default"/>
                <w:color w:val="auto"/>
                <w:u w:val="none"/>
              </w:rPr>
              <w:t>本项目Q值＜1，不涉及重大风险源。</w:t>
            </w:r>
          </w:p>
          <w:p>
            <w:pPr>
              <w:keepNext w:val="0"/>
              <w:keepLines w:val="0"/>
              <w:suppressLineNumbers w:val="0"/>
              <w:spacing w:before="0" w:beforeAutospacing="0" w:after="0" w:afterAutospacing="0"/>
              <w:ind w:left="0" w:right="0" w:firstLine="482"/>
              <w:rPr>
                <w:rFonts w:hint="default"/>
                <w:b/>
                <w:bCs/>
              </w:rPr>
            </w:pPr>
            <w:r>
              <w:rPr>
                <w:rFonts w:hint="eastAsia"/>
                <w:b/>
                <w:bCs/>
              </w:rPr>
              <w:t>（2）环境风险识别</w:t>
            </w:r>
          </w:p>
          <w:p>
            <w:pPr>
              <w:keepNext w:val="0"/>
              <w:keepLines w:val="0"/>
              <w:suppressLineNumbers w:val="0"/>
              <w:spacing w:before="0" w:beforeAutospacing="0" w:after="0" w:afterAutospacing="0"/>
              <w:ind w:left="0" w:right="0" w:firstLine="480"/>
              <w:rPr>
                <w:rFonts w:hint="default"/>
              </w:rPr>
            </w:pPr>
            <w:r>
              <w:rPr>
                <w:rFonts w:hint="eastAsia"/>
              </w:rPr>
              <w:t>本项目环境风险识别见表4-</w:t>
            </w:r>
            <w:r>
              <w:rPr>
                <w:rFonts w:hint="eastAsia"/>
                <w:lang w:val="en-US" w:eastAsia="zh-CN"/>
              </w:rPr>
              <w:t>16</w:t>
            </w:r>
            <w:r>
              <w:rPr>
                <w:rFonts w:hint="eastAsia"/>
              </w:rPr>
              <w:t>。</w:t>
            </w:r>
          </w:p>
          <w:p>
            <w:pPr>
              <w:pStyle w:val="11"/>
              <w:keepNext w:val="0"/>
              <w:keepLines w:val="0"/>
              <w:widowControl/>
              <w:suppressLineNumbers w:val="0"/>
              <w:bidi w:val="0"/>
              <w:spacing w:beforeAutospacing="0" w:after="0" w:afterAutospacing="0"/>
              <w:ind w:left="0" w:right="0"/>
              <w:rPr>
                <w:rFonts w:hint="default"/>
              </w:rPr>
            </w:pPr>
            <w:r>
              <w:rPr>
                <w:rFonts w:hint="default"/>
              </w:rPr>
              <w:t>表4-</w:t>
            </w:r>
            <w:r>
              <w:rPr>
                <w:rFonts w:hint="eastAsia"/>
                <w:lang w:val="en-US" w:eastAsia="zh-CN"/>
              </w:rPr>
              <w:t>16</w:t>
            </w:r>
            <w:r>
              <w:rPr>
                <w:rFonts w:hint="default"/>
              </w:rPr>
              <w:t xml:space="preserve">  建设项目环境风险识别表</w:t>
            </w:r>
          </w:p>
          <w:tbl>
            <w:tblPr>
              <w:tblStyle w:val="7"/>
              <w:tblW w:w="8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534"/>
              <w:gridCol w:w="1476"/>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1"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风险物质</w:t>
                  </w:r>
                </w:p>
              </w:tc>
              <w:tc>
                <w:tcPr>
                  <w:tcW w:w="153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风险源位置</w:t>
                  </w:r>
                </w:p>
              </w:tc>
              <w:tc>
                <w:tcPr>
                  <w:tcW w:w="1476"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风险类型</w:t>
                  </w:r>
                </w:p>
              </w:tc>
              <w:tc>
                <w:tcPr>
                  <w:tcW w:w="373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影响途径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1"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color w:val="auto"/>
                      <w:szCs w:val="20"/>
                      <w:u w:val="none"/>
                      <w:lang w:val="en-US" w:eastAsia="zh-CN"/>
                    </w:rPr>
                    <w:t>沥青</w:t>
                  </w:r>
                </w:p>
              </w:tc>
              <w:tc>
                <w:tcPr>
                  <w:tcW w:w="153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沥青储罐</w:t>
                  </w:r>
                </w:p>
              </w:tc>
              <w:tc>
                <w:tcPr>
                  <w:tcW w:w="1476"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泄露、火灾引发的伴生/次生污染物排放</w:t>
                  </w:r>
                </w:p>
              </w:tc>
              <w:tc>
                <w:tcPr>
                  <w:tcW w:w="3734"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①沥青</w:t>
                  </w:r>
                  <w:r>
                    <w:rPr>
                      <w:rFonts w:hint="eastAsia"/>
                      <w:szCs w:val="20"/>
                      <w:lang w:eastAsia="zh-CN"/>
                    </w:rPr>
                    <w:t>、柴油、</w:t>
                  </w:r>
                  <w:r>
                    <w:rPr>
                      <w:rFonts w:hint="eastAsia"/>
                      <w:szCs w:val="20"/>
                    </w:rPr>
                    <w:t>导热油</w:t>
                  </w:r>
                  <w:r>
                    <w:rPr>
                      <w:rFonts w:hint="eastAsia"/>
                      <w:szCs w:val="20"/>
                      <w:lang w:eastAsia="zh-CN"/>
                    </w:rPr>
                    <w:t>、</w:t>
                  </w:r>
                  <w:r>
                    <w:rPr>
                      <w:rFonts w:hint="eastAsia"/>
                      <w:szCs w:val="20"/>
                    </w:rPr>
                    <w:t>废机油泄漏，挥发或预热燃烧，产生的次生污染物进入大气，影响环境空气。</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②</w:t>
                  </w:r>
                  <w:r>
                    <w:rPr>
                      <w:rFonts w:hint="eastAsia"/>
                      <w:szCs w:val="20"/>
                      <w:lang w:eastAsia="zh-CN"/>
                    </w:rPr>
                    <w:t>柴油、</w:t>
                  </w:r>
                  <w:r>
                    <w:rPr>
                      <w:rFonts w:hint="eastAsia"/>
                      <w:szCs w:val="20"/>
                    </w:rPr>
                    <w:t>导热油</w:t>
                  </w:r>
                  <w:r>
                    <w:rPr>
                      <w:rFonts w:hint="eastAsia"/>
                      <w:szCs w:val="20"/>
                      <w:lang w:eastAsia="zh-CN"/>
                    </w:rPr>
                    <w:t>、</w:t>
                  </w:r>
                  <w:r>
                    <w:rPr>
                      <w:rFonts w:hint="eastAsia"/>
                      <w:szCs w:val="20"/>
                    </w:rPr>
                    <w:t>废机油泄漏，进入</w:t>
                  </w:r>
                  <w:r>
                    <w:rPr>
                      <w:rFonts w:hint="eastAsia"/>
                      <w:szCs w:val="20"/>
                      <w:lang w:val="en-US" w:eastAsia="zh-CN"/>
                    </w:rPr>
                    <w:t>土壤，污染土壤</w:t>
                  </w: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1"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color w:val="auto"/>
                      <w:szCs w:val="20"/>
                      <w:u w:val="none"/>
                      <w:lang w:val="en-US" w:eastAsia="zh-CN"/>
                    </w:rPr>
                    <w:t>柴油</w:t>
                  </w:r>
                </w:p>
              </w:tc>
              <w:tc>
                <w:tcPr>
                  <w:tcW w:w="153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柴油储罐</w:t>
                  </w:r>
                </w:p>
              </w:tc>
              <w:tc>
                <w:tcPr>
                  <w:tcW w:w="14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3734"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1"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color w:val="auto"/>
                      <w:szCs w:val="20"/>
                      <w:u w:val="none"/>
                      <w:lang w:val="en-US" w:eastAsia="zh-CN"/>
                    </w:rPr>
                    <w:t>导热油</w:t>
                  </w:r>
                </w:p>
              </w:tc>
              <w:tc>
                <w:tcPr>
                  <w:tcW w:w="153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导热油罐</w:t>
                  </w:r>
                </w:p>
              </w:tc>
              <w:tc>
                <w:tcPr>
                  <w:tcW w:w="14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3734"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1"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color w:val="auto"/>
                      <w:szCs w:val="20"/>
                      <w:u w:val="none"/>
                      <w:lang w:val="en-US" w:eastAsia="zh-CN"/>
                    </w:rPr>
                    <w:t>废机油</w:t>
                  </w:r>
                </w:p>
              </w:tc>
              <w:tc>
                <w:tcPr>
                  <w:tcW w:w="153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危废暂存间</w:t>
                  </w:r>
                </w:p>
              </w:tc>
              <w:tc>
                <w:tcPr>
                  <w:tcW w:w="1476"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3734"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firstLine="482"/>
              <w:rPr>
                <w:rFonts w:hint="default"/>
                <w:b/>
                <w:bCs/>
              </w:rPr>
            </w:pPr>
            <w:r>
              <w:rPr>
                <w:rFonts w:hint="default"/>
                <w:b/>
                <w:bCs/>
              </w:rPr>
              <w:t>（3）环境风险分析</w:t>
            </w:r>
          </w:p>
          <w:p>
            <w:pPr>
              <w:keepNext w:val="0"/>
              <w:keepLines w:val="0"/>
              <w:suppressLineNumbers w:val="0"/>
              <w:spacing w:before="0" w:beforeAutospacing="0" w:after="0" w:afterAutospacing="0"/>
              <w:ind w:left="0" w:right="0" w:firstLine="480"/>
              <w:rPr>
                <w:rFonts w:hint="default"/>
              </w:rPr>
            </w:pPr>
            <w:r>
              <w:rPr>
                <w:rFonts w:hint="default"/>
              </w:rPr>
              <w:t>①大气环境风险分析</w:t>
            </w:r>
          </w:p>
          <w:p>
            <w:pPr>
              <w:keepNext w:val="0"/>
              <w:keepLines w:val="0"/>
              <w:suppressLineNumbers w:val="0"/>
              <w:spacing w:before="0" w:beforeAutospacing="0" w:after="0" w:afterAutospacing="0"/>
              <w:ind w:left="0" w:right="0" w:firstLine="480"/>
              <w:rPr>
                <w:rFonts w:hint="default"/>
              </w:rPr>
            </w:pPr>
            <w:r>
              <w:rPr>
                <w:rFonts w:hint="default"/>
              </w:rPr>
              <w:t>当</w:t>
            </w:r>
            <w:r>
              <w:rPr>
                <w:rFonts w:hint="eastAsia"/>
              </w:rPr>
              <w:t>沥青</w:t>
            </w:r>
            <w:r>
              <w:rPr>
                <w:rFonts w:hint="eastAsia"/>
                <w:lang w:eastAsia="zh-CN"/>
              </w:rPr>
              <w:t>、柴油、</w:t>
            </w:r>
            <w:r>
              <w:rPr>
                <w:rFonts w:hint="eastAsia"/>
              </w:rPr>
              <w:t>导热油</w:t>
            </w:r>
            <w:r>
              <w:rPr>
                <w:rFonts w:hint="eastAsia"/>
                <w:lang w:eastAsia="zh-CN"/>
              </w:rPr>
              <w:t>、</w:t>
            </w:r>
            <w:r>
              <w:rPr>
                <w:rFonts w:hint="eastAsia"/>
              </w:rPr>
              <w:t>废机油泄漏</w:t>
            </w:r>
            <w:r>
              <w:rPr>
                <w:rFonts w:hint="default"/>
              </w:rPr>
              <w:t>发生泄漏遇到明火，会发生火灾、爆炸等事故，火灾发生后会产生大量的浓烟，从而造成大气污染，其中产生的CO和氮氧化物将对人群健康带来危害，使人中毒。因此，事故发生后产生的废气也是事故处理过程中的伴生/次生污染，必须对其提出相应的削减和防范措施。</w:t>
            </w:r>
          </w:p>
          <w:p>
            <w:pPr>
              <w:keepNext w:val="0"/>
              <w:keepLines w:val="0"/>
              <w:suppressLineNumbers w:val="0"/>
              <w:spacing w:before="0" w:beforeAutospacing="0" w:after="0" w:afterAutospacing="0"/>
              <w:ind w:left="0" w:right="0" w:firstLine="480"/>
              <w:rPr>
                <w:rFonts w:hint="default"/>
              </w:rPr>
            </w:pPr>
            <w:r>
              <w:rPr>
                <w:rFonts w:hint="default"/>
              </w:rPr>
              <w:t>②水环境风险分析</w:t>
            </w:r>
          </w:p>
          <w:p>
            <w:pPr>
              <w:keepNext w:val="0"/>
              <w:keepLines w:val="0"/>
              <w:suppressLineNumbers w:val="0"/>
              <w:spacing w:before="0" w:beforeAutospacing="0" w:after="0" w:afterAutospacing="0"/>
              <w:ind w:left="0" w:right="0" w:firstLine="480"/>
              <w:rPr>
                <w:rFonts w:hint="default"/>
              </w:rPr>
            </w:pPr>
            <w:r>
              <w:rPr>
                <w:rFonts w:hint="eastAsia"/>
                <w:lang w:eastAsia="zh-CN"/>
              </w:rPr>
              <w:t>柴油、</w:t>
            </w:r>
            <w:r>
              <w:rPr>
                <w:rFonts w:hint="eastAsia"/>
              </w:rPr>
              <w:t>导热油</w:t>
            </w:r>
            <w:r>
              <w:rPr>
                <w:rFonts w:hint="eastAsia"/>
                <w:lang w:eastAsia="zh-CN"/>
              </w:rPr>
              <w:t>、</w:t>
            </w:r>
            <w:r>
              <w:rPr>
                <w:rFonts w:hint="eastAsia"/>
              </w:rPr>
              <w:t>废机油</w:t>
            </w:r>
            <w:r>
              <w:rPr>
                <w:rFonts w:hint="default"/>
              </w:rPr>
              <w:t>泄漏出现火情，灭火时产生的消防废水会携带大量含油物质，而这些含油物质本身具有一定的毒性，若不能及时得到有效地收集和处置将会通过</w:t>
            </w:r>
            <w:r>
              <w:rPr>
                <w:rFonts w:hint="eastAsia"/>
                <w:lang w:val="en-US" w:eastAsia="zh-CN"/>
              </w:rPr>
              <w:t>地面漫流进入周边土壤</w:t>
            </w:r>
            <w:r>
              <w:rPr>
                <w:rFonts w:hint="default"/>
              </w:rPr>
              <w:t>，会对</w:t>
            </w:r>
            <w:r>
              <w:rPr>
                <w:rFonts w:hint="eastAsia"/>
                <w:lang w:val="en-US" w:eastAsia="zh-CN"/>
              </w:rPr>
              <w:t>土壤</w:t>
            </w:r>
            <w:r>
              <w:rPr>
                <w:rFonts w:hint="default"/>
              </w:rPr>
              <w:t>造成影响。因此，事故发生后产生的消防废水是事故处理过程中的伴生/次生污染，必须对其提出相应的削减和防范措施。</w:t>
            </w:r>
          </w:p>
          <w:p>
            <w:pPr>
              <w:keepNext w:val="0"/>
              <w:keepLines w:val="0"/>
              <w:suppressLineNumbers w:val="0"/>
              <w:spacing w:before="0" w:beforeAutospacing="0" w:after="0" w:afterAutospacing="0"/>
              <w:ind w:left="0" w:right="0" w:firstLine="482"/>
              <w:rPr>
                <w:rFonts w:hint="default"/>
                <w:b/>
                <w:bCs/>
              </w:rPr>
            </w:pPr>
            <w:r>
              <w:rPr>
                <w:rFonts w:hint="default"/>
                <w:b/>
                <w:bCs/>
              </w:rPr>
              <w:t>（4）环境风险防范措施</w:t>
            </w:r>
          </w:p>
          <w:p>
            <w:pPr>
              <w:keepNext w:val="0"/>
              <w:keepLines w:val="0"/>
              <w:suppressLineNumbers w:val="0"/>
              <w:spacing w:before="0" w:beforeAutospacing="0" w:after="0" w:afterAutospacing="0"/>
              <w:ind w:left="0" w:right="0" w:firstLine="480"/>
              <w:rPr>
                <w:rFonts w:hint="default"/>
              </w:rPr>
            </w:pPr>
            <w:r>
              <w:rPr>
                <w:rFonts w:hint="eastAsia"/>
              </w:rPr>
              <w:t>①</w:t>
            </w:r>
            <w:r>
              <w:rPr>
                <w:rFonts w:hint="default"/>
              </w:rPr>
              <w:t>生产车间按规范配置灭火器材和消防装备</w:t>
            </w:r>
            <w:r>
              <w:rPr>
                <w:rFonts w:hint="eastAsia"/>
              </w:rPr>
              <w:t>；</w:t>
            </w:r>
          </w:p>
          <w:p>
            <w:pPr>
              <w:keepNext w:val="0"/>
              <w:keepLines w:val="0"/>
              <w:suppressLineNumbers w:val="0"/>
              <w:spacing w:before="0" w:beforeAutospacing="0" w:after="0" w:afterAutospacing="0"/>
              <w:ind w:left="0" w:right="0" w:firstLine="480"/>
              <w:rPr>
                <w:rFonts w:hint="default"/>
              </w:rPr>
            </w:pPr>
            <w:r>
              <w:rPr>
                <w:rFonts w:hint="eastAsia"/>
              </w:rPr>
              <w:t>②</w:t>
            </w:r>
            <w:r>
              <w:rPr>
                <w:rFonts w:hint="default"/>
              </w:rPr>
              <w:t>在生产区域明显位置张贴禁用明火的告示，加强油类物质存放区域的巡</w:t>
            </w:r>
            <w:r>
              <w:rPr>
                <w:rFonts w:hint="eastAsia"/>
              </w:rPr>
              <w:t>查；</w:t>
            </w:r>
            <w:r>
              <w:rPr>
                <w:rFonts w:hint="default"/>
              </w:rPr>
              <w:t>工作人员要熟练掌握操作技术和防火安全管理规定；</w:t>
            </w:r>
          </w:p>
          <w:p>
            <w:pPr>
              <w:keepNext w:val="0"/>
              <w:keepLines w:val="0"/>
              <w:suppressLineNumbers w:val="0"/>
              <w:spacing w:before="0" w:beforeAutospacing="0" w:after="0" w:afterAutospacing="0"/>
              <w:ind w:left="0" w:right="0" w:firstLine="480"/>
              <w:rPr>
                <w:rFonts w:hint="default"/>
              </w:rPr>
            </w:pPr>
            <w:r>
              <w:rPr>
                <w:rFonts w:hint="eastAsia"/>
              </w:rPr>
              <w:t>③</w:t>
            </w:r>
            <w:r>
              <w:rPr>
                <w:rFonts w:hint="default"/>
              </w:rPr>
              <w:t>定期检查危险物质存储的安全状态，检查其包装有无破损，以防止泄漏</w:t>
            </w:r>
            <w:r>
              <w:rPr>
                <w:rFonts w:hint="eastAsia"/>
              </w:rPr>
              <w:t>；</w:t>
            </w:r>
          </w:p>
          <w:p>
            <w:pPr>
              <w:keepNext w:val="0"/>
              <w:keepLines w:val="0"/>
              <w:suppressLineNumbers w:val="0"/>
              <w:spacing w:before="0" w:beforeAutospacing="0" w:after="0" w:afterAutospacing="0"/>
              <w:ind w:left="0" w:right="0" w:firstLine="480"/>
              <w:rPr>
                <w:rFonts w:hint="default"/>
              </w:rPr>
            </w:pPr>
            <w:r>
              <w:rPr>
                <w:rFonts w:hint="eastAsia"/>
              </w:rPr>
              <w:t>④</w:t>
            </w:r>
            <w:r>
              <w:rPr>
                <w:rFonts w:hint="default"/>
              </w:rPr>
              <w:t>建立健全安全、环境管理体系及高效的安全生产机构，一旦发生事故，要做到快速、高效、安全处置</w:t>
            </w:r>
            <w:r>
              <w:rPr>
                <w:rFonts w:hint="eastAsia"/>
              </w:rPr>
              <w:t>；</w:t>
            </w:r>
          </w:p>
          <w:p>
            <w:pPr>
              <w:keepNext w:val="0"/>
              <w:keepLines w:val="0"/>
              <w:suppressLineNumbers w:val="0"/>
              <w:spacing w:before="0" w:beforeAutospacing="0" w:after="0" w:afterAutospacing="0"/>
              <w:ind w:left="0" w:right="0" w:firstLine="480"/>
              <w:rPr>
                <w:rFonts w:hint="default"/>
              </w:rPr>
            </w:pPr>
            <w:r>
              <w:rPr>
                <w:rFonts w:hint="eastAsia"/>
              </w:rPr>
              <w:t>⑤</w:t>
            </w:r>
            <w:r>
              <w:rPr>
                <w:rFonts w:hint="default"/>
              </w:rPr>
              <w:t>加强宣传，普及</w:t>
            </w:r>
            <w:r>
              <w:rPr>
                <w:rFonts w:hint="eastAsia"/>
              </w:rPr>
              <w:t>沥青</w:t>
            </w:r>
            <w:r>
              <w:rPr>
                <w:rFonts w:hint="eastAsia"/>
                <w:lang w:eastAsia="zh-CN"/>
              </w:rPr>
              <w:t>、柴油、</w:t>
            </w:r>
            <w:r>
              <w:rPr>
                <w:rFonts w:hint="eastAsia"/>
              </w:rPr>
              <w:t>导热油</w:t>
            </w:r>
            <w:r>
              <w:rPr>
                <w:rFonts w:hint="eastAsia"/>
                <w:lang w:eastAsia="zh-CN"/>
              </w:rPr>
              <w:t>、</w:t>
            </w:r>
            <w:r>
              <w:rPr>
                <w:rFonts w:hint="eastAsia"/>
              </w:rPr>
              <w:t>废机油</w:t>
            </w:r>
            <w:r>
              <w:rPr>
                <w:rFonts w:hint="default"/>
              </w:rPr>
              <w:t>输送知识，发现问题及时报告，制定事故应急预案，配备适当的灭火及人员抢救设备</w:t>
            </w:r>
            <w:r>
              <w:rPr>
                <w:rFonts w:hint="eastAsia"/>
              </w:rPr>
              <w:t>；</w:t>
            </w:r>
          </w:p>
          <w:p>
            <w:pPr>
              <w:keepNext w:val="0"/>
              <w:keepLines w:val="0"/>
              <w:suppressLineNumbers w:val="0"/>
              <w:spacing w:before="0" w:beforeAutospacing="0" w:after="0" w:afterAutospacing="0"/>
              <w:ind w:left="0" w:right="0" w:firstLine="480"/>
              <w:rPr>
                <w:rFonts w:hint="default"/>
              </w:rPr>
            </w:pPr>
            <w:r>
              <w:rPr>
                <w:rFonts w:hint="eastAsia"/>
                <w:lang w:val="en-US" w:eastAsia="zh-CN"/>
              </w:rPr>
              <w:t>⑥生产</w:t>
            </w:r>
            <w:r>
              <w:rPr>
                <w:rFonts w:hint="default"/>
              </w:rPr>
              <w:t>车间、危废暂存间设置禁火标识牌等，严格禁火制度</w:t>
            </w:r>
            <w:r>
              <w:rPr>
                <w:rFonts w:hint="eastAsia"/>
              </w:rPr>
              <w:t>；</w:t>
            </w:r>
          </w:p>
          <w:p>
            <w:pPr>
              <w:keepNext w:val="0"/>
              <w:keepLines w:val="0"/>
              <w:suppressLineNumbers w:val="0"/>
              <w:spacing w:before="0" w:beforeAutospacing="0" w:after="0" w:afterAutospacing="0"/>
              <w:ind w:left="0" w:right="0" w:firstLine="480"/>
              <w:rPr>
                <w:rFonts w:hint="eastAsia"/>
              </w:rPr>
            </w:pPr>
            <w:r>
              <w:rPr>
                <w:rFonts w:hint="eastAsia"/>
                <w:lang w:val="en-US" w:eastAsia="zh-CN"/>
              </w:rPr>
              <w:t>⑦</w:t>
            </w:r>
            <w:r>
              <w:rPr>
                <w:rFonts w:hint="default"/>
              </w:rPr>
              <w:t>加强对</w:t>
            </w:r>
            <w:r>
              <w:rPr>
                <w:rFonts w:hint="eastAsia"/>
              </w:rPr>
              <w:t>沥青</w:t>
            </w:r>
            <w:r>
              <w:rPr>
                <w:rFonts w:hint="eastAsia"/>
                <w:lang w:eastAsia="zh-CN"/>
              </w:rPr>
              <w:t>、柴油、</w:t>
            </w:r>
            <w:r>
              <w:rPr>
                <w:rFonts w:hint="eastAsia"/>
              </w:rPr>
              <w:t>导热油</w:t>
            </w:r>
            <w:r>
              <w:rPr>
                <w:rFonts w:hint="eastAsia"/>
                <w:lang w:eastAsia="zh-CN"/>
              </w:rPr>
              <w:t>、</w:t>
            </w:r>
            <w:r>
              <w:rPr>
                <w:rFonts w:hint="eastAsia"/>
              </w:rPr>
              <w:t>废机油</w:t>
            </w:r>
            <w:r>
              <w:rPr>
                <w:rFonts w:hint="default"/>
              </w:rPr>
              <w:t>使用的管理，加强安全检查，安排专人定期对</w:t>
            </w:r>
            <w:r>
              <w:rPr>
                <w:rFonts w:hint="eastAsia"/>
              </w:rPr>
              <w:t>沥青</w:t>
            </w:r>
            <w:r>
              <w:rPr>
                <w:rFonts w:hint="eastAsia"/>
                <w:lang w:eastAsia="zh-CN"/>
              </w:rPr>
              <w:t>、柴油、</w:t>
            </w:r>
            <w:r>
              <w:rPr>
                <w:rFonts w:hint="eastAsia"/>
              </w:rPr>
              <w:t>导热油</w:t>
            </w:r>
            <w:r>
              <w:rPr>
                <w:rFonts w:hint="eastAsia"/>
                <w:lang w:val="en-US" w:eastAsia="zh-CN"/>
              </w:rPr>
              <w:t>储罐</w:t>
            </w:r>
            <w:r>
              <w:rPr>
                <w:rFonts w:hint="default"/>
              </w:rPr>
              <w:t>、</w:t>
            </w:r>
            <w:r>
              <w:rPr>
                <w:rFonts w:hint="eastAsia"/>
              </w:rPr>
              <w:t>危</w:t>
            </w:r>
            <w:r>
              <w:rPr>
                <w:rFonts w:hint="default"/>
              </w:rPr>
              <w:t>废暂存间进行排</w:t>
            </w:r>
            <w:r>
              <w:rPr>
                <w:rFonts w:hint="eastAsia"/>
              </w:rPr>
              <w:t>查，杜绝跑冒滴漏等情况发生。</w:t>
            </w:r>
          </w:p>
          <w:p>
            <w:pPr>
              <w:keepNext w:val="0"/>
              <w:keepLines w:val="0"/>
              <w:suppressLineNumbers w:val="0"/>
              <w:spacing w:before="0" w:beforeAutospacing="0" w:after="0" w:afterAutospacing="0"/>
              <w:ind w:left="0" w:right="0"/>
              <w:rPr>
                <w:rFonts w:hint="eastAsia" w:eastAsia="宋体"/>
                <w:color w:val="FF0000"/>
                <w:u w:val="single"/>
                <w:lang w:val="en-US" w:eastAsia="zh-CN"/>
              </w:rPr>
            </w:pPr>
            <w:r>
              <w:rPr>
                <w:rFonts w:hint="eastAsia"/>
                <w:color w:val="auto"/>
                <w:u w:val="none"/>
                <w:lang w:val="en-US" w:eastAsia="zh-CN"/>
              </w:rPr>
              <w:t>⑧本项目存在一定的环境风险，为防范风险事故的发生，本报告中提出了相应的风险防范措施，对重点源、工艺装置和原辅料仓库进行监控和管理，企业在严格按照有关规范标准、规范及条例的要求，认真落实环境风险防范措施，编制完善的应急预案，并去相关部门备案的前提下，项目环境风险是可控的。</w:t>
            </w:r>
          </w:p>
          <w:p>
            <w:pPr>
              <w:keepNext w:val="0"/>
              <w:keepLines w:val="0"/>
              <w:suppressLineNumbers w:val="0"/>
              <w:spacing w:before="0" w:beforeAutospacing="0" w:after="0" w:afterAutospacing="0"/>
              <w:ind w:left="0" w:right="0" w:firstLine="480"/>
              <w:rPr>
                <w:rFonts w:hint="default"/>
                <w:b/>
                <w:bCs/>
                <w:lang w:val="en-US" w:eastAsia="zh-CN"/>
              </w:rPr>
            </w:pPr>
            <w:r>
              <w:rPr>
                <w:rFonts w:hint="eastAsia"/>
                <w:b/>
                <w:bCs/>
                <w:lang w:val="en-US" w:eastAsia="zh-CN"/>
              </w:rPr>
              <w:t>7</w:t>
            </w:r>
            <w:r>
              <w:rPr>
                <w:rFonts w:hint="default"/>
                <w:b/>
                <w:bCs/>
                <w:lang w:val="en-US" w:eastAsia="zh-CN"/>
              </w:rPr>
              <w:t>、环境管理</w:t>
            </w:r>
          </w:p>
          <w:p>
            <w:pPr>
              <w:keepNext w:val="0"/>
              <w:keepLines w:val="0"/>
              <w:suppressLineNumbers w:val="0"/>
              <w:spacing w:before="0" w:beforeAutospacing="0" w:after="0" w:afterAutospacing="0"/>
              <w:ind w:left="0" w:right="0" w:firstLine="480"/>
              <w:rPr>
                <w:rFonts w:hint="default"/>
                <w:b/>
                <w:bCs/>
                <w:lang w:val="en-US" w:eastAsia="zh-CN"/>
              </w:rPr>
            </w:pPr>
            <w:r>
              <w:rPr>
                <w:rFonts w:hint="default"/>
                <w:b/>
                <w:bCs/>
                <w:lang w:val="en-US" w:eastAsia="zh-CN"/>
              </w:rPr>
              <w:t>（1）环境管理内容</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t>建立环境保护管理机构，根据环境影响评价提出的施工期和营运期环境保护措施，落实环境保护工作经费，对施工期和营运期环境保护工作进行监督管理，并负责与政府环境主管部门联系和协调环境管理相关事宜。实施环境保护对策措施，为具体实施环境保护措施和采取相应补救措施提供依据和基本资料。</w:t>
            </w:r>
          </w:p>
          <w:p>
            <w:pPr>
              <w:keepNext w:val="0"/>
              <w:keepLines w:val="0"/>
              <w:suppressLineNumbers w:val="0"/>
              <w:spacing w:before="0" w:beforeAutospacing="0" w:after="0" w:afterAutospacing="0"/>
              <w:ind w:left="0" w:right="0" w:firstLine="480"/>
              <w:rPr>
                <w:rFonts w:hint="default"/>
                <w:b/>
                <w:bCs/>
                <w:lang w:val="en-US" w:eastAsia="zh-CN"/>
              </w:rPr>
            </w:pPr>
            <w:r>
              <w:rPr>
                <w:rFonts w:hint="default"/>
                <w:b/>
                <w:bCs/>
                <w:lang w:val="en-US" w:eastAsia="zh-CN"/>
              </w:rPr>
              <w:t>（2）环境管理机构</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t>应加强施工期和营运期的环境管理和环境监理工作。在建设项目开始实施时，即应成立专门的环保机构，建立岗位责任制，制定环境管理和环境监测制度。根据需要配备专职人员负责环境管理、环保宣传、治理监督等日常工作管理等。</w:t>
            </w:r>
          </w:p>
          <w:p>
            <w:pPr>
              <w:keepNext w:val="0"/>
              <w:keepLines w:val="0"/>
              <w:suppressLineNumbers w:val="0"/>
              <w:spacing w:before="0" w:beforeAutospacing="0" w:after="0" w:afterAutospacing="0"/>
              <w:ind w:left="0" w:right="0" w:firstLine="480"/>
              <w:rPr>
                <w:rFonts w:hint="default"/>
                <w:b/>
                <w:bCs/>
                <w:lang w:val="en-US" w:eastAsia="zh-CN"/>
              </w:rPr>
            </w:pPr>
            <w:r>
              <w:rPr>
                <w:rFonts w:hint="default"/>
                <w:b/>
                <w:bCs/>
                <w:lang w:val="en-US" w:eastAsia="zh-CN"/>
              </w:rPr>
              <w:t>（3）环境管理机构职责</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t>环境管理贯穿于施工期和营运期，是一项经常性的重要工作。环境管理的目的是使建设项目在整个施工期和营运期都严格遵守国家和地方的有关环境保护法律法规，监督和检查项目施工建设过程中环保措施的落实。环境管理机构职责是通过强化环境管理，使项目的建设和营运取得明显的经济效益和环境效益。为了保证环境管理正常有效的进行，项目需设有管理机构，建立健全的管理制度及管理办法。</w:t>
            </w:r>
          </w:p>
          <w:p>
            <w:pPr>
              <w:keepNext w:val="0"/>
              <w:keepLines w:val="0"/>
              <w:suppressLineNumbers w:val="0"/>
              <w:spacing w:before="0" w:beforeAutospacing="0" w:after="0" w:afterAutospacing="0"/>
              <w:ind w:left="0" w:right="0" w:firstLine="480"/>
              <w:rPr>
                <w:rFonts w:hint="default"/>
                <w:b/>
                <w:bCs/>
                <w:lang w:val="en-US" w:eastAsia="zh-CN"/>
              </w:rPr>
            </w:pPr>
            <w:r>
              <w:rPr>
                <w:rFonts w:hint="default"/>
                <w:b/>
                <w:bCs/>
                <w:lang w:val="en-US" w:eastAsia="zh-CN"/>
              </w:rPr>
              <w:t>（4）环保管理人员职责</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1 \* GB3 \* MERGEFORMAT </w:instrText>
            </w:r>
            <w:r>
              <w:rPr>
                <w:rFonts w:hint="default"/>
                <w:lang w:val="en-US" w:eastAsia="zh-CN"/>
              </w:rPr>
              <w:fldChar w:fldCharType="separate"/>
            </w:r>
            <w:r>
              <w:rPr>
                <w:rFonts w:hint="default"/>
              </w:rPr>
              <w:t>①</w:t>
            </w:r>
            <w:r>
              <w:rPr>
                <w:rFonts w:hint="default"/>
                <w:lang w:val="en-US" w:eastAsia="zh-CN"/>
              </w:rPr>
              <w:fldChar w:fldCharType="end"/>
            </w:r>
            <w:r>
              <w:rPr>
                <w:rFonts w:hint="default"/>
                <w:lang w:val="en-US" w:eastAsia="zh-CN"/>
              </w:rPr>
              <w:t>督促项目环保治理措施、管理措施的实施；</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rPr>
                <w:rFonts w:hint="default"/>
              </w:rPr>
              <w:t>②</w:t>
            </w:r>
            <w:r>
              <w:rPr>
                <w:rFonts w:hint="default"/>
                <w:lang w:val="en-US" w:eastAsia="zh-CN"/>
              </w:rPr>
              <w:fldChar w:fldCharType="end"/>
            </w:r>
            <w:r>
              <w:rPr>
                <w:rFonts w:hint="default"/>
                <w:lang w:val="en-US" w:eastAsia="zh-CN"/>
              </w:rPr>
              <w:t>督促检查项目环保设施的建设及运行情况，并提出改善环境的建议及对策；</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rPr>
                <w:rFonts w:hint="default"/>
              </w:rPr>
              <w:t>③</w:t>
            </w:r>
            <w:r>
              <w:rPr>
                <w:rFonts w:hint="default"/>
                <w:lang w:val="en-US" w:eastAsia="zh-CN"/>
              </w:rPr>
              <w:fldChar w:fldCharType="end"/>
            </w:r>
            <w:r>
              <w:rPr>
                <w:rFonts w:hint="default"/>
                <w:lang w:val="en-US" w:eastAsia="zh-CN"/>
              </w:rPr>
              <w:t>定期向各级主管部门汇报项目的环保工作情况。</w:t>
            </w:r>
          </w:p>
          <w:p>
            <w:pPr>
              <w:keepNext w:val="0"/>
              <w:keepLines w:val="0"/>
              <w:suppressLineNumbers w:val="0"/>
              <w:spacing w:before="0" w:beforeAutospacing="0" w:after="0" w:afterAutospacing="0"/>
              <w:ind w:left="0" w:right="0" w:firstLine="480"/>
              <w:rPr>
                <w:rFonts w:hint="default"/>
                <w:b/>
                <w:bCs/>
                <w:lang w:val="en-US" w:eastAsia="zh-CN"/>
              </w:rPr>
            </w:pPr>
            <w:r>
              <w:rPr>
                <w:rFonts w:hint="default"/>
                <w:b/>
                <w:bCs/>
                <w:lang w:val="en-US" w:eastAsia="zh-CN"/>
              </w:rPr>
              <w:t>（5）施工期环境管理</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1 \* GB3 \* MERGEFORMAT </w:instrText>
            </w:r>
            <w:r>
              <w:rPr>
                <w:rFonts w:hint="default"/>
                <w:lang w:val="en-US" w:eastAsia="zh-CN"/>
              </w:rPr>
              <w:fldChar w:fldCharType="separate"/>
            </w:r>
            <w:r>
              <w:rPr>
                <w:rFonts w:hint="default"/>
              </w:rPr>
              <w:t>①</w:t>
            </w:r>
            <w:r>
              <w:rPr>
                <w:rFonts w:hint="default"/>
                <w:lang w:val="en-US" w:eastAsia="zh-CN"/>
              </w:rPr>
              <w:fldChar w:fldCharType="end"/>
            </w:r>
            <w:r>
              <w:rPr>
                <w:rFonts w:hint="default"/>
                <w:lang w:val="en-US" w:eastAsia="zh-CN"/>
              </w:rPr>
              <w:t>施工期要制定和健全工程环境监理制度，对所有工程项目进行环境工程监理，保证项目环境工程质量，避免环境隐患的存在；</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rPr>
                <w:rFonts w:hint="default"/>
              </w:rPr>
              <w:t>②</w:t>
            </w:r>
            <w:r>
              <w:rPr>
                <w:rFonts w:hint="default"/>
                <w:lang w:val="en-US" w:eastAsia="zh-CN"/>
              </w:rPr>
              <w:fldChar w:fldCharType="end"/>
            </w:r>
            <w:r>
              <w:rPr>
                <w:rFonts w:hint="default"/>
                <w:lang w:val="en-US" w:eastAsia="zh-CN"/>
              </w:rPr>
              <w:t>对施工单位提出要求，明确责任，督促施工单位按工程设计要求进行施工，以减少施工过程水土流失对生态环境、水环境的影响；减少地面扬尘、建筑粉尘和施工机械尾气对空气环境的污染；</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rPr>
                <w:rFonts w:hint="default"/>
              </w:rPr>
              <w:t>③</w:t>
            </w:r>
            <w:r>
              <w:rPr>
                <w:rFonts w:hint="default"/>
                <w:lang w:val="en-US" w:eastAsia="zh-CN"/>
              </w:rPr>
              <w:fldChar w:fldCharType="end"/>
            </w:r>
            <w:r>
              <w:rPr>
                <w:rFonts w:hint="default"/>
                <w:lang w:val="en-US" w:eastAsia="zh-CN"/>
              </w:rPr>
              <w:t>明确施工中废水不外排的要求及职责，并定期组织检查；</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4 \* GB3 \* MERGEFORMAT </w:instrText>
            </w:r>
            <w:r>
              <w:rPr>
                <w:rFonts w:hint="default"/>
                <w:lang w:val="en-US" w:eastAsia="zh-CN"/>
              </w:rPr>
              <w:fldChar w:fldCharType="separate"/>
            </w:r>
            <w:r>
              <w:rPr>
                <w:rFonts w:hint="default"/>
              </w:rPr>
              <w:t>④</w:t>
            </w:r>
            <w:r>
              <w:rPr>
                <w:rFonts w:hint="default"/>
                <w:lang w:val="en-US" w:eastAsia="zh-CN"/>
              </w:rPr>
              <w:fldChar w:fldCharType="end"/>
            </w:r>
            <w:r>
              <w:rPr>
                <w:rFonts w:hint="default"/>
                <w:lang w:val="en-US" w:eastAsia="zh-CN"/>
              </w:rPr>
              <w:t>要求施工单位采用符合国家标准的施工机械及按规范施工，采取有效措施减少施工噪声对周围环境的影响；</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5 \* GB3 \* MERGEFORMAT </w:instrText>
            </w:r>
            <w:r>
              <w:rPr>
                <w:rFonts w:hint="default"/>
                <w:lang w:val="en-US" w:eastAsia="zh-CN"/>
              </w:rPr>
              <w:fldChar w:fldCharType="separate"/>
            </w:r>
            <w:r>
              <w:rPr>
                <w:rFonts w:hint="default"/>
              </w:rPr>
              <w:t>⑤</w:t>
            </w:r>
            <w:r>
              <w:rPr>
                <w:rFonts w:hint="default"/>
                <w:lang w:val="en-US" w:eastAsia="zh-CN"/>
              </w:rPr>
              <w:fldChar w:fldCharType="end"/>
            </w:r>
            <w:r>
              <w:rPr>
                <w:rFonts w:hint="default"/>
                <w:lang w:val="en-US" w:eastAsia="zh-CN"/>
              </w:rPr>
              <w:t>定期检查，督促施工单位按要求处理建筑垃圾，收集和处理施工废弃物；</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6 \* GB3 \* MERGEFORMAT </w:instrText>
            </w:r>
            <w:r>
              <w:rPr>
                <w:rFonts w:hint="default"/>
                <w:lang w:val="en-US" w:eastAsia="zh-CN"/>
              </w:rPr>
              <w:fldChar w:fldCharType="separate"/>
            </w:r>
            <w:r>
              <w:rPr>
                <w:rFonts w:hint="default"/>
              </w:rPr>
              <w:t>⑥</w:t>
            </w:r>
            <w:r>
              <w:rPr>
                <w:rFonts w:hint="default"/>
                <w:lang w:val="en-US" w:eastAsia="zh-CN"/>
              </w:rPr>
              <w:fldChar w:fldCharType="end"/>
            </w:r>
            <w:r>
              <w:rPr>
                <w:rFonts w:hint="default"/>
                <w:lang w:val="en-US" w:eastAsia="zh-CN"/>
              </w:rPr>
              <w:t>项目施工完毕后，应全面检查施工现场的环境恢复状况。督促施工单位及时撤除占用场地，拆除临时设施，恢复因施工破坏的设施。</w:t>
            </w:r>
          </w:p>
          <w:p>
            <w:pPr>
              <w:keepNext w:val="0"/>
              <w:keepLines w:val="0"/>
              <w:suppressLineNumbers w:val="0"/>
              <w:spacing w:before="0" w:beforeAutospacing="0" w:after="0" w:afterAutospacing="0"/>
              <w:ind w:left="0" w:right="0" w:firstLine="480"/>
              <w:rPr>
                <w:rFonts w:hint="default"/>
                <w:b/>
                <w:bCs/>
                <w:lang w:val="en-US" w:eastAsia="zh-CN"/>
              </w:rPr>
            </w:pPr>
            <w:r>
              <w:rPr>
                <w:rFonts w:hint="default"/>
                <w:b/>
                <w:bCs/>
                <w:lang w:val="en-US" w:eastAsia="zh-CN"/>
              </w:rPr>
              <w:t>（6）运营期环境管理</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1 \* GB3 \* MERGEFORMAT </w:instrText>
            </w:r>
            <w:r>
              <w:rPr>
                <w:rFonts w:hint="default"/>
                <w:lang w:val="en-US" w:eastAsia="zh-CN"/>
              </w:rPr>
              <w:fldChar w:fldCharType="separate"/>
            </w:r>
            <w:r>
              <w:rPr>
                <w:rFonts w:hint="default"/>
              </w:rPr>
              <w:t>①</w:t>
            </w:r>
            <w:r>
              <w:rPr>
                <w:rFonts w:hint="default"/>
                <w:lang w:val="en-US" w:eastAsia="zh-CN"/>
              </w:rPr>
              <w:fldChar w:fldCharType="end"/>
            </w:r>
            <w:r>
              <w:rPr>
                <w:rFonts w:hint="default"/>
                <w:lang w:val="en-US" w:eastAsia="zh-CN"/>
              </w:rPr>
              <w:t>项目建成运营前，建设单位应组织对建设项目进行验收，检查环保设施是否达到“三同时”要求；</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rPr>
                <w:rFonts w:hint="default"/>
              </w:rPr>
              <w:t>②</w:t>
            </w:r>
            <w:r>
              <w:rPr>
                <w:rFonts w:hint="default"/>
                <w:lang w:val="en-US" w:eastAsia="zh-CN"/>
              </w:rPr>
              <w:fldChar w:fldCharType="end"/>
            </w:r>
            <w:r>
              <w:rPr>
                <w:rFonts w:hint="default"/>
                <w:lang w:val="en-US" w:eastAsia="zh-CN"/>
              </w:rPr>
              <w:t>加强环保设施的管理，定期检查项目内环保设施运行情况，如排污管道等设施是否正常运行，防止事故排放污染项目内外环境。及时排除故障，保证环保设施正常运转；</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3 \* GB3 \* MERGEFORMAT </w:instrText>
            </w:r>
            <w:r>
              <w:rPr>
                <w:rFonts w:hint="default"/>
                <w:lang w:val="en-US" w:eastAsia="zh-CN"/>
              </w:rPr>
              <w:fldChar w:fldCharType="separate"/>
            </w:r>
            <w:r>
              <w:rPr>
                <w:rFonts w:hint="default"/>
              </w:rPr>
              <w:t>③</w:t>
            </w:r>
            <w:r>
              <w:rPr>
                <w:rFonts w:hint="default"/>
                <w:lang w:val="en-US" w:eastAsia="zh-CN"/>
              </w:rPr>
              <w:fldChar w:fldCharType="end"/>
            </w:r>
            <w:r>
              <w:rPr>
                <w:rFonts w:hint="default"/>
                <w:lang w:val="en-US" w:eastAsia="zh-CN"/>
              </w:rPr>
              <w:t>检查项目内环境，发现问题及时督促解决；</w:t>
            </w:r>
          </w:p>
          <w:p>
            <w:pPr>
              <w:keepNext w:val="0"/>
              <w:keepLines w:val="0"/>
              <w:suppressLineNumbers w:val="0"/>
              <w:spacing w:before="0" w:beforeAutospacing="0" w:after="0" w:afterAutospacing="0"/>
              <w:ind w:left="0" w:right="0" w:firstLine="480"/>
              <w:rPr>
                <w:rFonts w:hint="default"/>
                <w:lang w:val="en-US" w:eastAsia="zh-CN"/>
              </w:rPr>
            </w:pPr>
            <w:r>
              <w:rPr>
                <w:rFonts w:hint="default"/>
                <w:lang w:val="en-US" w:eastAsia="zh-CN"/>
              </w:rPr>
              <w:fldChar w:fldCharType="begin"/>
            </w:r>
            <w:r>
              <w:rPr>
                <w:rFonts w:hint="default"/>
                <w:lang w:val="en-US" w:eastAsia="zh-CN"/>
              </w:rPr>
              <w:instrText xml:space="preserve"> = 4 \* GB3 \* MERGEFORMAT </w:instrText>
            </w:r>
            <w:r>
              <w:rPr>
                <w:rFonts w:hint="default"/>
                <w:lang w:val="en-US" w:eastAsia="zh-CN"/>
              </w:rPr>
              <w:fldChar w:fldCharType="separate"/>
            </w:r>
            <w:r>
              <w:rPr>
                <w:rFonts w:hint="default"/>
              </w:rPr>
              <w:t>④</w:t>
            </w:r>
            <w:r>
              <w:rPr>
                <w:rFonts w:hint="default"/>
                <w:lang w:val="en-US" w:eastAsia="zh-CN"/>
              </w:rPr>
              <w:fldChar w:fldCharType="end"/>
            </w:r>
            <w:r>
              <w:rPr>
                <w:rFonts w:hint="default"/>
                <w:lang w:val="en-US" w:eastAsia="zh-CN"/>
              </w:rPr>
              <w:t>加强项目在职员工的环保意识，加强环境保护的自觉性，不断提高环境管理水平。</w:t>
            </w:r>
          </w:p>
          <w:p>
            <w:pPr>
              <w:keepNext w:val="0"/>
              <w:keepLines w:val="0"/>
              <w:suppressLineNumbers w:val="0"/>
              <w:spacing w:before="0" w:beforeAutospacing="0" w:after="0" w:afterAutospacing="0"/>
              <w:ind w:left="0" w:right="0" w:firstLine="480"/>
              <w:rPr>
                <w:rFonts w:hint="default"/>
                <w:b/>
                <w:bCs/>
                <w:lang w:val="en-US" w:eastAsia="zh-CN"/>
              </w:rPr>
            </w:pPr>
            <w:r>
              <w:rPr>
                <w:rFonts w:hint="eastAsia"/>
                <w:b/>
                <w:bCs/>
                <w:lang w:val="en-US" w:eastAsia="zh-CN"/>
              </w:rPr>
              <w:t>8</w:t>
            </w:r>
            <w:r>
              <w:rPr>
                <w:rFonts w:hint="default"/>
                <w:b/>
                <w:bCs/>
                <w:lang w:val="en-US" w:eastAsia="zh-CN"/>
              </w:rPr>
              <w:t>、排污许可</w:t>
            </w:r>
          </w:p>
          <w:p>
            <w:pPr>
              <w:keepNext w:val="0"/>
              <w:keepLines w:val="0"/>
              <w:suppressLineNumbers w:val="0"/>
              <w:spacing w:before="0" w:beforeAutospacing="0" w:after="0" w:afterAutospacing="0"/>
              <w:ind w:left="0" w:right="0" w:firstLine="480"/>
              <w:rPr>
                <w:rFonts w:hint="default"/>
              </w:rPr>
            </w:pPr>
            <w:r>
              <w:rPr>
                <w:rFonts w:hint="default"/>
              </w:rPr>
              <w:t>建设项目发生实际排污行为之前，排污单位应当按照国家环境保护相关法律法规以及排污许可证申请与核发技术规范要求申请排污许可证，不得无证排污或不按证排污。环境影响报告书（表）2015年1月1日（含）后获得批准的建设项目，其环境影响报告书（表）以及审批文件中与污染物排放相关的主要内容应当纳入排污许可证。建设项目无证排污或不按证排污的，建设单位不得出具该项目验收合格的意见，验收报告中与污染物排放相关的主要内容应当纳入该项目验收完成当年排污许可证执行年报。排污许可证执行报告、台账记录以及自行监测执行情况等应作为开展建设项目环境影响后评价的重要依据。</w:t>
            </w:r>
          </w:p>
          <w:p>
            <w:pPr>
              <w:keepNext w:val="0"/>
              <w:keepLines w:val="0"/>
              <w:suppressLineNumbers w:val="0"/>
              <w:spacing w:before="0" w:beforeAutospacing="0" w:after="0" w:afterAutospacing="0"/>
              <w:ind w:left="0" w:right="0" w:firstLine="480"/>
              <w:rPr>
                <w:rFonts w:hint="eastAsia" w:eastAsia="宋体"/>
                <w:lang w:val="en-US" w:eastAsia="zh-CN"/>
              </w:rPr>
            </w:pPr>
            <w:r>
              <w:rPr>
                <w:rFonts w:hint="default"/>
                <w:lang w:eastAsia="zh-CN"/>
              </w:rPr>
              <w:t>对</w:t>
            </w:r>
            <w:r>
              <w:rPr>
                <w:rFonts w:hint="default"/>
              </w:rPr>
              <w:t>照《固定污染源排污许可分类管理名录（2019年版）》，</w:t>
            </w:r>
            <w:r>
              <w:rPr>
                <w:rFonts w:hint="default"/>
                <w:lang w:eastAsia="zh-CN"/>
              </w:rPr>
              <w:t>本项目属于“</w:t>
            </w:r>
            <w:r>
              <w:rPr>
                <w:rFonts w:hint="default"/>
              </w:rPr>
              <w:t>二十五、非金属矿物制品业</w:t>
            </w:r>
            <w:r>
              <w:rPr>
                <w:rFonts w:hint="eastAsia"/>
                <w:lang w:val="en-US" w:eastAsia="zh-CN"/>
              </w:rPr>
              <w:t xml:space="preserve"> </w:t>
            </w:r>
            <w:r>
              <w:rPr>
                <w:rFonts w:hint="default"/>
              </w:rPr>
              <w:t>30</w:t>
            </w:r>
            <w:r>
              <w:rPr>
                <w:rFonts w:hint="eastAsia"/>
                <w:lang w:eastAsia="zh-CN"/>
              </w:rPr>
              <w:t>—</w:t>
            </w:r>
            <w:r>
              <w:rPr>
                <w:rFonts w:hint="default"/>
              </w:rPr>
              <w:t>70.石墨及其他非金属矿物制品制造309</w:t>
            </w:r>
            <w:r>
              <w:rPr>
                <w:rFonts w:hint="eastAsia"/>
                <w:lang w:eastAsia="zh-CN"/>
              </w:rPr>
              <w:t>—</w:t>
            </w:r>
            <w:r>
              <w:rPr>
                <w:rFonts w:hint="default"/>
              </w:rPr>
              <w:t>石墨及碳素制品制造3091（除石墨制品、碳制品、碳素新材料以外的），其他非金属矿物制品制造3099（单晶硅棒，沥青混合物）</w:t>
            </w:r>
            <w:r>
              <w:rPr>
                <w:rFonts w:hint="default"/>
                <w:lang w:eastAsia="zh-CN"/>
              </w:rPr>
              <w:t>”，</w:t>
            </w:r>
            <w:r>
              <w:rPr>
                <w:rFonts w:hint="default"/>
              </w:rPr>
              <w:t>属于排污许可分类管理中</w:t>
            </w:r>
            <w:r>
              <w:rPr>
                <w:rFonts w:hint="default"/>
                <w:lang w:val="en-US" w:eastAsia="zh-CN"/>
              </w:rPr>
              <w:t>简化</w:t>
            </w:r>
            <w:r>
              <w:rPr>
                <w:rFonts w:hint="default"/>
              </w:rPr>
              <w:t>管理</w:t>
            </w:r>
            <w:r>
              <w:rPr>
                <w:rFonts w:hint="default"/>
                <w:lang w:eastAsia="zh-CN"/>
              </w:rPr>
              <w:t>；项</w:t>
            </w:r>
            <w:r>
              <w:rPr>
                <w:rFonts w:hint="default"/>
              </w:rPr>
              <w:t>目应在取得环评批复后</w:t>
            </w:r>
            <w:r>
              <w:rPr>
                <w:rFonts w:hint="default"/>
                <w:lang w:eastAsia="zh-CN"/>
              </w:rPr>
              <w:t>、</w:t>
            </w:r>
            <w:r>
              <w:rPr>
                <w:rFonts w:hint="default"/>
              </w:rPr>
              <w:t>启动生产设施或者发生实际排污之前申请取得排污许可证</w:t>
            </w:r>
            <w:r>
              <w:rPr>
                <w:rFonts w:hint="eastAsia"/>
                <w:lang w:eastAsia="zh-CN"/>
              </w:rPr>
              <w:t>。</w:t>
            </w: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480"/>
              <w:rPr>
                <w:rFonts w:hint="default"/>
              </w:rPr>
            </w:pPr>
          </w:p>
          <w:p>
            <w:pPr>
              <w:keepNext w:val="0"/>
              <w:keepLines w:val="0"/>
              <w:suppressLineNumbers w:val="0"/>
              <w:spacing w:before="0" w:beforeAutospacing="0" w:after="0" w:afterAutospacing="0"/>
              <w:ind w:left="0" w:right="0" w:firstLine="0" w:firstLineChars="0"/>
              <w:rPr>
                <w:rFonts w:hint="default"/>
              </w:rPr>
            </w:pPr>
          </w:p>
        </w:tc>
      </w:tr>
    </w:tbl>
    <w:p>
      <w:pPr>
        <w:adjustRightInd w:val="0"/>
        <w:snapToGrid w:val="0"/>
        <w:ind w:firstLine="562"/>
        <w:rPr>
          <w:rFonts w:ascii="宋体" w:cs="宋体"/>
          <w:b/>
          <w:kern w:val="0"/>
          <w:sz w:val="28"/>
          <w:szCs w:val="28"/>
        </w:rPr>
        <w:sectPr>
          <w:pgSz w:w="11907" w:h="16840"/>
          <w:pgMar w:top="1701" w:right="1531" w:bottom="2127" w:left="1531" w:header="851" w:footer="851" w:gutter="0"/>
          <w:cols w:space="720" w:num="1"/>
          <w:docGrid w:linePitch="312" w:charSpace="0"/>
        </w:sectPr>
      </w:pPr>
    </w:p>
    <w:p>
      <w:pPr>
        <w:pStyle w:val="2"/>
        <w:ind w:firstLine="602"/>
        <w:rPr>
          <w:snapToGrid w:val="0"/>
          <w:highlight w:val="yellow"/>
        </w:rPr>
      </w:pPr>
      <w:bookmarkStart w:id="7" w:name="_Toc9076"/>
      <w:r>
        <w:rPr>
          <w:rFonts w:hint="eastAsia"/>
          <w:snapToGrid w:val="0"/>
          <w:highlight w:val="none"/>
        </w:rPr>
        <w:t>五、</w:t>
      </w:r>
      <w:bookmarkStart w:id="8" w:name="_Hlk54167917"/>
      <w:r>
        <w:rPr>
          <w:rFonts w:hint="eastAsia"/>
          <w:snapToGrid w:val="0"/>
          <w:highlight w:val="none"/>
        </w:rPr>
        <w:t>环境保护措施监督检查清单</w:t>
      </w:r>
      <w:bookmarkEnd w:id="7"/>
      <w:bookmarkEnd w:id="8"/>
    </w:p>
    <w:tbl>
      <w:tblPr>
        <w:tblStyle w:val="6"/>
        <w:tblpPr w:leftFromText="180" w:rightFromText="180" w:vertAnchor="text" w:tblpXSpec="center" w:tblpY="1"/>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639"/>
        <w:gridCol w:w="1765"/>
        <w:gridCol w:w="1881"/>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568" w:type="dxa"/>
            <w:tcBorders>
              <w:tl2br w:val="single" w:color="auto" w:sz="4" w:space="0"/>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 xml:space="preserve">   内容</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b/>
                <w:bCs/>
                <w:szCs w:val="20"/>
              </w:rPr>
            </w:pPr>
            <w:r>
              <w:rPr>
                <w:rFonts w:hint="eastAsia"/>
                <w:b/>
                <w:bCs/>
                <w:szCs w:val="20"/>
              </w:rPr>
              <w:t>要素</w:t>
            </w:r>
          </w:p>
        </w:tc>
        <w:tc>
          <w:tcPr>
            <w:tcW w:w="16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排放口（编号、</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名称）/污染源</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污染物项目</w:t>
            </w:r>
          </w:p>
        </w:tc>
        <w:tc>
          <w:tcPr>
            <w:tcW w:w="188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环境保护措施</w:t>
            </w:r>
          </w:p>
        </w:tc>
        <w:tc>
          <w:tcPr>
            <w:tcW w:w="194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6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大气环境</w:t>
            </w:r>
          </w:p>
        </w:tc>
        <w:tc>
          <w:tcPr>
            <w:tcW w:w="16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DA001</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eastAsia="zh-CN"/>
              </w:rPr>
            </w:pPr>
            <w:r>
              <w:rPr>
                <w:rFonts w:hint="eastAsia"/>
                <w:szCs w:val="20"/>
              </w:rPr>
              <w:t>颗粒物</w:t>
            </w:r>
          </w:p>
        </w:tc>
        <w:tc>
          <w:tcPr>
            <w:tcW w:w="188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袋式除尘+15m排气筒</w:t>
            </w:r>
          </w:p>
        </w:tc>
        <w:tc>
          <w:tcPr>
            <w:tcW w:w="194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6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c>
          <w:tcPr>
            <w:tcW w:w="16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DA002</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lang w:val="en-US" w:eastAsia="zh-CN"/>
              </w:rPr>
              <w:t>颗粒物、</w:t>
            </w:r>
            <w:r>
              <w:rPr>
                <w:rFonts w:hint="eastAsia"/>
                <w:szCs w:val="20"/>
              </w:rPr>
              <w:t>二氧化硫、氮氧化物</w:t>
            </w:r>
          </w:p>
        </w:tc>
        <w:tc>
          <w:tcPr>
            <w:tcW w:w="188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rPr>
              <w:t>低氮燃烧+袋式除尘+15m排气筒</w:t>
            </w:r>
          </w:p>
        </w:tc>
        <w:tc>
          <w:tcPr>
            <w:tcW w:w="194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zh-CN"/>
              </w:rPr>
            </w:pPr>
            <w:r>
              <w:rPr>
                <w:rFonts w:hint="eastAsia"/>
                <w:szCs w:val="20"/>
                <w:lang w:val="zh-CN"/>
              </w:rPr>
              <w:t>从严执行《锅炉大气污染物排放标准》（GB13271-2017）表2燃油锅炉的排放限值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6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c>
          <w:tcPr>
            <w:tcW w:w="16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0"/>
                <w:lang w:val="en-US" w:eastAsia="zh-CN" w:bidi="ar-SA"/>
              </w:rPr>
            </w:pPr>
            <w:r>
              <w:rPr>
                <w:rFonts w:hint="eastAsia"/>
                <w:szCs w:val="20"/>
              </w:rPr>
              <w:t>DA00</w:t>
            </w:r>
            <w:r>
              <w:rPr>
                <w:rFonts w:hint="eastAsia"/>
                <w:szCs w:val="20"/>
                <w:lang w:val="en-US" w:eastAsia="zh-CN"/>
              </w:rPr>
              <w:t>3</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cs="Times New Roman"/>
                <w:sz w:val="21"/>
                <w:szCs w:val="20"/>
                <w:lang w:val="en-US" w:eastAsia="zh-CN" w:bidi="ar-SA"/>
              </w:rPr>
            </w:pPr>
            <w:r>
              <w:rPr>
                <w:rFonts w:hint="eastAsia"/>
                <w:szCs w:val="20"/>
              </w:rPr>
              <w:t>沥青烟</w:t>
            </w:r>
            <w:r>
              <w:rPr>
                <w:rFonts w:hint="eastAsia"/>
                <w:szCs w:val="20"/>
                <w:lang w:eastAsia="zh-CN"/>
              </w:rPr>
              <w:t>、</w:t>
            </w:r>
            <w:r>
              <w:rPr>
                <w:rFonts w:hint="eastAsia"/>
                <w:szCs w:val="20"/>
              </w:rPr>
              <w:t>苯并[a]芘</w:t>
            </w:r>
            <w:r>
              <w:rPr>
                <w:rFonts w:hint="eastAsia"/>
                <w:szCs w:val="20"/>
                <w:lang w:eastAsia="zh-CN"/>
              </w:rPr>
              <w:t>、</w:t>
            </w:r>
            <w:r>
              <w:rPr>
                <w:rFonts w:hint="eastAsia"/>
                <w:szCs w:val="20"/>
              </w:rPr>
              <w:t>非甲烷总烃</w:t>
            </w:r>
          </w:p>
        </w:tc>
        <w:tc>
          <w:tcPr>
            <w:tcW w:w="188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eastAsia="宋体" w:cs="Times New Roman"/>
                <w:sz w:val="21"/>
                <w:szCs w:val="20"/>
                <w:lang w:val="en-US" w:eastAsia="zh-CN" w:bidi="ar-SA"/>
              </w:rPr>
            </w:pPr>
            <w:r>
              <w:rPr>
                <w:rFonts w:hint="eastAsia" w:cs="Times New Roman"/>
                <w:sz w:val="21"/>
                <w:szCs w:val="20"/>
                <w:lang w:val="en-US" w:eastAsia="zh-CN" w:bidi="ar-SA"/>
              </w:rPr>
              <w:t>烟气冷凝器+喷淋+活性炭吸附装置+15m排气筒</w:t>
            </w:r>
          </w:p>
        </w:tc>
        <w:tc>
          <w:tcPr>
            <w:tcW w:w="194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zh-CN"/>
              </w:rPr>
            </w:pPr>
            <w:r>
              <w:rPr>
                <w:rFonts w:hint="eastAsia"/>
                <w:szCs w:val="20"/>
                <w:lang w:val="zh-CN"/>
              </w:rPr>
              <w:t>《大气污染物综合排放标准》（GB16297-1996）中表2中排放监控浓度限值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6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c>
          <w:tcPr>
            <w:tcW w:w="16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食堂油烟</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油烟</w:t>
            </w:r>
          </w:p>
        </w:tc>
        <w:tc>
          <w:tcPr>
            <w:tcW w:w="188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s="Times New Roman"/>
                <w:sz w:val="21"/>
                <w:szCs w:val="20"/>
                <w:lang w:val="en-US" w:eastAsia="zh-CN" w:bidi="ar-SA"/>
              </w:rPr>
            </w:pPr>
            <w:r>
              <w:rPr>
                <w:rFonts w:hint="eastAsia" w:cs="Times New Roman"/>
                <w:sz w:val="21"/>
                <w:szCs w:val="20"/>
                <w:lang w:val="en-US" w:eastAsia="zh-CN" w:bidi="ar-SA"/>
              </w:rPr>
              <w:t>油烟净化设施+专用烟道</w:t>
            </w:r>
          </w:p>
        </w:tc>
        <w:tc>
          <w:tcPr>
            <w:tcW w:w="194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zh-CN"/>
              </w:rPr>
            </w:pPr>
            <w:r>
              <w:rPr>
                <w:rFonts w:hint="eastAsia"/>
                <w:szCs w:val="20"/>
                <w:lang w:val="zh-CN" w:eastAsia="zh-CN"/>
              </w:rPr>
              <w:t>《饮食业油烟排放标准》(GB18483-2001)表2中小型最高允许排放浓度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56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639"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无组织废气</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颗粒物</w:t>
            </w:r>
          </w:p>
        </w:tc>
        <w:tc>
          <w:tcPr>
            <w:tcW w:w="188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定期洒水降尘</w:t>
            </w:r>
          </w:p>
        </w:tc>
        <w:tc>
          <w:tcPr>
            <w:tcW w:w="1947"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《大气污染物综合排放标准》（GB16297-1996）中表2中无组织限值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6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63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沥青烟</w:t>
            </w:r>
          </w:p>
        </w:tc>
        <w:tc>
          <w:tcPr>
            <w:tcW w:w="1881"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rPr>
              <w:t>加强管理</w:t>
            </w:r>
          </w:p>
        </w:tc>
        <w:tc>
          <w:tcPr>
            <w:tcW w:w="1947"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6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63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rPr>
              <w:t>苯并[a]芘</w:t>
            </w:r>
          </w:p>
        </w:tc>
        <w:tc>
          <w:tcPr>
            <w:tcW w:w="188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p>
        </w:tc>
        <w:tc>
          <w:tcPr>
            <w:tcW w:w="1947"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56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639"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rPr>
              <w:t>非甲烷总烃</w:t>
            </w:r>
          </w:p>
        </w:tc>
        <w:tc>
          <w:tcPr>
            <w:tcW w:w="188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p>
        </w:tc>
        <w:tc>
          <w:tcPr>
            <w:tcW w:w="1947"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568"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地表水环境</w:t>
            </w:r>
          </w:p>
        </w:tc>
        <w:tc>
          <w:tcPr>
            <w:tcW w:w="16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生活污水</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COD、BOD</w:t>
            </w:r>
            <w:r>
              <w:rPr>
                <w:rFonts w:hint="eastAsia"/>
                <w:szCs w:val="20"/>
                <w:vertAlign w:val="subscript"/>
              </w:rPr>
              <w:t>5</w:t>
            </w:r>
            <w:r>
              <w:rPr>
                <w:rFonts w:hint="eastAsia"/>
                <w:szCs w:val="20"/>
              </w:rPr>
              <w:t>、NH</w:t>
            </w:r>
            <w:r>
              <w:rPr>
                <w:rFonts w:hint="eastAsia"/>
                <w:szCs w:val="20"/>
                <w:vertAlign w:val="subscript"/>
              </w:rPr>
              <w:t>3</w:t>
            </w:r>
            <w:r>
              <w:rPr>
                <w:rFonts w:hint="eastAsia"/>
                <w:szCs w:val="20"/>
              </w:rPr>
              <w:t>-N、SS、TP</w:t>
            </w:r>
          </w:p>
        </w:tc>
        <w:tc>
          <w:tcPr>
            <w:tcW w:w="188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化粪池</w:t>
            </w:r>
          </w:p>
        </w:tc>
        <w:tc>
          <w:tcPr>
            <w:tcW w:w="1947"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568"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6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食堂废水</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rPr>
              <w:t>COD、BOD</w:t>
            </w:r>
            <w:r>
              <w:rPr>
                <w:rFonts w:hint="eastAsia"/>
                <w:szCs w:val="20"/>
                <w:vertAlign w:val="subscript"/>
              </w:rPr>
              <w:t>5</w:t>
            </w:r>
            <w:r>
              <w:rPr>
                <w:rFonts w:hint="eastAsia"/>
                <w:szCs w:val="20"/>
              </w:rPr>
              <w:t>、NH</w:t>
            </w:r>
            <w:r>
              <w:rPr>
                <w:rFonts w:hint="eastAsia"/>
                <w:szCs w:val="20"/>
                <w:vertAlign w:val="subscript"/>
              </w:rPr>
              <w:t>3</w:t>
            </w:r>
            <w:r>
              <w:rPr>
                <w:rFonts w:hint="eastAsia"/>
                <w:szCs w:val="20"/>
              </w:rPr>
              <w:t>-N、SS、TP</w:t>
            </w:r>
            <w:r>
              <w:rPr>
                <w:rFonts w:hint="eastAsia"/>
                <w:szCs w:val="20"/>
                <w:lang w:eastAsia="zh-CN"/>
              </w:rPr>
              <w:t>、</w:t>
            </w:r>
            <w:r>
              <w:rPr>
                <w:rFonts w:hint="eastAsia"/>
                <w:szCs w:val="20"/>
                <w:lang w:val="en-US" w:eastAsia="zh-CN"/>
              </w:rPr>
              <w:t>动植物油</w:t>
            </w:r>
          </w:p>
        </w:tc>
        <w:tc>
          <w:tcPr>
            <w:tcW w:w="188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隔油池</w:t>
            </w:r>
            <w:r>
              <w:rPr>
                <w:rFonts w:hint="eastAsia"/>
                <w:szCs w:val="20"/>
              </w:rPr>
              <w:t>+化粪池</w:t>
            </w:r>
          </w:p>
        </w:tc>
        <w:tc>
          <w:tcPr>
            <w:tcW w:w="1947"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156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声环境</w:t>
            </w:r>
          </w:p>
        </w:tc>
        <w:tc>
          <w:tcPr>
            <w:tcW w:w="16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设备噪声</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噪声</w:t>
            </w:r>
          </w:p>
        </w:tc>
        <w:tc>
          <w:tcPr>
            <w:tcW w:w="188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夜间不生产、</w:t>
            </w:r>
            <w:r>
              <w:rPr>
                <w:rFonts w:hint="default"/>
                <w:szCs w:val="20"/>
              </w:rPr>
              <w:t>厂房隔声、基础减震</w:t>
            </w:r>
          </w:p>
        </w:tc>
        <w:tc>
          <w:tcPr>
            <w:tcW w:w="194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《工业企业厂界环境噪声排放标准》（GB12348-2008）</w:t>
            </w:r>
            <w:r>
              <w:rPr>
                <w:rFonts w:hint="eastAsia"/>
                <w:szCs w:val="20"/>
                <w:lang w:val="en-US" w:eastAsia="zh-CN"/>
              </w:rPr>
              <w:t>2</w:t>
            </w:r>
            <w:r>
              <w:rPr>
                <w:rFonts w:hint="default"/>
                <w:szCs w:val="20"/>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56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电磁辐射</w:t>
            </w:r>
          </w:p>
        </w:tc>
        <w:tc>
          <w:tcPr>
            <w:tcW w:w="16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765"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8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94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156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固体废物</w:t>
            </w:r>
          </w:p>
        </w:tc>
        <w:tc>
          <w:tcPr>
            <w:tcW w:w="7232" w:type="dxa"/>
            <w:gridSpan w:val="4"/>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color w:val="FF0000"/>
                <w:szCs w:val="20"/>
                <w:u w:val="single"/>
              </w:rPr>
            </w:pPr>
            <w:r>
              <w:rPr>
                <w:rFonts w:hint="eastAsia"/>
                <w:color w:val="auto"/>
                <w:szCs w:val="20"/>
                <w:u w:val="none"/>
              </w:rPr>
              <w:t>①一般工业固体废物：废石料存于一般固废暂存场所，定期由石料生产商回收破碎利用</w:t>
            </w:r>
            <w:r>
              <w:rPr>
                <w:rFonts w:hint="eastAsia"/>
                <w:color w:val="auto"/>
                <w:szCs w:val="20"/>
                <w:u w:val="none"/>
                <w:lang w:eastAsia="zh-CN"/>
              </w:rPr>
              <w:t>；</w:t>
            </w:r>
            <w:r>
              <w:rPr>
                <w:rFonts w:hint="eastAsia"/>
                <w:color w:val="auto"/>
                <w:szCs w:val="20"/>
                <w:u w:val="none"/>
              </w:rPr>
              <w:t>除尘器收集粉尘、滴漏沥青及残渣收集后暂存于一般固废暂存场所内，定期回用到沥青混凝土生产。</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color w:val="auto"/>
                <w:szCs w:val="20"/>
                <w:u w:val="none"/>
              </w:rPr>
              <w:t>②危险废物：废活性炭、废导热油、废机油、废机油桶、导热油空桶经集中收集后在危废暂存间进行暂存。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6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土壤及地下水</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污染防治措施</w:t>
            </w:r>
          </w:p>
        </w:tc>
        <w:tc>
          <w:tcPr>
            <w:tcW w:w="7232" w:type="dxa"/>
            <w:gridSpan w:val="4"/>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eastAsia="宋体"/>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56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生态保护措施</w:t>
            </w:r>
          </w:p>
        </w:tc>
        <w:tc>
          <w:tcPr>
            <w:tcW w:w="7232" w:type="dxa"/>
            <w:gridSpan w:val="4"/>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3" w:hRule="atLeast"/>
        </w:trPr>
        <w:tc>
          <w:tcPr>
            <w:tcW w:w="156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环境风险</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防范措施</w:t>
            </w:r>
          </w:p>
        </w:tc>
        <w:tc>
          <w:tcPr>
            <w:tcW w:w="7232" w:type="dxa"/>
            <w:gridSpan w:val="4"/>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rPr>
            </w:pPr>
            <w:r>
              <w:rPr>
                <w:rFonts w:hint="eastAsia"/>
                <w:szCs w:val="20"/>
              </w:rPr>
              <w:t>①生产车间按规范配置灭火器材和消防装备；</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rPr>
            </w:pPr>
            <w:r>
              <w:rPr>
                <w:rFonts w:hint="eastAsia"/>
                <w:szCs w:val="20"/>
              </w:rPr>
              <w:t>②在生产区域明显位置张贴禁用明火的告示，加强油类物质存放区域的巡查；工作人员要熟练掌握操作技术和防火安全管理规定；</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rPr>
            </w:pPr>
            <w:r>
              <w:rPr>
                <w:rFonts w:hint="eastAsia"/>
                <w:szCs w:val="20"/>
              </w:rPr>
              <w:t>③定期检查危险物质存储的安全状态，检查其包装有无破损，以防止泄漏；</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rPr>
            </w:pPr>
            <w:r>
              <w:rPr>
                <w:rFonts w:hint="eastAsia"/>
                <w:szCs w:val="20"/>
              </w:rPr>
              <w:t>④建立健全安全、环境管理体系及高效的安全生产机构，一旦发生事故，要做到快速、高效、安全处置；</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rPr>
            </w:pPr>
            <w:r>
              <w:rPr>
                <w:rFonts w:hint="eastAsia"/>
                <w:szCs w:val="20"/>
              </w:rPr>
              <w:t>⑤加强宣传，普及沥青、柴油、导热油、废机油输送知识，发现问题及时报告，制定事故应急预案，配备适当的灭火及人员抢救设备；</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rPr>
            </w:pPr>
            <w:r>
              <w:rPr>
                <w:rFonts w:hint="eastAsia"/>
                <w:szCs w:val="20"/>
              </w:rPr>
              <w:t>⑥生产车间、危废暂存间设置禁火标识牌等，严格禁火制度；</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rPr>
            </w:pPr>
            <w:r>
              <w:rPr>
                <w:rFonts w:hint="eastAsia"/>
                <w:szCs w:val="20"/>
              </w:rPr>
              <w:t>⑦加强对沥青、柴油、导热油、废机油使用的管理，加强安全检查，安排专人定期对沥青、柴油、导热油储罐、危废暂存间进行排查，杜绝跑冒滴漏等情况发生。</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⑧本项目存在一定的环境风险，为防范风险事故的发生，本报告中提出了相应的风险防范措施，对重点源、工艺装置和原辅料仓库进行监控和管理，企业在严格按照有关规范标准、规范及条例的要求，认真落实环境风险防范措施，编制完善的应急预案，并去相关部门备案的前提下，项目环境风险是可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156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其他环境</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管理要求</w:t>
            </w:r>
          </w:p>
        </w:tc>
        <w:tc>
          <w:tcPr>
            <w:tcW w:w="7232" w:type="dxa"/>
            <w:gridSpan w:val="4"/>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危废的管理要求：</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A管理方面</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a按照《危险废物贮存污染控制标准》（GB18597-2023）的要求规范化建造专用的危险废物贮存设施。</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b加强厂内危险固废暂存场所的管理，规范厂内暂存措施，标识危险废物堆场。</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c设立企业固废管理台账，规范危险废物情况的记录，记录上须注明危险废物的名称、来源、数量、特性和包装容器的类别、入库日期、存放库位、废物出库日期及接收单位名称，确保厂内所有危险废物流向清楚规范。</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d制定和落实危险废物管理计划，执行危险废物申报登记制度。及时向当地环保部门申报危险废物种类、产生量、流向、处置等资料，办理临时申报登记手续。</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e严格执行危险废物交换转移审批制度。所有危险废物交换转移向环保部门提出申请，经环保部门预审后报上级环保部门批准。危险废物交换转移前到当地环保部门领取五联单。绝不擅自交换、向无危险废物经营许可证单位转移。</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f必须定期对所贮存的危险废物包装容器及贮存设施进行检查，发现破损，应及时采取措施清理更换。</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B危废包装方面</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将液态状或半固态状的危险废物装入容器内，且容器内须留足够空间，容器顶部与液体表面之间保留100毫米以上的空间。容器必须完好无损，容量及材质要满足相应的强度要求，衬里要与危险废物相容，容器外必须粘贴符合标准规范的标签。</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C贮存设施的选址与设计方面</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a贮存场所及设施底部必须高于地下水最高水位。</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b用以存放装载液体、半固体危险废物容器的地方，必须有耐腐蚀的硬化地面，且表面无裂隙。</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c贮存场所及设施地面与裙脚要用坚固、防渗的材料建造，且必须与危险废物相容。</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d贮存场所及设施应设计堵截泄漏的裙脚，地面与裙脚所围建的容积不低于堵截最大容器的最大储量或总储量的五分之一。</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e贮存场所及设施必须有泄漏液体收集装置、气体导出口及气体净化装置。</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f贮存场所及设施内要有安全照明设施和观察窗口，防渗系数≤1.0×10</w:t>
            </w:r>
            <w:r>
              <w:rPr>
                <w:rFonts w:hint="eastAsia"/>
                <w:szCs w:val="20"/>
                <w:vertAlign w:val="superscript"/>
              </w:rPr>
              <w:t>-10</w:t>
            </w:r>
            <w:r>
              <w:rPr>
                <w:rFonts w:hint="eastAsia"/>
                <w:szCs w:val="20"/>
              </w:rPr>
              <w:t>cm/s。</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D贮存设施的安全防护方面</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a贮存设施都必须按《环境保护图形标志-固体废物贮存（处置）场》（GB15562.2-1995）及修改单和《危险废物识别标志设置技术规范》（HJ1276-2022）的规定设置警示标志。</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b贮存场所及设施周围应设置围墙或其它防护栅栏。</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c贮存场所及设施应配备通讯设备、安全防护服装及工具，并设有应急防护设施。</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szCs w:val="20"/>
              </w:rPr>
            </w:pPr>
            <w:r>
              <w:rPr>
                <w:rFonts w:hint="eastAsia"/>
                <w:szCs w:val="20"/>
              </w:rPr>
              <w:t>d贮存场所及设施内清理出来的泄漏物，一律按危险废物处理。</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szCs w:val="20"/>
              </w:rPr>
            </w:pPr>
            <w:r>
              <w:rPr>
                <w:rFonts w:hint="eastAsia"/>
                <w:szCs w:val="20"/>
              </w:rPr>
              <w:t>一般固废按照《一般工业固体废物贮存和填埋污染控制标准》（GB18599-2020）中的标准进行，具体可从以下几方面加强对固废的管理力度：一般工业废弃物贮存仓库，禁止危险废物和生活垃圾混入；应建立检查、维护制度，定期检查设施，发现有损坏可能或异常情况，应及时采取必要措施，以保障正常运行；应建立档案制度，将一般固体废弃物的种类、数量记录在案。</w:t>
            </w:r>
          </w:p>
        </w:tc>
      </w:tr>
    </w:tbl>
    <w:p>
      <w:pPr>
        <w:pStyle w:val="2"/>
        <w:ind w:firstLine="602"/>
        <w:rPr>
          <w:snapToGrid w:val="0"/>
        </w:rPr>
      </w:pPr>
      <w:r>
        <w:rPr>
          <w:snapToGrid w:val="0"/>
        </w:rPr>
        <w:br w:type="page"/>
      </w:r>
      <w:bookmarkStart w:id="9" w:name="_Toc2666"/>
      <w:r>
        <w:rPr>
          <w:rFonts w:hint="eastAsia"/>
          <w:snapToGrid w:val="0"/>
        </w:rPr>
        <w:t>六、结论</w:t>
      </w:r>
      <w:bookmarkEnd w:id="9"/>
    </w:p>
    <w:tbl>
      <w:tblPr>
        <w:tblStyle w:val="6"/>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tcPr>
          <w:p>
            <w:pPr>
              <w:keepNext w:val="0"/>
              <w:keepLines w:val="0"/>
              <w:suppressLineNumbers w:val="0"/>
              <w:spacing w:before="0" w:beforeAutospacing="0" w:after="0" w:afterAutospacing="0"/>
              <w:ind w:left="0" w:right="0" w:firstLine="480"/>
              <w:rPr>
                <w:rFonts w:hint="default"/>
              </w:rPr>
            </w:pPr>
            <w:r>
              <w:rPr>
                <w:rFonts w:hint="default"/>
              </w:rPr>
              <w:t>项目所在区域环境质量现状满足相应功能区标准要求，本项目建设符合国家现行产业政策及相关环保政策，符合当地规划，选址合理。本项目运营期产生的污染物较少，经污染防治措施处理后</w:t>
            </w:r>
            <w:r>
              <w:rPr>
                <w:rFonts w:hint="eastAsia"/>
              </w:rPr>
              <w:t>达标</w:t>
            </w:r>
            <w:r>
              <w:rPr>
                <w:rFonts w:hint="default"/>
              </w:rPr>
              <w:t>排放，对周边环境影响不大。项目通过严格执行环保</w:t>
            </w:r>
            <w:r>
              <w:rPr>
                <w:rFonts w:hint="eastAsia"/>
              </w:rPr>
              <w:t>“</w:t>
            </w:r>
            <w:r>
              <w:rPr>
                <w:rFonts w:hint="default"/>
              </w:rPr>
              <w:t>三同时</w:t>
            </w:r>
            <w:r>
              <w:rPr>
                <w:rFonts w:hint="eastAsia"/>
              </w:rPr>
              <w:t>”</w:t>
            </w:r>
            <w:r>
              <w:rPr>
                <w:rFonts w:hint="default"/>
              </w:rPr>
              <w:t>及排污许可等制度，落实各项污染防治措施要求，对周边环境影响可以接受。从环保角度分析，本项目建设可行。</w:t>
            </w:r>
          </w:p>
        </w:tc>
      </w:tr>
    </w:tbl>
    <w:p>
      <w:pPr>
        <w:ind w:firstLine="480"/>
        <w:rPr>
          <w:rFonts w:ascii="宋体"/>
        </w:rPr>
        <w:sectPr>
          <w:pgSz w:w="11906" w:h="16838"/>
          <w:pgMar w:top="1701" w:right="1531" w:bottom="1701" w:left="1531" w:header="851" w:footer="851" w:gutter="0"/>
          <w:cols w:space="720" w:num="1"/>
          <w:docGrid w:linePitch="312" w:charSpace="0"/>
        </w:sectPr>
      </w:pPr>
    </w:p>
    <w:p>
      <w:pPr>
        <w:adjustRightInd w:val="0"/>
        <w:snapToGrid w:val="0"/>
        <w:spacing w:line="648" w:lineRule="auto"/>
        <w:ind w:firstLine="640"/>
        <w:rPr>
          <w:rFonts w:ascii="黑体" w:hAnsi="黑体" w:eastAsia="黑体"/>
          <w:snapToGrid w:val="0"/>
          <w:sz w:val="32"/>
          <w:szCs w:val="32"/>
        </w:rPr>
      </w:pPr>
      <w:r>
        <w:rPr>
          <w:rFonts w:hint="eastAsia" w:ascii="黑体" w:hAnsi="黑体" w:eastAsia="黑体"/>
          <w:snapToGrid w:val="0"/>
          <w:sz w:val="32"/>
          <w:szCs w:val="32"/>
        </w:rPr>
        <w:t>附表</w:t>
      </w:r>
    </w:p>
    <w:p>
      <w:pPr>
        <w:spacing w:line="240" w:lineRule="auto"/>
        <w:ind w:firstLine="0" w:firstLineChars="0"/>
        <w:jc w:val="center"/>
        <w:outlineLvl w:val="9"/>
        <w:rPr>
          <w:rFonts w:ascii="黑体" w:hAnsi="黑体" w:eastAsia="黑体" w:cs="黑体"/>
          <w:b/>
          <w:bCs/>
          <w:sz w:val="30"/>
          <w:szCs w:val="30"/>
          <w:highlight w:val="none"/>
        </w:rPr>
      </w:pPr>
      <w:r>
        <w:rPr>
          <w:rFonts w:hint="eastAsia" w:ascii="黑体" w:hAnsi="黑体" w:eastAsia="黑体" w:cs="黑体"/>
          <w:b/>
          <w:bCs/>
          <w:sz w:val="30"/>
          <w:szCs w:val="30"/>
          <w:highlight w:val="none"/>
        </w:rPr>
        <w:t>建设项目污染物排放量汇总表</w:t>
      </w:r>
    </w:p>
    <w:tbl>
      <w:tblPr>
        <w:tblStyle w:val="6"/>
        <w:tblpPr w:leftFromText="180" w:rightFromText="180" w:vertAnchor="text" w:tblpY="1"/>
        <w:tblOverlap w:val="never"/>
        <w:tblW w:w="138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292"/>
        <w:gridCol w:w="1579"/>
        <w:gridCol w:w="1153"/>
        <w:gridCol w:w="1579"/>
        <w:gridCol w:w="1438"/>
        <w:gridCol w:w="1640"/>
        <w:gridCol w:w="1839"/>
        <w:gridCol w:w="1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466" w:type="dxa"/>
            <w:tcBorders>
              <w:tl2br w:val="single" w:color="auto" w:sz="4" w:space="0"/>
            </w:tcBorders>
            <w:tcMar>
              <w:left w:w="28" w:type="dxa"/>
              <w:right w:w="28" w:type="dxa"/>
            </w:tcMar>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 xml:space="preserve">         项目</w:t>
            </w:r>
          </w:p>
          <w:p>
            <w:pPr>
              <w:pStyle w:val="9"/>
              <w:keepNext w:val="0"/>
              <w:keepLines w:val="0"/>
              <w:framePr w:wrap="auto" w:vAnchor="margin" w:hAnchor="text" w:xAlign="left" w:yAlign="inline"/>
              <w:widowControl/>
              <w:suppressLineNumbers w:val="0"/>
              <w:spacing w:before="0" w:beforeAutospacing="0" w:after="0" w:afterAutospacing="0"/>
              <w:ind w:left="0" w:right="0" w:firstLine="422" w:firstLineChars="200"/>
              <w:jc w:val="both"/>
              <w:rPr>
                <w:rFonts w:hint="default"/>
                <w:b/>
                <w:bCs/>
                <w:szCs w:val="20"/>
              </w:rPr>
            </w:pPr>
            <w:r>
              <w:rPr>
                <w:rFonts w:hint="eastAsia"/>
                <w:b/>
                <w:bCs/>
                <w:szCs w:val="20"/>
              </w:rPr>
              <w:t>分类</w:t>
            </w:r>
          </w:p>
        </w:tc>
        <w:tc>
          <w:tcPr>
            <w:tcW w:w="1292" w:type="dxa"/>
            <w:tcMar>
              <w:left w:w="28" w:type="dxa"/>
              <w:right w:w="28" w:type="dxa"/>
            </w:tcMar>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污染物名称</w:t>
            </w:r>
          </w:p>
        </w:tc>
        <w:tc>
          <w:tcPr>
            <w:tcW w:w="1579" w:type="dxa"/>
            <w:tcMar>
              <w:left w:w="28" w:type="dxa"/>
              <w:right w:w="28" w:type="dxa"/>
            </w:tcMar>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现有工程</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排放量（固</w:t>
            </w:r>
            <w:r>
              <w:rPr>
                <w:rFonts w:hint="eastAsia"/>
                <w:b/>
                <w:bCs/>
                <w:szCs w:val="20"/>
              </w:rPr>
              <w:t>体</w:t>
            </w:r>
            <w:r>
              <w:rPr>
                <w:rFonts w:hint="default"/>
                <w:b/>
                <w:bCs/>
                <w:szCs w:val="20"/>
              </w:rPr>
              <w:t>废</w:t>
            </w:r>
            <w:r>
              <w:rPr>
                <w:rFonts w:hint="eastAsia"/>
                <w:b/>
                <w:bCs/>
                <w:szCs w:val="20"/>
              </w:rPr>
              <w:t>物</w:t>
            </w:r>
            <w:r>
              <w:rPr>
                <w:rFonts w:hint="default"/>
                <w:b/>
                <w:bCs/>
                <w:szCs w:val="20"/>
              </w:rPr>
              <w:t>产生量）</w:t>
            </w:r>
            <w:r>
              <w:rPr>
                <w:rFonts w:hint="default"/>
                <w:b/>
                <w:bCs/>
                <w:szCs w:val="20"/>
              </w:rPr>
              <w:fldChar w:fldCharType="begin"/>
            </w:r>
            <w:r>
              <w:rPr>
                <w:rFonts w:hint="default"/>
                <w:b/>
                <w:bCs/>
                <w:szCs w:val="20"/>
              </w:rPr>
              <w:instrText xml:space="preserve"> = 1 \* GB3 \* MERGEFORMAT </w:instrText>
            </w:r>
            <w:r>
              <w:rPr>
                <w:rFonts w:hint="default"/>
                <w:b/>
                <w:bCs/>
                <w:szCs w:val="20"/>
              </w:rPr>
              <w:fldChar w:fldCharType="separate"/>
            </w:r>
            <w:r>
              <w:rPr>
                <w:rFonts w:hint="eastAsia"/>
                <w:b/>
                <w:bCs/>
                <w:szCs w:val="20"/>
              </w:rPr>
              <w:t>①</w:t>
            </w:r>
            <w:r>
              <w:rPr>
                <w:rFonts w:hint="default"/>
                <w:b/>
                <w:bCs/>
                <w:szCs w:val="20"/>
              </w:rPr>
              <w:fldChar w:fldCharType="end"/>
            </w:r>
          </w:p>
        </w:tc>
        <w:tc>
          <w:tcPr>
            <w:tcW w:w="1153" w:type="dxa"/>
            <w:tcMar>
              <w:left w:w="28" w:type="dxa"/>
              <w:right w:w="28" w:type="dxa"/>
            </w:tcMar>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现有工程</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许可排放量</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fldChar w:fldCharType="begin"/>
            </w:r>
            <w:r>
              <w:rPr>
                <w:rFonts w:hint="default"/>
                <w:b/>
                <w:bCs/>
                <w:szCs w:val="20"/>
              </w:rPr>
              <w:instrText xml:space="preserve"> = 2 \* GB3 \* MERGEFORMAT </w:instrText>
            </w:r>
            <w:r>
              <w:rPr>
                <w:rFonts w:hint="default"/>
                <w:b/>
                <w:bCs/>
                <w:szCs w:val="20"/>
              </w:rPr>
              <w:fldChar w:fldCharType="separate"/>
            </w:r>
            <w:r>
              <w:rPr>
                <w:rFonts w:hint="eastAsia"/>
                <w:b/>
                <w:bCs/>
                <w:szCs w:val="20"/>
              </w:rPr>
              <w:t>②</w:t>
            </w:r>
            <w:r>
              <w:rPr>
                <w:rFonts w:hint="default"/>
                <w:b/>
                <w:bCs/>
                <w:szCs w:val="20"/>
              </w:rPr>
              <w:fldChar w:fldCharType="end"/>
            </w:r>
          </w:p>
        </w:tc>
        <w:tc>
          <w:tcPr>
            <w:tcW w:w="1579" w:type="dxa"/>
            <w:tcMar>
              <w:left w:w="28" w:type="dxa"/>
              <w:right w:w="28" w:type="dxa"/>
            </w:tcMar>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在建工程</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排放量（固</w:t>
            </w:r>
            <w:r>
              <w:rPr>
                <w:rFonts w:hint="eastAsia"/>
                <w:b/>
                <w:bCs/>
                <w:szCs w:val="20"/>
              </w:rPr>
              <w:t>体</w:t>
            </w:r>
            <w:r>
              <w:rPr>
                <w:rFonts w:hint="default"/>
                <w:b/>
                <w:bCs/>
                <w:szCs w:val="20"/>
              </w:rPr>
              <w:t>废</w:t>
            </w:r>
            <w:r>
              <w:rPr>
                <w:rFonts w:hint="eastAsia"/>
                <w:b/>
                <w:bCs/>
                <w:szCs w:val="20"/>
              </w:rPr>
              <w:t>物</w:t>
            </w:r>
            <w:r>
              <w:rPr>
                <w:rFonts w:hint="default"/>
                <w:b/>
                <w:bCs/>
                <w:szCs w:val="20"/>
              </w:rPr>
              <w:t>产生量）</w:t>
            </w:r>
            <w:r>
              <w:rPr>
                <w:rFonts w:hint="default"/>
                <w:b/>
                <w:bCs/>
                <w:szCs w:val="20"/>
              </w:rPr>
              <w:fldChar w:fldCharType="begin"/>
            </w:r>
            <w:r>
              <w:rPr>
                <w:rFonts w:hint="default"/>
                <w:b/>
                <w:bCs/>
                <w:szCs w:val="20"/>
              </w:rPr>
              <w:instrText xml:space="preserve"> = 3 \* GB3 \* MERGEFORMAT </w:instrText>
            </w:r>
            <w:r>
              <w:rPr>
                <w:rFonts w:hint="default"/>
                <w:b/>
                <w:bCs/>
                <w:szCs w:val="20"/>
              </w:rPr>
              <w:fldChar w:fldCharType="separate"/>
            </w:r>
            <w:r>
              <w:rPr>
                <w:rFonts w:hint="eastAsia"/>
                <w:b/>
                <w:bCs/>
                <w:szCs w:val="20"/>
              </w:rPr>
              <w:t>③</w:t>
            </w:r>
            <w:r>
              <w:rPr>
                <w:rFonts w:hint="default"/>
                <w:b/>
                <w:bCs/>
                <w:szCs w:val="20"/>
              </w:rPr>
              <w:fldChar w:fldCharType="end"/>
            </w:r>
          </w:p>
        </w:tc>
        <w:tc>
          <w:tcPr>
            <w:tcW w:w="1438" w:type="dxa"/>
            <w:tcMar>
              <w:left w:w="28" w:type="dxa"/>
              <w:right w:w="28" w:type="dxa"/>
            </w:tcMar>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本项目</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排放量（固</w:t>
            </w:r>
            <w:r>
              <w:rPr>
                <w:rFonts w:hint="eastAsia"/>
                <w:b/>
                <w:bCs/>
                <w:szCs w:val="20"/>
              </w:rPr>
              <w:t>体</w:t>
            </w:r>
            <w:r>
              <w:rPr>
                <w:rFonts w:hint="default"/>
                <w:b/>
                <w:bCs/>
                <w:szCs w:val="20"/>
              </w:rPr>
              <w:t>废</w:t>
            </w:r>
            <w:r>
              <w:rPr>
                <w:rFonts w:hint="eastAsia"/>
                <w:b/>
                <w:bCs/>
                <w:szCs w:val="20"/>
              </w:rPr>
              <w:t>物</w:t>
            </w:r>
            <w:r>
              <w:rPr>
                <w:rFonts w:hint="default"/>
                <w:b/>
                <w:bCs/>
                <w:szCs w:val="20"/>
              </w:rPr>
              <w:t>产生量）</w:t>
            </w:r>
            <w:r>
              <w:rPr>
                <w:rFonts w:hint="default"/>
                <w:b/>
                <w:bCs/>
                <w:szCs w:val="20"/>
              </w:rPr>
              <w:fldChar w:fldCharType="begin"/>
            </w:r>
            <w:r>
              <w:rPr>
                <w:rFonts w:hint="default"/>
                <w:b/>
                <w:bCs/>
                <w:szCs w:val="20"/>
              </w:rPr>
              <w:instrText xml:space="preserve"> = 4 \* GB3 \* MERGEFORMAT </w:instrText>
            </w:r>
            <w:r>
              <w:rPr>
                <w:rFonts w:hint="default"/>
                <w:b/>
                <w:bCs/>
                <w:szCs w:val="20"/>
              </w:rPr>
              <w:fldChar w:fldCharType="separate"/>
            </w:r>
            <w:r>
              <w:rPr>
                <w:rFonts w:hint="eastAsia"/>
                <w:b/>
                <w:bCs/>
                <w:szCs w:val="20"/>
              </w:rPr>
              <w:t>④</w:t>
            </w:r>
            <w:r>
              <w:rPr>
                <w:rFonts w:hint="default"/>
                <w:b/>
                <w:bCs/>
                <w:szCs w:val="20"/>
              </w:rPr>
              <w:fldChar w:fldCharType="end"/>
            </w:r>
          </w:p>
        </w:tc>
        <w:tc>
          <w:tcPr>
            <w:tcW w:w="1640" w:type="dxa"/>
            <w:tcMar>
              <w:left w:w="28" w:type="dxa"/>
              <w:right w:w="28" w:type="dxa"/>
            </w:tcMar>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以新带老削减量</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（新建项目不填）</w:t>
            </w:r>
            <w:r>
              <w:rPr>
                <w:rFonts w:hint="default"/>
                <w:b/>
                <w:bCs/>
                <w:szCs w:val="20"/>
              </w:rPr>
              <w:fldChar w:fldCharType="begin"/>
            </w:r>
            <w:r>
              <w:rPr>
                <w:rFonts w:hint="default"/>
                <w:b/>
                <w:bCs/>
                <w:szCs w:val="20"/>
              </w:rPr>
              <w:instrText xml:space="preserve"> = 5 \* GB3 \* MERGEFORMAT </w:instrText>
            </w:r>
            <w:r>
              <w:rPr>
                <w:rFonts w:hint="default"/>
                <w:b/>
                <w:bCs/>
                <w:szCs w:val="20"/>
              </w:rPr>
              <w:fldChar w:fldCharType="separate"/>
            </w:r>
            <w:r>
              <w:rPr>
                <w:rFonts w:hint="eastAsia"/>
                <w:b/>
                <w:bCs/>
                <w:szCs w:val="20"/>
              </w:rPr>
              <w:t>⑤</w:t>
            </w:r>
            <w:r>
              <w:rPr>
                <w:rFonts w:hint="default"/>
                <w:b/>
                <w:bCs/>
                <w:szCs w:val="20"/>
              </w:rPr>
              <w:fldChar w:fldCharType="end"/>
            </w:r>
          </w:p>
        </w:tc>
        <w:tc>
          <w:tcPr>
            <w:tcW w:w="1839" w:type="dxa"/>
            <w:tcMar>
              <w:left w:w="28" w:type="dxa"/>
              <w:right w:w="28" w:type="dxa"/>
            </w:tcMar>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本项目建成后</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eastAsia"/>
                <w:b/>
                <w:bCs/>
                <w:szCs w:val="20"/>
              </w:rPr>
              <w:t>全厂</w:t>
            </w:r>
            <w:r>
              <w:rPr>
                <w:rFonts w:hint="default"/>
                <w:b/>
                <w:bCs/>
                <w:szCs w:val="20"/>
              </w:rPr>
              <w:t>排放量（固</w:t>
            </w:r>
            <w:r>
              <w:rPr>
                <w:rFonts w:hint="eastAsia"/>
                <w:b/>
                <w:bCs/>
                <w:szCs w:val="20"/>
              </w:rPr>
              <w:t>体</w:t>
            </w:r>
            <w:r>
              <w:rPr>
                <w:rFonts w:hint="default"/>
                <w:b/>
                <w:bCs/>
                <w:szCs w:val="20"/>
              </w:rPr>
              <w:t>废</w:t>
            </w:r>
            <w:r>
              <w:rPr>
                <w:rFonts w:hint="eastAsia"/>
                <w:b/>
                <w:bCs/>
                <w:szCs w:val="20"/>
              </w:rPr>
              <w:t>物</w:t>
            </w:r>
            <w:r>
              <w:rPr>
                <w:rFonts w:hint="default"/>
                <w:b/>
                <w:bCs/>
                <w:szCs w:val="20"/>
              </w:rPr>
              <w:t>产生量）</w:t>
            </w:r>
            <w:r>
              <w:rPr>
                <w:rFonts w:hint="default"/>
                <w:b/>
                <w:bCs/>
                <w:szCs w:val="20"/>
              </w:rPr>
              <w:fldChar w:fldCharType="begin"/>
            </w:r>
            <w:r>
              <w:rPr>
                <w:rFonts w:hint="default"/>
                <w:b/>
                <w:bCs/>
                <w:szCs w:val="20"/>
              </w:rPr>
              <w:instrText xml:space="preserve"> = 6 \* GB3 \* MERGEFORMAT </w:instrText>
            </w:r>
            <w:r>
              <w:rPr>
                <w:rFonts w:hint="default"/>
                <w:b/>
                <w:bCs/>
                <w:szCs w:val="20"/>
              </w:rPr>
              <w:fldChar w:fldCharType="separate"/>
            </w:r>
            <w:r>
              <w:rPr>
                <w:rFonts w:hint="eastAsia"/>
                <w:b/>
                <w:bCs/>
                <w:szCs w:val="20"/>
              </w:rPr>
              <w:t>⑥</w:t>
            </w:r>
            <w:r>
              <w:rPr>
                <w:rFonts w:hint="default"/>
                <w:b/>
                <w:bCs/>
                <w:szCs w:val="20"/>
              </w:rPr>
              <w:fldChar w:fldCharType="end"/>
            </w:r>
          </w:p>
        </w:tc>
        <w:tc>
          <w:tcPr>
            <w:tcW w:w="1838" w:type="dxa"/>
            <w:tcMar>
              <w:left w:w="28" w:type="dxa"/>
              <w:right w:w="28" w:type="dxa"/>
            </w:tcMar>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t>变化量</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b/>
                <w:bCs/>
                <w:szCs w:val="20"/>
              </w:rPr>
            </w:pPr>
            <w:r>
              <w:rPr>
                <w:rFonts w:hint="default"/>
                <w:b/>
                <w:bCs/>
                <w:szCs w:val="20"/>
              </w:rPr>
              <w:fldChar w:fldCharType="begin"/>
            </w:r>
            <w:r>
              <w:rPr>
                <w:rFonts w:hint="default"/>
                <w:b/>
                <w:bCs/>
                <w:szCs w:val="20"/>
              </w:rPr>
              <w:instrText xml:space="preserve"> = 7 \* GB3 \* MERGEFORMAT </w:instrText>
            </w:r>
            <w:r>
              <w:rPr>
                <w:rFonts w:hint="default"/>
                <w:b/>
                <w:bCs/>
                <w:szCs w:val="20"/>
              </w:rPr>
              <w:fldChar w:fldCharType="separate"/>
            </w:r>
            <w:r>
              <w:rPr>
                <w:rFonts w:hint="eastAsia"/>
                <w:b/>
                <w:bCs/>
                <w:szCs w:val="20"/>
              </w:rPr>
              <w:t>⑦</w:t>
            </w:r>
            <w:r>
              <w:rPr>
                <w:rFonts w:hint="default"/>
                <w:b/>
                <w:bCs/>
                <w:szCs w:val="20"/>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废气</w:t>
            </w: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非甲烷总烃</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lang w:val="en-US" w:eastAsia="zh-CN"/>
              </w:rPr>
              <w:t>0.000253t</w:t>
            </w:r>
            <w:r>
              <w:rPr>
                <w:rFonts w:hint="eastAsia"/>
                <w:color w:val="auto"/>
                <w:szCs w:val="20"/>
                <w:u w:val="none"/>
              </w:rPr>
              <w: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w:t>
            </w:r>
          </w:p>
        </w:tc>
        <w:tc>
          <w:tcPr>
            <w:tcW w:w="18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color w:val="auto"/>
                <w:szCs w:val="20"/>
                <w:u w:val="none"/>
                <w:lang w:val="en-US" w:eastAsia="zh-CN"/>
              </w:rPr>
            </w:pPr>
            <w:r>
              <w:rPr>
                <w:rFonts w:hint="eastAsia"/>
                <w:color w:val="auto"/>
                <w:szCs w:val="20"/>
                <w:u w:val="none"/>
                <w:lang w:val="en-US" w:eastAsia="zh-CN"/>
              </w:rPr>
              <w:t>0.000253t/a</w:t>
            </w:r>
          </w:p>
        </w:tc>
        <w:tc>
          <w:tcPr>
            <w:tcW w:w="18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color w:val="auto"/>
                <w:szCs w:val="20"/>
                <w:u w:val="none"/>
                <w:lang w:val="en-US" w:eastAsia="zh-CN"/>
              </w:rPr>
            </w:pPr>
            <w:r>
              <w:rPr>
                <w:rFonts w:hint="eastAsia"/>
                <w:color w:val="auto"/>
                <w:szCs w:val="20"/>
                <w:u w:val="none"/>
                <w:lang w:val="en-US" w:eastAsia="zh-CN"/>
              </w:rPr>
              <w:t>0.000253t/a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颗粒物</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lang w:val="en-US" w:eastAsia="zh-CN"/>
              </w:rPr>
              <w:t>0.4518t</w:t>
            </w:r>
            <w:r>
              <w:rPr>
                <w:rFonts w:hint="eastAsia"/>
                <w:color w:val="auto"/>
                <w:szCs w:val="20"/>
                <w:u w:val="none"/>
              </w:rPr>
              <w: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rPr>
            </w:pPr>
            <w:r>
              <w:rPr>
                <w:rFonts w:hint="eastAsia"/>
                <w:color w:val="auto"/>
                <w:szCs w:val="20"/>
                <w:u w:val="none"/>
              </w:rPr>
              <w:t>/</w:t>
            </w:r>
          </w:p>
        </w:tc>
        <w:tc>
          <w:tcPr>
            <w:tcW w:w="18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color w:val="auto"/>
                <w:szCs w:val="20"/>
                <w:u w:val="none"/>
                <w:lang w:val="en-US" w:eastAsia="zh-CN"/>
              </w:rPr>
            </w:pPr>
            <w:r>
              <w:rPr>
                <w:rFonts w:hint="eastAsia"/>
                <w:color w:val="auto"/>
                <w:szCs w:val="20"/>
                <w:u w:val="none"/>
                <w:lang w:val="en-US" w:eastAsia="zh-CN"/>
              </w:rPr>
              <w:t>0.4518t/a</w:t>
            </w:r>
          </w:p>
        </w:tc>
        <w:tc>
          <w:tcPr>
            <w:tcW w:w="18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color w:val="auto"/>
                <w:szCs w:val="20"/>
                <w:u w:val="none"/>
                <w:lang w:val="en-US" w:eastAsia="zh-CN"/>
              </w:rPr>
            </w:pPr>
            <w:r>
              <w:rPr>
                <w:rFonts w:hint="eastAsia"/>
                <w:color w:val="auto"/>
                <w:szCs w:val="20"/>
                <w:u w:val="none"/>
                <w:lang w:val="en-US" w:eastAsia="zh-CN"/>
              </w:rPr>
              <w:t>0.4518t/a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color w:val="auto"/>
                <w:sz w:val="21"/>
                <w:szCs w:val="24"/>
                <w:lang w:val="en-US" w:eastAsia="zh-CN" w:bidi="ar-SA"/>
              </w:rPr>
            </w:pPr>
            <w:r>
              <w:rPr>
                <w:rFonts w:hint="eastAsia" w:eastAsia="宋体"/>
                <w:color w:val="auto"/>
                <w:sz w:val="21"/>
                <w:szCs w:val="24"/>
              </w:rPr>
              <w:t>二氧化硫</w:t>
            </w:r>
          </w:p>
        </w:tc>
        <w:tc>
          <w:tcPr>
            <w:tcW w:w="157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153"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57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1.33t/a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lang w:val="en-US" w:eastAsia="zh-CN"/>
              </w:rPr>
            </w:pPr>
            <w:r>
              <w:rPr>
                <w:rFonts w:hint="default" w:ascii="Times New Roman" w:hAnsi="Times New Roman" w:eastAsia="宋体" w:cs="Times New Roman"/>
                <w:kern w:val="0"/>
                <w:sz w:val="21"/>
                <w:szCs w:val="21"/>
                <w:lang w:val="en-US" w:eastAsia="zh-CN" w:bidi="ar"/>
              </w:rPr>
              <w:t>1.33t/a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lang w:val="en-US" w:eastAsia="zh-CN"/>
              </w:rPr>
            </w:pPr>
            <w:r>
              <w:rPr>
                <w:rFonts w:hint="default" w:ascii="Times New Roman" w:hAnsi="Times New Roman" w:eastAsia="宋体" w:cs="Times New Roman"/>
                <w:kern w:val="0"/>
                <w:sz w:val="21"/>
                <w:szCs w:val="21"/>
                <w:lang w:val="en-US" w:eastAsia="zh-CN" w:bidi="ar"/>
              </w:rPr>
              <w:t>1.33t/a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ascii="Times New Roman" w:hAnsi="Times New Roman" w:eastAsia="宋体" w:cs="Times New Roman"/>
                <w:color w:val="auto"/>
                <w:sz w:val="21"/>
                <w:szCs w:val="24"/>
                <w:lang w:val="en-US" w:eastAsia="zh-CN" w:bidi="ar-SA"/>
              </w:rPr>
            </w:pPr>
            <w:r>
              <w:rPr>
                <w:rFonts w:hint="eastAsia" w:eastAsia="宋体"/>
                <w:color w:val="auto"/>
                <w:sz w:val="21"/>
                <w:szCs w:val="24"/>
              </w:rPr>
              <w:t>氮氧化物</w:t>
            </w:r>
          </w:p>
        </w:tc>
        <w:tc>
          <w:tcPr>
            <w:tcW w:w="157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153"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57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1.29t/a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color w:val="auto"/>
                <w:szCs w:val="20"/>
                <w:u w:val="none"/>
                <w:lang w:val="en-US" w:eastAsia="zh-CN"/>
              </w:rPr>
            </w:pPr>
            <w:r>
              <w:rPr>
                <w:rFonts w:hint="eastAsia"/>
                <w:color w:val="auto"/>
                <w:szCs w:val="20"/>
                <w:u w:val="none"/>
                <w:lang w:val="en-US" w:eastAsia="zh-CN"/>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lang w:val="en-US" w:eastAsia="zh-CN"/>
              </w:rPr>
            </w:pPr>
            <w:r>
              <w:rPr>
                <w:rFonts w:hint="default" w:ascii="Times New Roman" w:hAnsi="Times New Roman" w:eastAsia="宋体" w:cs="Times New Roman"/>
                <w:kern w:val="0"/>
                <w:sz w:val="21"/>
                <w:szCs w:val="21"/>
                <w:lang w:val="en-US" w:eastAsia="zh-CN" w:bidi="ar"/>
              </w:rPr>
              <w:t>1.29t/a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lang w:val="en-US" w:eastAsia="zh-CN"/>
              </w:rPr>
            </w:pPr>
            <w:r>
              <w:rPr>
                <w:rFonts w:hint="default" w:ascii="Times New Roman" w:hAnsi="Times New Roman" w:eastAsia="宋体" w:cs="Times New Roman"/>
                <w:kern w:val="0"/>
                <w:sz w:val="21"/>
                <w:szCs w:val="21"/>
                <w:lang w:val="en-US" w:eastAsia="zh-CN" w:bidi="ar"/>
              </w:rPr>
              <w:t>1.29t/a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color w:val="auto"/>
                <w:sz w:val="21"/>
                <w:szCs w:val="24"/>
                <w:lang w:val="en-US" w:eastAsia="zh-CN"/>
              </w:rPr>
            </w:pPr>
            <w:r>
              <w:rPr>
                <w:rFonts w:hint="eastAsia"/>
                <w:color w:val="auto"/>
                <w:sz w:val="21"/>
                <w:szCs w:val="24"/>
                <w:lang w:val="en-US" w:eastAsia="zh-CN"/>
              </w:rPr>
              <w:t>沥青烟</w:t>
            </w:r>
          </w:p>
        </w:tc>
        <w:tc>
          <w:tcPr>
            <w:tcW w:w="157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153"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57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0.18975t/a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0.18975t/a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0.18975t/a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color w:val="auto"/>
                <w:sz w:val="21"/>
                <w:szCs w:val="24"/>
              </w:rPr>
            </w:pPr>
            <w:r>
              <w:rPr>
                <w:rFonts w:hint="eastAsia" w:eastAsia="宋体"/>
                <w:color w:val="auto"/>
                <w:sz w:val="21"/>
                <w:szCs w:val="24"/>
              </w:rPr>
              <w:t>苯并[a]芘</w:t>
            </w:r>
          </w:p>
        </w:tc>
        <w:tc>
          <w:tcPr>
            <w:tcW w:w="157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153"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57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color w:val="auto"/>
                <w:u w:val="none"/>
              </w:rPr>
            </w:pPr>
            <w:r>
              <w:rPr>
                <w:rFonts w:hint="default" w:ascii="Times New Roman" w:hAnsi="Times New Roman" w:eastAsia="宋体" w:cs="Times New Roman"/>
                <w:kern w:val="0"/>
                <w:sz w:val="21"/>
                <w:szCs w:val="21"/>
                <w:lang w:val="en-US" w:eastAsia="zh-CN" w:bidi="ar"/>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0.000007t/a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0.000007t/a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0.000007t/a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Lines="0" w:beforeAutospacing="0" w:after="0" w:afterLines="0" w:afterAutospacing="0"/>
              <w:ind w:left="0" w:right="0"/>
              <w:rPr>
                <w:rFonts w:hint="eastAsia" w:eastAsia="宋体"/>
                <w:color w:val="auto"/>
                <w:sz w:val="21"/>
                <w:szCs w:val="24"/>
                <w:lang w:val="en-US" w:eastAsia="zh-CN"/>
              </w:rPr>
            </w:pPr>
            <w:r>
              <w:rPr>
                <w:rFonts w:hint="eastAsia"/>
                <w:color w:val="auto"/>
                <w:sz w:val="21"/>
                <w:szCs w:val="24"/>
                <w:lang w:val="en-US" w:eastAsia="zh-CN"/>
              </w:rPr>
              <w:t>油烟</w:t>
            </w:r>
          </w:p>
        </w:tc>
        <w:tc>
          <w:tcPr>
            <w:tcW w:w="157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kern w:val="0"/>
                <w:sz w:val="21"/>
                <w:szCs w:val="21"/>
                <w:lang w:val="en-US" w:eastAsia="zh-CN" w:bidi="ar"/>
              </w:rPr>
              <w:t>/</w:t>
            </w:r>
          </w:p>
        </w:tc>
        <w:tc>
          <w:tcPr>
            <w:tcW w:w="1153"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kern w:val="0"/>
                <w:sz w:val="21"/>
                <w:szCs w:val="21"/>
                <w:lang w:val="en-US" w:eastAsia="zh-CN" w:bidi="ar"/>
              </w:rPr>
              <w:t>/</w:t>
            </w:r>
          </w:p>
        </w:tc>
        <w:tc>
          <w:tcPr>
            <w:tcW w:w="157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4"/>
                <w:szCs w:val="24"/>
                <w:u w:val="none"/>
                <w:lang w:val="en-US" w:eastAsia="zh-CN" w:bidi="ar-SA"/>
              </w:rPr>
            </w:pPr>
            <w:r>
              <w:rPr>
                <w:rFonts w:hint="default" w:ascii="Times New Roman" w:hAnsi="Times New Roman" w:eastAsia="宋体" w:cs="Times New Roman"/>
                <w:kern w:val="0"/>
                <w:sz w:val="21"/>
                <w:szCs w:val="21"/>
                <w:lang w:val="en-US" w:eastAsia="zh-CN" w:bidi="ar"/>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default"/>
                <w:color w:val="auto"/>
                <w:szCs w:val="20"/>
                <w:u w:val="none"/>
                <w:lang w:val="en-US" w:eastAsia="zh-CN"/>
              </w:rPr>
              <w:t>1.03kg/a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color w:val="auto"/>
                <w:szCs w:val="20"/>
                <w:u w:val="none"/>
                <w:lang w:val="en-US" w:eastAsia="zh-CN"/>
              </w:rPr>
            </w:pPr>
            <w:r>
              <w:rPr>
                <w:rFonts w:hint="eastAsia"/>
                <w:color w:val="auto"/>
                <w:szCs w:val="20"/>
                <w:u w:val="none"/>
                <w:lang w:val="en-US" w:eastAsia="zh-CN"/>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1.03kg/a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1.03kg/a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废水</w:t>
            </w: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废水量</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192</w:t>
            </w:r>
            <w:r>
              <w:rPr>
                <w:rFonts w:hint="eastAsia"/>
                <w:szCs w:val="20"/>
              </w:rPr>
              <w:t>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192t/a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192t/a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COD</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0.0</w:t>
            </w:r>
            <w:r>
              <w:rPr>
                <w:rFonts w:hint="eastAsia"/>
                <w:szCs w:val="20"/>
                <w:lang w:val="en-US" w:eastAsia="zh-CN"/>
              </w:rPr>
              <w:t>8</w:t>
            </w:r>
            <w:r>
              <w:rPr>
                <w:rFonts w:hint="eastAsia"/>
                <w:szCs w:val="20"/>
              </w:rPr>
              <w:t>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0.08t/a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氨氮</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0.00</w:t>
            </w:r>
            <w:r>
              <w:rPr>
                <w:rFonts w:hint="eastAsia"/>
                <w:szCs w:val="20"/>
                <w:lang w:val="en-US" w:eastAsia="zh-CN"/>
              </w:rPr>
              <w:t>8</w:t>
            </w:r>
            <w:r>
              <w:rPr>
                <w:rFonts w:hint="eastAsia"/>
                <w:szCs w:val="20"/>
              </w:rPr>
              <w:t>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0.008t/a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0.008t/a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一般工业</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固体废物</w:t>
            </w: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生活垃圾</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2.4</w:t>
            </w:r>
            <w:r>
              <w:rPr>
                <w:rFonts w:hint="eastAsia"/>
                <w:szCs w:val="20"/>
              </w:rPr>
              <w:t>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2.4t/a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lang w:val="en-US" w:eastAsia="zh-CN"/>
              </w:rPr>
              <w:t>废石料</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100</w:t>
            </w:r>
            <w:r>
              <w:rPr>
                <w:rFonts w:hint="eastAsia"/>
                <w:szCs w:val="20"/>
              </w:rPr>
              <w:t>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100t/a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100t/a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lang w:val="en-US" w:eastAsia="zh-CN"/>
              </w:rPr>
              <w:t>除尘器收集粉尘</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10.0782</w:t>
            </w:r>
            <w:r>
              <w:rPr>
                <w:rFonts w:hint="eastAsia"/>
                <w:szCs w:val="20"/>
              </w:rPr>
              <w: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default"/>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10.0782/a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10.0782/a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rPr>
            </w:pPr>
            <w:r>
              <w:rPr>
                <w:rFonts w:hint="eastAsia"/>
                <w:szCs w:val="20"/>
                <w:lang w:val="en-US" w:eastAsia="zh-CN"/>
              </w:rPr>
              <w:t>滴漏沥青及残渣</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0.25t</w:t>
            </w:r>
            <w:r>
              <w:rPr>
                <w:rFonts w:hint="eastAsia"/>
                <w:szCs w:val="20"/>
              </w:rPr>
              <w: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0.25t/a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危险废物</w:t>
            </w: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r>
              <w:rPr>
                <w:rFonts w:hint="eastAsia"/>
                <w:szCs w:val="20"/>
                <w:lang w:val="en-US" w:eastAsia="zh-CN"/>
              </w:rPr>
              <w:t>废活性炭</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0.95t</w:t>
            </w:r>
            <w:r>
              <w:rPr>
                <w:rFonts w:hint="eastAsia"/>
                <w:szCs w:val="20"/>
              </w:rPr>
              <w: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0.95t/a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0.95t/a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r>
              <w:rPr>
                <w:rFonts w:hint="eastAsia"/>
                <w:szCs w:val="20"/>
                <w:lang w:val="en-US" w:eastAsia="zh-CN"/>
              </w:rPr>
              <w:t>废导热油</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0.1t</w:t>
            </w:r>
            <w:r>
              <w:rPr>
                <w:rFonts w:hint="eastAsia"/>
                <w:szCs w:val="20"/>
              </w:rPr>
              <w: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0.1t/a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r>
              <w:rPr>
                <w:rFonts w:hint="eastAsia"/>
                <w:szCs w:val="20"/>
                <w:lang w:val="en-US" w:eastAsia="zh-CN"/>
              </w:rPr>
              <w:t>废机油</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0.1t</w:t>
            </w:r>
            <w:r>
              <w:rPr>
                <w:rFonts w:hint="default"/>
                <w:szCs w:val="20"/>
              </w:rPr>
              <w: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0.1t/a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r>
              <w:rPr>
                <w:rFonts w:hint="eastAsia"/>
                <w:szCs w:val="20"/>
                <w:lang w:val="en-US" w:eastAsia="zh-CN"/>
              </w:rPr>
              <w:t>废机油桶</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lang w:val="en-US" w:eastAsia="zh-CN"/>
              </w:rPr>
              <w:t>0.01t</w:t>
            </w:r>
            <w:r>
              <w:rPr>
                <w:rFonts w:hint="eastAsia"/>
                <w:szCs w:val="20"/>
              </w:rPr>
              <w: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r>
              <w:rPr>
                <w:rFonts w:hint="eastAsia"/>
                <w:szCs w:val="20"/>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0.01t/a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rPr>
            </w:pPr>
            <w:r>
              <w:rPr>
                <w:rFonts w:hint="default" w:ascii="Times New Roman" w:hAnsi="Times New Roman" w:eastAsia="宋体" w:cs="Times New Roman"/>
                <w:kern w:val="0"/>
                <w:sz w:val="21"/>
                <w:szCs w:val="21"/>
                <w:lang w:val="en-US" w:eastAsia="zh-CN" w:bidi="ar"/>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466"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szCs w:val="20"/>
              </w:rPr>
            </w:pPr>
          </w:p>
        </w:tc>
        <w:tc>
          <w:tcPr>
            <w:tcW w:w="129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szCs w:val="20"/>
                <w:lang w:val="en-US" w:eastAsia="zh-CN"/>
              </w:rPr>
            </w:pPr>
            <w:r>
              <w:rPr>
                <w:rFonts w:hint="eastAsia"/>
                <w:szCs w:val="20"/>
                <w:lang w:val="en-US" w:eastAsia="zh-CN"/>
              </w:rPr>
              <w:t>导热油空桶</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153"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57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438"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0.1t/a</w:t>
            </w:r>
          </w:p>
        </w:tc>
        <w:tc>
          <w:tcPr>
            <w:tcW w:w="164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w:t>
            </w:r>
          </w:p>
        </w:tc>
        <w:tc>
          <w:tcPr>
            <w:tcW w:w="1839"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rPr>
            </w:pPr>
            <w:r>
              <w:rPr>
                <w:rFonts w:hint="default" w:ascii="Times New Roman" w:hAnsi="Times New Roman" w:eastAsia="宋体" w:cs="Times New Roman"/>
                <w:kern w:val="0"/>
                <w:sz w:val="21"/>
                <w:szCs w:val="21"/>
                <w:lang w:val="en-US" w:eastAsia="zh-CN" w:bidi="ar"/>
              </w:rPr>
              <w:t>0.1t/a</w:t>
            </w:r>
          </w:p>
        </w:tc>
        <w:tc>
          <w:tcPr>
            <w:tcW w:w="1838" w:type="dxa"/>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rPr>
            </w:pPr>
            <w:r>
              <w:rPr>
                <w:rFonts w:hint="default" w:ascii="Times New Roman" w:hAnsi="Times New Roman" w:eastAsia="宋体" w:cs="Times New Roman"/>
                <w:kern w:val="0"/>
                <w:sz w:val="21"/>
                <w:szCs w:val="21"/>
                <w:lang w:val="en-US" w:eastAsia="zh-CN" w:bidi="ar"/>
              </w:rPr>
              <w:t>0.1t/a</w:t>
            </w:r>
          </w:p>
        </w:tc>
      </w:tr>
    </w:tbl>
    <w:p>
      <w:pPr>
        <w:pStyle w:val="9"/>
        <w:framePr w:w="3038" w:h="318" w:hRule="exact" w:wrap="around" w:hAnchor="page" w:x="1625" w:y="94"/>
        <w:jc w:val="left"/>
      </w:pPr>
      <w:r>
        <w:t>注：</w:t>
      </w:r>
      <w:r>
        <w:fldChar w:fldCharType="begin"/>
      </w:r>
      <w:r>
        <w:instrText xml:space="preserve"> = 6 \* GB3 \* MERGEFORMAT </w:instrText>
      </w:r>
      <w:r>
        <w:fldChar w:fldCharType="separate"/>
      </w:r>
      <w:r>
        <w:rPr>
          <w:rFonts w:hint="eastAsia"/>
        </w:rPr>
        <w:t>⑥</w:t>
      </w:r>
      <w:r>
        <w:fldChar w:fldCharType="end"/>
      </w:r>
      <w:r>
        <w:t>=</w:t>
      </w:r>
      <w:r>
        <w:fldChar w:fldCharType="begin"/>
      </w:r>
      <w:r>
        <w:instrText xml:space="preserve"> = 1 \* GB3 \* MERGEFORMAT </w:instrText>
      </w:r>
      <w:r>
        <w:fldChar w:fldCharType="separate"/>
      </w:r>
      <w:r>
        <w:rPr>
          <w:rFonts w:hint="eastAsia"/>
        </w:rPr>
        <w:t>①</w:t>
      </w:r>
      <w:r>
        <w:fldChar w:fldCharType="end"/>
      </w:r>
      <w:r>
        <w:t>+</w:t>
      </w:r>
      <w:r>
        <w:fldChar w:fldCharType="begin"/>
      </w:r>
      <w:r>
        <w:instrText xml:space="preserve"> = 3 \* GB3 \* MERGEFORMAT </w:instrText>
      </w:r>
      <w:r>
        <w:fldChar w:fldCharType="separate"/>
      </w:r>
      <w:r>
        <w:rPr>
          <w:rFonts w:hint="eastAsia"/>
        </w:rPr>
        <w:t>③</w:t>
      </w:r>
      <w:r>
        <w:fldChar w:fldCharType="end"/>
      </w:r>
      <w:r>
        <w:t>+</w:t>
      </w:r>
      <w:r>
        <w:fldChar w:fldCharType="begin"/>
      </w:r>
      <w:r>
        <w:instrText xml:space="preserve"> = 4 \* GB3 \* MERGEFORMAT </w:instrText>
      </w:r>
      <w:r>
        <w:fldChar w:fldCharType="separate"/>
      </w:r>
      <w:r>
        <w:rPr>
          <w:rFonts w:hint="eastAsia"/>
        </w:rPr>
        <w:t>④</w:t>
      </w:r>
      <w:r>
        <w:fldChar w:fldCharType="end"/>
      </w:r>
      <w:r>
        <w:t>-</w:t>
      </w:r>
      <w:r>
        <w:fldChar w:fldCharType="begin"/>
      </w:r>
      <w:r>
        <w:instrText xml:space="preserve"> = 5 \* GB3 \* MERGEFORMAT </w:instrText>
      </w:r>
      <w:r>
        <w:fldChar w:fldCharType="separate"/>
      </w:r>
      <w:r>
        <w:rPr>
          <w:rFonts w:hint="eastAsia"/>
        </w:rPr>
        <w:t>⑤</w:t>
      </w:r>
      <w:r>
        <w:fldChar w:fldCharType="end"/>
      </w:r>
      <w:r>
        <w:t>；</w:t>
      </w:r>
      <w:r>
        <w:fldChar w:fldCharType="begin"/>
      </w:r>
      <w:r>
        <w:instrText xml:space="preserve"> = 7 \* GB3 \* MERGEFORMAT </w:instrText>
      </w:r>
      <w:r>
        <w:fldChar w:fldCharType="separate"/>
      </w:r>
      <w:r>
        <w:rPr>
          <w:rFonts w:hint="eastAsia"/>
        </w:rPr>
        <w:t>⑦</w:t>
      </w:r>
      <w:r>
        <w:fldChar w:fldCharType="end"/>
      </w:r>
      <w:r>
        <w:t>=</w:t>
      </w:r>
      <w:r>
        <w:fldChar w:fldCharType="begin"/>
      </w:r>
      <w:r>
        <w:instrText xml:space="preserve"> = 6 \* GB3 \* MERGEFORMAT </w:instrText>
      </w:r>
      <w:r>
        <w:fldChar w:fldCharType="separate"/>
      </w:r>
      <w:r>
        <w:rPr>
          <w:rFonts w:hint="eastAsia"/>
        </w:rPr>
        <w:t>⑥</w:t>
      </w:r>
      <w:r>
        <w:fldChar w:fldCharType="end"/>
      </w:r>
      <w:r>
        <w:t>-</w:t>
      </w:r>
      <w:r>
        <w:fldChar w:fldCharType="begin"/>
      </w:r>
      <w:r>
        <w:instrText xml:space="preserve"> = 1 \* GB3 \* MERGEFORMAT </w:instrText>
      </w:r>
      <w:r>
        <w:fldChar w:fldCharType="separate"/>
      </w:r>
      <w:r>
        <w:rPr>
          <w:rFonts w:hint="eastAsia"/>
        </w:rPr>
        <w:t>①</w:t>
      </w:r>
      <w:r>
        <w:fldChar w:fldCharType="end"/>
      </w:r>
    </w:p>
    <w:p>
      <w:pPr>
        <w:ind w:firstLine="0" w:firstLineChars="0"/>
      </w:pPr>
    </w:p>
    <w:p>
      <w:pPr>
        <w:ind w:firstLine="480"/>
        <w:sectPr>
          <w:footerReference r:id="rId6" w:type="default"/>
          <w:pgSz w:w="16838" w:h="11906" w:orient="landscape"/>
          <w:pgMar w:top="1701" w:right="1531" w:bottom="1701" w:left="1531" w:header="851" w:footer="851" w:gutter="0"/>
          <w:cols w:space="720" w:num="1"/>
          <w:docGrid w:linePitch="312" w:charSpace="0"/>
        </w:sectPr>
      </w:pPr>
    </w:p>
    <w:p>
      <w:pPr>
        <w:pStyle w:val="2"/>
        <w:ind w:firstLine="602"/>
        <w:rPr>
          <w:rFonts w:hint="default" w:ascii="Times New Roman" w:hAnsi="Times New Roman" w:cs="Times New Roman"/>
          <w:snapToGrid w:val="0"/>
          <w:lang w:val="en-US" w:eastAsia="zh-CN"/>
        </w:rPr>
      </w:pPr>
      <w:bookmarkStart w:id="10" w:name="_Toc29347"/>
      <w:r>
        <w:rPr>
          <w:rFonts w:hint="eastAsia" w:ascii="Times New Roman" w:hAnsi="Times New Roman" w:cs="Times New Roman"/>
          <w:snapToGrid w:val="0"/>
          <w:lang w:val="en-US" w:eastAsia="zh-CN"/>
        </w:rPr>
        <w:t>七、大气环境专项评价</w:t>
      </w:r>
      <w:bookmarkEnd w:id="10"/>
    </w:p>
    <w:p>
      <w:pPr>
        <w:bidi w:val="0"/>
        <w:rPr>
          <w:rFonts w:hint="default"/>
          <w:b/>
          <w:bCs/>
          <w:lang w:val="en-US" w:eastAsia="zh-CN"/>
        </w:rPr>
      </w:pPr>
      <w:r>
        <w:rPr>
          <w:rFonts w:hint="eastAsia"/>
          <w:b/>
          <w:bCs/>
          <w:lang w:val="en-US" w:eastAsia="zh-CN"/>
        </w:rPr>
        <w:t>1 评价等级及范围</w:t>
      </w:r>
    </w:p>
    <w:p>
      <w:pPr>
        <w:bidi w:val="0"/>
        <w:rPr>
          <w:rFonts w:hint="default"/>
          <w:b/>
          <w:bCs/>
          <w:lang w:val="en-US" w:eastAsia="zh-CN"/>
        </w:rPr>
      </w:pPr>
      <w:r>
        <w:rPr>
          <w:rFonts w:hint="eastAsia"/>
          <w:b/>
          <w:bCs/>
          <w:lang w:val="en-US" w:eastAsia="zh-CN"/>
        </w:rPr>
        <w:t>1.1 大气环境影响评价工作等级</w:t>
      </w:r>
    </w:p>
    <w:p>
      <w:pPr>
        <w:bidi w:val="0"/>
        <w:rPr>
          <w:rFonts w:hint="default"/>
          <w:lang w:val="en-US" w:eastAsia="zh-CN"/>
        </w:rPr>
      </w:pPr>
      <w:r>
        <w:rPr>
          <w:rFonts w:hint="eastAsia"/>
          <w:lang w:val="en-US" w:eastAsia="zh-CN"/>
        </w:rPr>
        <w:t>（1）评价等级划分依据</w:t>
      </w:r>
    </w:p>
    <w:p>
      <w:pPr>
        <w:bidi w:val="0"/>
        <w:rPr>
          <w:rFonts w:hint="default"/>
          <w:lang w:val="en-US" w:eastAsia="zh-CN"/>
        </w:rPr>
      </w:pPr>
      <w:r>
        <w:rPr>
          <w:rFonts w:hint="default"/>
          <w:lang w:val="en-US" w:eastAsia="zh-CN"/>
        </w:rPr>
        <w:t>根据工程分析与污染防治对策，分析项目运营期所产生的颗粒物、二氧化硫、氮氧化物、沥青烟、苯并[a]芘、非甲烷总烃等对区域空气环境质量的影响。按照《环境影响评价技术导则 大气环境》（HJ2.2-2018）附录A推荐模型中AERSCREEN模式分别计算项目污染源的最大环境影响，分别计算项目排放主要污染物的最大地面空气质量浓度占标率P</w:t>
      </w:r>
      <w:r>
        <w:rPr>
          <w:rFonts w:hint="default"/>
          <w:vertAlign w:val="subscript"/>
          <w:lang w:val="en-US" w:eastAsia="zh-CN"/>
        </w:rPr>
        <w:t>i</w:t>
      </w:r>
      <w:r>
        <w:rPr>
          <w:rFonts w:hint="default"/>
          <w:lang w:val="en-US" w:eastAsia="zh-CN"/>
        </w:rPr>
        <w:t>，及第i</w:t>
      </w:r>
      <w:r>
        <w:rPr>
          <w:rFonts w:hint="eastAsia"/>
          <w:lang w:val="en-US" w:eastAsia="zh-CN"/>
        </w:rPr>
        <w:t>个</w:t>
      </w:r>
      <w:r>
        <w:rPr>
          <w:rFonts w:hint="default"/>
          <w:lang w:val="en-US" w:eastAsia="zh-CN"/>
        </w:rPr>
        <w:t>污染物的地面空气质量浓度达到标准值的10%时所对应的最远距离D</w:t>
      </w:r>
      <w:r>
        <w:rPr>
          <w:rFonts w:hint="default"/>
          <w:vertAlign w:val="subscript"/>
          <w:lang w:val="en-US" w:eastAsia="zh-CN"/>
        </w:rPr>
        <w:t>10%</w:t>
      </w:r>
      <w:r>
        <w:rPr>
          <w:rFonts w:hint="default"/>
          <w:lang w:val="en-US" w:eastAsia="zh-CN"/>
        </w:rPr>
        <w:t>，具体计算公式如下：</w:t>
      </w:r>
    </w:p>
    <w:p>
      <w:pPr>
        <w:bidi w:val="0"/>
        <w:jc w:val="center"/>
        <w:rPr>
          <w:rFonts w:hint="default" w:eastAsia="宋体"/>
          <w:lang w:val="en-US" w:eastAsia="zh-CN"/>
        </w:rPr>
      </w:pPr>
      <m:oMathPara>
        <m:oMath>
          <m:sSub>
            <m:sSubPr>
              <m:ctrlPr>
                <w:rPr>
                  <w:rFonts w:ascii="Cambria Math" w:hAnsi="Cambria Math"/>
                  <w:i/>
                  <w:lang w:val="en-US"/>
                </w:rPr>
              </m:ctrlPr>
            </m:sSubPr>
            <m:e>
              <m:r>
                <w:rPr>
                  <w:rFonts w:hint="default" w:ascii="Cambria Math" w:hAnsi="Cambria Math"/>
                  <w:lang w:val="en-US" w:eastAsia="zh-CN"/>
                </w:rPr>
                <m:t>P</m:t>
              </m:r>
              <m:ctrlPr>
                <w:rPr>
                  <w:rFonts w:ascii="Cambria Math" w:hAnsi="Cambria Math"/>
                  <w:i/>
                  <w:lang w:val="en-US"/>
                </w:rPr>
              </m:ctrlPr>
            </m:e>
            <m:sub>
              <m:r>
                <w:rPr>
                  <w:rFonts w:hint="default" w:ascii="Cambria Math" w:hAnsi="Cambria Math"/>
                  <w:lang w:val="en-US" w:eastAsia="zh-CN"/>
                </w:rPr>
                <m:t>i</m:t>
              </m:r>
              <m:ctrlPr>
                <w:rPr>
                  <w:rFonts w:ascii="Cambria Math" w:hAnsi="Cambria Math"/>
                  <w:i/>
                  <w:lang w:val="en-US"/>
                </w:rPr>
              </m:ctrlPr>
            </m:sub>
          </m:sSub>
          <m:r>
            <w:rPr>
              <w:rFonts w:hint="eastAsia" w:ascii="Cambria Math" w:hAnsi="Cambria Math"/>
              <w:lang w:val="en-US" w:eastAsia="zh-CN"/>
            </w:rPr>
            <m:t>=</m:t>
          </m:r>
          <m:d>
            <m:dPr>
              <m:ctrlPr>
                <w:rPr>
                  <w:rFonts w:hint="eastAsia" w:ascii="Cambria Math" w:hAnsi="Cambria Math"/>
                  <w:i/>
                  <w:lang w:val="en-US" w:eastAsia="zh-CN"/>
                </w:rPr>
              </m:ctrlPr>
            </m:dPr>
            <m:e>
              <m:f>
                <m:fPr>
                  <m:ctrlPr>
                    <w:rPr>
                      <w:rFonts w:hint="eastAsia" w:ascii="Cambria Math" w:hAnsi="Cambria Math"/>
                      <w:i/>
                      <w:lang w:val="en-US" w:eastAsia="zh-CN"/>
                    </w:rPr>
                  </m:ctrlPr>
                </m:fPr>
                <m:num>
                  <m:sSub>
                    <m:sSubPr>
                      <m:ctrlPr>
                        <w:rPr>
                          <w:rFonts w:hint="eastAsia" w:ascii="Cambria Math" w:hAnsi="Cambria Math"/>
                          <w:i/>
                          <w:lang w:val="en-US" w:eastAsia="zh-CN"/>
                        </w:rPr>
                      </m:ctrlPr>
                    </m:sSubPr>
                    <m:e>
                      <m:r>
                        <w:rPr>
                          <w:rFonts w:hint="default" w:ascii="Cambria Math" w:hAnsi="Cambria Math"/>
                          <w:lang w:val="en-US" w:eastAsia="zh-CN"/>
                        </w:rPr>
                        <m:t>C</m:t>
                      </m:r>
                      <m:ctrlPr>
                        <w:rPr>
                          <w:rFonts w:hint="eastAsia" w:ascii="Cambria Math" w:hAnsi="Cambria Math"/>
                          <w:i/>
                          <w:lang w:val="en-US" w:eastAsia="zh-CN"/>
                        </w:rPr>
                      </m:ctrlPr>
                    </m:e>
                    <m:sub>
                      <m:r>
                        <w:rPr>
                          <w:rFonts w:hint="default" w:ascii="Cambria Math" w:hAnsi="Cambria Math"/>
                          <w:lang w:val="en-US" w:eastAsia="zh-CN"/>
                        </w:rPr>
                        <m:t>i</m:t>
                      </m:r>
                      <m:ctrlPr>
                        <w:rPr>
                          <w:rFonts w:hint="eastAsia" w:ascii="Cambria Math" w:hAnsi="Cambria Math"/>
                          <w:i/>
                          <w:lang w:val="en-US" w:eastAsia="zh-CN"/>
                        </w:rPr>
                      </m:ctrlPr>
                    </m:sub>
                  </m:sSub>
                  <m:ctrlPr>
                    <w:rPr>
                      <w:rFonts w:hint="eastAsia" w:ascii="Cambria Math" w:hAnsi="Cambria Math"/>
                      <w:i/>
                      <w:lang w:val="en-US" w:eastAsia="zh-CN"/>
                    </w:rPr>
                  </m:ctrlPr>
                </m:num>
                <m:den>
                  <m:sSub>
                    <m:sSubPr>
                      <m:ctrlPr>
                        <w:rPr>
                          <w:rFonts w:hint="eastAsia" w:ascii="Cambria Math" w:hAnsi="Cambria Math"/>
                          <w:i/>
                          <w:lang w:val="en-US" w:eastAsia="zh-CN"/>
                        </w:rPr>
                      </m:ctrlPr>
                    </m:sSubPr>
                    <m:e>
                      <m:r>
                        <w:rPr>
                          <w:rFonts w:hint="default" w:ascii="Cambria Math" w:hAnsi="Cambria Math"/>
                          <w:lang w:val="en-US" w:eastAsia="zh-CN"/>
                        </w:rPr>
                        <m:t>C</m:t>
                      </m:r>
                      <m:ctrlPr>
                        <w:rPr>
                          <w:rFonts w:hint="eastAsia" w:ascii="Cambria Math" w:hAnsi="Cambria Math"/>
                          <w:i/>
                          <w:lang w:val="en-US" w:eastAsia="zh-CN"/>
                        </w:rPr>
                      </m:ctrlPr>
                    </m:e>
                    <m:sub>
                      <m:r>
                        <w:rPr>
                          <w:rFonts w:hint="eastAsia" w:ascii="Cambria Math" w:hAnsi="Cambria Math"/>
                          <w:lang w:val="en-US" w:eastAsia="zh-CN"/>
                        </w:rPr>
                        <m:t>0</m:t>
                      </m:r>
                      <m:r>
                        <w:rPr>
                          <w:rFonts w:hint="default" w:ascii="Cambria Math" w:hAnsi="Cambria Math"/>
                          <w:lang w:val="en-US" w:eastAsia="zh-CN"/>
                        </w:rPr>
                        <m:t>i</m:t>
                      </m:r>
                      <m:ctrlPr>
                        <w:rPr>
                          <w:rFonts w:hint="eastAsia" w:ascii="Cambria Math" w:hAnsi="Cambria Math"/>
                          <w:i/>
                          <w:lang w:val="en-US" w:eastAsia="zh-CN"/>
                        </w:rPr>
                      </m:ctrlPr>
                    </m:sub>
                  </m:sSub>
                  <m:ctrlPr>
                    <w:rPr>
                      <w:rFonts w:hint="eastAsia" w:ascii="Cambria Math" w:hAnsi="Cambria Math"/>
                      <w:i/>
                      <w:lang w:val="en-US" w:eastAsia="zh-CN"/>
                    </w:rPr>
                  </m:ctrlPr>
                </m:den>
              </m:f>
              <m:ctrlPr>
                <w:rPr>
                  <w:rFonts w:hint="eastAsia" w:ascii="Cambria Math" w:hAnsi="Cambria Math"/>
                  <w:i/>
                  <w:lang w:val="en-US" w:eastAsia="zh-CN"/>
                </w:rPr>
              </m:ctrlPr>
            </m:e>
          </m:d>
          <m:r>
            <w:rPr>
              <w:rFonts w:hint="default" w:ascii="Cambria Math" w:hAnsi="Cambria Math" w:cs="Cambria Math"/>
              <w:lang w:val="en-US" w:eastAsia="zh-CN"/>
            </w:rPr>
            <m:t>×</m:t>
          </m:r>
          <m:r>
            <w:rPr>
              <w:rFonts w:hint="eastAsia" w:ascii="Cambria Math" w:hAnsi="Cambria Math" w:cs="Cambria Math"/>
              <w:lang w:val="en-US" w:eastAsia="zh-CN"/>
            </w:rPr>
            <m:t>100%</m:t>
          </m:r>
        </m:oMath>
      </m:oMathPara>
    </w:p>
    <w:p>
      <w:pPr>
        <w:bidi w:val="0"/>
        <w:rPr>
          <w:rFonts w:hint="default"/>
          <w:lang w:val="en-US" w:eastAsia="zh-CN"/>
        </w:rPr>
      </w:pPr>
      <w:r>
        <w:rPr>
          <w:rFonts w:hint="eastAsia"/>
          <w:lang w:val="en-US" w:eastAsia="zh-CN"/>
        </w:rPr>
        <w:t>式中：P</w:t>
      </w:r>
      <w:r>
        <w:rPr>
          <w:rFonts w:hint="eastAsia"/>
          <w:vertAlign w:val="subscript"/>
          <w:lang w:val="en-US" w:eastAsia="zh-CN"/>
        </w:rPr>
        <w:t>i</w:t>
      </w:r>
      <w:r>
        <w:rPr>
          <w:rFonts w:hint="eastAsia"/>
          <w:lang w:val="en-US" w:eastAsia="zh-CN"/>
        </w:rPr>
        <w:t>—第i个污染物的最大地面空气质量浓度占标率，%；</w:t>
      </w:r>
    </w:p>
    <w:p>
      <w:pPr>
        <w:bidi w:val="0"/>
        <w:rPr>
          <w:rFonts w:hint="default"/>
          <w:lang w:val="en-US" w:eastAsia="zh-CN"/>
        </w:rPr>
      </w:pPr>
      <w:r>
        <w:rPr>
          <w:rFonts w:hint="default"/>
          <w:lang w:val="en-US" w:eastAsia="zh-CN"/>
        </w:rPr>
        <w:t>C</w:t>
      </w:r>
      <w:r>
        <w:rPr>
          <w:rFonts w:hint="default"/>
          <w:vertAlign w:val="subscript"/>
          <w:lang w:val="en-US" w:eastAsia="zh-CN"/>
        </w:rPr>
        <w:t>i</w:t>
      </w:r>
      <w:r>
        <w:rPr>
          <w:rFonts w:hint="default"/>
          <w:lang w:val="en-US" w:eastAsia="zh-CN"/>
        </w:rPr>
        <w:t>—采用估算模式计算出的第i个污染物的最大1h地面空气质量浓度，ug/m</w:t>
      </w:r>
      <w:r>
        <w:rPr>
          <w:rFonts w:hint="default"/>
          <w:vertAlign w:val="superscript"/>
          <w:lang w:val="en-US" w:eastAsia="zh-CN"/>
        </w:rPr>
        <w:t>3</w:t>
      </w:r>
      <w:r>
        <w:rPr>
          <w:rFonts w:hint="default"/>
          <w:lang w:val="en-US" w:eastAsia="zh-CN"/>
        </w:rPr>
        <w:t>；</w:t>
      </w:r>
    </w:p>
    <w:p>
      <w:pPr>
        <w:bidi w:val="0"/>
        <w:rPr>
          <w:rFonts w:hint="default"/>
          <w:lang w:val="en-US" w:eastAsia="zh-CN"/>
        </w:rPr>
      </w:pPr>
      <w:r>
        <w:rPr>
          <w:rFonts w:hint="default"/>
          <w:lang w:val="en-US" w:eastAsia="zh-CN"/>
        </w:rPr>
        <w:t>C</w:t>
      </w:r>
      <w:r>
        <w:rPr>
          <w:rFonts w:hint="default"/>
          <w:vertAlign w:val="subscript"/>
          <w:lang w:val="en-US" w:eastAsia="zh-CN"/>
        </w:rPr>
        <w:t>0i</w:t>
      </w:r>
      <w:r>
        <w:rPr>
          <w:rFonts w:hint="default"/>
          <w:lang w:val="en-US" w:eastAsia="zh-CN"/>
        </w:rPr>
        <w:t>—第i个污染物的环境空气质量标准，ug/m</w:t>
      </w:r>
      <w:r>
        <w:rPr>
          <w:rFonts w:hint="default"/>
          <w:vertAlign w:val="superscript"/>
          <w:lang w:val="en-US" w:eastAsia="zh-CN"/>
        </w:rPr>
        <w:t>3</w:t>
      </w:r>
      <w:r>
        <w:rPr>
          <w:rFonts w:hint="default"/>
          <w:lang w:val="en-US" w:eastAsia="zh-CN"/>
        </w:rPr>
        <w:t>。</w:t>
      </w:r>
    </w:p>
    <w:p>
      <w:pPr>
        <w:bidi w:val="0"/>
        <w:rPr>
          <w:rFonts w:hint="eastAsia"/>
          <w:lang w:val="en-US" w:eastAsia="zh-CN"/>
        </w:rPr>
      </w:pPr>
      <w:r>
        <w:rPr>
          <w:rFonts w:hint="default"/>
          <w:lang w:val="en-US" w:eastAsia="zh-CN"/>
        </w:rPr>
        <w:t>大气环境评价等级分级判定依据见表</w:t>
      </w:r>
      <w:r>
        <w:rPr>
          <w:rFonts w:hint="eastAsia"/>
          <w:lang w:val="en-US" w:eastAsia="zh-CN"/>
        </w:rPr>
        <w:t>1。</w:t>
      </w:r>
    </w:p>
    <w:p>
      <w:pPr>
        <w:pStyle w:val="11"/>
        <w:bidi w:val="0"/>
        <w:rPr>
          <w:rFonts w:hint="default"/>
          <w:lang w:val="en-US" w:eastAsia="zh-CN"/>
        </w:rPr>
      </w:pPr>
      <w:r>
        <w:rPr>
          <w:rFonts w:hint="eastAsia"/>
          <w:lang w:val="en-US" w:eastAsia="zh-CN"/>
        </w:rPr>
        <w:t>表1  评价工作等级判定依据一览表</w:t>
      </w:r>
    </w:p>
    <w:tbl>
      <w:tblPr>
        <w:tblStyle w:val="7"/>
        <w:tblpPr w:leftFromText="180" w:rightFromText="180" w:vertAnchor="text" w:tblpXSpec="left" w:tblpY="1"/>
        <w:tblOverlap w:val="never"/>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top"/>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b/>
                <w:bCs/>
                <w:szCs w:val="20"/>
                <w:lang w:val="en-US" w:eastAsia="zh-CN"/>
              </w:rPr>
            </w:pPr>
            <w:r>
              <w:rPr>
                <w:rFonts w:hint="eastAsia"/>
                <w:b/>
                <w:bCs/>
                <w:szCs w:val="20"/>
                <w:lang w:val="en-US" w:eastAsia="zh-CN"/>
              </w:rPr>
              <w:t>评价工作等级</w:t>
            </w:r>
          </w:p>
        </w:tc>
        <w:tc>
          <w:tcPr>
            <w:tcW w:w="4360" w:type="dxa"/>
            <w:vAlign w:val="top"/>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b/>
                <w:bCs/>
                <w:szCs w:val="20"/>
                <w:lang w:val="en-US" w:eastAsia="zh-CN"/>
              </w:rPr>
            </w:pPr>
            <w:r>
              <w:rPr>
                <w:rFonts w:hint="eastAsia"/>
                <w:b/>
                <w:bCs/>
                <w:szCs w:val="20"/>
                <w:lang w:val="en-US" w:eastAsia="zh-CN"/>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top"/>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一级</w:t>
            </w:r>
          </w:p>
        </w:tc>
        <w:tc>
          <w:tcPr>
            <w:tcW w:w="4360" w:type="dxa"/>
            <w:vAlign w:val="top"/>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top"/>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二级</w:t>
            </w:r>
          </w:p>
        </w:tc>
        <w:tc>
          <w:tcPr>
            <w:tcW w:w="4360" w:type="dxa"/>
            <w:vAlign w:val="top"/>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60" w:type="dxa"/>
            <w:vAlign w:val="top"/>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三级</w:t>
            </w:r>
          </w:p>
        </w:tc>
        <w:tc>
          <w:tcPr>
            <w:tcW w:w="4360" w:type="dxa"/>
            <w:vAlign w:val="top"/>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default"/>
                <w:szCs w:val="20"/>
                <w:lang w:val="en-US" w:eastAsia="zh-CN"/>
              </w:rPr>
              <w:t>Pmax＜1%</w:t>
            </w:r>
          </w:p>
        </w:tc>
      </w:tr>
    </w:tbl>
    <w:p>
      <w:pPr>
        <w:bidi w:val="0"/>
        <w:rPr>
          <w:rFonts w:hint="default"/>
          <w:lang w:val="en-US" w:eastAsia="zh-CN"/>
        </w:rPr>
      </w:pPr>
      <w:r>
        <w:rPr>
          <w:rFonts w:hint="eastAsia"/>
          <w:lang w:val="en-US" w:eastAsia="zh-CN"/>
        </w:rPr>
        <w:t>（2）评价因子及评价标准筛选</w:t>
      </w:r>
    </w:p>
    <w:p>
      <w:pPr>
        <w:bidi w:val="0"/>
        <w:rPr>
          <w:rFonts w:hint="eastAsia"/>
          <w:lang w:val="en-US" w:eastAsia="zh-CN"/>
        </w:rPr>
      </w:pPr>
      <w:r>
        <w:rPr>
          <w:rFonts w:hint="eastAsia"/>
          <w:lang w:val="en-US" w:eastAsia="zh-CN"/>
        </w:rPr>
        <w:t>标准值选用GB3095中1h平均质量浓度的二级浓度限值，对仅有8h平均质量浓度限值、日平均质量浓度限值或年均质量浓度限值的，可分别按2倍、3倍、6倍折算为1h平均质量浓度限值。</w:t>
      </w:r>
    </w:p>
    <w:p>
      <w:pPr>
        <w:bidi w:val="0"/>
        <w:rPr>
          <w:rFonts w:hint="default"/>
          <w:lang w:val="en-US" w:eastAsia="zh-CN"/>
        </w:rPr>
      </w:pPr>
      <w:r>
        <w:rPr>
          <w:rFonts w:hint="eastAsia"/>
          <w:lang w:val="en-US" w:eastAsia="zh-CN"/>
        </w:rPr>
        <w:t>根据工程分析，本项目废气主要为颗粒物、二氧化硫、氮氧化物、沥青烟、苯并[a]芘、非甲烷总烃，评价因子和评价标准见表2。</w:t>
      </w:r>
    </w:p>
    <w:p>
      <w:pPr>
        <w:pStyle w:val="11"/>
        <w:bidi w:val="0"/>
        <w:rPr>
          <w:rFonts w:hint="default" w:ascii="Times New Roman" w:hAnsi="Times New Roman" w:cs="Times New Roman"/>
          <w:lang w:val="en-US" w:eastAsia="zh-CN"/>
        </w:rPr>
      </w:pPr>
      <w:r>
        <w:rPr>
          <w:rFonts w:hint="eastAsia" w:ascii="Times New Roman" w:hAnsi="Times New Roman" w:cs="Times New Roman"/>
          <w:lang w:val="en-US" w:eastAsia="zh-CN"/>
        </w:rPr>
        <w:t>表2  污染物评价标准</w:t>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744"/>
        <w:gridCol w:w="1244"/>
        <w:gridCol w:w="1765"/>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污染物</w:t>
            </w:r>
          </w:p>
        </w:tc>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功能区</w:t>
            </w:r>
          </w:p>
        </w:tc>
        <w:tc>
          <w:tcPr>
            <w:tcW w:w="12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取值时间</w:t>
            </w:r>
          </w:p>
        </w:tc>
        <w:tc>
          <w:tcPr>
            <w:tcW w:w="176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标准值（ug/m</w:t>
            </w:r>
            <w:r>
              <w:rPr>
                <w:rFonts w:hint="eastAsia" w:ascii="Times New Roman" w:hAnsi="Times New Roman" w:eastAsia="宋体" w:cs="Times New Roman"/>
                <w:b/>
                <w:bCs/>
                <w:szCs w:val="20"/>
                <w:vertAlign w:val="superscript"/>
                <w:lang w:val="en-US" w:eastAsia="zh-CN"/>
              </w:rPr>
              <w:t>3</w:t>
            </w:r>
            <w:r>
              <w:rPr>
                <w:rFonts w:hint="eastAsia" w:ascii="Times New Roman" w:hAnsi="Times New Roman" w:eastAsia="宋体" w:cs="Times New Roman"/>
                <w:b/>
                <w:bCs/>
                <w:szCs w:val="20"/>
                <w:lang w:val="en-US" w:eastAsia="zh-CN"/>
              </w:rPr>
              <w:t>）</w:t>
            </w:r>
          </w:p>
        </w:tc>
        <w:tc>
          <w:tcPr>
            <w:tcW w:w="222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TSP</w:t>
            </w:r>
          </w:p>
        </w:tc>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二类限区</w:t>
            </w:r>
          </w:p>
        </w:tc>
        <w:tc>
          <w:tcPr>
            <w:tcW w:w="12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24h平均</w:t>
            </w:r>
          </w:p>
        </w:tc>
        <w:tc>
          <w:tcPr>
            <w:tcW w:w="176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300</w:t>
            </w:r>
          </w:p>
        </w:tc>
        <w:tc>
          <w:tcPr>
            <w:tcW w:w="222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环境空气质量标准(GB3095-2012)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二氧化硫</w:t>
            </w:r>
          </w:p>
        </w:tc>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二类限区</w:t>
            </w:r>
          </w:p>
        </w:tc>
        <w:tc>
          <w:tcPr>
            <w:tcW w:w="12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1h平均</w:t>
            </w:r>
          </w:p>
        </w:tc>
        <w:tc>
          <w:tcPr>
            <w:tcW w:w="176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500</w:t>
            </w:r>
          </w:p>
        </w:tc>
        <w:tc>
          <w:tcPr>
            <w:tcW w:w="222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氮氧化物</w:t>
            </w:r>
          </w:p>
        </w:tc>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二类限区</w:t>
            </w:r>
          </w:p>
        </w:tc>
        <w:tc>
          <w:tcPr>
            <w:tcW w:w="12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1h平均</w:t>
            </w:r>
          </w:p>
        </w:tc>
        <w:tc>
          <w:tcPr>
            <w:tcW w:w="176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250</w:t>
            </w:r>
          </w:p>
        </w:tc>
        <w:tc>
          <w:tcPr>
            <w:tcW w:w="222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沥青烟</w:t>
            </w:r>
          </w:p>
        </w:tc>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二类限区</w:t>
            </w:r>
          </w:p>
        </w:tc>
        <w:tc>
          <w:tcPr>
            <w:tcW w:w="12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24h平均</w:t>
            </w:r>
          </w:p>
        </w:tc>
        <w:tc>
          <w:tcPr>
            <w:tcW w:w="176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63.7</w:t>
            </w:r>
          </w:p>
        </w:tc>
        <w:tc>
          <w:tcPr>
            <w:tcW w:w="222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《大气污染物综合排放标准详解》中原苏联居住区最大一次浓度标准限值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苯并[a]芘</w:t>
            </w:r>
          </w:p>
        </w:tc>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二类限区</w:t>
            </w:r>
          </w:p>
        </w:tc>
        <w:tc>
          <w:tcPr>
            <w:tcW w:w="12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24h平均</w:t>
            </w:r>
          </w:p>
        </w:tc>
        <w:tc>
          <w:tcPr>
            <w:tcW w:w="176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0.0025</w:t>
            </w:r>
          </w:p>
        </w:tc>
        <w:tc>
          <w:tcPr>
            <w:tcW w:w="222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环境空气质量标准(GB3095-2012)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非甲烷总烃</w:t>
            </w:r>
          </w:p>
        </w:tc>
        <w:tc>
          <w:tcPr>
            <w:tcW w:w="17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二类限区</w:t>
            </w:r>
          </w:p>
        </w:tc>
        <w:tc>
          <w:tcPr>
            <w:tcW w:w="124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1h平均</w:t>
            </w:r>
          </w:p>
        </w:tc>
        <w:tc>
          <w:tcPr>
            <w:tcW w:w="176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2000</w:t>
            </w:r>
          </w:p>
        </w:tc>
        <w:tc>
          <w:tcPr>
            <w:tcW w:w="222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《大气污染物综合排放标准详解》244页</w:t>
            </w:r>
          </w:p>
        </w:tc>
      </w:tr>
    </w:tbl>
    <w:p>
      <w:pPr>
        <w:bidi w:val="0"/>
        <w:rPr>
          <w:rFonts w:hint="eastAsia"/>
          <w:lang w:val="en-US" w:eastAsia="zh-CN"/>
        </w:rPr>
      </w:pPr>
      <w:r>
        <w:rPr>
          <w:rFonts w:hint="eastAsia"/>
          <w:lang w:val="en-US" w:eastAsia="zh-CN"/>
        </w:rPr>
        <w:t>（3）估算模型参数</w:t>
      </w:r>
    </w:p>
    <w:p>
      <w:pPr>
        <w:bidi w:val="0"/>
        <w:rPr>
          <w:rFonts w:hint="eastAsia"/>
          <w:lang w:val="en-US" w:eastAsia="zh-CN"/>
        </w:rPr>
      </w:pPr>
      <w:r>
        <w:rPr>
          <w:rFonts w:hint="eastAsia"/>
          <w:lang w:val="en-US" w:eastAsia="zh-CN"/>
        </w:rPr>
        <w:t>估算模型参数表见表3。</w:t>
      </w:r>
    </w:p>
    <w:p>
      <w:pPr>
        <w:pStyle w:val="11"/>
        <w:bidi w:val="0"/>
        <w:rPr>
          <w:rFonts w:hint="eastAsia"/>
          <w:lang w:val="en-US" w:eastAsia="zh-CN"/>
        </w:rPr>
      </w:pPr>
      <w:r>
        <w:rPr>
          <w:rFonts w:hint="eastAsia"/>
          <w:lang w:val="en-US" w:eastAsia="zh-CN"/>
        </w:rPr>
        <w:t>表3 估算模式参数表</w:t>
      </w:r>
    </w:p>
    <w:tbl>
      <w:tblPr>
        <w:tblStyle w:val="6"/>
        <w:tblpPr w:leftFromText="180" w:rightFromText="180" w:vertAnchor="text" w:tblpXSpec="center" w:tblpY="1"/>
        <w:tblOverlap w:val="never"/>
        <w:tblW w:w="8718" w:type="dxa"/>
        <w:tblInd w:w="0" w:type="dxa"/>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
      <w:tblGrid>
        <w:gridCol w:w="3268"/>
        <w:gridCol w:w="3638"/>
        <w:gridCol w:w="1812"/>
      </w:tblGrid>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6906" w:type="dxa"/>
            <w:gridSpan w:val="2"/>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参数</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取值</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3268" w:type="dxa"/>
            <w:vMerge w:val="restart"/>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城市/农村选项</w:t>
            </w:r>
          </w:p>
        </w:tc>
        <w:tc>
          <w:tcPr>
            <w:tcW w:w="363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城市/农村</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农村</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3268" w:type="dxa"/>
            <w:vMerge w:val="continue"/>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363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人口数(城市选项时)</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6906" w:type="dxa"/>
            <w:gridSpan w:val="2"/>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最高环境温度</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6906" w:type="dxa"/>
            <w:gridSpan w:val="2"/>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最低环境温度</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6906" w:type="dxa"/>
            <w:gridSpan w:val="2"/>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土地利用类型</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工业用地</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6906" w:type="dxa"/>
            <w:gridSpan w:val="2"/>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区域湿度条件</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潮湿</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3268" w:type="dxa"/>
            <w:vMerge w:val="restart"/>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是否考虑地形</w:t>
            </w:r>
          </w:p>
        </w:tc>
        <w:tc>
          <w:tcPr>
            <w:tcW w:w="363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考虑地形</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3268" w:type="dxa"/>
            <w:vMerge w:val="continue"/>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363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地形数据分辨率(m)</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3268" w:type="dxa"/>
            <w:vMerge w:val="restart"/>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是否考虑岸线熏烟</w:t>
            </w:r>
          </w:p>
        </w:tc>
        <w:tc>
          <w:tcPr>
            <w:tcW w:w="363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考虑岸线熏烟</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3268" w:type="dxa"/>
            <w:vMerge w:val="continue"/>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363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岸线距离/m</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0" w:space="0"/>
            <w:insideV w:val="single" w:color="auto" w:sz="0" w:space="0"/>
          </w:tblBorders>
          <w:tblLayout w:type="fixed"/>
          <w:tblCellMar>
            <w:top w:w="0" w:type="dxa"/>
            <w:left w:w="108" w:type="dxa"/>
            <w:bottom w:w="0" w:type="dxa"/>
            <w:right w:w="108" w:type="dxa"/>
          </w:tblCellMar>
        </w:tblPrEx>
        <w:trPr>
          <w:trHeight w:val="357" w:hRule="atLeast"/>
        </w:trPr>
        <w:tc>
          <w:tcPr>
            <w:tcW w:w="3268" w:type="dxa"/>
            <w:vMerge w:val="continue"/>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p>
        </w:tc>
        <w:tc>
          <w:tcPr>
            <w:tcW w:w="363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岸线方向/°</w:t>
            </w:r>
          </w:p>
        </w:tc>
        <w:tc>
          <w:tcPr>
            <w:tcW w:w="181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bl>
    <w:p>
      <w:pPr>
        <w:bidi w:val="0"/>
        <w:rPr>
          <w:rFonts w:hint="eastAsia"/>
          <w:lang w:val="en-US" w:eastAsia="zh-CN"/>
        </w:rPr>
      </w:pPr>
      <w:r>
        <w:rPr>
          <w:rFonts w:hint="eastAsia"/>
          <w:lang w:val="en-US" w:eastAsia="zh-CN"/>
        </w:rPr>
        <w:t>（4）污染源参数</w:t>
      </w:r>
    </w:p>
    <w:p>
      <w:pPr>
        <w:bidi w:val="0"/>
        <w:rPr>
          <w:rFonts w:hint="eastAsia"/>
          <w:lang w:val="en-US" w:eastAsia="zh-CN"/>
        </w:rPr>
      </w:pPr>
      <w:r>
        <w:rPr>
          <w:rFonts w:hint="eastAsia"/>
          <w:lang w:val="en-US" w:eastAsia="zh-CN"/>
        </w:rPr>
        <w:t>根据工程分析，项目废气污染源强详见表4、5。</w:t>
      </w:r>
    </w:p>
    <w:p>
      <w:pPr>
        <w:pStyle w:val="11"/>
        <w:bidi w:val="0"/>
        <w:rPr>
          <w:rFonts w:hint="default" w:ascii="Times New Roman" w:hAnsi="Times New Roman" w:cs="Times New Roman"/>
          <w:lang w:val="en-US" w:eastAsia="zh-CN"/>
        </w:rPr>
      </w:pPr>
      <w:r>
        <w:rPr>
          <w:rFonts w:hint="eastAsia" w:ascii="Times New Roman" w:hAnsi="Times New Roman" w:cs="Times New Roman"/>
          <w:lang w:val="en-US" w:eastAsia="zh-CN"/>
        </w:rPr>
        <w:t>表4  有组织废气污染源参数表</w:t>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46"/>
        <w:gridCol w:w="1085"/>
        <w:gridCol w:w="865"/>
        <w:gridCol w:w="870"/>
        <w:gridCol w:w="756"/>
        <w:gridCol w:w="763"/>
        <w:gridCol w:w="773"/>
        <w:gridCol w:w="1041"/>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污染源名称</w:t>
            </w:r>
          </w:p>
        </w:tc>
        <w:tc>
          <w:tcPr>
            <w:tcW w:w="2031" w:type="dxa"/>
            <w:gridSpan w:val="2"/>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排气筒底部中心坐标°</w:t>
            </w:r>
          </w:p>
        </w:tc>
        <w:tc>
          <w:tcPr>
            <w:tcW w:w="86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排气筒底部海拔高度/m</w:t>
            </w:r>
          </w:p>
        </w:tc>
        <w:tc>
          <w:tcPr>
            <w:tcW w:w="3162" w:type="dxa"/>
            <w:gridSpan w:val="4"/>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排气筒参数</w:t>
            </w:r>
          </w:p>
        </w:tc>
        <w:tc>
          <w:tcPr>
            <w:tcW w:w="104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污染物</w:t>
            </w:r>
          </w:p>
        </w:tc>
        <w:tc>
          <w:tcPr>
            <w:tcW w:w="69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排放速率</w:t>
            </w:r>
          </w:p>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经度</w:t>
            </w:r>
          </w:p>
        </w:tc>
        <w:tc>
          <w:tcPr>
            <w:tcW w:w="108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纬度</w:t>
            </w:r>
          </w:p>
        </w:tc>
        <w:tc>
          <w:tcPr>
            <w:tcW w:w="86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b/>
                <w:bCs/>
                <w:szCs w:val="20"/>
                <w:lang w:val="en-US" w:eastAsia="zh-CN"/>
              </w:rPr>
            </w:pPr>
          </w:p>
        </w:tc>
        <w:tc>
          <w:tcPr>
            <w:tcW w:w="87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高度/m</w:t>
            </w:r>
          </w:p>
        </w:tc>
        <w:tc>
          <w:tcPr>
            <w:tcW w:w="75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内径/m</w:t>
            </w:r>
          </w:p>
        </w:tc>
        <w:tc>
          <w:tcPr>
            <w:tcW w:w="76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温度/℃</w:t>
            </w:r>
          </w:p>
        </w:tc>
        <w:tc>
          <w:tcPr>
            <w:tcW w:w="77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流速</w:t>
            </w:r>
          </w:p>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m/s</w:t>
            </w:r>
          </w:p>
        </w:tc>
        <w:tc>
          <w:tcPr>
            <w:tcW w:w="104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69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DA001</w:t>
            </w:r>
          </w:p>
        </w:tc>
        <w:tc>
          <w:tcPr>
            <w:tcW w:w="94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102.640962</w:t>
            </w:r>
          </w:p>
        </w:tc>
        <w:tc>
          <w:tcPr>
            <w:tcW w:w="108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25.281538</w:t>
            </w:r>
          </w:p>
        </w:tc>
        <w:tc>
          <w:tcPr>
            <w:tcW w:w="865"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2245</w:t>
            </w:r>
          </w:p>
        </w:tc>
        <w:tc>
          <w:tcPr>
            <w:tcW w:w="87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15</w:t>
            </w:r>
          </w:p>
        </w:tc>
        <w:tc>
          <w:tcPr>
            <w:tcW w:w="75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0.4</w:t>
            </w:r>
          </w:p>
        </w:tc>
        <w:tc>
          <w:tcPr>
            <w:tcW w:w="76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40</w:t>
            </w:r>
          </w:p>
        </w:tc>
        <w:tc>
          <w:tcPr>
            <w:tcW w:w="77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10</w:t>
            </w:r>
          </w:p>
        </w:tc>
        <w:tc>
          <w:tcPr>
            <w:tcW w:w="104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TSP</w:t>
            </w:r>
          </w:p>
        </w:tc>
        <w:tc>
          <w:tcPr>
            <w:tcW w:w="6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DA002</w:t>
            </w:r>
          </w:p>
        </w:tc>
        <w:tc>
          <w:tcPr>
            <w:tcW w:w="94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102.641250</w:t>
            </w:r>
          </w:p>
        </w:tc>
        <w:tc>
          <w:tcPr>
            <w:tcW w:w="108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25.281573</w:t>
            </w:r>
          </w:p>
        </w:tc>
        <w:tc>
          <w:tcPr>
            <w:tcW w:w="86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cs="Times New Roman"/>
                <w:szCs w:val="20"/>
                <w:lang w:val="en-US" w:eastAsia="zh-CN"/>
              </w:rPr>
            </w:pPr>
            <w:r>
              <w:rPr>
                <w:rFonts w:hint="eastAsia" w:cs="Times New Roman"/>
                <w:szCs w:val="20"/>
                <w:lang w:val="en-US" w:eastAsia="zh-CN"/>
              </w:rPr>
              <w:t>2240</w:t>
            </w:r>
          </w:p>
        </w:tc>
        <w:tc>
          <w:tcPr>
            <w:tcW w:w="87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cs="Times New Roman"/>
                <w:szCs w:val="20"/>
                <w:lang w:val="en-US" w:eastAsia="zh-CN"/>
              </w:rPr>
            </w:pPr>
            <w:r>
              <w:rPr>
                <w:rFonts w:hint="eastAsia" w:cs="Times New Roman"/>
                <w:szCs w:val="20"/>
                <w:lang w:val="en-US" w:eastAsia="zh-CN"/>
              </w:rPr>
              <w:t>15</w:t>
            </w:r>
          </w:p>
        </w:tc>
        <w:tc>
          <w:tcPr>
            <w:tcW w:w="75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cs="Times New Roman"/>
                <w:szCs w:val="20"/>
                <w:lang w:val="en-US" w:eastAsia="zh-CN"/>
              </w:rPr>
            </w:pPr>
            <w:r>
              <w:rPr>
                <w:rFonts w:hint="eastAsia" w:cs="Times New Roman"/>
                <w:szCs w:val="20"/>
                <w:lang w:val="en-US" w:eastAsia="zh-CN"/>
              </w:rPr>
              <w:t>0.4</w:t>
            </w:r>
          </w:p>
        </w:tc>
        <w:tc>
          <w:tcPr>
            <w:tcW w:w="76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cs="Times New Roman"/>
                <w:szCs w:val="20"/>
                <w:lang w:val="en-US" w:eastAsia="zh-CN"/>
              </w:rPr>
            </w:pPr>
            <w:r>
              <w:rPr>
                <w:rFonts w:hint="eastAsia" w:cs="Times New Roman"/>
                <w:szCs w:val="20"/>
                <w:lang w:val="en-US" w:eastAsia="zh-CN"/>
              </w:rPr>
              <w:t>160</w:t>
            </w:r>
          </w:p>
        </w:tc>
        <w:tc>
          <w:tcPr>
            <w:tcW w:w="77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cs="Times New Roman"/>
                <w:szCs w:val="20"/>
                <w:lang w:val="en-US" w:eastAsia="zh-CN"/>
              </w:rPr>
            </w:pPr>
            <w:r>
              <w:rPr>
                <w:rFonts w:hint="eastAsia" w:cs="Times New Roman"/>
                <w:szCs w:val="20"/>
                <w:lang w:val="en-US" w:eastAsia="zh-CN"/>
              </w:rPr>
              <w:t>10</w:t>
            </w:r>
          </w:p>
        </w:tc>
        <w:tc>
          <w:tcPr>
            <w:tcW w:w="104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颗粒物</w:t>
            </w:r>
          </w:p>
        </w:tc>
        <w:tc>
          <w:tcPr>
            <w:tcW w:w="6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cs="Times New Roman"/>
                <w:szCs w:val="20"/>
                <w:lang w:val="en-US" w:eastAsia="zh-CN"/>
              </w:rPr>
            </w:pPr>
            <w:r>
              <w:rPr>
                <w:rFonts w:hint="eastAsia" w:cs="Times New Roman"/>
                <w:szCs w:val="20"/>
                <w:lang w:val="en-US" w:eastAsia="zh-CN"/>
              </w:rPr>
              <w:t>0.00075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08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86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cs="Times New Roman"/>
                <w:szCs w:val="20"/>
                <w:lang w:val="en-US" w:eastAsia="zh-CN"/>
              </w:rPr>
            </w:pPr>
          </w:p>
        </w:tc>
        <w:tc>
          <w:tcPr>
            <w:tcW w:w="8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cs="Times New Roman"/>
                <w:szCs w:val="20"/>
                <w:lang w:val="en-US" w:eastAsia="zh-CN"/>
              </w:rPr>
            </w:pPr>
          </w:p>
        </w:tc>
        <w:tc>
          <w:tcPr>
            <w:tcW w:w="75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cs="Times New Roman"/>
                <w:szCs w:val="20"/>
                <w:lang w:val="en-US" w:eastAsia="zh-CN"/>
              </w:rPr>
            </w:pPr>
          </w:p>
        </w:tc>
        <w:tc>
          <w:tcPr>
            <w:tcW w:w="76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cs="Times New Roman"/>
                <w:szCs w:val="20"/>
                <w:lang w:val="en-US" w:eastAsia="zh-CN"/>
              </w:rPr>
            </w:pPr>
          </w:p>
        </w:tc>
        <w:tc>
          <w:tcPr>
            <w:tcW w:w="77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cs="Times New Roman"/>
                <w:szCs w:val="20"/>
                <w:lang w:val="en-US" w:eastAsia="zh-CN"/>
              </w:rPr>
            </w:pPr>
          </w:p>
        </w:tc>
        <w:tc>
          <w:tcPr>
            <w:tcW w:w="104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二氧化硫</w:t>
            </w:r>
          </w:p>
        </w:tc>
        <w:tc>
          <w:tcPr>
            <w:tcW w:w="6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cs="Times New Roman"/>
                <w:szCs w:val="20"/>
                <w:lang w:val="en-US" w:eastAsia="zh-CN"/>
              </w:rPr>
            </w:pPr>
            <w:r>
              <w:rPr>
                <w:rFonts w:hint="eastAsia" w:cs="Times New Roman"/>
                <w:szCs w:val="20"/>
                <w:lang w:val="en-US" w:eastAsia="zh-CN"/>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08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86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cs="Times New Roman"/>
                <w:szCs w:val="20"/>
                <w:lang w:val="en-US" w:eastAsia="zh-CN"/>
              </w:rPr>
            </w:pPr>
          </w:p>
        </w:tc>
        <w:tc>
          <w:tcPr>
            <w:tcW w:w="8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cs="Times New Roman"/>
                <w:szCs w:val="20"/>
                <w:lang w:val="en-US" w:eastAsia="zh-CN"/>
              </w:rPr>
            </w:pPr>
          </w:p>
        </w:tc>
        <w:tc>
          <w:tcPr>
            <w:tcW w:w="75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cs="Times New Roman"/>
                <w:szCs w:val="20"/>
                <w:lang w:val="en-US" w:eastAsia="zh-CN"/>
              </w:rPr>
            </w:pPr>
          </w:p>
        </w:tc>
        <w:tc>
          <w:tcPr>
            <w:tcW w:w="76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cs="Times New Roman"/>
                <w:szCs w:val="20"/>
                <w:lang w:val="en-US" w:eastAsia="zh-CN"/>
              </w:rPr>
            </w:pPr>
          </w:p>
        </w:tc>
        <w:tc>
          <w:tcPr>
            <w:tcW w:w="77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cs="Times New Roman"/>
                <w:szCs w:val="20"/>
                <w:lang w:val="en-US" w:eastAsia="zh-CN"/>
              </w:rPr>
            </w:pPr>
          </w:p>
        </w:tc>
        <w:tc>
          <w:tcPr>
            <w:tcW w:w="104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氮氧化物</w:t>
            </w:r>
          </w:p>
        </w:tc>
        <w:tc>
          <w:tcPr>
            <w:tcW w:w="6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cs="Times New Roman"/>
                <w:szCs w:val="20"/>
                <w:lang w:val="en-US" w:eastAsia="zh-CN"/>
              </w:rPr>
            </w:pPr>
            <w:r>
              <w:rPr>
                <w:rFonts w:hint="eastAsia" w:cs="Times New Roman"/>
                <w:szCs w:val="20"/>
                <w:lang w:val="en-US" w:eastAsia="zh-CN"/>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DA00</w:t>
            </w:r>
            <w:r>
              <w:rPr>
                <w:rFonts w:hint="eastAsia" w:cs="Times New Roman"/>
                <w:szCs w:val="20"/>
                <w:lang w:val="en-US" w:eastAsia="zh-CN"/>
              </w:rPr>
              <w:t>3</w:t>
            </w:r>
          </w:p>
        </w:tc>
        <w:tc>
          <w:tcPr>
            <w:tcW w:w="94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102.641171</w:t>
            </w:r>
          </w:p>
        </w:tc>
        <w:tc>
          <w:tcPr>
            <w:tcW w:w="108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25.281581</w:t>
            </w:r>
          </w:p>
        </w:tc>
        <w:tc>
          <w:tcPr>
            <w:tcW w:w="865"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2243</w:t>
            </w:r>
          </w:p>
        </w:tc>
        <w:tc>
          <w:tcPr>
            <w:tcW w:w="87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15</w:t>
            </w:r>
          </w:p>
        </w:tc>
        <w:tc>
          <w:tcPr>
            <w:tcW w:w="756"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0.4</w:t>
            </w:r>
          </w:p>
        </w:tc>
        <w:tc>
          <w:tcPr>
            <w:tcW w:w="76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60</w:t>
            </w:r>
          </w:p>
        </w:tc>
        <w:tc>
          <w:tcPr>
            <w:tcW w:w="773"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12</w:t>
            </w:r>
          </w:p>
        </w:tc>
        <w:tc>
          <w:tcPr>
            <w:tcW w:w="104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沥青烟</w:t>
            </w:r>
          </w:p>
        </w:tc>
        <w:tc>
          <w:tcPr>
            <w:tcW w:w="6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08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86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8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5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6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7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04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苯并[a]芘</w:t>
            </w:r>
          </w:p>
        </w:tc>
        <w:tc>
          <w:tcPr>
            <w:tcW w:w="6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94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08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865"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87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56"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6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73"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04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非甲烷总烃</w:t>
            </w:r>
          </w:p>
        </w:tc>
        <w:tc>
          <w:tcPr>
            <w:tcW w:w="6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0.0001</w:t>
            </w:r>
          </w:p>
        </w:tc>
      </w:tr>
    </w:tbl>
    <w:p>
      <w:pPr>
        <w:pStyle w:val="11"/>
        <w:bidi w:val="0"/>
        <w:rPr>
          <w:rFonts w:hint="default" w:ascii="Times New Roman" w:hAnsi="Times New Roman" w:cs="Times New Roman"/>
          <w:lang w:val="en-US" w:eastAsia="zh-CN"/>
        </w:rPr>
      </w:pPr>
      <w:r>
        <w:rPr>
          <w:rFonts w:hint="eastAsia" w:ascii="Times New Roman" w:hAnsi="Times New Roman" w:cs="Times New Roman"/>
          <w:lang w:val="en-US" w:eastAsia="zh-CN"/>
        </w:rPr>
        <w:t>表5  无组织废气污染源参数一览表</w:t>
      </w:r>
    </w:p>
    <w:tbl>
      <w:tblPr>
        <w:tblStyle w:val="7"/>
        <w:tblW w:w="8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58"/>
        <w:gridCol w:w="1250"/>
        <w:gridCol w:w="960"/>
        <w:gridCol w:w="1092"/>
        <w:gridCol w:w="720"/>
        <w:gridCol w:w="771"/>
        <w:gridCol w:w="898"/>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污染源名称</w:t>
            </w:r>
          </w:p>
        </w:tc>
        <w:tc>
          <w:tcPr>
            <w:tcW w:w="2508" w:type="dxa"/>
            <w:gridSpan w:val="2"/>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面源中心点坐标°</w:t>
            </w:r>
          </w:p>
        </w:tc>
        <w:tc>
          <w:tcPr>
            <w:tcW w:w="96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海拔高度/m</w:t>
            </w:r>
          </w:p>
        </w:tc>
        <w:tc>
          <w:tcPr>
            <w:tcW w:w="2583" w:type="dxa"/>
            <w:gridSpan w:val="3"/>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矩形面源</w:t>
            </w:r>
          </w:p>
        </w:tc>
        <w:tc>
          <w:tcPr>
            <w:tcW w:w="1911" w:type="dxa"/>
            <w:gridSpan w:val="2"/>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污染物排放速率</w:t>
            </w:r>
          </w:p>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p>
        </w:tc>
        <w:tc>
          <w:tcPr>
            <w:tcW w:w="125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经度</w:t>
            </w:r>
          </w:p>
        </w:tc>
        <w:tc>
          <w:tcPr>
            <w:tcW w:w="125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纬度</w:t>
            </w:r>
          </w:p>
        </w:tc>
        <w:tc>
          <w:tcPr>
            <w:tcW w:w="96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b/>
                <w:bCs/>
                <w:szCs w:val="20"/>
                <w:lang w:val="en-US" w:eastAsia="zh-CN"/>
              </w:rPr>
            </w:pPr>
          </w:p>
        </w:tc>
        <w:tc>
          <w:tcPr>
            <w:tcW w:w="109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长度/m</w:t>
            </w:r>
          </w:p>
        </w:tc>
        <w:tc>
          <w:tcPr>
            <w:tcW w:w="720"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宽度/m</w:t>
            </w:r>
          </w:p>
        </w:tc>
        <w:tc>
          <w:tcPr>
            <w:tcW w:w="77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有效高度/m</w:t>
            </w:r>
          </w:p>
        </w:tc>
        <w:tc>
          <w:tcPr>
            <w:tcW w:w="1911" w:type="dxa"/>
            <w:gridSpan w:val="2"/>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面源</w:t>
            </w:r>
          </w:p>
        </w:tc>
        <w:tc>
          <w:tcPr>
            <w:tcW w:w="1258"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102.642353</w:t>
            </w:r>
          </w:p>
        </w:tc>
        <w:tc>
          <w:tcPr>
            <w:tcW w:w="125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25.278449</w:t>
            </w:r>
          </w:p>
        </w:tc>
        <w:tc>
          <w:tcPr>
            <w:tcW w:w="96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2241</w:t>
            </w:r>
          </w:p>
        </w:tc>
        <w:tc>
          <w:tcPr>
            <w:tcW w:w="1092"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99</w:t>
            </w:r>
          </w:p>
        </w:tc>
        <w:tc>
          <w:tcPr>
            <w:tcW w:w="720"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93</w:t>
            </w:r>
          </w:p>
        </w:tc>
        <w:tc>
          <w:tcPr>
            <w:tcW w:w="771"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10</w:t>
            </w:r>
          </w:p>
        </w:tc>
        <w:tc>
          <w:tcPr>
            <w:tcW w:w="89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 w:val="21"/>
                <w:szCs w:val="20"/>
                <w:lang w:val="en-US" w:eastAsia="zh-CN" w:bidi="ar-SA"/>
              </w:rPr>
              <w:t>颗粒物</w:t>
            </w:r>
          </w:p>
        </w:tc>
        <w:tc>
          <w:tcPr>
            <w:tcW w:w="101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2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25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96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0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2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7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89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沥青烟</w:t>
            </w:r>
          </w:p>
        </w:tc>
        <w:tc>
          <w:tcPr>
            <w:tcW w:w="101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2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25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96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0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2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7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89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苯并[a]芘</w:t>
            </w:r>
          </w:p>
        </w:tc>
        <w:tc>
          <w:tcPr>
            <w:tcW w:w="101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4.2×10</w:t>
            </w:r>
            <w:r>
              <w:rPr>
                <w:rFonts w:hint="eastAsia" w:cs="Times New Roman"/>
                <w:szCs w:val="20"/>
                <w:vertAlign w:val="superscript"/>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258"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25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96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092"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20"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771"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898"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非甲烷总烃</w:t>
            </w:r>
          </w:p>
        </w:tc>
        <w:tc>
          <w:tcPr>
            <w:tcW w:w="1013"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szCs w:val="20"/>
                <w:lang w:val="en-US" w:eastAsia="zh-CN"/>
              </w:rPr>
              <w:t>5.42×10</w:t>
            </w:r>
            <w:r>
              <w:rPr>
                <w:rFonts w:hint="eastAsia"/>
                <w:szCs w:val="20"/>
                <w:vertAlign w:val="superscript"/>
                <w:lang w:val="en-US" w:eastAsia="zh-CN"/>
              </w:rPr>
              <w:t>-6</w:t>
            </w:r>
          </w:p>
        </w:tc>
      </w:tr>
    </w:tbl>
    <w:p>
      <w:pPr>
        <w:bidi w:val="0"/>
        <w:rPr>
          <w:rFonts w:hint="default"/>
          <w:lang w:val="en-US" w:eastAsia="zh-CN"/>
        </w:rPr>
      </w:pPr>
      <w:r>
        <w:rPr>
          <w:rFonts w:hint="eastAsia"/>
          <w:lang w:val="en-US" w:eastAsia="zh-CN"/>
        </w:rPr>
        <w:t>（5）估算结果及评价等级判定</w:t>
      </w:r>
    </w:p>
    <w:p>
      <w:pPr>
        <w:bidi w:val="0"/>
        <w:rPr>
          <w:rFonts w:hint="default"/>
          <w:lang w:val="en-US" w:eastAsia="zh-CN"/>
        </w:rPr>
      </w:pPr>
      <w:r>
        <w:rPr>
          <w:rFonts w:hint="default"/>
          <w:lang w:val="en-US" w:eastAsia="zh-CN"/>
        </w:rPr>
        <w:t>采用AERSCREEN估算模式计算出的各污染源所含污染物的最大地面浓度及占标率见表</w:t>
      </w:r>
      <w:r>
        <w:rPr>
          <w:rFonts w:hint="eastAsia"/>
          <w:lang w:val="en-US" w:eastAsia="zh-CN"/>
        </w:rPr>
        <w:t>6</w:t>
      </w:r>
      <w:r>
        <w:rPr>
          <w:rFonts w:hint="default"/>
          <w:lang w:val="en-US" w:eastAsia="zh-CN"/>
        </w:rPr>
        <w:t>。</w:t>
      </w:r>
    </w:p>
    <w:p>
      <w:pPr>
        <w:pStyle w:val="11"/>
        <w:bidi w:val="0"/>
        <w:rPr>
          <w:rFonts w:hint="default" w:ascii="Times New Roman" w:hAnsi="Times New Roman" w:cs="Times New Roman"/>
          <w:lang w:val="en-US" w:eastAsia="zh-CN"/>
        </w:rPr>
      </w:pPr>
      <w:r>
        <w:rPr>
          <w:rFonts w:hint="eastAsia" w:ascii="Times New Roman" w:hAnsi="Times New Roman" w:cs="Times New Roman"/>
          <w:lang w:val="en-US" w:eastAsia="zh-CN"/>
        </w:rPr>
        <w:t>表6  采用估算模式计算结果</w:t>
      </w:r>
    </w:p>
    <w:tbl>
      <w:tblPr>
        <w:tblStyle w:val="7"/>
        <w:tblW w:w="8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317"/>
        <w:gridCol w:w="1931"/>
        <w:gridCol w:w="1624"/>
        <w:gridCol w:w="145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污染源</w:t>
            </w: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评价因子</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评价标准（ug/m</w:t>
            </w:r>
            <w:r>
              <w:rPr>
                <w:rFonts w:hint="eastAsia" w:ascii="Times New Roman" w:hAnsi="Times New Roman" w:eastAsia="宋体" w:cs="Times New Roman"/>
                <w:b/>
                <w:bCs/>
                <w:szCs w:val="20"/>
                <w:vertAlign w:val="superscript"/>
                <w:lang w:val="en-US" w:eastAsia="zh-CN"/>
              </w:rPr>
              <w:t>3</w:t>
            </w:r>
            <w:r>
              <w:rPr>
                <w:rFonts w:hint="eastAsia" w:ascii="Times New Roman" w:hAnsi="Times New Roman" w:eastAsia="宋体" w:cs="Times New Roman"/>
                <w:b/>
                <w:bCs/>
                <w:szCs w:val="20"/>
                <w:lang w:val="en-US" w:eastAsia="zh-CN"/>
              </w:rPr>
              <w:t>）</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Cmax（ug/m</w:t>
            </w:r>
            <w:r>
              <w:rPr>
                <w:rFonts w:hint="eastAsia" w:ascii="Times New Roman" w:hAnsi="Times New Roman" w:eastAsia="宋体" w:cs="Times New Roman"/>
                <w:b/>
                <w:bCs/>
                <w:szCs w:val="20"/>
                <w:vertAlign w:val="superscript"/>
                <w:lang w:val="en-US" w:eastAsia="zh-CN"/>
              </w:rPr>
              <w:t>3</w:t>
            </w:r>
            <w:r>
              <w:rPr>
                <w:rFonts w:hint="eastAsia" w:ascii="Times New Roman" w:hAnsi="Times New Roman" w:eastAsia="宋体" w:cs="Times New Roman"/>
                <w:b/>
                <w:bCs/>
                <w:szCs w:val="20"/>
                <w:lang w:val="en-US" w:eastAsia="zh-CN"/>
              </w:rPr>
              <w:t>）</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Pmax（%）</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D10%（m）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10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DA001</w:t>
            </w: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TSP</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9</w:t>
            </w:r>
            <w:r>
              <w:rPr>
                <w:rFonts w:hint="eastAsia" w:ascii="Times New Roman" w:hAnsi="Times New Roman" w:eastAsia="宋体" w:cs="Times New Roman"/>
                <w:szCs w:val="20"/>
                <w:lang w:val="en-US" w:eastAsia="zh-CN"/>
              </w:rPr>
              <w:t>00</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2.2</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0.24</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DA002</w:t>
            </w: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TSP</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900</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0.017</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0.00</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二氧化硫</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500</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0.013</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Cs w:val="20"/>
                <w:lang w:val="en-US" w:eastAsia="zh-CN"/>
              </w:rPr>
            </w:pPr>
            <w:r>
              <w:rPr>
                <w:rFonts w:hint="eastAsia" w:cs="Times New Roman"/>
                <w:szCs w:val="20"/>
                <w:lang w:val="en-US" w:eastAsia="zh-CN"/>
              </w:rPr>
              <w:t>0.00</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氮氧化物</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250</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0.011</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eastAsia" w:ascii="Times New Roman" w:hAnsi="Times New Roman" w:eastAsia="宋体" w:cs="Times New Roman"/>
                <w:szCs w:val="20"/>
                <w:lang w:val="en-US" w:eastAsia="zh-CN"/>
              </w:rPr>
            </w:pPr>
            <w:r>
              <w:rPr>
                <w:rFonts w:hint="eastAsia" w:cs="Times New Roman"/>
                <w:szCs w:val="20"/>
                <w:lang w:val="en-US" w:eastAsia="zh-CN"/>
              </w:rPr>
              <w:t>0.00</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leftChars="0" w:right="0" w:rightChars="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DA00</w:t>
            </w:r>
            <w:r>
              <w:rPr>
                <w:rFonts w:hint="eastAsia" w:cs="Times New Roman"/>
                <w:szCs w:val="20"/>
                <w:lang w:val="en-US" w:eastAsia="zh-CN"/>
              </w:rPr>
              <w:t>3</w:t>
            </w: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沥青烟</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63.7</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3.15</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4.95</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苯并[a]芘</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0.0025</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0.000084</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3.36</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非甲烷总烃</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2000</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0.0042</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0.00</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Merge w:val="restart"/>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厂界无组织</w:t>
            </w: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 w:val="21"/>
                <w:szCs w:val="20"/>
                <w:lang w:val="en-US" w:eastAsia="zh-CN" w:bidi="ar-SA"/>
              </w:rPr>
              <w:t>颗粒物</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9</w:t>
            </w:r>
            <w:r>
              <w:rPr>
                <w:rFonts w:hint="eastAsia" w:ascii="Times New Roman" w:hAnsi="Times New Roman" w:eastAsia="宋体" w:cs="Times New Roman"/>
                <w:szCs w:val="20"/>
                <w:lang w:val="en-US" w:eastAsia="zh-CN"/>
              </w:rPr>
              <w:t>00</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66.24</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7.36</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沥青烟</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63.7</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1.58</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2.46</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苯并[a]芘</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0.0025</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0.000185</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7.38</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9" w:type="dxa"/>
            <w:vMerge w:val="continue"/>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Cs w:val="20"/>
                <w:lang w:val="en-US" w:eastAsia="zh-CN"/>
              </w:rPr>
            </w:pPr>
          </w:p>
        </w:tc>
        <w:tc>
          <w:tcPr>
            <w:tcW w:w="13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非甲烷总烃</w:t>
            </w:r>
          </w:p>
        </w:tc>
        <w:tc>
          <w:tcPr>
            <w:tcW w:w="19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2000</w:t>
            </w:r>
          </w:p>
        </w:tc>
        <w:tc>
          <w:tcPr>
            <w:tcW w:w="16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0.0024</w:t>
            </w:r>
          </w:p>
        </w:tc>
        <w:tc>
          <w:tcPr>
            <w:tcW w:w="145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0.00</w:t>
            </w:r>
          </w:p>
        </w:tc>
        <w:tc>
          <w:tcPr>
            <w:tcW w:w="128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cs="Times New Roman"/>
                <w:szCs w:val="20"/>
                <w:lang w:val="en-US" w:eastAsia="zh-CN"/>
              </w:rPr>
              <w:t>/</w:t>
            </w:r>
          </w:p>
        </w:tc>
      </w:tr>
    </w:tbl>
    <w:p>
      <w:pPr>
        <w:bidi w:val="0"/>
      </w:pPr>
      <w:r>
        <w:rPr>
          <w:rFonts w:hint="eastAsia"/>
        </w:rPr>
        <w:t>由表</w:t>
      </w:r>
      <w:r>
        <w:rPr>
          <w:rFonts w:hint="eastAsia"/>
          <w:lang w:val="en-US" w:eastAsia="zh-CN"/>
        </w:rPr>
        <w:t>6</w:t>
      </w:r>
      <w:r>
        <w:rPr>
          <w:rFonts w:hint="eastAsia"/>
        </w:rPr>
        <w:t>分析可知，项目各主要污染因子最大地面浓度占标率</w:t>
      </w:r>
      <w:r>
        <w:rPr>
          <w:rFonts w:hint="eastAsia"/>
          <w:highlight w:val="none"/>
        </w:rPr>
        <w:t>Pmax值为</w:t>
      </w:r>
      <w:r>
        <w:rPr>
          <w:rFonts w:hint="eastAsia"/>
          <w:highlight w:val="none"/>
          <w:lang w:val="en-US" w:eastAsia="zh-CN"/>
        </w:rPr>
        <w:t>7.38%</w:t>
      </w:r>
      <w:r>
        <w:rPr>
          <w:rFonts w:hint="eastAsia"/>
        </w:rPr>
        <w:t>，小于10%，D10%没有出现，对照《环境影响评价技术导则 大气环境》（HJ2.2-2018）表1的工作等级划分依据，项目大气环境影响评价工作级别定为二级评价。</w:t>
      </w:r>
    </w:p>
    <w:p>
      <w:pPr>
        <w:bidi w:val="0"/>
        <w:rPr>
          <w:rFonts w:hint="default"/>
          <w:b/>
          <w:bCs/>
          <w:lang w:val="en-US"/>
        </w:rPr>
      </w:pPr>
      <w:r>
        <w:rPr>
          <w:rFonts w:hint="eastAsia"/>
          <w:b/>
          <w:bCs/>
          <w:lang w:val="en-US" w:eastAsia="zh-CN"/>
        </w:rPr>
        <w:t>1.2 大气评价范围</w:t>
      </w:r>
    </w:p>
    <w:p>
      <w:pPr>
        <w:bidi w:val="0"/>
        <w:rPr>
          <w:rFonts w:hint="eastAsia"/>
        </w:rPr>
      </w:pPr>
      <w:r>
        <w:rPr>
          <w:rFonts w:hint="eastAsia"/>
        </w:rPr>
        <w:t>本项目评价工作等级为二级，大气评价范围为以项目为中心，边长为5km的区域。</w:t>
      </w:r>
    </w:p>
    <w:p>
      <w:pPr>
        <w:bidi w:val="0"/>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 大气预测结果</w:t>
      </w:r>
    </w:p>
    <w:p>
      <w:pPr>
        <w:bidi w:val="0"/>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2.1 正常排放情况</w:t>
      </w:r>
    </w:p>
    <w:p>
      <w:pPr>
        <w:bidi w:val="0"/>
        <w:rPr>
          <w:rFonts w:hint="eastAsia"/>
          <w:lang w:val="en-US" w:eastAsia="zh-CN"/>
        </w:rPr>
      </w:pPr>
      <w:r>
        <w:rPr>
          <w:rFonts w:hint="eastAsia"/>
        </w:rPr>
        <w:t>采用估算模式，项目排放的污染物下风向2500m范围内地面最大浓度值</w:t>
      </w:r>
      <w:r>
        <w:rPr>
          <w:rFonts w:hint="eastAsia"/>
          <w:lang w:eastAsia="zh-CN"/>
        </w:rPr>
        <w:t>，</w:t>
      </w:r>
      <w:r>
        <w:rPr>
          <w:rFonts w:hint="eastAsia"/>
          <w:lang w:val="en-US" w:eastAsia="zh-CN"/>
        </w:rPr>
        <w:t>见表7、表8、表9、表10。</w:t>
      </w:r>
    </w:p>
    <w:p>
      <w:pPr>
        <w:pStyle w:val="11"/>
        <w:bidi w:val="0"/>
        <w:rPr>
          <w:rFonts w:hint="default"/>
          <w:lang w:val="en-US" w:eastAsia="zh-CN"/>
        </w:rPr>
      </w:pPr>
      <w:r>
        <w:rPr>
          <w:rFonts w:hint="eastAsia"/>
          <w:lang w:val="en-US" w:eastAsia="zh-CN"/>
        </w:rPr>
        <w:t>表7  排气筒（DA001）有组织排放估算预测结果</w:t>
      </w:r>
    </w:p>
    <w:tbl>
      <w:tblPr>
        <w:tblStyle w:val="6"/>
        <w:tblpPr w:leftFromText="180" w:rightFromText="180" w:vertAnchor="text" w:tblpXSpec="left" w:tblpY="1"/>
        <w:tblOverlap w:val="never"/>
        <w:tblW w:w="87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905"/>
        <w:gridCol w:w="3232"/>
        <w:gridCol w:w="25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vMerge w:val="restart"/>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b/>
                <w:bCs/>
                <w:szCs w:val="20"/>
                <w:lang w:val="en-US" w:eastAsia="zh-CN"/>
              </w:rPr>
            </w:pPr>
            <w:r>
              <w:rPr>
                <w:rFonts w:hint="eastAsia"/>
                <w:b/>
                <w:bCs/>
                <w:szCs w:val="20"/>
                <w:lang w:val="en-US" w:eastAsia="zh-CN"/>
              </w:rPr>
              <w:t>下风向距离</w:t>
            </w:r>
          </w:p>
        </w:tc>
        <w:tc>
          <w:tcPr>
            <w:tcW w:w="5813" w:type="dxa"/>
            <w:gridSpan w:val="2"/>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b/>
                <w:bCs/>
                <w:szCs w:val="20"/>
                <w:lang w:val="en-US" w:eastAsia="zh-CN"/>
              </w:rPr>
            </w:pPr>
            <w:r>
              <w:rPr>
                <w:rFonts w:hint="eastAsia"/>
                <w:b/>
                <w:bCs/>
                <w:szCs w:val="20"/>
                <w:lang w:val="en-US" w:eastAsia="zh-CN"/>
              </w:rPr>
              <w:t>DA001排气筒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vMerge w:val="continue"/>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b/>
                <w:bCs/>
                <w:szCs w:val="20"/>
                <w:lang w:val="en-US" w:eastAsia="zh-CN"/>
              </w:rPr>
            </w:pP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b/>
                <w:bCs/>
                <w:szCs w:val="20"/>
                <w:lang w:val="en-US" w:eastAsia="zh-CN"/>
              </w:rPr>
            </w:pPr>
            <w:r>
              <w:rPr>
                <w:rFonts w:hint="eastAsia"/>
                <w:b/>
                <w:bCs/>
                <w:szCs w:val="20"/>
                <w:lang w:val="en-US" w:eastAsia="zh-CN"/>
              </w:rPr>
              <w:t>TSP浓度(ug/m³)</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b/>
                <w:bCs/>
                <w:szCs w:val="20"/>
                <w:lang w:val="en-US" w:eastAsia="zh-CN"/>
              </w:rPr>
            </w:pPr>
            <w:r>
              <w:rPr>
                <w:rFonts w:hint="eastAsia"/>
                <w:b/>
                <w:bCs/>
                <w:szCs w:val="20"/>
                <w:lang w:val="en-US" w:eastAsia="zh-CN"/>
              </w:rPr>
              <w:t>TSP占标率(%)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50.0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1.831</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100.0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2.007</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200.0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1.610</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300.0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1.257</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400.0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1.255</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500.0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1.128</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600.0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0.9964</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700.0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0.9272</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800.0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0.9175</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900.0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0.8765</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1000.0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0.8302</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1200.0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0.7367</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1400.0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0.6601</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1600.0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0.5986</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1800.0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0.5433</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2000.0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0.4945</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2500.0</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0.3980</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下风向最大浓度</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2.2</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下风向最大浓度出现距离/m</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24</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default"/>
                <w:szCs w:val="20"/>
                <w:lang w:val="en-US" w:eastAsia="zh-CN"/>
              </w:rPr>
            </w:pPr>
            <w:r>
              <w:rPr>
                <w:rFonts w:hint="eastAsia"/>
                <w:szCs w:val="20"/>
                <w:lang w:val="en-US" w:eastAsia="zh-CN"/>
              </w:rPr>
              <w:t>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905"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D10%最远距离</w:t>
            </w:r>
          </w:p>
        </w:tc>
        <w:tc>
          <w:tcPr>
            <w:tcW w:w="3232"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w:t>
            </w:r>
          </w:p>
        </w:tc>
        <w:tc>
          <w:tcPr>
            <w:tcW w:w="258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rPr>
                <w:rFonts w:hint="eastAsia"/>
                <w:szCs w:val="20"/>
                <w:lang w:val="en-US" w:eastAsia="zh-CN"/>
              </w:rPr>
            </w:pPr>
            <w:r>
              <w:rPr>
                <w:rFonts w:hint="eastAsia"/>
                <w:szCs w:val="20"/>
                <w:lang w:val="en-US" w:eastAsia="zh-CN"/>
              </w:rPr>
              <w:t>/</w:t>
            </w:r>
          </w:p>
        </w:tc>
      </w:tr>
    </w:tbl>
    <w:p>
      <w:pPr>
        <w:pStyle w:val="11"/>
        <w:bidi w:val="0"/>
        <w:rPr>
          <w:rFonts w:hint="default" w:ascii="Times New Roman" w:hAnsi="Times New Roman" w:cs="Times New Roman"/>
          <w:lang w:val="en-US" w:eastAsia="zh-CN"/>
        </w:rPr>
      </w:pPr>
      <w:r>
        <w:rPr>
          <w:rFonts w:hint="eastAsia" w:ascii="Times New Roman" w:hAnsi="Times New Roman" w:cs="Times New Roman"/>
          <w:lang w:val="en-US" w:eastAsia="zh-CN"/>
        </w:rPr>
        <w:t>表8  排气筒（DA002）有组织排放估算预测结果</w:t>
      </w:r>
    </w:p>
    <w:tbl>
      <w:tblPr>
        <w:tblStyle w:val="6"/>
        <w:tblpPr w:leftFromText="180" w:rightFromText="180" w:vertAnchor="text" w:tblpXSpec="left" w:tblpY="1"/>
        <w:tblOverlap w:val="never"/>
        <w:tblW w:w="87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4"/>
        <w:gridCol w:w="1103"/>
        <w:gridCol w:w="1071"/>
        <w:gridCol w:w="1308"/>
        <w:gridCol w:w="1008"/>
        <w:gridCol w:w="1303"/>
        <w:gridCol w:w="12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0" w:hRule="atLeast"/>
        </w:trPr>
        <w:tc>
          <w:tcPr>
            <w:tcW w:w="1724" w:type="dxa"/>
            <w:vMerge w:val="restart"/>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下风向距离</w:t>
            </w:r>
          </w:p>
        </w:tc>
        <w:tc>
          <w:tcPr>
            <w:tcW w:w="6993" w:type="dxa"/>
            <w:gridSpan w:val="6"/>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DA002排气筒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vMerge w:val="continue"/>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TSP浓度(ug/m³)</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TSP占标率(%)</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二氧化硫浓度(ug/m³)</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二氧化硫占标率(%)</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氮氧化物浓度(ug/m³)</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氮氧化物占标率(%)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50.0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0.014</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0.011</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0.009</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0.017</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0.013</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0.011</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0.013</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0.009</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0.012</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0.010</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0.008</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400.0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0.010</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0.008</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0.007</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500.0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0.008</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0.007</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0.006</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0.007</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0.006</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0.005</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700.0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0.006</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0.005</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0.004</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800.0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0.006</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0.005</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0.004</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900.0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0.005</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0.004</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0.003</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0.006</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0.004</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0.004</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1200.0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0.006</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0.005</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rPr>
            </w:pPr>
            <w:r>
              <w:rPr>
                <w:rFonts w:hint="eastAsia"/>
                <w:szCs w:val="20"/>
                <w:lang w:val="en-US" w:eastAsia="zh-CN"/>
              </w:rPr>
              <w:t>0.004</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1400.0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0.006</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0.005</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0.004</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0.005</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0.004</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0.004</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1800.0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0.005</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0.004</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0.003</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0.005</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0.004</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0.003</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2500.0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0.004</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0.003</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0.003</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下风向最大浓度</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0.017</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0.013</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0.011</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下风向最大浓度出现距离/m</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97</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97</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97</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97</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97</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D10%</w:t>
            </w:r>
          </w:p>
        </w:tc>
        <w:tc>
          <w:tcPr>
            <w:tcW w:w="11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3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0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30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2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bl>
    <w:p>
      <w:pPr>
        <w:pStyle w:val="11"/>
        <w:bidi w:val="0"/>
        <w:rPr>
          <w:rFonts w:hint="eastAsia" w:ascii="Times New Roman" w:hAnsi="Times New Roman" w:cs="Times New Roman"/>
          <w:lang w:val="en-US" w:eastAsia="zh-CN"/>
        </w:rPr>
      </w:pPr>
    </w:p>
    <w:p>
      <w:pPr>
        <w:pStyle w:val="11"/>
        <w:bidi w:val="0"/>
        <w:rPr>
          <w:rFonts w:hint="eastAsia" w:ascii="Times New Roman" w:hAnsi="Times New Roman" w:cs="Times New Roman"/>
          <w:lang w:val="en-US" w:eastAsia="zh-CN"/>
        </w:rPr>
      </w:pPr>
    </w:p>
    <w:p>
      <w:pPr>
        <w:pStyle w:val="11"/>
        <w:bidi w:val="0"/>
        <w:rPr>
          <w:rFonts w:hint="default" w:ascii="Times New Roman" w:hAnsi="Times New Roman" w:cs="Times New Roman"/>
          <w:lang w:val="en-US" w:eastAsia="zh-CN"/>
        </w:rPr>
      </w:pPr>
      <w:r>
        <w:rPr>
          <w:rFonts w:hint="eastAsia" w:ascii="Times New Roman" w:hAnsi="Times New Roman" w:cs="Times New Roman"/>
          <w:lang w:val="en-US" w:eastAsia="zh-CN"/>
        </w:rPr>
        <w:t>表</w:t>
      </w:r>
      <w:r>
        <w:rPr>
          <w:rFonts w:hint="eastAsia" w:cs="Times New Roman"/>
          <w:lang w:val="en-US" w:eastAsia="zh-CN"/>
        </w:rPr>
        <w:t>9</w:t>
      </w:r>
      <w:r>
        <w:rPr>
          <w:rFonts w:hint="eastAsia" w:ascii="Times New Roman" w:hAnsi="Times New Roman" w:cs="Times New Roman"/>
          <w:lang w:val="en-US" w:eastAsia="zh-CN"/>
        </w:rPr>
        <w:t xml:space="preserve">  排气筒（DA00</w:t>
      </w:r>
      <w:r>
        <w:rPr>
          <w:rFonts w:hint="eastAsia" w:cs="Times New Roman"/>
          <w:lang w:val="en-US" w:eastAsia="zh-CN"/>
        </w:rPr>
        <w:t>3</w:t>
      </w:r>
      <w:r>
        <w:rPr>
          <w:rFonts w:hint="eastAsia" w:ascii="Times New Roman" w:hAnsi="Times New Roman" w:cs="Times New Roman"/>
          <w:lang w:val="en-US" w:eastAsia="zh-CN"/>
        </w:rPr>
        <w:t>）有组织排放估算预测结果</w:t>
      </w:r>
    </w:p>
    <w:tbl>
      <w:tblPr>
        <w:tblStyle w:val="6"/>
        <w:tblpPr w:leftFromText="180" w:rightFromText="180" w:vertAnchor="text" w:tblpXSpec="left" w:tblpY="1"/>
        <w:tblOverlap w:val="never"/>
        <w:tblW w:w="87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33"/>
        <w:gridCol w:w="1180"/>
        <w:gridCol w:w="1064"/>
        <w:gridCol w:w="1348"/>
        <w:gridCol w:w="956"/>
        <w:gridCol w:w="1369"/>
        <w:gridCol w:w="11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vMerge w:val="restart"/>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下风向距离</w:t>
            </w:r>
          </w:p>
        </w:tc>
        <w:tc>
          <w:tcPr>
            <w:tcW w:w="7084" w:type="dxa"/>
            <w:gridSpan w:val="6"/>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b/>
                <w:bCs/>
                <w:szCs w:val="20"/>
                <w:lang w:val="en-US" w:eastAsia="zh-CN"/>
              </w:rPr>
            </w:pPr>
            <w:r>
              <w:rPr>
                <w:rFonts w:hint="eastAsia"/>
                <w:b/>
                <w:bCs/>
                <w:szCs w:val="20"/>
                <w:lang w:val="en-US" w:eastAsia="zh-CN"/>
              </w:rPr>
              <w:t>DA003排气筒</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vMerge w:val="continue"/>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沥青烟浓度(ug/m³)</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沥青烟占标率(%)</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苯并[a]芘浓度(ug/m³)</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苯并[a]芘占标率(%)</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非甲烷总烃浓度(ug/m³)</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非甲烷总烃占标率(%)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50.0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2.188</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3.43</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0.000058</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2.33</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0.0029</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2.483</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3.90</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0.000066</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2.65</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0.0033</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2.568</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4.03</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0.000068</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2.74</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0.0034</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1.813</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2.85</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0.000048</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1.93</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0.0024</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400.0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1.360</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2.13</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0.000036</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1.45</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0.0018</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500.0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1.225</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1.92</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0.000033</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1.31</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0.0016</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1.174</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1.84</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0.000031</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1.25</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0.0016</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700.0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1.263</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1.98</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0.000034</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1.35</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0.0017</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800.0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1.203</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1.89</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0.000032</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1.28</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0.0016</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900.0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1.132</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1.78</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0.00003</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1.21</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0.0015</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1.167</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1.83</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0.000031</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1.24</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0.0016</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1200.0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1.107</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1.74</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0.00003</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1.18</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0.0015</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1400.0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1.027</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1.61</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0.000027</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1.10</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0.0014</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0.944</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1.48</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0.000025</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1.01</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0.0013</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1800.0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0.868</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1.36</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0.000023</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0.93</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0.0012</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0.805</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1.26</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0.000021</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0.86</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0.0011</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2500.0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0.678</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1.06</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0.000018</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0.72</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eastAsia="宋体"/>
                <w:szCs w:val="20"/>
                <w:lang w:val="en-US" w:eastAsia="zh-CN"/>
              </w:rPr>
            </w:pPr>
            <w:r>
              <w:rPr>
                <w:rFonts w:hint="eastAsia"/>
                <w:szCs w:val="20"/>
                <w:lang w:val="en-US" w:eastAsia="zh-CN"/>
              </w:rPr>
              <w:t>0.0009</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下风向最大浓度</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3.153</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4.95</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0.000084</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3.36</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0.0042</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下风向最大浓度出现距离/m</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25</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25</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25</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25</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25</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D10%</w:t>
            </w:r>
          </w:p>
        </w:tc>
        <w:tc>
          <w:tcPr>
            <w:tcW w:w="118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64"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348"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95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3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16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eastAsia="宋体"/>
          <w:lang w:val="en-US" w:eastAsia="zh-CN"/>
        </w:rPr>
      </w:pPr>
      <w:r>
        <w:rPr>
          <w:rFonts w:hint="eastAsia"/>
          <w:highlight w:val="none"/>
        </w:rPr>
        <w:t>根据预测结果，DA001</w:t>
      </w:r>
      <w:r>
        <w:rPr>
          <w:rFonts w:hint="eastAsia"/>
          <w:highlight w:val="none"/>
          <w:lang w:val="en-US" w:eastAsia="zh-CN"/>
        </w:rPr>
        <w:t>排气筒</w:t>
      </w:r>
      <w:r>
        <w:rPr>
          <w:rFonts w:hint="eastAsia"/>
          <w:highlight w:val="none"/>
        </w:rPr>
        <w:t>有组织排放</w:t>
      </w:r>
      <w:r>
        <w:rPr>
          <w:rFonts w:hint="eastAsia"/>
          <w:highlight w:val="none"/>
          <w:lang w:val="en-US" w:eastAsia="zh-CN"/>
        </w:rPr>
        <w:t>TSP</w:t>
      </w:r>
      <w:r>
        <w:rPr>
          <w:rFonts w:hint="eastAsia"/>
          <w:highlight w:val="none"/>
        </w:rPr>
        <w:t>的最大占标率为0.</w:t>
      </w:r>
      <w:r>
        <w:rPr>
          <w:rFonts w:hint="eastAsia"/>
          <w:highlight w:val="none"/>
          <w:lang w:val="en-US" w:eastAsia="zh-CN"/>
        </w:rPr>
        <w:t>24</w:t>
      </w:r>
      <w:r>
        <w:rPr>
          <w:rFonts w:hint="eastAsia"/>
          <w:highlight w:val="none"/>
        </w:rPr>
        <w:t>%</w:t>
      </w:r>
      <w:r>
        <w:rPr>
          <w:rFonts w:hint="eastAsia"/>
          <w:highlight w:val="none"/>
          <w:lang w:eastAsia="zh-CN"/>
        </w:rPr>
        <w:t>，</w:t>
      </w:r>
      <w:r>
        <w:rPr>
          <w:rFonts w:hint="eastAsia"/>
          <w:highlight w:val="none"/>
        </w:rPr>
        <w:t>落地最大质量浓度出现在</w:t>
      </w:r>
      <w:r>
        <w:rPr>
          <w:rFonts w:hint="eastAsia"/>
          <w:highlight w:val="none"/>
          <w:lang w:val="en-US" w:eastAsia="zh-CN"/>
        </w:rPr>
        <w:t>24</w:t>
      </w:r>
      <w:r>
        <w:rPr>
          <w:rFonts w:hint="eastAsia"/>
          <w:highlight w:val="none"/>
        </w:rPr>
        <w:t>m处，最大质量浓度为</w:t>
      </w:r>
      <w:r>
        <w:rPr>
          <w:rFonts w:hint="eastAsia"/>
          <w:highlight w:val="none"/>
          <w:lang w:val="en-US" w:eastAsia="zh-CN"/>
        </w:rPr>
        <w:t>2.2u</w:t>
      </w:r>
      <w:r>
        <w:rPr>
          <w:rFonts w:hint="eastAsia"/>
          <w:highlight w:val="none"/>
        </w:rPr>
        <w:t>g/m³</w:t>
      </w:r>
      <w:r>
        <w:rPr>
          <w:rFonts w:hint="eastAsia"/>
          <w:highlight w:val="none"/>
          <w:lang w:eastAsia="zh-CN"/>
        </w:rPr>
        <w:t>，</w:t>
      </w:r>
      <w:r>
        <w:rPr>
          <w:rFonts w:hint="eastAsia"/>
          <w:highlight w:val="none"/>
          <w:lang w:val="en-US" w:eastAsia="zh-CN"/>
        </w:rPr>
        <w:t>能够满足《环境空气质量标准》(GB3095-2012)中的限值。</w:t>
      </w:r>
    </w:p>
    <w:p>
      <w:pPr>
        <w:bidi w:val="0"/>
        <w:rPr>
          <w:rFonts w:hint="eastAsia"/>
          <w:lang w:val="en-US" w:eastAsia="zh-CN"/>
        </w:rPr>
      </w:pPr>
      <w:r>
        <w:rPr>
          <w:rFonts w:hint="eastAsia"/>
        </w:rPr>
        <w:t>DA002</w:t>
      </w:r>
      <w:r>
        <w:rPr>
          <w:rFonts w:hint="eastAsia"/>
          <w:lang w:val="en-US" w:eastAsia="zh-CN"/>
        </w:rPr>
        <w:t>排气筒</w:t>
      </w:r>
      <w:r>
        <w:rPr>
          <w:rFonts w:hint="eastAsia"/>
        </w:rPr>
        <w:t>有组织排放</w:t>
      </w:r>
      <w:r>
        <w:rPr>
          <w:rFonts w:hint="eastAsia"/>
          <w:lang w:val="en-US" w:eastAsia="zh-CN"/>
        </w:rPr>
        <w:t>TSP</w:t>
      </w:r>
      <w:r>
        <w:rPr>
          <w:rFonts w:hint="eastAsia"/>
        </w:rPr>
        <w:t>的最大占标率为</w:t>
      </w:r>
      <w:r>
        <w:rPr>
          <w:rFonts w:hint="eastAsia"/>
          <w:lang w:val="en-US" w:eastAsia="zh-CN"/>
        </w:rPr>
        <w:t>0.00</w:t>
      </w:r>
      <w:r>
        <w:rPr>
          <w:rFonts w:hint="eastAsia"/>
        </w:rPr>
        <w:t>%</w:t>
      </w:r>
      <w:r>
        <w:rPr>
          <w:rFonts w:hint="eastAsia"/>
          <w:lang w:eastAsia="zh-CN"/>
        </w:rPr>
        <w:t>，</w:t>
      </w:r>
      <w:r>
        <w:rPr>
          <w:rFonts w:hint="eastAsia"/>
        </w:rPr>
        <w:t>落地最大质量浓度出现在</w:t>
      </w:r>
      <w:r>
        <w:rPr>
          <w:rFonts w:hint="eastAsia"/>
          <w:lang w:val="en-US" w:eastAsia="zh-CN"/>
        </w:rPr>
        <w:t>97</w:t>
      </w:r>
      <w:r>
        <w:rPr>
          <w:rFonts w:hint="eastAsia"/>
        </w:rPr>
        <w:t>m处，最大质量浓度为</w:t>
      </w:r>
      <w:r>
        <w:rPr>
          <w:rFonts w:hint="eastAsia"/>
          <w:lang w:val="en-US" w:eastAsia="zh-CN"/>
        </w:rPr>
        <w:t>0.017u</w:t>
      </w:r>
      <w:r>
        <w:rPr>
          <w:rFonts w:hint="eastAsia"/>
        </w:rPr>
        <w:t>g/m³</w:t>
      </w:r>
      <w:r>
        <w:rPr>
          <w:rFonts w:hint="eastAsia"/>
          <w:lang w:eastAsia="zh-CN"/>
        </w:rPr>
        <w:t>；</w:t>
      </w:r>
      <w:r>
        <w:rPr>
          <w:rFonts w:hint="eastAsia"/>
          <w:lang w:val="en-US" w:eastAsia="zh-CN"/>
        </w:rPr>
        <w:t>二氧化硫</w:t>
      </w:r>
      <w:r>
        <w:rPr>
          <w:rFonts w:hint="eastAsia"/>
        </w:rPr>
        <w:t>的最大占标率为</w:t>
      </w:r>
      <w:r>
        <w:rPr>
          <w:rFonts w:hint="eastAsia"/>
          <w:lang w:val="en-US" w:eastAsia="zh-CN"/>
        </w:rPr>
        <w:t>0.00</w:t>
      </w:r>
      <w:r>
        <w:rPr>
          <w:rFonts w:hint="eastAsia"/>
        </w:rPr>
        <w:t>%</w:t>
      </w:r>
      <w:r>
        <w:rPr>
          <w:rFonts w:hint="eastAsia"/>
          <w:lang w:eastAsia="zh-CN"/>
        </w:rPr>
        <w:t>，</w:t>
      </w:r>
      <w:r>
        <w:rPr>
          <w:rFonts w:hint="eastAsia"/>
        </w:rPr>
        <w:t>落地最大质量浓度出现在</w:t>
      </w:r>
      <w:r>
        <w:rPr>
          <w:rFonts w:hint="eastAsia"/>
          <w:lang w:val="en-US" w:eastAsia="zh-CN"/>
        </w:rPr>
        <w:t>97</w:t>
      </w:r>
      <w:r>
        <w:rPr>
          <w:rFonts w:hint="eastAsia"/>
        </w:rPr>
        <w:t>m处，最大质量浓度为</w:t>
      </w:r>
      <w:r>
        <w:rPr>
          <w:rFonts w:hint="eastAsia"/>
          <w:lang w:val="en-US" w:eastAsia="zh-CN"/>
        </w:rPr>
        <w:t>0.013u</w:t>
      </w:r>
      <w:r>
        <w:rPr>
          <w:rFonts w:hint="eastAsia"/>
        </w:rPr>
        <w:t>g/m³</w:t>
      </w:r>
      <w:r>
        <w:rPr>
          <w:rFonts w:hint="eastAsia"/>
          <w:lang w:eastAsia="zh-CN"/>
        </w:rPr>
        <w:t>；</w:t>
      </w:r>
      <w:r>
        <w:rPr>
          <w:rFonts w:hint="eastAsia"/>
          <w:lang w:val="en-US" w:eastAsia="zh-CN"/>
        </w:rPr>
        <w:t>氮氧化物</w:t>
      </w:r>
      <w:r>
        <w:rPr>
          <w:rFonts w:hint="eastAsia"/>
        </w:rPr>
        <w:t>的最大占标率为</w:t>
      </w:r>
      <w:r>
        <w:rPr>
          <w:rFonts w:hint="eastAsia"/>
          <w:lang w:val="en-US" w:eastAsia="zh-CN"/>
        </w:rPr>
        <w:t>0.00</w:t>
      </w:r>
      <w:r>
        <w:rPr>
          <w:rFonts w:hint="eastAsia"/>
        </w:rPr>
        <w:t>%</w:t>
      </w:r>
      <w:r>
        <w:rPr>
          <w:rFonts w:hint="eastAsia"/>
          <w:lang w:eastAsia="zh-CN"/>
        </w:rPr>
        <w:t>，</w:t>
      </w:r>
      <w:r>
        <w:rPr>
          <w:rFonts w:hint="eastAsia"/>
        </w:rPr>
        <w:t>落地最大质量浓度出现在</w:t>
      </w:r>
      <w:r>
        <w:rPr>
          <w:rFonts w:hint="eastAsia"/>
          <w:lang w:val="en-US" w:eastAsia="zh-CN"/>
        </w:rPr>
        <w:t>97</w:t>
      </w:r>
      <w:r>
        <w:rPr>
          <w:rFonts w:hint="eastAsia"/>
        </w:rPr>
        <w:t>m处，最大质量浓度为</w:t>
      </w:r>
      <w:r>
        <w:rPr>
          <w:rFonts w:hint="eastAsia"/>
          <w:lang w:val="en-US" w:eastAsia="zh-CN"/>
        </w:rPr>
        <w:t>0.011u</w:t>
      </w:r>
      <w:r>
        <w:rPr>
          <w:rFonts w:hint="eastAsia"/>
        </w:rPr>
        <w:t>g/m³</w:t>
      </w:r>
      <w:r>
        <w:rPr>
          <w:rFonts w:hint="eastAsia"/>
          <w:lang w:eastAsia="zh-CN"/>
        </w:rPr>
        <w:t>，</w:t>
      </w:r>
      <w:r>
        <w:rPr>
          <w:rFonts w:hint="eastAsia"/>
          <w:lang w:val="en-US" w:eastAsia="zh-CN"/>
        </w:rPr>
        <w:t>TSP、二氧化硫、氮氧化物最大质量浓度能够满足《环境空气质量标准》(GB3095-2012)中的限值。</w:t>
      </w:r>
    </w:p>
    <w:p>
      <w:pPr>
        <w:bidi w:val="0"/>
        <w:rPr>
          <w:rFonts w:hint="default" w:eastAsia="宋体"/>
          <w:lang w:val="en-US" w:eastAsia="zh-CN"/>
        </w:rPr>
      </w:pPr>
      <w:r>
        <w:rPr>
          <w:rFonts w:hint="default" w:eastAsia="宋体"/>
          <w:lang w:val="en-US" w:eastAsia="zh-CN"/>
        </w:rPr>
        <w:t>DA00</w:t>
      </w:r>
      <w:r>
        <w:rPr>
          <w:rFonts w:hint="eastAsia"/>
          <w:lang w:val="en-US" w:eastAsia="zh-CN"/>
        </w:rPr>
        <w:t>3</w:t>
      </w:r>
      <w:r>
        <w:rPr>
          <w:rFonts w:hint="default" w:eastAsia="宋体"/>
          <w:lang w:val="en-US" w:eastAsia="zh-CN"/>
        </w:rPr>
        <w:t>排气筒有组织排放</w:t>
      </w:r>
      <w:r>
        <w:rPr>
          <w:rFonts w:hint="eastAsia"/>
          <w:lang w:val="en-US" w:eastAsia="zh-CN"/>
        </w:rPr>
        <w:t>沥青烟</w:t>
      </w:r>
      <w:r>
        <w:rPr>
          <w:rFonts w:hint="default" w:eastAsia="宋体"/>
          <w:lang w:val="en-US" w:eastAsia="zh-CN"/>
        </w:rPr>
        <w:t>的最大占标率为</w:t>
      </w:r>
      <w:r>
        <w:rPr>
          <w:rFonts w:hint="eastAsia"/>
          <w:lang w:val="en-US" w:eastAsia="zh-CN"/>
        </w:rPr>
        <w:t>4.95</w:t>
      </w:r>
      <w:r>
        <w:rPr>
          <w:rFonts w:hint="default" w:eastAsia="宋体"/>
          <w:lang w:val="en-US" w:eastAsia="zh-CN"/>
        </w:rPr>
        <w:t>%，落地最大质量浓度出现在</w:t>
      </w:r>
      <w:r>
        <w:rPr>
          <w:rFonts w:hint="eastAsia"/>
          <w:lang w:val="en-US" w:eastAsia="zh-CN"/>
        </w:rPr>
        <w:t>25</w:t>
      </w:r>
      <w:r>
        <w:rPr>
          <w:rFonts w:hint="default" w:eastAsia="宋体"/>
          <w:lang w:val="en-US" w:eastAsia="zh-CN"/>
        </w:rPr>
        <w:t>m处，最大质量浓度为</w:t>
      </w:r>
      <w:r>
        <w:rPr>
          <w:rFonts w:hint="eastAsia"/>
          <w:lang w:val="en-US" w:eastAsia="zh-CN"/>
        </w:rPr>
        <w:t>3.153</w:t>
      </w:r>
      <w:r>
        <w:rPr>
          <w:rFonts w:hint="default" w:eastAsia="宋体"/>
          <w:lang w:val="en-US" w:eastAsia="zh-CN"/>
        </w:rPr>
        <w:t>ug/m³；苯并[a]芘的最大占标率为</w:t>
      </w:r>
      <w:r>
        <w:rPr>
          <w:rFonts w:hint="eastAsia"/>
          <w:lang w:val="en-US" w:eastAsia="zh-CN"/>
        </w:rPr>
        <w:t>3.36</w:t>
      </w:r>
      <w:r>
        <w:rPr>
          <w:rFonts w:hint="default" w:eastAsia="宋体"/>
          <w:lang w:val="en-US" w:eastAsia="zh-CN"/>
        </w:rPr>
        <w:t>%，落地最大质量浓度出现在</w:t>
      </w:r>
      <w:r>
        <w:rPr>
          <w:rFonts w:hint="eastAsia"/>
          <w:lang w:val="en-US" w:eastAsia="zh-CN"/>
        </w:rPr>
        <w:t>25</w:t>
      </w:r>
      <w:r>
        <w:rPr>
          <w:rFonts w:hint="default" w:eastAsia="宋体"/>
          <w:lang w:val="en-US" w:eastAsia="zh-CN"/>
        </w:rPr>
        <w:t>m处，最大质量浓度为0</w:t>
      </w:r>
      <w:r>
        <w:rPr>
          <w:rFonts w:hint="eastAsia"/>
          <w:lang w:val="en-US" w:eastAsia="zh-CN"/>
        </w:rPr>
        <w:t>.000084</w:t>
      </w:r>
      <w:r>
        <w:rPr>
          <w:rFonts w:hint="default" w:eastAsia="宋体"/>
          <w:lang w:val="en-US" w:eastAsia="zh-CN"/>
        </w:rPr>
        <w:t>ug/m³；</w:t>
      </w:r>
      <w:r>
        <w:rPr>
          <w:rFonts w:hint="eastAsia"/>
          <w:lang w:val="en-US" w:eastAsia="zh-CN"/>
        </w:rPr>
        <w:t>非甲烷总烃</w:t>
      </w:r>
      <w:r>
        <w:rPr>
          <w:rFonts w:hint="default" w:eastAsia="宋体"/>
          <w:lang w:val="en-US" w:eastAsia="zh-CN"/>
        </w:rPr>
        <w:t>的最大占标率为0.00%，落地最大质量浓度出现在</w:t>
      </w:r>
      <w:r>
        <w:rPr>
          <w:rFonts w:hint="eastAsia"/>
          <w:lang w:val="en-US" w:eastAsia="zh-CN"/>
        </w:rPr>
        <w:t>25</w:t>
      </w:r>
      <w:r>
        <w:rPr>
          <w:rFonts w:hint="default" w:eastAsia="宋体"/>
          <w:lang w:val="en-US" w:eastAsia="zh-CN"/>
        </w:rPr>
        <w:t>m处，最大质量浓度为0.0</w:t>
      </w:r>
      <w:r>
        <w:rPr>
          <w:rFonts w:hint="eastAsia"/>
          <w:lang w:val="en-US" w:eastAsia="zh-CN"/>
        </w:rPr>
        <w:t>042</w:t>
      </w:r>
      <w:r>
        <w:rPr>
          <w:rFonts w:hint="default" w:eastAsia="宋体"/>
          <w:lang w:val="en-US" w:eastAsia="zh-CN"/>
        </w:rPr>
        <w:t>ug/m³，</w:t>
      </w:r>
      <w:r>
        <w:rPr>
          <w:rFonts w:hint="eastAsia"/>
          <w:lang w:val="en-US" w:eastAsia="zh-CN"/>
        </w:rPr>
        <w:t>沥青烟最大质量浓度能够满足《大气污染物综合排放标准详解》中原苏联居住区最大一次浓度标准限值，苯并[a]芘最大质量浓度能够满足《环境空气质量标准》(GB3095-2012)，非甲烷总烃最大质量浓度能够满足《大气污染物综合排放标准详解》244页限值。</w:t>
      </w:r>
    </w:p>
    <w:p>
      <w:pPr>
        <w:bidi w:val="0"/>
        <w:rPr>
          <w:rFonts w:hint="eastAsia"/>
        </w:rPr>
      </w:pPr>
      <w:r>
        <w:rPr>
          <w:rFonts w:hint="eastAsia"/>
          <w:lang w:val="en-US" w:eastAsia="zh-CN"/>
        </w:rPr>
        <w:t>综上，</w:t>
      </w:r>
      <w:r>
        <w:rPr>
          <w:rFonts w:hint="eastAsia"/>
        </w:rPr>
        <w:t>项目正常情况下有组织排放的废气对周边环境影响较小。</w:t>
      </w:r>
    </w:p>
    <w:p>
      <w:pPr>
        <w:pStyle w:val="11"/>
        <w:bidi w:val="0"/>
        <w:rPr>
          <w:rFonts w:hint="eastAsia"/>
        </w:rPr>
      </w:pPr>
      <w:r>
        <w:rPr>
          <w:rFonts w:hint="eastAsia"/>
        </w:rPr>
        <w:t>表</w:t>
      </w:r>
      <w:r>
        <w:rPr>
          <w:rFonts w:hint="eastAsia"/>
          <w:lang w:val="en-US" w:eastAsia="zh-CN"/>
        </w:rPr>
        <w:t>10</w:t>
      </w:r>
      <w:r>
        <w:rPr>
          <w:rFonts w:hint="eastAsia"/>
        </w:rPr>
        <w:t xml:space="preserve">  无组织排放估算预测结果</w:t>
      </w:r>
    </w:p>
    <w:tbl>
      <w:tblPr>
        <w:tblStyle w:val="6"/>
        <w:tblpPr w:leftFromText="180" w:rightFromText="180" w:vertAnchor="text" w:tblpXSpec="left" w:tblpY="1"/>
        <w:tblOverlap w:val="never"/>
        <w:tblW w:w="87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6"/>
        <w:gridCol w:w="971"/>
        <w:gridCol w:w="970"/>
        <w:gridCol w:w="1169"/>
        <w:gridCol w:w="1033"/>
        <w:gridCol w:w="1007"/>
        <w:gridCol w:w="900"/>
        <w:gridCol w:w="879"/>
        <w:gridCol w:w="8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vMerge w:val="restart"/>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下风向距离</w:t>
            </w:r>
          </w:p>
        </w:tc>
        <w:tc>
          <w:tcPr>
            <w:tcW w:w="7822" w:type="dxa"/>
            <w:gridSpan w:val="8"/>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厂界无组织废气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vMerge w:val="continue"/>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TSP浓度(ug/m</w:t>
            </w:r>
            <w:r>
              <w:rPr>
                <w:rFonts w:hint="eastAsia"/>
                <w:b/>
                <w:bCs/>
                <w:szCs w:val="20"/>
                <w:vertAlign w:val="superscript"/>
                <w:lang w:val="en-US" w:eastAsia="zh-CN"/>
              </w:rPr>
              <w:t>3</w:t>
            </w:r>
            <w:r>
              <w:rPr>
                <w:rFonts w:hint="eastAsia"/>
                <w:b/>
                <w:bCs/>
                <w:szCs w:val="20"/>
                <w:lang w:val="en-US" w:eastAsia="zh-CN"/>
              </w:rPr>
              <w:t>)</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TSP占标率(%)</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沥青烟浓度(ug/m</w:t>
            </w:r>
            <w:r>
              <w:rPr>
                <w:rFonts w:hint="eastAsia"/>
                <w:b/>
                <w:bCs/>
                <w:szCs w:val="20"/>
                <w:vertAlign w:val="superscript"/>
                <w:lang w:val="en-US" w:eastAsia="zh-CN"/>
              </w:rPr>
              <w:t>3</w:t>
            </w:r>
            <w:r>
              <w:rPr>
                <w:rFonts w:hint="eastAsia"/>
                <w:b/>
                <w:bCs/>
                <w:szCs w:val="20"/>
                <w:lang w:val="en-US" w:eastAsia="zh-CN"/>
              </w:rPr>
              <w:t>)</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沥青烟占标率(%)</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苯并[a]芘浓度(ug/m</w:t>
            </w:r>
            <w:r>
              <w:rPr>
                <w:rFonts w:hint="eastAsia"/>
                <w:b/>
                <w:bCs/>
                <w:szCs w:val="20"/>
                <w:vertAlign w:val="superscript"/>
                <w:lang w:val="en-US" w:eastAsia="zh-CN"/>
              </w:rPr>
              <w:t>3</w:t>
            </w:r>
            <w:r>
              <w:rPr>
                <w:rFonts w:hint="eastAsia"/>
                <w:b/>
                <w:bCs/>
                <w:szCs w:val="20"/>
                <w:lang w:val="en-US" w:eastAsia="zh-CN"/>
              </w:rPr>
              <w:t>)</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苯并[a]芘占标率(%)</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非甲烷总烃浓度(ug/m</w:t>
            </w:r>
            <w:r>
              <w:rPr>
                <w:rFonts w:hint="eastAsia"/>
                <w:b/>
                <w:bCs/>
                <w:szCs w:val="20"/>
                <w:vertAlign w:val="superscript"/>
                <w:lang w:val="en-US" w:eastAsia="zh-CN"/>
              </w:rPr>
              <w:t>3</w:t>
            </w:r>
            <w:r>
              <w:rPr>
                <w:rFonts w:hint="eastAsia"/>
                <w:b/>
                <w:bCs/>
                <w:szCs w:val="20"/>
                <w:lang w:val="en-US" w:eastAsia="zh-CN"/>
              </w:rPr>
              <w:t>)</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b/>
                <w:bCs/>
                <w:szCs w:val="20"/>
                <w:lang w:val="en-US" w:eastAsia="zh-CN"/>
              </w:rPr>
            </w:pPr>
            <w:r>
              <w:rPr>
                <w:rFonts w:hint="eastAsia"/>
                <w:b/>
                <w:bCs/>
                <w:szCs w:val="20"/>
                <w:lang w:val="en-US" w:eastAsia="zh-CN"/>
              </w:rPr>
              <w:t>非甲烷总烃占标率(%)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50.0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58.704</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6.52</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1.398</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2.18</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0.00016</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6.54</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0.0021</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59.043</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6.56</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1.406</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2.20</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0.00016</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6.58</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0.0021</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47.524</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5.28</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1.132</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1.77</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0.00013</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5.30</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0.0017</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300.0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37.439</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4.16</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0.891</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1.39</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0.0001</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4.17</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0.0013</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400.0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31.096</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3.46</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0.740</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1.16</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0.00009</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3.46</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0.0011</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500.0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26.213</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2.91</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0.624</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0.98</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0.00007</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2.92</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0.0009</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22.404</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2.49</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0.533</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0.83</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0.00006</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2.50</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0.0008</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700.0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19.398</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2.16</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0.462</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0.72</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0.00005</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2.16</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0.0007</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800.0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16.996</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1.89</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0.405</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0.63</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0.00005</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1.89</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0.0006</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900.0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15.061</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1.67</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0.359</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0.56</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0.00004</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1.68</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0.0005</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1000.0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13.465</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1.50</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0.321</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0.50</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0.00004</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1.50</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0.0005</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1200.0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11.023</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1.22</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0.262</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0.41</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0.00003</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1.23</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0.0004</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1400.0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9.252</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1.03</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0.220</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0.34</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0.00003</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1.03</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0.0003</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1600.0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7.927</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0.88</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0.189</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0.29</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0.00002</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0.88</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0.0003</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1800.0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6.891</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0.77</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0.164</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0.26</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0.00002</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0.77</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0.0002</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2000.0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6.072</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0.67</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0.145</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0.23</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0.00002</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0.68</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0.0002</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2500.0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4.622</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0.51</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0.110</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0.17</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0.00001</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0.51</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0.0002</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下风向最大浓度</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66.236</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7.36</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1.578</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2.46</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0.00019</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7.38</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0.0024</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下风向最大浓度出现距离</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default"/>
                <w:szCs w:val="20"/>
                <w:lang w:val="en-US" w:eastAsia="zh-CN"/>
              </w:rPr>
            </w:pPr>
            <w:r>
              <w:rPr>
                <w:rFonts w:hint="eastAsia"/>
                <w:szCs w:val="20"/>
                <w:lang w:val="en-US" w:eastAsia="zh-CN"/>
              </w:rPr>
              <w:t>69</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69</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69</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69</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69</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69</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69</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6"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D10%</w:t>
            </w:r>
          </w:p>
        </w:tc>
        <w:tc>
          <w:tcPr>
            <w:tcW w:w="971"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97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16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3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1007"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900"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879"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c>
          <w:tcPr>
            <w:tcW w:w="893" w:type="dxa"/>
            <w:noWrap w:val="0"/>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rPr>
      </w:pPr>
      <w:r>
        <w:rPr>
          <w:rFonts w:hint="eastAsia"/>
        </w:rPr>
        <w:t>根据预测结果，项目废气无组织排放TSP的最大占标率为</w:t>
      </w:r>
      <w:r>
        <w:rPr>
          <w:rFonts w:hint="eastAsia"/>
          <w:lang w:val="en-US" w:eastAsia="zh-CN"/>
        </w:rPr>
        <w:t>7.36</w:t>
      </w:r>
      <w:r>
        <w:rPr>
          <w:rFonts w:hint="eastAsia"/>
        </w:rPr>
        <w:t>%</w:t>
      </w:r>
      <w:r>
        <w:rPr>
          <w:rFonts w:hint="eastAsia"/>
          <w:lang w:eastAsia="zh-CN"/>
        </w:rPr>
        <w:t>，</w:t>
      </w:r>
      <w:r>
        <w:rPr>
          <w:rFonts w:hint="eastAsia"/>
        </w:rPr>
        <w:t>最大落地最大质量浓度出现在</w:t>
      </w:r>
      <w:r>
        <w:rPr>
          <w:rFonts w:hint="eastAsia"/>
          <w:lang w:val="en-US" w:eastAsia="zh-CN"/>
        </w:rPr>
        <w:t>69</w:t>
      </w:r>
      <w:r>
        <w:rPr>
          <w:rFonts w:hint="eastAsia"/>
        </w:rPr>
        <w:t>m处，最大质量浓度为</w:t>
      </w:r>
      <w:r>
        <w:rPr>
          <w:rFonts w:hint="eastAsia"/>
          <w:lang w:val="en-US" w:eastAsia="zh-CN"/>
        </w:rPr>
        <w:t>66.236u</w:t>
      </w:r>
      <w:r>
        <w:rPr>
          <w:rFonts w:hint="eastAsia"/>
        </w:rPr>
        <w:t>g/m³</w:t>
      </w:r>
      <w:r>
        <w:rPr>
          <w:rFonts w:hint="eastAsia"/>
          <w:lang w:eastAsia="zh-CN"/>
        </w:rPr>
        <w:t>；</w:t>
      </w:r>
      <w:r>
        <w:rPr>
          <w:rFonts w:hint="eastAsia"/>
        </w:rPr>
        <w:t>无组织排放</w:t>
      </w:r>
      <w:r>
        <w:rPr>
          <w:rFonts w:hint="eastAsia"/>
          <w:lang w:val="en-US" w:eastAsia="zh-CN"/>
        </w:rPr>
        <w:t>沥青烟</w:t>
      </w:r>
      <w:r>
        <w:rPr>
          <w:rFonts w:hint="eastAsia"/>
        </w:rPr>
        <w:t>的最大占标率为</w:t>
      </w:r>
      <w:r>
        <w:rPr>
          <w:rFonts w:hint="eastAsia"/>
          <w:lang w:val="en-US" w:eastAsia="zh-CN"/>
        </w:rPr>
        <w:t>2.46</w:t>
      </w:r>
      <w:r>
        <w:rPr>
          <w:rFonts w:hint="eastAsia"/>
        </w:rPr>
        <w:t>%</w:t>
      </w:r>
      <w:r>
        <w:rPr>
          <w:rFonts w:hint="eastAsia"/>
          <w:lang w:eastAsia="zh-CN"/>
        </w:rPr>
        <w:t>，</w:t>
      </w:r>
      <w:r>
        <w:rPr>
          <w:rFonts w:hint="eastAsia"/>
        </w:rPr>
        <w:t>最大落地最大质量浓度出现在</w:t>
      </w:r>
      <w:r>
        <w:rPr>
          <w:rFonts w:hint="eastAsia"/>
          <w:lang w:val="en-US" w:eastAsia="zh-CN"/>
        </w:rPr>
        <w:t>69</w:t>
      </w:r>
      <w:r>
        <w:rPr>
          <w:rFonts w:hint="eastAsia"/>
        </w:rPr>
        <w:t>m处，最大质量浓度为1</w:t>
      </w:r>
      <w:r>
        <w:rPr>
          <w:rFonts w:hint="eastAsia"/>
          <w:lang w:val="en-US" w:eastAsia="zh-CN"/>
        </w:rPr>
        <w:t>.578u</w:t>
      </w:r>
      <w:r>
        <w:rPr>
          <w:rFonts w:hint="eastAsia"/>
        </w:rPr>
        <w:t>g/m³</w:t>
      </w:r>
      <w:r>
        <w:rPr>
          <w:rFonts w:hint="eastAsia"/>
          <w:lang w:eastAsia="zh-CN"/>
        </w:rPr>
        <w:t>；</w:t>
      </w:r>
      <w:r>
        <w:rPr>
          <w:rFonts w:hint="eastAsia"/>
        </w:rPr>
        <w:t>无组织排放</w:t>
      </w:r>
      <w:r>
        <w:rPr>
          <w:rFonts w:hint="eastAsia"/>
          <w:lang w:val="en-US" w:eastAsia="zh-CN"/>
        </w:rPr>
        <w:t>苯并[a]芘</w:t>
      </w:r>
      <w:r>
        <w:rPr>
          <w:rFonts w:hint="eastAsia"/>
        </w:rPr>
        <w:t>的最大占标率为</w:t>
      </w:r>
      <w:r>
        <w:rPr>
          <w:rFonts w:hint="eastAsia"/>
          <w:lang w:val="en-US" w:eastAsia="zh-CN"/>
        </w:rPr>
        <w:t>7.38</w:t>
      </w:r>
      <w:r>
        <w:rPr>
          <w:rFonts w:hint="eastAsia"/>
        </w:rPr>
        <w:t>%</w:t>
      </w:r>
      <w:r>
        <w:rPr>
          <w:rFonts w:hint="eastAsia"/>
          <w:lang w:eastAsia="zh-CN"/>
        </w:rPr>
        <w:t>，</w:t>
      </w:r>
      <w:r>
        <w:rPr>
          <w:rFonts w:hint="eastAsia"/>
        </w:rPr>
        <w:t>最大落地最大质量浓度出现在</w:t>
      </w:r>
      <w:r>
        <w:rPr>
          <w:rFonts w:hint="eastAsia"/>
          <w:lang w:val="en-US" w:eastAsia="zh-CN"/>
        </w:rPr>
        <w:t>69</w:t>
      </w:r>
      <w:r>
        <w:rPr>
          <w:rFonts w:hint="eastAsia"/>
        </w:rPr>
        <w:t>m处，最大质量浓度为</w:t>
      </w:r>
      <w:r>
        <w:rPr>
          <w:rFonts w:hint="eastAsia"/>
          <w:lang w:val="en-US" w:eastAsia="zh-CN"/>
        </w:rPr>
        <w:t>0.00019u</w:t>
      </w:r>
      <w:r>
        <w:rPr>
          <w:rFonts w:hint="eastAsia"/>
        </w:rPr>
        <w:t>g/m³</w:t>
      </w:r>
      <w:r>
        <w:rPr>
          <w:rFonts w:hint="eastAsia"/>
          <w:lang w:eastAsia="zh-CN"/>
        </w:rPr>
        <w:t>；</w:t>
      </w:r>
      <w:r>
        <w:rPr>
          <w:rFonts w:hint="eastAsia"/>
        </w:rPr>
        <w:t>无组织排放</w:t>
      </w:r>
      <w:r>
        <w:rPr>
          <w:rFonts w:hint="eastAsia"/>
          <w:lang w:val="en-US" w:eastAsia="zh-CN"/>
        </w:rPr>
        <w:t>非甲烷总烃</w:t>
      </w:r>
      <w:r>
        <w:rPr>
          <w:rFonts w:hint="eastAsia"/>
        </w:rPr>
        <w:t>的最大占标率为0.0</w:t>
      </w:r>
      <w:r>
        <w:rPr>
          <w:rFonts w:hint="eastAsia"/>
          <w:lang w:val="en-US" w:eastAsia="zh-CN"/>
        </w:rPr>
        <w:t>0</w:t>
      </w:r>
      <w:r>
        <w:rPr>
          <w:rFonts w:hint="eastAsia"/>
        </w:rPr>
        <w:t>%</w:t>
      </w:r>
      <w:r>
        <w:rPr>
          <w:rFonts w:hint="eastAsia"/>
          <w:lang w:eastAsia="zh-CN"/>
        </w:rPr>
        <w:t>，</w:t>
      </w:r>
      <w:r>
        <w:rPr>
          <w:rFonts w:hint="eastAsia"/>
        </w:rPr>
        <w:t>最大落地最大质量浓度出现在</w:t>
      </w:r>
      <w:r>
        <w:rPr>
          <w:rFonts w:hint="eastAsia"/>
          <w:lang w:val="en-US" w:eastAsia="zh-CN"/>
        </w:rPr>
        <w:t>69</w:t>
      </w:r>
      <w:r>
        <w:rPr>
          <w:rFonts w:hint="eastAsia"/>
        </w:rPr>
        <w:t>m处，最大质量浓度为</w:t>
      </w:r>
      <w:r>
        <w:rPr>
          <w:rFonts w:hint="eastAsia"/>
          <w:lang w:val="en-US" w:eastAsia="zh-CN"/>
        </w:rPr>
        <w:t>0.0024u</w:t>
      </w:r>
      <w:r>
        <w:rPr>
          <w:rFonts w:hint="eastAsia"/>
        </w:rPr>
        <w:t>g/m</w:t>
      </w:r>
      <w:r>
        <w:rPr>
          <w:rFonts w:hint="eastAsia"/>
          <w:vertAlign w:val="superscript"/>
          <w:lang w:val="en-US" w:eastAsia="zh-CN"/>
        </w:rPr>
        <w:t>3</w:t>
      </w:r>
      <w:r>
        <w:rPr>
          <w:rFonts w:hint="eastAsia"/>
          <w:lang w:eastAsia="zh-CN"/>
        </w:rPr>
        <w:t>。</w:t>
      </w:r>
      <w:r>
        <w:rPr>
          <w:rFonts w:hint="eastAsia"/>
        </w:rPr>
        <w:t>TSP和苯并[a]芘最大质量浓度能够满足《环境空气质量标准》（GB3095-2012）</w:t>
      </w:r>
      <w:r>
        <w:rPr>
          <w:rFonts w:hint="eastAsia"/>
          <w:lang w:val="en-US" w:eastAsia="zh-CN"/>
        </w:rPr>
        <w:t>二级标准限值</w:t>
      </w:r>
      <w:r>
        <w:rPr>
          <w:rFonts w:hint="eastAsia"/>
        </w:rPr>
        <w:t>，非甲烷总烃和沥青烟最大质量浓度能够满足《大气污染物综合排放标准详解》中的限值要求，项目无组织排放的废气对周边环境影响较小。</w:t>
      </w:r>
    </w:p>
    <w:p>
      <w:pPr>
        <w:bidi w:val="0"/>
        <w:rPr>
          <w:rFonts w:hint="default" w:eastAsia="宋体"/>
          <w:b/>
          <w:bCs/>
          <w:lang w:val="en-US" w:eastAsia="zh-CN"/>
        </w:rPr>
      </w:pPr>
      <w:r>
        <w:rPr>
          <w:rFonts w:hint="eastAsia"/>
          <w:b/>
          <w:bCs/>
          <w:lang w:val="en-US" w:eastAsia="zh-CN"/>
        </w:rPr>
        <w:t>2.2 对周边敏感点的影响</w:t>
      </w:r>
    </w:p>
    <w:p>
      <w:pPr>
        <w:bidi w:val="0"/>
        <w:rPr>
          <w:rFonts w:hint="default" w:eastAsia="宋体"/>
          <w:lang w:val="en-US" w:eastAsia="zh-CN"/>
        </w:rPr>
      </w:pPr>
      <w:r>
        <w:rPr>
          <w:rFonts w:hint="eastAsia"/>
          <w:lang w:eastAsia="zh-CN"/>
        </w:rPr>
        <w:t>（</w:t>
      </w:r>
      <w:r>
        <w:rPr>
          <w:rFonts w:hint="eastAsia"/>
          <w:lang w:val="en-US" w:eastAsia="zh-CN"/>
        </w:rPr>
        <w:t>1）周边环境敏感点</w:t>
      </w:r>
    </w:p>
    <w:p>
      <w:pPr>
        <w:bidi w:val="0"/>
      </w:pPr>
      <w:r>
        <w:rPr>
          <w:rFonts w:hint="eastAsia"/>
        </w:rPr>
        <w:t>根据现场勘察，项目建设区域为工业区，评价范围内无地表饮用水水源保护区及地下饮用水水源防护敏感区，无自然保护区及野生动物保护区，无森林公园、风景名胜区、重点文物及名胜古迹，无生态敏感与珍稀野生动植物栖息地等环境敏感目标</w:t>
      </w:r>
      <w:r>
        <w:rPr>
          <w:rFonts w:hint="eastAsia"/>
          <w:lang w:eastAsia="zh-CN"/>
        </w:rPr>
        <w:t>，</w:t>
      </w:r>
      <w:r>
        <w:rPr>
          <w:rFonts w:hint="eastAsia"/>
        </w:rPr>
        <w:t>本次评价的大气环境保护目标主要是评价区内的村庄。</w:t>
      </w:r>
    </w:p>
    <w:p>
      <w:pPr>
        <w:bidi w:val="0"/>
        <w:rPr>
          <w:rFonts w:hint="default" w:eastAsia="宋体"/>
          <w:lang w:val="en-US" w:eastAsia="zh-CN"/>
        </w:rPr>
      </w:pPr>
      <w:r>
        <w:rPr>
          <w:rFonts w:hint="eastAsia"/>
        </w:rPr>
        <w:t>项目环境空气敏感目标一览表见表</w:t>
      </w:r>
      <w:r>
        <w:rPr>
          <w:rFonts w:hint="eastAsia"/>
          <w:lang w:val="en-US" w:eastAsia="zh-CN"/>
        </w:rPr>
        <w:t>11</w:t>
      </w:r>
      <w:r>
        <w:rPr>
          <w:rFonts w:hint="eastAsia"/>
        </w:rPr>
        <w:t>，周围大气环境敏感目标示意图见附</w:t>
      </w:r>
      <w:r>
        <w:rPr>
          <w:rFonts w:hint="eastAsia"/>
          <w:highlight w:val="none"/>
        </w:rPr>
        <w:t>图</w:t>
      </w:r>
      <w:r>
        <w:rPr>
          <w:rFonts w:hint="eastAsia"/>
          <w:highlight w:val="none"/>
          <w:lang w:val="en-US" w:eastAsia="zh-CN"/>
        </w:rPr>
        <w:t>4。</w:t>
      </w:r>
    </w:p>
    <w:p>
      <w:pPr>
        <w:pStyle w:val="11"/>
        <w:bidi w:val="0"/>
        <w:rPr>
          <w:rFonts w:hint="default" w:ascii="Times New Roman" w:hAnsi="Times New Roman" w:cs="Times New Roman"/>
          <w:lang w:val="en-US" w:eastAsia="zh-CN"/>
        </w:rPr>
      </w:pPr>
      <w:r>
        <w:rPr>
          <w:rFonts w:hint="eastAsia" w:ascii="Times New Roman" w:hAnsi="Times New Roman" w:cs="Times New Roman"/>
          <w:lang w:val="en-US" w:eastAsia="zh-CN"/>
        </w:rPr>
        <w:t>表</w:t>
      </w:r>
      <w:r>
        <w:rPr>
          <w:rFonts w:hint="eastAsia" w:cs="Times New Roman"/>
          <w:lang w:val="en-US" w:eastAsia="zh-CN"/>
        </w:rPr>
        <w:t>11</w:t>
      </w:r>
      <w:r>
        <w:rPr>
          <w:rFonts w:hint="eastAsia" w:ascii="Times New Roman" w:hAnsi="Times New Roman" w:cs="Times New Roman"/>
          <w:lang w:val="en-US" w:eastAsia="zh-CN"/>
        </w:rPr>
        <w:t xml:space="preserve">  项目大气环境敏感目标一览表</w:t>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44"/>
        <w:gridCol w:w="1139"/>
        <w:gridCol w:w="1141"/>
        <w:gridCol w:w="970"/>
        <w:gridCol w:w="135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保护对象</w:t>
            </w:r>
          </w:p>
        </w:tc>
        <w:tc>
          <w:tcPr>
            <w:tcW w:w="2383" w:type="dxa"/>
            <w:gridSpan w:val="2"/>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b/>
                <w:bCs/>
                <w:szCs w:val="20"/>
              </w:rPr>
            </w:pPr>
            <w:r>
              <w:rPr>
                <w:rFonts w:hint="eastAsia" w:ascii="Times New Roman" w:hAnsi="Times New Roman" w:eastAsia="宋体" w:cs="Times New Roman"/>
                <w:b/>
                <w:bCs/>
                <w:szCs w:val="20"/>
                <w:lang w:val="en-US" w:eastAsia="zh-CN"/>
              </w:rPr>
              <w:t>坐标/°</w:t>
            </w:r>
          </w:p>
        </w:tc>
        <w:tc>
          <w:tcPr>
            <w:tcW w:w="1141"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保护内容</w:t>
            </w:r>
          </w:p>
        </w:tc>
        <w:tc>
          <w:tcPr>
            <w:tcW w:w="97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环境功能区</w:t>
            </w:r>
          </w:p>
        </w:tc>
        <w:tc>
          <w:tcPr>
            <w:tcW w:w="1352"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相对厂址方位</w:t>
            </w:r>
          </w:p>
        </w:tc>
        <w:tc>
          <w:tcPr>
            <w:tcW w:w="1630"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相对厂界最近距离/m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p>
        </w:tc>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经度</w:t>
            </w:r>
          </w:p>
        </w:tc>
        <w:tc>
          <w:tcPr>
            <w:tcW w:w="11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纬度</w:t>
            </w:r>
          </w:p>
        </w:tc>
        <w:tc>
          <w:tcPr>
            <w:tcW w:w="1141"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p>
        </w:tc>
        <w:tc>
          <w:tcPr>
            <w:tcW w:w="97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p>
        </w:tc>
        <w:tc>
          <w:tcPr>
            <w:tcW w:w="1352"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p>
        </w:tc>
        <w:tc>
          <w:tcPr>
            <w:tcW w:w="1630"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白水塘村</w:t>
            </w:r>
          </w:p>
        </w:tc>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102.63968</w:t>
            </w:r>
          </w:p>
        </w:tc>
        <w:tc>
          <w:tcPr>
            <w:tcW w:w="11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lang w:eastAsia="zh-CN"/>
              </w:rPr>
            </w:pPr>
            <w:r>
              <w:rPr>
                <w:rFonts w:hint="eastAsia" w:ascii="Times New Roman" w:hAnsi="Times New Roman" w:eastAsia="宋体" w:cs="Times New Roman"/>
                <w:szCs w:val="20"/>
              </w:rPr>
              <w:t>25.28597</w:t>
            </w:r>
          </w:p>
        </w:tc>
        <w:tc>
          <w:tcPr>
            <w:tcW w:w="114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居民</w:t>
            </w:r>
          </w:p>
        </w:tc>
        <w:tc>
          <w:tcPr>
            <w:tcW w:w="97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二类</w:t>
            </w:r>
          </w:p>
        </w:tc>
        <w:tc>
          <w:tcPr>
            <w:tcW w:w="1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北侧</w:t>
            </w:r>
          </w:p>
        </w:tc>
        <w:tc>
          <w:tcPr>
            <w:tcW w:w="16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跌死马村</w:t>
            </w:r>
          </w:p>
        </w:tc>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102.63396</w:t>
            </w:r>
          </w:p>
        </w:tc>
        <w:tc>
          <w:tcPr>
            <w:tcW w:w="11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25.81900</w:t>
            </w:r>
          </w:p>
        </w:tc>
        <w:tc>
          <w:tcPr>
            <w:tcW w:w="114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居民</w:t>
            </w:r>
          </w:p>
        </w:tc>
        <w:tc>
          <w:tcPr>
            <w:tcW w:w="97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lang w:val="en-US" w:eastAsia="zh-CN"/>
              </w:rPr>
              <w:t>二类</w:t>
            </w:r>
          </w:p>
        </w:tc>
        <w:tc>
          <w:tcPr>
            <w:tcW w:w="1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西侧</w:t>
            </w:r>
          </w:p>
        </w:tc>
        <w:tc>
          <w:tcPr>
            <w:tcW w:w="16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小水井村</w:t>
            </w:r>
          </w:p>
        </w:tc>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102.62649</w:t>
            </w:r>
          </w:p>
        </w:tc>
        <w:tc>
          <w:tcPr>
            <w:tcW w:w="11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25.27279</w:t>
            </w:r>
          </w:p>
        </w:tc>
        <w:tc>
          <w:tcPr>
            <w:tcW w:w="114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居民</w:t>
            </w:r>
          </w:p>
        </w:tc>
        <w:tc>
          <w:tcPr>
            <w:tcW w:w="97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二类</w:t>
            </w:r>
          </w:p>
        </w:tc>
        <w:tc>
          <w:tcPr>
            <w:tcW w:w="1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西南侧</w:t>
            </w:r>
          </w:p>
        </w:tc>
        <w:tc>
          <w:tcPr>
            <w:tcW w:w="16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利梨作村</w:t>
            </w:r>
          </w:p>
        </w:tc>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102.63123</w:t>
            </w:r>
          </w:p>
        </w:tc>
        <w:tc>
          <w:tcPr>
            <w:tcW w:w="11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25.27010</w:t>
            </w:r>
          </w:p>
        </w:tc>
        <w:tc>
          <w:tcPr>
            <w:tcW w:w="114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居民</w:t>
            </w:r>
          </w:p>
        </w:tc>
        <w:tc>
          <w:tcPr>
            <w:tcW w:w="97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二类</w:t>
            </w:r>
          </w:p>
        </w:tc>
        <w:tc>
          <w:tcPr>
            <w:tcW w:w="1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西南侧</w:t>
            </w:r>
          </w:p>
        </w:tc>
        <w:tc>
          <w:tcPr>
            <w:tcW w:w="16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上魏家村</w:t>
            </w:r>
          </w:p>
        </w:tc>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102.61985</w:t>
            </w:r>
          </w:p>
        </w:tc>
        <w:tc>
          <w:tcPr>
            <w:tcW w:w="11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25.28450</w:t>
            </w:r>
          </w:p>
        </w:tc>
        <w:tc>
          <w:tcPr>
            <w:tcW w:w="114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居民</w:t>
            </w:r>
          </w:p>
        </w:tc>
        <w:tc>
          <w:tcPr>
            <w:tcW w:w="97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二类</w:t>
            </w:r>
          </w:p>
        </w:tc>
        <w:tc>
          <w:tcPr>
            <w:tcW w:w="1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西北侧</w:t>
            </w:r>
          </w:p>
        </w:tc>
        <w:tc>
          <w:tcPr>
            <w:tcW w:w="16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草海田村</w:t>
            </w:r>
          </w:p>
        </w:tc>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102.62483</w:t>
            </w:r>
          </w:p>
        </w:tc>
        <w:tc>
          <w:tcPr>
            <w:tcW w:w="11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25.29510</w:t>
            </w:r>
          </w:p>
        </w:tc>
        <w:tc>
          <w:tcPr>
            <w:tcW w:w="114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居民</w:t>
            </w:r>
          </w:p>
        </w:tc>
        <w:tc>
          <w:tcPr>
            <w:tcW w:w="97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二类</w:t>
            </w:r>
          </w:p>
        </w:tc>
        <w:tc>
          <w:tcPr>
            <w:tcW w:w="1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西北侧</w:t>
            </w:r>
          </w:p>
        </w:tc>
        <w:tc>
          <w:tcPr>
            <w:tcW w:w="16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当当箐村</w:t>
            </w:r>
          </w:p>
        </w:tc>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102.63341</w:t>
            </w:r>
          </w:p>
        </w:tc>
        <w:tc>
          <w:tcPr>
            <w:tcW w:w="11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25.30240</w:t>
            </w:r>
          </w:p>
        </w:tc>
        <w:tc>
          <w:tcPr>
            <w:tcW w:w="114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居民</w:t>
            </w:r>
          </w:p>
        </w:tc>
        <w:tc>
          <w:tcPr>
            <w:tcW w:w="97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二类</w:t>
            </w:r>
          </w:p>
        </w:tc>
        <w:tc>
          <w:tcPr>
            <w:tcW w:w="1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北侧</w:t>
            </w:r>
          </w:p>
        </w:tc>
        <w:tc>
          <w:tcPr>
            <w:tcW w:w="16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散旦镇</w:t>
            </w:r>
          </w:p>
        </w:tc>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102.65418</w:t>
            </w:r>
          </w:p>
        </w:tc>
        <w:tc>
          <w:tcPr>
            <w:tcW w:w="11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25.29884</w:t>
            </w:r>
          </w:p>
        </w:tc>
        <w:tc>
          <w:tcPr>
            <w:tcW w:w="114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居民</w:t>
            </w:r>
          </w:p>
        </w:tc>
        <w:tc>
          <w:tcPr>
            <w:tcW w:w="97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二类</w:t>
            </w:r>
          </w:p>
        </w:tc>
        <w:tc>
          <w:tcPr>
            <w:tcW w:w="1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东北侧</w:t>
            </w:r>
          </w:p>
        </w:tc>
        <w:tc>
          <w:tcPr>
            <w:tcW w:w="16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太平哨村</w:t>
            </w:r>
          </w:p>
        </w:tc>
        <w:tc>
          <w:tcPr>
            <w:tcW w:w="124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102.65753</w:t>
            </w:r>
          </w:p>
        </w:tc>
        <w:tc>
          <w:tcPr>
            <w:tcW w:w="113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Cs w:val="20"/>
              </w:rPr>
            </w:pPr>
            <w:r>
              <w:rPr>
                <w:rFonts w:hint="eastAsia" w:ascii="Times New Roman" w:hAnsi="Times New Roman" w:eastAsia="宋体" w:cs="Times New Roman"/>
                <w:szCs w:val="20"/>
              </w:rPr>
              <w:t>25.25970</w:t>
            </w:r>
          </w:p>
        </w:tc>
        <w:tc>
          <w:tcPr>
            <w:tcW w:w="114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居民</w:t>
            </w:r>
          </w:p>
        </w:tc>
        <w:tc>
          <w:tcPr>
            <w:tcW w:w="97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二类</w:t>
            </w:r>
          </w:p>
        </w:tc>
        <w:tc>
          <w:tcPr>
            <w:tcW w:w="135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东南侧</w:t>
            </w:r>
          </w:p>
        </w:tc>
        <w:tc>
          <w:tcPr>
            <w:tcW w:w="1630"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2304</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lang w:val="en-US" w:eastAsia="zh-CN"/>
        </w:rPr>
      </w:pPr>
      <w:r>
        <w:rPr>
          <w:rFonts w:hint="eastAsia"/>
          <w:lang w:val="en-US" w:eastAsia="zh-CN"/>
        </w:rPr>
        <w:t>（2）废气污染物排放对周边敏感点的影响</w:t>
      </w:r>
    </w:p>
    <w:p>
      <w:pPr>
        <w:bidi w:val="0"/>
        <w:rPr>
          <w:rFonts w:hint="eastAsia"/>
          <w:lang w:val="en-US" w:eastAsia="zh-CN"/>
        </w:rPr>
      </w:pPr>
      <w:r>
        <w:rPr>
          <w:rFonts w:hint="eastAsia"/>
          <w:lang w:val="en-US" w:eastAsia="zh-CN"/>
        </w:rPr>
        <w:t>根据预测，各排气筒排放污染物落地浓度见表12。</w:t>
      </w:r>
    </w:p>
    <w:p>
      <w:pPr>
        <w:pStyle w:val="11"/>
        <w:bidi w:val="0"/>
        <w:rPr>
          <w:rFonts w:hint="default" w:ascii="Times New Roman" w:hAnsi="Times New Roman" w:cs="Times New Roman"/>
          <w:lang w:val="en-US" w:eastAsia="zh-CN"/>
        </w:rPr>
      </w:pPr>
      <w:r>
        <w:rPr>
          <w:rFonts w:hint="eastAsia" w:ascii="Times New Roman" w:hAnsi="Times New Roman" w:cs="Times New Roman"/>
          <w:lang w:val="en-US" w:eastAsia="zh-CN"/>
        </w:rPr>
        <w:t>表1</w:t>
      </w:r>
      <w:r>
        <w:rPr>
          <w:rFonts w:hint="eastAsia" w:cs="Times New Roman"/>
          <w:lang w:val="en-US" w:eastAsia="zh-CN"/>
        </w:rPr>
        <w:t>2</w:t>
      </w:r>
      <w:r>
        <w:rPr>
          <w:rFonts w:hint="eastAsia" w:ascii="Times New Roman" w:hAnsi="Times New Roman" w:cs="Times New Roman"/>
          <w:lang w:val="en-US" w:eastAsia="zh-CN"/>
        </w:rPr>
        <w:t xml:space="preserve">  敏感点落地浓度一览表</w:t>
      </w:r>
    </w:p>
    <w:tbl>
      <w:tblPr>
        <w:tblStyle w:val="7"/>
        <w:tblW w:w="8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24"/>
        <w:gridCol w:w="1331"/>
        <w:gridCol w:w="1117"/>
        <w:gridCol w:w="1064"/>
        <w:gridCol w:w="1002"/>
        <w:gridCol w:w="1096"/>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restart"/>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cs="Times New Roman"/>
                <w:b/>
                <w:bCs/>
                <w:szCs w:val="20"/>
                <w:lang w:val="en-US" w:eastAsia="zh-CN"/>
              </w:rPr>
              <w:t>敏感点</w:t>
            </w:r>
          </w:p>
        </w:tc>
        <w:tc>
          <w:tcPr>
            <w:tcW w:w="7983" w:type="dxa"/>
            <w:gridSpan w:val="7"/>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cs="Times New Roman"/>
                <w:b/>
                <w:bCs/>
                <w:szCs w:val="20"/>
                <w:lang w:val="en-US" w:eastAsia="zh-CN"/>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b/>
                <w:bCs/>
                <w:szCs w:val="20"/>
                <w:lang w:val="en-US" w:eastAsia="zh-CN"/>
              </w:rPr>
            </w:pPr>
          </w:p>
        </w:tc>
        <w:tc>
          <w:tcPr>
            <w:tcW w:w="132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cs="Times New Roman"/>
                <w:b/>
                <w:bCs/>
                <w:szCs w:val="20"/>
                <w:lang w:val="en-US" w:eastAsia="zh-CN"/>
              </w:rPr>
              <w:t>DA001</w:t>
            </w:r>
          </w:p>
        </w:tc>
        <w:tc>
          <w:tcPr>
            <w:tcW w:w="3512" w:type="dxa"/>
            <w:gridSpan w:val="3"/>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cs="Times New Roman"/>
                <w:b/>
                <w:bCs/>
                <w:szCs w:val="20"/>
                <w:lang w:val="en-US" w:eastAsia="zh-CN"/>
              </w:rPr>
              <w:t>DA002</w:t>
            </w:r>
          </w:p>
        </w:tc>
        <w:tc>
          <w:tcPr>
            <w:tcW w:w="3147" w:type="dxa"/>
            <w:gridSpan w:val="3"/>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cs="Times New Roman"/>
                <w:b/>
                <w:bCs/>
                <w:szCs w:val="20"/>
                <w:lang w:val="en-US" w:eastAsia="zh-CN"/>
              </w:rPr>
              <w:t>DA003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Merge w:val="continue"/>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b/>
                <w:bCs/>
                <w:szCs w:val="20"/>
                <w:lang w:val="en-US" w:eastAsia="zh-CN"/>
              </w:rPr>
            </w:pPr>
          </w:p>
        </w:tc>
        <w:tc>
          <w:tcPr>
            <w:tcW w:w="132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cs="Times New Roman"/>
                <w:b/>
                <w:bCs/>
                <w:szCs w:val="20"/>
                <w:lang w:val="en-US" w:eastAsia="zh-CN"/>
              </w:rPr>
              <w:t>TSP(ug/m³)</w:t>
            </w:r>
          </w:p>
        </w:tc>
        <w:tc>
          <w:tcPr>
            <w:tcW w:w="1331"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TSP(ug/m³)</w:t>
            </w:r>
          </w:p>
        </w:tc>
        <w:tc>
          <w:tcPr>
            <w:tcW w:w="111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cs="Times New Roman"/>
                <w:b/>
                <w:bCs/>
                <w:szCs w:val="20"/>
                <w:lang w:val="en-US" w:eastAsia="zh-CN"/>
              </w:rPr>
              <w:t>二氧化硫(ug/m³)</w:t>
            </w:r>
          </w:p>
        </w:tc>
        <w:tc>
          <w:tcPr>
            <w:tcW w:w="1064"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cs="Times New Roman"/>
                <w:b/>
                <w:bCs/>
                <w:szCs w:val="20"/>
                <w:lang w:val="en-US" w:eastAsia="zh-CN"/>
              </w:rPr>
              <w:t>氮氧化物(ug/m³)</w:t>
            </w:r>
          </w:p>
        </w:tc>
        <w:tc>
          <w:tcPr>
            <w:tcW w:w="1002"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cs="Times New Roman"/>
                <w:b/>
                <w:bCs/>
                <w:szCs w:val="20"/>
                <w:lang w:val="en-US" w:eastAsia="zh-CN"/>
              </w:rPr>
              <w:t>沥青烟(ug/m³)</w:t>
            </w:r>
          </w:p>
        </w:tc>
        <w:tc>
          <w:tcPr>
            <w:tcW w:w="1096"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苯并[a]芘(ug/m³)</w:t>
            </w:r>
          </w:p>
        </w:tc>
        <w:tc>
          <w:tcPr>
            <w:tcW w:w="1049"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center"/>
              <w:rPr>
                <w:rFonts w:hint="default" w:ascii="Times New Roman" w:hAnsi="Times New Roman" w:eastAsia="宋体" w:cs="Times New Roman"/>
                <w:b/>
                <w:bCs/>
                <w:szCs w:val="20"/>
                <w:lang w:val="en-US" w:eastAsia="zh-CN"/>
              </w:rPr>
            </w:pPr>
            <w:r>
              <w:rPr>
                <w:rFonts w:hint="eastAsia" w:cs="Times New Roman"/>
                <w:b/>
                <w:bCs/>
                <w:szCs w:val="20"/>
                <w:lang w:val="en-US" w:eastAsia="zh-CN"/>
              </w:rPr>
              <w:t>非甲烷总烃(ug/m³)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白水塘村</w:t>
            </w:r>
          </w:p>
        </w:tc>
        <w:tc>
          <w:tcPr>
            <w:tcW w:w="13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1.2441</w:t>
            </w:r>
          </w:p>
        </w:tc>
        <w:tc>
          <w:tcPr>
            <w:tcW w:w="13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0.010041</w:t>
            </w:r>
          </w:p>
        </w:tc>
        <w:tc>
          <w:tcPr>
            <w:tcW w:w="11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0.008033</w:t>
            </w:r>
          </w:p>
        </w:tc>
        <w:tc>
          <w:tcPr>
            <w:tcW w:w="106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0.006694</w:t>
            </w:r>
          </w:p>
        </w:tc>
        <w:tc>
          <w:tcPr>
            <w:tcW w:w="100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1.3492</w:t>
            </w:r>
          </w:p>
        </w:tc>
        <w:tc>
          <w:tcPr>
            <w:tcW w:w="10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0.000036</w:t>
            </w:r>
          </w:p>
        </w:tc>
        <w:tc>
          <w:tcPr>
            <w:tcW w:w="104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0.001799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跌死马村</w:t>
            </w:r>
          </w:p>
        </w:tc>
        <w:tc>
          <w:tcPr>
            <w:tcW w:w="13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1.0283</w:t>
            </w:r>
          </w:p>
        </w:tc>
        <w:tc>
          <w:tcPr>
            <w:tcW w:w="13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0.007447</w:t>
            </w:r>
          </w:p>
        </w:tc>
        <w:tc>
          <w:tcPr>
            <w:tcW w:w="11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0.005958</w:t>
            </w:r>
          </w:p>
        </w:tc>
        <w:tc>
          <w:tcPr>
            <w:tcW w:w="106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0.004965</w:t>
            </w:r>
          </w:p>
        </w:tc>
        <w:tc>
          <w:tcPr>
            <w:tcW w:w="100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1.1543</w:t>
            </w:r>
          </w:p>
        </w:tc>
        <w:tc>
          <w:tcPr>
            <w:tcW w:w="10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0.000031</w:t>
            </w:r>
          </w:p>
        </w:tc>
        <w:tc>
          <w:tcPr>
            <w:tcW w:w="104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0.001539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小水井村</w:t>
            </w:r>
          </w:p>
        </w:tc>
        <w:tc>
          <w:tcPr>
            <w:tcW w:w="13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0.6525</w:t>
            </w:r>
          </w:p>
        </w:tc>
        <w:tc>
          <w:tcPr>
            <w:tcW w:w="13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0.005742</w:t>
            </w:r>
          </w:p>
        </w:tc>
        <w:tc>
          <w:tcPr>
            <w:tcW w:w="11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0.004593</w:t>
            </w:r>
          </w:p>
        </w:tc>
        <w:tc>
          <w:tcPr>
            <w:tcW w:w="106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0.003828</w:t>
            </w:r>
          </w:p>
        </w:tc>
        <w:tc>
          <w:tcPr>
            <w:tcW w:w="100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1.0172</w:t>
            </w:r>
          </w:p>
        </w:tc>
        <w:tc>
          <w:tcPr>
            <w:tcW w:w="10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0.000027</w:t>
            </w:r>
          </w:p>
        </w:tc>
        <w:tc>
          <w:tcPr>
            <w:tcW w:w="104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利梨作村</w:t>
            </w:r>
          </w:p>
        </w:tc>
        <w:tc>
          <w:tcPr>
            <w:tcW w:w="13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0.63654</w:t>
            </w:r>
          </w:p>
        </w:tc>
        <w:tc>
          <w:tcPr>
            <w:tcW w:w="13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0.005646</w:t>
            </w:r>
          </w:p>
        </w:tc>
        <w:tc>
          <w:tcPr>
            <w:tcW w:w="11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0.004517</w:t>
            </w:r>
          </w:p>
        </w:tc>
        <w:tc>
          <w:tcPr>
            <w:tcW w:w="106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0.003764</w:t>
            </w:r>
          </w:p>
        </w:tc>
        <w:tc>
          <w:tcPr>
            <w:tcW w:w="100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0.99604</w:t>
            </w:r>
          </w:p>
        </w:tc>
        <w:tc>
          <w:tcPr>
            <w:tcW w:w="10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0.000027</w:t>
            </w:r>
          </w:p>
        </w:tc>
        <w:tc>
          <w:tcPr>
            <w:tcW w:w="104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上魏家村</w:t>
            </w:r>
          </w:p>
        </w:tc>
        <w:tc>
          <w:tcPr>
            <w:tcW w:w="13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0.56766</w:t>
            </w:r>
          </w:p>
        </w:tc>
        <w:tc>
          <w:tcPr>
            <w:tcW w:w="13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0.005186</w:t>
            </w:r>
          </w:p>
        </w:tc>
        <w:tc>
          <w:tcPr>
            <w:tcW w:w="11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0.004149</w:t>
            </w:r>
          </w:p>
        </w:tc>
        <w:tc>
          <w:tcPr>
            <w:tcW w:w="106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0.003457</w:t>
            </w:r>
          </w:p>
        </w:tc>
        <w:tc>
          <w:tcPr>
            <w:tcW w:w="100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0.9011</w:t>
            </w:r>
          </w:p>
        </w:tc>
        <w:tc>
          <w:tcPr>
            <w:tcW w:w="10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0.000024</w:t>
            </w:r>
          </w:p>
        </w:tc>
        <w:tc>
          <w:tcPr>
            <w:tcW w:w="104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草海田村</w:t>
            </w:r>
          </w:p>
        </w:tc>
        <w:tc>
          <w:tcPr>
            <w:tcW w:w="13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0.51595</w:t>
            </w:r>
          </w:p>
        </w:tc>
        <w:tc>
          <w:tcPr>
            <w:tcW w:w="13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0.004802</w:t>
            </w:r>
          </w:p>
        </w:tc>
        <w:tc>
          <w:tcPr>
            <w:tcW w:w="11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0.003841</w:t>
            </w:r>
          </w:p>
        </w:tc>
        <w:tc>
          <w:tcPr>
            <w:tcW w:w="106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0.003201</w:t>
            </w:r>
          </w:p>
        </w:tc>
        <w:tc>
          <w:tcPr>
            <w:tcW w:w="100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0.83114</w:t>
            </w:r>
          </w:p>
        </w:tc>
        <w:tc>
          <w:tcPr>
            <w:tcW w:w="10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0.000022</w:t>
            </w:r>
          </w:p>
        </w:tc>
        <w:tc>
          <w:tcPr>
            <w:tcW w:w="104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当当箐村</w:t>
            </w:r>
          </w:p>
        </w:tc>
        <w:tc>
          <w:tcPr>
            <w:tcW w:w="13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0.50192</w:t>
            </w:r>
          </w:p>
        </w:tc>
        <w:tc>
          <w:tcPr>
            <w:tcW w:w="13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0.004695</w:t>
            </w:r>
          </w:p>
        </w:tc>
        <w:tc>
          <w:tcPr>
            <w:tcW w:w="11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0.003756</w:t>
            </w:r>
          </w:p>
        </w:tc>
        <w:tc>
          <w:tcPr>
            <w:tcW w:w="106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0.00313</w:t>
            </w:r>
          </w:p>
        </w:tc>
        <w:tc>
          <w:tcPr>
            <w:tcW w:w="100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0.8139</w:t>
            </w:r>
          </w:p>
        </w:tc>
        <w:tc>
          <w:tcPr>
            <w:tcW w:w="10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0.000022</w:t>
            </w:r>
          </w:p>
        </w:tc>
        <w:tc>
          <w:tcPr>
            <w:tcW w:w="104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散旦镇</w:t>
            </w:r>
          </w:p>
        </w:tc>
        <w:tc>
          <w:tcPr>
            <w:tcW w:w="13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0.44735</w:t>
            </w:r>
          </w:p>
        </w:tc>
        <w:tc>
          <w:tcPr>
            <w:tcW w:w="13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0.004303</w:t>
            </w:r>
          </w:p>
        </w:tc>
        <w:tc>
          <w:tcPr>
            <w:tcW w:w="11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0.003442</w:t>
            </w:r>
          </w:p>
        </w:tc>
        <w:tc>
          <w:tcPr>
            <w:tcW w:w="106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0.002868</w:t>
            </w:r>
          </w:p>
        </w:tc>
        <w:tc>
          <w:tcPr>
            <w:tcW w:w="100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0.7449</w:t>
            </w:r>
          </w:p>
        </w:tc>
        <w:tc>
          <w:tcPr>
            <w:tcW w:w="10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0.00002</w:t>
            </w:r>
          </w:p>
        </w:tc>
        <w:tc>
          <w:tcPr>
            <w:tcW w:w="104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vAlign w:val="center"/>
          </w:tcPr>
          <w:p>
            <w:pPr>
              <w:pStyle w:val="9"/>
              <w:keepNext w:val="0"/>
              <w:keepLines w:val="0"/>
              <w:framePr w:wrap="auto" w:vAnchor="margin" w:hAnchor="text" w:xAlign="left" w:yAlign="inline"/>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0"/>
                <w:lang w:val="en-US" w:eastAsia="zh-CN" w:bidi="ar-SA"/>
              </w:rPr>
            </w:pPr>
            <w:r>
              <w:rPr>
                <w:rFonts w:hint="eastAsia" w:ascii="Times New Roman" w:hAnsi="Times New Roman" w:eastAsia="宋体" w:cs="Times New Roman"/>
                <w:szCs w:val="20"/>
                <w:lang w:val="en-US" w:eastAsia="zh-CN"/>
              </w:rPr>
              <w:t>太平哨村</w:t>
            </w:r>
          </w:p>
        </w:tc>
        <w:tc>
          <w:tcPr>
            <w:tcW w:w="132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0.43191</w:t>
            </w:r>
          </w:p>
        </w:tc>
        <w:tc>
          <w:tcPr>
            <w:tcW w:w="1331"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0.004272</w:t>
            </w:r>
          </w:p>
        </w:tc>
        <w:tc>
          <w:tcPr>
            <w:tcW w:w="1117"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0.003418</w:t>
            </w:r>
          </w:p>
        </w:tc>
        <w:tc>
          <w:tcPr>
            <w:tcW w:w="1064"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0.002848</w:t>
            </w:r>
          </w:p>
        </w:tc>
        <w:tc>
          <w:tcPr>
            <w:tcW w:w="1002"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0.72465</w:t>
            </w:r>
          </w:p>
        </w:tc>
        <w:tc>
          <w:tcPr>
            <w:tcW w:w="1096"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0.000019</w:t>
            </w:r>
          </w:p>
        </w:tc>
        <w:tc>
          <w:tcPr>
            <w:tcW w:w="1049" w:type="dxa"/>
            <w:vAlign w:val="center"/>
          </w:tcPr>
          <w:p>
            <w:pPr>
              <w:pStyle w:val="9"/>
              <w:keepNext w:val="0"/>
              <w:keepLines w:val="0"/>
              <w:framePr w:wrap="auto" w:vAnchor="margin" w:hAnchor="text" w:xAlign="left" w:yAlign="inline"/>
              <w:widowControl/>
              <w:suppressLineNumbers w:val="0"/>
              <w:bidi w:val="0"/>
              <w:spacing w:before="0" w:beforeAutospacing="0" w:after="0" w:afterAutospacing="0"/>
              <w:ind w:left="0" w:right="0"/>
              <w:jc w:val="center"/>
              <w:rPr>
                <w:rFonts w:hint="eastAsia"/>
                <w:szCs w:val="20"/>
                <w:lang w:val="en-US" w:eastAsia="zh-CN"/>
              </w:rPr>
            </w:pPr>
            <w:r>
              <w:rPr>
                <w:rFonts w:hint="eastAsia"/>
                <w:szCs w:val="20"/>
              </w:rPr>
              <w:t>0.000966</w:t>
            </w:r>
          </w:p>
        </w:tc>
      </w:tr>
    </w:tbl>
    <w:p>
      <w:pPr>
        <w:bidi w:val="0"/>
        <w:rPr>
          <w:rFonts w:hint="eastAsia"/>
          <w:lang w:val="en-US" w:eastAsia="zh-CN"/>
        </w:rPr>
      </w:pPr>
      <w:r>
        <w:rPr>
          <w:rFonts w:hint="eastAsia"/>
          <w:lang w:val="en-US" w:eastAsia="zh-CN"/>
        </w:rPr>
        <w:t>根据估算结果，项目在各敏感点的落地浓度远远小于《环境空气质量标准》（GB3095-2012）二级标准和《大气污染物综合排放标准详解》中的限值要求，因此，本项目排放污染物不改变当地大气环境功能。对周边敏感点影响较小。</w:t>
      </w:r>
    </w:p>
    <w:p>
      <w:pPr>
        <w:bidi w:val="0"/>
        <w:rPr>
          <w:rFonts w:hint="default"/>
          <w:b/>
          <w:bCs/>
          <w:lang w:val="en-US" w:eastAsia="zh-CN"/>
        </w:rPr>
      </w:pPr>
      <w:r>
        <w:rPr>
          <w:rFonts w:hint="eastAsia"/>
          <w:b/>
          <w:bCs/>
          <w:lang w:val="en-US" w:eastAsia="zh-CN"/>
        </w:rPr>
        <w:t>3 大气环境防护距离</w:t>
      </w:r>
    </w:p>
    <w:p>
      <w:pPr>
        <w:bidi w:val="0"/>
        <w:rPr>
          <w:rFonts w:hint="eastAsia"/>
          <w:lang w:val="en-US" w:eastAsia="zh-CN"/>
        </w:rPr>
      </w:pPr>
      <w:r>
        <w:rPr>
          <w:rFonts w:hint="eastAsia"/>
          <w:lang w:val="en-US" w:eastAsia="zh-CN"/>
        </w:rPr>
        <w:t>根据《环境影响评级导则 大气环境》（HJ2.2-2018），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根据估算结果可知，项目废气计算在下风向评价范围内无超标点，不设大气防护距离。</w:t>
      </w:r>
    </w:p>
    <w:p>
      <w:pPr>
        <w:bidi w:val="0"/>
        <w:rPr>
          <w:rFonts w:hint="default"/>
          <w:b/>
          <w:bCs/>
          <w:lang w:val="en-US" w:eastAsia="zh-CN"/>
        </w:rPr>
      </w:pPr>
      <w:r>
        <w:rPr>
          <w:rFonts w:hint="eastAsia"/>
          <w:b/>
          <w:bCs/>
          <w:lang w:val="en-US" w:eastAsia="zh-CN"/>
        </w:rPr>
        <w:t>4 排气筒高度设置合理性分析</w:t>
      </w:r>
    </w:p>
    <w:p>
      <w:pPr>
        <w:bidi w:val="0"/>
        <w:rPr>
          <w:rFonts w:hint="eastAsia"/>
          <w:lang w:val="en-US" w:eastAsia="zh-CN"/>
        </w:rPr>
      </w:pPr>
      <w:r>
        <w:rPr>
          <w:rFonts w:hint="eastAsia"/>
          <w:lang w:val="en-US" w:eastAsia="zh-CN"/>
        </w:rPr>
        <w:t>项目共设3个排气筒，高度均为15m，排气筒半径200m周边均为空地，项目周围200m范围内无建筑物，本项目设置排气筒高度为15m，满足标准中最低15m要求。因此，项目排气筒的设置是合理可行的。</w:t>
      </w:r>
    </w:p>
    <w:p>
      <w:pPr>
        <w:bidi w:val="0"/>
        <w:rPr>
          <w:rFonts w:hint="default"/>
          <w:b/>
          <w:bCs/>
          <w:lang w:val="en-US" w:eastAsia="zh-CN"/>
        </w:rPr>
      </w:pPr>
      <w:r>
        <w:rPr>
          <w:rFonts w:hint="eastAsia"/>
          <w:b/>
          <w:bCs/>
          <w:lang w:val="en-US" w:eastAsia="zh-CN"/>
        </w:rPr>
        <w:t>5 大气环境影响评价结论</w:t>
      </w:r>
    </w:p>
    <w:p>
      <w:pPr>
        <w:bidi w:val="0"/>
        <w:rPr>
          <w:rFonts w:hint="default"/>
          <w:lang w:val="en-US" w:eastAsia="zh-CN"/>
        </w:rPr>
      </w:pPr>
      <w:r>
        <w:rPr>
          <w:rFonts w:hint="eastAsia"/>
          <w:lang w:val="en-US" w:eastAsia="zh-CN"/>
        </w:rPr>
        <w:t>（1）本项目污染源正常排放TSP、二氧化硫、氮氧化物、沥青烟、苯并[a]芘、非甲烷总烃浓度贡献值的最大值占标率＜100%；</w:t>
      </w:r>
    </w:p>
    <w:p>
      <w:pPr>
        <w:bidi w:val="0"/>
        <w:rPr>
          <w:rFonts w:hint="eastAsia"/>
          <w:lang w:val="en-US" w:eastAsia="zh-CN"/>
        </w:rPr>
        <w:sectPr>
          <w:pgSz w:w="11906" w:h="16838"/>
          <w:pgMar w:top="1531" w:right="1701" w:bottom="1531" w:left="1701" w:header="851" w:footer="851" w:gutter="0"/>
          <w:cols w:space="720" w:num="1"/>
          <w:docGrid w:linePitch="312" w:charSpace="0"/>
        </w:sectPr>
      </w:pPr>
      <w:r>
        <w:rPr>
          <w:rFonts w:hint="eastAsia"/>
          <w:lang w:val="en-US" w:eastAsia="zh-CN"/>
        </w:rPr>
        <w:t>（2）项目环境影响符合环境功能区划。项目TSP、二氧化硫、氮氧化物、沥青烟、苯并[a]芘、非甲烷总烃有组织和无组织排放污染物浓度符合环境质量标准，对各个环境敏感点影响较小，均满足环境功能区划的要求。</w:t>
      </w:r>
    </w:p>
    <w:p>
      <w:pPr>
        <w:spacing w:line="360" w:lineRule="auto"/>
        <w:rPr>
          <w:rFonts w:ascii="Times New Roman" w:hAnsi="Times New Roman"/>
          <w:b/>
          <w:bCs/>
          <w:sz w:val="24"/>
          <w:szCs w:val="24"/>
        </w:rPr>
      </w:pPr>
      <w:r>
        <w:rPr>
          <w:rFonts w:hint="eastAsia"/>
          <w:b/>
          <w:bCs/>
          <w:sz w:val="24"/>
          <w:szCs w:val="24"/>
          <w:lang w:val="en-US" w:eastAsia="zh-CN"/>
        </w:rPr>
        <w:t xml:space="preserve">6 </w:t>
      </w:r>
      <w:r>
        <w:rPr>
          <w:rFonts w:hint="eastAsia" w:ascii="Times New Roman" w:hAnsi="Times New Roman"/>
          <w:b/>
          <w:bCs/>
          <w:sz w:val="24"/>
          <w:szCs w:val="24"/>
        </w:rPr>
        <w:t>大气环境影响评价自查表</w:t>
      </w:r>
    </w:p>
    <w:p>
      <w:pPr>
        <w:pStyle w:val="11"/>
        <w:bidi w:val="0"/>
      </w:pPr>
      <w:r>
        <w:t>建设项目大气环境影响评价自查表</w:t>
      </w:r>
    </w:p>
    <w:tbl>
      <w:tblPr>
        <w:tblStyle w:val="6"/>
        <w:tblpPr w:leftFromText="180" w:rightFromText="180" w:vertAnchor="text" w:tblpXSpec="left" w:tblpY="1"/>
        <w:tblOverlap w:val="never"/>
        <w:tblW w:w="980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31"/>
        <w:gridCol w:w="1648"/>
        <w:gridCol w:w="1004"/>
        <w:gridCol w:w="164"/>
        <w:gridCol w:w="182"/>
        <w:gridCol w:w="256"/>
        <w:gridCol w:w="252"/>
        <w:gridCol w:w="173"/>
        <w:gridCol w:w="90"/>
        <w:gridCol w:w="869"/>
        <w:gridCol w:w="312"/>
        <w:gridCol w:w="610"/>
        <w:gridCol w:w="883"/>
        <w:gridCol w:w="80"/>
        <w:gridCol w:w="189"/>
        <w:gridCol w:w="39"/>
        <w:gridCol w:w="428"/>
        <w:gridCol w:w="362"/>
        <w:gridCol w:w="711"/>
        <w:gridCol w:w="6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2579"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工作内容</w:t>
            </w:r>
          </w:p>
        </w:tc>
        <w:tc>
          <w:tcPr>
            <w:tcW w:w="7223" w:type="dxa"/>
            <w:gridSpan w:val="1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自查项目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评价等级与范围</w:t>
            </w: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评价等级</w:t>
            </w:r>
          </w:p>
        </w:tc>
        <w:tc>
          <w:tcPr>
            <w:tcW w:w="2990"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一级</w:t>
            </w:r>
            <w:r>
              <w:rPr>
                <w:rFonts w:hint="eastAsia" w:ascii="Times New Roman" w:hAnsi="Times New Roman"/>
                <w:sz w:val="21"/>
                <w:szCs w:val="21"/>
                <w:lang w:eastAsia="zh-CN"/>
              </w:rPr>
              <w:t>□</w:t>
            </w:r>
          </w:p>
        </w:tc>
        <w:tc>
          <w:tcPr>
            <w:tcW w:w="2903"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二级</w:t>
            </w:r>
            <w:r>
              <w:rPr>
                <w:rFonts w:hint="eastAsia" w:ascii="Times New Roman" w:hAnsi="Times New Roman"/>
                <w:sz w:val="21"/>
                <w:szCs w:val="21"/>
                <w:lang w:eastAsia="zh-CN"/>
              </w:rPr>
              <w:t>☑</w:t>
            </w:r>
          </w:p>
        </w:tc>
        <w:tc>
          <w:tcPr>
            <w:tcW w:w="1330"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三级</w:t>
            </w:r>
            <w:r>
              <w:rPr>
                <w:rFonts w:hint="eastAsia" w:ascii="Times New Roman" w:hAnsi="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评价范围</w:t>
            </w:r>
          </w:p>
        </w:tc>
        <w:tc>
          <w:tcPr>
            <w:tcW w:w="2990"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边长=50km</w:t>
            </w:r>
            <w:r>
              <w:rPr>
                <w:rFonts w:hint="eastAsia" w:ascii="Times New Roman" w:hAnsi="Times New Roman"/>
                <w:sz w:val="21"/>
                <w:szCs w:val="21"/>
                <w:lang w:eastAsia="zh-CN"/>
              </w:rPr>
              <w:t>□</w:t>
            </w:r>
          </w:p>
        </w:tc>
        <w:tc>
          <w:tcPr>
            <w:tcW w:w="2903"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边长5</w:t>
            </w:r>
            <w:r>
              <w:rPr>
                <w:rFonts w:hint="eastAsia" w:ascii="Times New Roman" w:hAnsi="Times New Roman"/>
                <w:sz w:val="21"/>
                <w:szCs w:val="21"/>
                <w:lang w:val="en-US" w:eastAsia="zh-CN"/>
              </w:rPr>
              <w:t>~50</w:t>
            </w:r>
            <w:r>
              <w:rPr>
                <w:rFonts w:hint="default" w:ascii="Times New Roman" w:hAnsi="Times New Roman"/>
                <w:sz w:val="21"/>
                <w:szCs w:val="21"/>
              </w:rPr>
              <w:t>km</w:t>
            </w:r>
            <w:r>
              <w:rPr>
                <w:rFonts w:hint="eastAsia" w:ascii="Times New Roman" w:hAnsi="Times New Roman"/>
                <w:sz w:val="21"/>
                <w:szCs w:val="21"/>
                <w:lang w:eastAsia="zh-CN"/>
              </w:rPr>
              <w:t>□</w:t>
            </w:r>
          </w:p>
        </w:tc>
        <w:tc>
          <w:tcPr>
            <w:tcW w:w="1330"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边长=5km</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评价因子</w:t>
            </w: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SO</w:t>
            </w:r>
            <w:r>
              <w:rPr>
                <w:rFonts w:hint="default" w:ascii="Times New Roman" w:hAnsi="Times New Roman"/>
                <w:sz w:val="21"/>
                <w:szCs w:val="21"/>
                <w:vertAlign w:val="subscript"/>
              </w:rPr>
              <w:t xml:space="preserve">2 </w:t>
            </w:r>
            <w:r>
              <w:rPr>
                <w:rFonts w:hint="default" w:ascii="Times New Roman" w:hAnsi="Times New Roman"/>
                <w:sz w:val="21"/>
                <w:szCs w:val="21"/>
              </w:rPr>
              <w:t>+NO</w:t>
            </w:r>
            <w:r>
              <w:rPr>
                <w:rFonts w:hint="default" w:ascii="Times New Roman" w:hAnsi="Times New Roman"/>
                <w:i/>
                <w:sz w:val="21"/>
                <w:szCs w:val="21"/>
                <w:vertAlign w:val="subscript"/>
              </w:rPr>
              <w:t>x</w:t>
            </w:r>
            <w:r>
              <w:rPr>
                <w:rFonts w:hint="default" w:ascii="Times New Roman" w:hAnsi="Times New Roman"/>
                <w:sz w:val="21"/>
                <w:szCs w:val="21"/>
              </w:rPr>
              <w:t>排放量</w:t>
            </w:r>
          </w:p>
        </w:tc>
        <w:tc>
          <w:tcPr>
            <w:tcW w:w="2031" w:type="dxa"/>
            <w:gridSpan w:val="6"/>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 2000t/a</w:t>
            </w:r>
            <w:r>
              <w:rPr>
                <w:rFonts w:hint="eastAsia" w:ascii="Times New Roman" w:hAnsi="Times New Roman"/>
                <w:sz w:val="21"/>
                <w:szCs w:val="21"/>
              </w:rPr>
              <w:t>□</w:t>
            </w:r>
          </w:p>
        </w:tc>
        <w:tc>
          <w:tcPr>
            <w:tcW w:w="3862" w:type="dxa"/>
            <w:gridSpan w:val="10"/>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500 ~ 2000t/a</w:t>
            </w:r>
            <w:r>
              <w:rPr>
                <w:rFonts w:hint="eastAsia" w:ascii="Times New Roman" w:hAnsi="Times New Roman"/>
                <w:sz w:val="21"/>
                <w:szCs w:val="21"/>
              </w:rPr>
              <w:t>□</w:t>
            </w:r>
          </w:p>
        </w:tc>
        <w:tc>
          <w:tcPr>
            <w:tcW w:w="1330"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＜500 t/a</w:t>
            </w:r>
            <w:r>
              <w:rPr>
                <w:rFonts w:hint="eastAsia" w:ascii="Times New Roman" w:hAnsi="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评价因子</w:t>
            </w:r>
          </w:p>
        </w:tc>
        <w:tc>
          <w:tcPr>
            <w:tcW w:w="3912" w:type="dxa"/>
            <w:gridSpan w:val="10"/>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ascii="Times New Roman" w:hAnsi="Times New Roman" w:eastAsia="宋体"/>
                <w:sz w:val="21"/>
                <w:szCs w:val="21"/>
                <w:lang w:val="en-US" w:eastAsia="zh-CN"/>
              </w:rPr>
            </w:pPr>
          </w:p>
        </w:tc>
        <w:tc>
          <w:tcPr>
            <w:tcW w:w="3311"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ascii="Times New Roman" w:hAnsi="Times New Roman"/>
                <w:sz w:val="21"/>
                <w:szCs w:val="21"/>
              </w:rPr>
            </w:pPr>
            <w:r>
              <w:rPr>
                <w:rFonts w:hint="default" w:ascii="Times New Roman" w:hAnsi="Times New Roman"/>
                <w:sz w:val="21"/>
                <w:szCs w:val="21"/>
              </w:rPr>
              <w:t>包括二次PM</w:t>
            </w:r>
            <w:r>
              <w:rPr>
                <w:rFonts w:hint="default" w:ascii="Times New Roman" w:hAnsi="Times New Roman"/>
                <w:sz w:val="21"/>
                <w:szCs w:val="21"/>
                <w:vertAlign w:val="subscript"/>
              </w:rPr>
              <w:t>2.5</w:t>
            </w:r>
            <w:r>
              <w:rPr>
                <w:rFonts w:hint="eastAsia" w:ascii="Times New Roman" w:hAnsi="Times New Roman"/>
                <w:sz w:val="21"/>
                <w:szCs w:val="21"/>
                <w:lang w:eastAsia="zh-CN"/>
              </w:rPr>
              <w:t>□</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ascii="Times New Roman" w:hAnsi="Times New Roman"/>
                <w:sz w:val="21"/>
                <w:szCs w:val="21"/>
              </w:rPr>
            </w:pPr>
            <w:r>
              <w:rPr>
                <w:rFonts w:hint="default" w:ascii="Times New Roman" w:hAnsi="Times New Roman"/>
                <w:sz w:val="21"/>
                <w:szCs w:val="21"/>
              </w:rPr>
              <w:t>不包括二次PM</w:t>
            </w:r>
            <w:r>
              <w:rPr>
                <w:rFonts w:hint="default" w:ascii="Times New Roman" w:hAnsi="Times New Roman"/>
                <w:sz w:val="21"/>
                <w:szCs w:val="21"/>
                <w:vertAlign w:val="subscript"/>
              </w:rPr>
              <w:t>2.5</w:t>
            </w:r>
            <w:r>
              <w:rPr>
                <w:rFonts w:hint="eastAsia" w:ascii="Times New Roman" w:hAnsi="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评价标准</w:t>
            </w: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评价标准</w:t>
            </w:r>
          </w:p>
        </w:tc>
        <w:tc>
          <w:tcPr>
            <w:tcW w:w="2121" w:type="dxa"/>
            <w:gridSpan w:val="7"/>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国家标准</w:t>
            </w:r>
            <w:r>
              <w:rPr>
                <w:rFonts w:hint="eastAsia" w:ascii="Times New Roman" w:hAnsi="Times New Roman"/>
                <w:sz w:val="21"/>
                <w:szCs w:val="21"/>
                <w:lang w:eastAsia="zh-CN"/>
              </w:rPr>
              <w:t>☑</w:t>
            </w:r>
          </w:p>
        </w:tc>
        <w:tc>
          <w:tcPr>
            <w:tcW w:w="1791" w:type="dxa"/>
            <w:gridSpan w:val="3"/>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地方标准</w:t>
            </w:r>
            <w:r>
              <w:rPr>
                <w:rFonts w:hint="eastAsia"/>
                <w:sz w:val="21"/>
                <w:szCs w:val="21"/>
                <w:lang w:eastAsia="zh-CN"/>
              </w:rPr>
              <w:t>□</w:t>
            </w:r>
          </w:p>
        </w:tc>
        <w:tc>
          <w:tcPr>
            <w:tcW w:w="1619" w:type="dxa"/>
            <w:gridSpan w:val="5"/>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ascii="Times New Roman" w:hAnsi="Times New Roman" w:eastAsia="宋体"/>
                <w:sz w:val="21"/>
                <w:szCs w:val="21"/>
                <w:lang w:eastAsia="zh-CN"/>
              </w:rPr>
            </w:pPr>
            <w:r>
              <w:rPr>
                <w:rFonts w:hint="default" w:ascii="Times New Roman" w:hAnsi="Times New Roman"/>
                <w:sz w:val="21"/>
                <w:szCs w:val="21"/>
              </w:rPr>
              <w:t>附录D</w:t>
            </w:r>
            <w:r>
              <w:rPr>
                <w:rFonts w:hint="eastAsia" w:ascii="Times New Roman" w:hAnsi="Times New Roman"/>
                <w:sz w:val="21"/>
                <w:szCs w:val="21"/>
                <w:lang w:eastAsia="zh-CN"/>
              </w:rPr>
              <w:t>☑</w:t>
            </w:r>
          </w:p>
        </w:tc>
        <w:tc>
          <w:tcPr>
            <w:tcW w:w="1692" w:type="dxa"/>
            <w:gridSpan w:val="3"/>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ascii="Times New Roman" w:hAnsi="Times New Roman" w:eastAsia="宋体"/>
                <w:sz w:val="21"/>
                <w:szCs w:val="21"/>
                <w:lang w:eastAsia="zh-CN"/>
              </w:rPr>
            </w:pPr>
            <w:r>
              <w:rPr>
                <w:rFonts w:hint="default" w:ascii="Times New Roman" w:hAnsi="Times New Roman"/>
                <w:sz w:val="21"/>
                <w:szCs w:val="21"/>
              </w:rPr>
              <w:t>其他标准</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现状评价</w:t>
            </w: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环境功能区</w:t>
            </w:r>
          </w:p>
        </w:tc>
        <w:tc>
          <w:tcPr>
            <w:tcW w:w="2121" w:type="dxa"/>
            <w:gridSpan w:val="7"/>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一类区</w:t>
            </w:r>
            <w:r>
              <w:rPr>
                <w:rFonts w:hint="eastAsia" w:ascii="Times New Roman" w:hAnsi="Times New Roman"/>
                <w:sz w:val="21"/>
                <w:szCs w:val="21"/>
              </w:rPr>
              <w:t>□</w:t>
            </w:r>
          </w:p>
        </w:tc>
        <w:tc>
          <w:tcPr>
            <w:tcW w:w="2943" w:type="dxa"/>
            <w:gridSpan w:val="6"/>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二类区☑</w:t>
            </w:r>
          </w:p>
        </w:tc>
        <w:tc>
          <w:tcPr>
            <w:tcW w:w="2159" w:type="dxa"/>
            <w:gridSpan w:val="5"/>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一类区和二类区</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评价基准年</w:t>
            </w:r>
          </w:p>
        </w:tc>
        <w:tc>
          <w:tcPr>
            <w:tcW w:w="7223" w:type="dxa"/>
            <w:gridSpan w:val="1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default" w:ascii="Times New Roman" w:hAnsi="Times New Roman"/>
                <w:sz w:val="21"/>
                <w:szCs w:val="21"/>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环境空气质量现状调查数据来源</w:t>
            </w:r>
          </w:p>
        </w:tc>
        <w:tc>
          <w:tcPr>
            <w:tcW w:w="2121" w:type="dxa"/>
            <w:gridSpan w:val="7"/>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长期例行监测数据</w:t>
            </w:r>
            <w:r>
              <w:rPr>
                <w:rFonts w:hint="eastAsia" w:ascii="Times New Roman" w:hAnsi="Times New Roman"/>
                <w:sz w:val="21"/>
                <w:szCs w:val="21"/>
              </w:rPr>
              <w:t>□</w:t>
            </w:r>
          </w:p>
        </w:tc>
        <w:tc>
          <w:tcPr>
            <w:tcW w:w="3410"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主管部门发布的数据</w:t>
            </w:r>
            <w:r>
              <w:rPr>
                <w:rFonts w:hint="eastAsia"/>
                <w:sz w:val="21"/>
                <w:szCs w:val="21"/>
                <w:lang w:eastAsia="zh-CN"/>
              </w:rPr>
              <w:t>☑</w:t>
            </w:r>
          </w:p>
        </w:tc>
        <w:tc>
          <w:tcPr>
            <w:tcW w:w="1692" w:type="dxa"/>
            <w:gridSpan w:val="3"/>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现状补充监测</w:t>
            </w:r>
            <w:r>
              <w:rPr>
                <w:rFonts w:hint="eastAsia" w:ascii="Times New Roman" w:hAnsi="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现状评价</w:t>
            </w:r>
          </w:p>
        </w:tc>
        <w:tc>
          <w:tcPr>
            <w:tcW w:w="3912" w:type="dxa"/>
            <w:gridSpan w:val="10"/>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达标区</w:t>
            </w:r>
            <w:r>
              <w:rPr>
                <w:rFonts w:hint="eastAsia" w:ascii="Times New Roman" w:hAnsi="Times New Roman"/>
                <w:sz w:val="21"/>
                <w:szCs w:val="21"/>
                <w:lang w:eastAsia="zh-CN"/>
              </w:rPr>
              <w:t>☑</w:t>
            </w:r>
          </w:p>
        </w:tc>
        <w:tc>
          <w:tcPr>
            <w:tcW w:w="3311"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不达标区</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污染源调查</w:t>
            </w: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调查内容</w:t>
            </w:r>
          </w:p>
        </w:tc>
        <w:tc>
          <w:tcPr>
            <w:tcW w:w="2121" w:type="dxa"/>
            <w:gridSpan w:val="7"/>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ascii="Times New Roman" w:hAnsi="Times New Roman" w:eastAsia="宋体"/>
                <w:sz w:val="21"/>
                <w:szCs w:val="21"/>
                <w:lang w:eastAsia="zh-CN"/>
              </w:rPr>
            </w:pPr>
            <w:r>
              <w:rPr>
                <w:rFonts w:hint="default" w:ascii="Times New Roman" w:hAnsi="Times New Roman"/>
                <w:sz w:val="21"/>
                <w:szCs w:val="21"/>
              </w:rPr>
              <w:t xml:space="preserve">本项目正常排放源   </w:t>
            </w:r>
            <w:r>
              <w:rPr>
                <w:rFonts w:hint="eastAsia" w:ascii="Times New Roman" w:hAnsi="Times New Roman"/>
                <w:sz w:val="21"/>
                <w:szCs w:val="21"/>
                <w:lang w:eastAsia="zh-CN"/>
              </w:rPr>
              <w:t>☑</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ascii="Times New Roman" w:hAnsi="Times New Roman" w:eastAsia="宋体"/>
                <w:sz w:val="21"/>
                <w:szCs w:val="21"/>
                <w:lang w:eastAsia="zh-CN"/>
              </w:rPr>
            </w:pPr>
            <w:r>
              <w:rPr>
                <w:rFonts w:hint="default" w:ascii="Times New Roman" w:hAnsi="Times New Roman"/>
                <w:sz w:val="21"/>
                <w:szCs w:val="21"/>
              </w:rPr>
              <w:t xml:space="preserve">本项目非正常排放源 </w:t>
            </w:r>
            <w:r>
              <w:rPr>
                <w:rFonts w:hint="eastAsia" w:ascii="Times New Roman" w:hAnsi="Times New Roman"/>
                <w:sz w:val="21"/>
                <w:szCs w:val="21"/>
                <w:lang w:eastAsia="zh-CN"/>
              </w:rPr>
              <w:t>☑</w:t>
            </w:r>
          </w:p>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eastAsia" w:ascii="Times New Roman" w:hAnsi="Times New Roman" w:eastAsia="宋体"/>
                <w:sz w:val="21"/>
                <w:szCs w:val="21"/>
                <w:lang w:eastAsia="zh-CN"/>
              </w:rPr>
            </w:pPr>
            <w:r>
              <w:rPr>
                <w:rFonts w:hint="default" w:ascii="Times New Roman" w:hAnsi="Times New Roman"/>
                <w:sz w:val="21"/>
                <w:szCs w:val="21"/>
              </w:rPr>
              <w:t xml:space="preserve">现有污染源         </w:t>
            </w:r>
            <w:r>
              <w:rPr>
                <w:rFonts w:hint="eastAsia" w:ascii="Times New Roman" w:hAnsi="Times New Roman"/>
                <w:sz w:val="21"/>
                <w:szCs w:val="21"/>
                <w:lang w:eastAsia="zh-CN"/>
              </w:rPr>
              <w:t>□</w:t>
            </w:r>
          </w:p>
        </w:tc>
        <w:tc>
          <w:tcPr>
            <w:tcW w:w="1791" w:type="dxa"/>
            <w:gridSpan w:val="3"/>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ascii="Times New Roman" w:hAnsi="Times New Roman"/>
                <w:sz w:val="21"/>
                <w:szCs w:val="21"/>
              </w:rPr>
            </w:pPr>
            <w:r>
              <w:rPr>
                <w:rFonts w:hint="default" w:ascii="Times New Roman" w:hAnsi="Times New Roman"/>
                <w:sz w:val="21"/>
                <w:szCs w:val="21"/>
              </w:rPr>
              <w:t>拟替代的污染源</w:t>
            </w:r>
            <w:r>
              <w:rPr>
                <w:rFonts w:hint="eastAsia" w:ascii="Times New Roman" w:hAnsi="Times New Roman"/>
                <w:sz w:val="21"/>
                <w:szCs w:val="21"/>
              </w:rPr>
              <w:t>□</w:t>
            </w:r>
          </w:p>
        </w:tc>
        <w:tc>
          <w:tcPr>
            <w:tcW w:w="1981" w:type="dxa"/>
            <w:gridSpan w:val="6"/>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ascii="Times New Roman" w:hAnsi="Times New Roman"/>
                <w:sz w:val="21"/>
                <w:szCs w:val="21"/>
              </w:rPr>
            </w:pPr>
            <w:r>
              <w:rPr>
                <w:rFonts w:hint="default" w:ascii="Times New Roman" w:hAnsi="Times New Roman"/>
                <w:sz w:val="21"/>
                <w:szCs w:val="21"/>
              </w:rPr>
              <w:t>其他在建、拟建项目污染源</w:t>
            </w:r>
            <w:r>
              <w:rPr>
                <w:rFonts w:hint="eastAsia" w:ascii="Times New Roman" w:hAnsi="Times New Roman"/>
                <w:sz w:val="21"/>
                <w:szCs w:val="21"/>
              </w:rPr>
              <w:t>□</w:t>
            </w:r>
          </w:p>
        </w:tc>
        <w:tc>
          <w:tcPr>
            <w:tcW w:w="1330"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both"/>
              <w:rPr>
                <w:rFonts w:hint="default" w:ascii="Times New Roman" w:hAnsi="Times New Roman"/>
                <w:sz w:val="21"/>
                <w:szCs w:val="21"/>
              </w:rPr>
            </w:pPr>
            <w:r>
              <w:rPr>
                <w:rFonts w:hint="default" w:ascii="Times New Roman" w:hAnsi="Times New Roman"/>
                <w:sz w:val="21"/>
                <w:szCs w:val="21"/>
              </w:rPr>
              <w:t>区域污染源</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大气环境影响预测与评价</w:t>
            </w: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预测模型</w:t>
            </w:r>
          </w:p>
        </w:tc>
        <w:tc>
          <w:tcPr>
            <w:tcW w:w="1004"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AERMOD</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eastAsia" w:ascii="Times New Roman" w:hAnsi="Times New Roman"/>
                <w:sz w:val="21"/>
                <w:szCs w:val="21"/>
              </w:rPr>
              <w:t>□</w:t>
            </w:r>
          </w:p>
        </w:tc>
        <w:tc>
          <w:tcPr>
            <w:tcW w:w="854" w:type="dxa"/>
            <w:gridSpan w:val="4"/>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ADMS</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eastAsia" w:ascii="Times New Roman" w:hAnsi="Times New Roman"/>
                <w:sz w:val="21"/>
                <w:szCs w:val="21"/>
              </w:rPr>
              <w:t>□</w:t>
            </w:r>
          </w:p>
        </w:tc>
        <w:tc>
          <w:tcPr>
            <w:tcW w:w="1444" w:type="dxa"/>
            <w:gridSpan w:val="4"/>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AUSTAL2000</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eastAsia" w:ascii="Times New Roman" w:hAnsi="Times New Roman"/>
                <w:sz w:val="21"/>
                <w:szCs w:val="21"/>
              </w:rPr>
              <w:t>□</w:t>
            </w:r>
          </w:p>
        </w:tc>
        <w:tc>
          <w:tcPr>
            <w:tcW w:w="1493"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EDMS/AEDT</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eastAsia" w:ascii="Times New Roman" w:hAnsi="Times New Roman"/>
                <w:sz w:val="21"/>
                <w:szCs w:val="21"/>
              </w:rPr>
              <w:t>□</w:t>
            </w:r>
          </w:p>
        </w:tc>
        <w:tc>
          <w:tcPr>
            <w:tcW w:w="1098" w:type="dxa"/>
            <w:gridSpan w:val="5"/>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CALPUFF</w:t>
            </w:r>
            <w:r>
              <w:rPr>
                <w:rFonts w:hint="eastAsia" w:ascii="Times New Roman" w:hAnsi="Times New Roman"/>
                <w:sz w:val="21"/>
                <w:szCs w:val="21"/>
              </w:rPr>
              <w:t>□</w:t>
            </w:r>
          </w:p>
        </w:tc>
        <w:tc>
          <w:tcPr>
            <w:tcW w:w="711"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网格模型</w:t>
            </w:r>
            <w:r>
              <w:rPr>
                <w:rFonts w:hint="eastAsia" w:ascii="Times New Roman" w:hAnsi="Times New Roman"/>
                <w:sz w:val="21"/>
                <w:szCs w:val="21"/>
              </w:rPr>
              <w:t>□</w:t>
            </w:r>
          </w:p>
        </w:tc>
        <w:tc>
          <w:tcPr>
            <w:tcW w:w="619"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其他</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eastAsia" w:ascii="Times New Roman" w:hAnsi="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预测范围</w:t>
            </w:r>
          </w:p>
        </w:tc>
        <w:tc>
          <w:tcPr>
            <w:tcW w:w="1858" w:type="dxa"/>
            <w:gridSpan w:val="5"/>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边长≥50km</w:t>
            </w:r>
            <w:r>
              <w:rPr>
                <w:rFonts w:hint="eastAsia" w:ascii="Times New Roman" w:hAnsi="Times New Roman"/>
                <w:sz w:val="21"/>
                <w:szCs w:val="21"/>
              </w:rPr>
              <w:t>□</w:t>
            </w:r>
          </w:p>
        </w:tc>
        <w:tc>
          <w:tcPr>
            <w:tcW w:w="4035" w:type="dxa"/>
            <w:gridSpan w:val="11"/>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边长5～50km</w:t>
            </w:r>
            <w:r>
              <w:rPr>
                <w:rFonts w:hint="eastAsia" w:ascii="Times New Roman" w:hAnsi="Times New Roman"/>
                <w:sz w:val="21"/>
                <w:szCs w:val="21"/>
              </w:rPr>
              <w:t>□</w:t>
            </w:r>
          </w:p>
        </w:tc>
        <w:tc>
          <w:tcPr>
            <w:tcW w:w="1330"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边长=5km</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预测因子</w:t>
            </w:r>
          </w:p>
        </w:tc>
        <w:tc>
          <w:tcPr>
            <w:tcW w:w="3912" w:type="dxa"/>
            <w:gridSpan w:val="10"/>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预测因子</w:t>
            </w:r>
            <w:r>
              <w:rPr>
                <w:rFonts w:hint="eastAsia" w:ascii="Times New Roman" w:hAnsi="Times New Roman"/>
                <w:sz w:val="21"/>
                <w:szCs w:val="21"/>
              </w:rPr>
              <w:t>（</w:t>
            </w:r>
            <w:r>
              <w:rPr>
                <w:rFonts w:hint="eastAsia" w:ascii="Times New Roman" w:hAnsi="Times New Roman"/>
                <w:sz w:val="21"/>
                <w:szCs w:val="21"/>
                <w:lang w:val="en-US" w:eastAsia="zh-CN"/>
              </w:rPr>
              <w:t>TSP、二氧化硫、氮氧化物、沥青烟、苯并[a]芘、非甲烷总烃</w:t>
            </w:r>
            <w:r>
              <w:rPr>
                <w:rFonts w:hint="eastAsia" w:ascii="Times New Roman" w:hAnsi="Times New Roman"/>
                <w:sz w:val="21"/>
                <w:szCs w:val="21"/>
              </w:rPr>
              <w:t>）</w:t>
            </w:r>
          </w:p>
        </w:tc>
        <w:tc>
          <w:tcPr>
            <w:tcW w:w="3311"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631" w:rightChars="263"/>
              <w:jc w:val="right"/>
              <w:rPr>
                <w:rFonts w:hint="default" w:ascii="Times New Roman" w:hAnsi="Times New Roman"/>
                <w:sz w:val="21"/>
                <w:szCs w:val="21"/>
              </w:rPr>
            </w:pPr>
            <w:r>
              <w:rPr>
                <w:rFonts w:hint="default" w:ascii="Times New Roman" w:hAnsi="Times New Roman"/>
                <w:sz w:val="21"/>
                <w:szCs w:val="21"/>
              </w:rPr>
              <w:t>包括二次PM</w:t>
            </w:r>
            <w:r>
              <w:rPr>
                <w:rFonts w:hint="default" w:ascii="Times New Roman" w:hAnsi="Times New Roman"/>
                <w:sz w:val="21"/>
                <w:szCs w:val="21"/>
                <w:vertAlign w:val="subscript"/>
              </w:rPr>
              <w:t>2.5</w:t>
            </w:r>
            <w:r>
              <w:rPr>
                <w:rFonts w:hint="eastAsia" w:ascii="Times New Roman" w:hAnsi="Times New Roman"/>
                <w:sz w:val="21"/>
                <w:szCs w:val="21"/>
              </w:rPr>
              <w:t>□</w:t>
            </w:r>
          </w:p>
          <w:p>
            <w:pPr>
              <w:pStyle w:val="9"/>
              <w:keepNext w:val="0"/>
              <w:keepLines w:val="0"/>
              <w:framePr w:wrap="auto" w:vAnchor="margin" w:hAnchor="text" w:xAlign="left" w:yAlign="inline"/>
              <w:widowControl/>
              <w:suppressLineNumbers w:val="0"/>
              <w:spacing w:before="0" w:beforeAutospacing="0" w:after="0" w:afterAutospacing="0"/>
              <w:ind w:left="0" w:right="631" w:rightChars="263"/>
              <w:jc w:val="right"/>
              <w:rPr>
                <w:rFonts w:hint="eastAsia" w:ascii="Times New Roman" w:hAnsi="Times New Roman" w:eastAsia="宋体"/>
                <w:sz w:val="21"/>
                <w:szCs w:val="21"/>
                <w:lang w:eastAsia="zh-CN"/>
              </w:rPr>
            </w:pPr>
            <w:r>
              <w:rPr>
                <w:rFonts w:hint="default" w:ascii="Times New Roman" w:hAnsi="Times New Roman"/>
                <w:sz w:val="21"/>
                <w:szCs w:val="21"/>
              </w:rPr>
              <w:t>不包括二次PM</w:t>
            </w:r>
            <w:r>
              <w:rPr>
                <w:rFonts w:hint="default" w:ascii="Times New Roman" w:hAnsi="Times New Roman"/>
                <w:sz w:val="21"/>
                <w:szCs w:val="21"/>
                <w:vertAlign w:val="subscript"/>
              </w:rPr>
              <w:t>2.5</w:t>
            </w:r>
            <w:r>
              <w:rPr>
                <w:rFonts w:hint="eastAsia" w:ascii="Times New Roman" w:hAnsi="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正常排放短期浓度贡献值</w:t>
            </w:r>
          </w:p>
        </w:tc>
        <w:tc>
          <w:tcPr>
            <w:tcW w:w="3912" w:type="dxa"/>
            <w:gridSpan w:val="10"/>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i/>
                <w:sz w:val="21"/>
                <w:szCs w:val="21"/>
              </w:rPr>
              <w:fldChar w:fldCharType="begin"/>
            </w:r>
            <w:r>
              <w:rPr>
                <w:rFonts w:hint="default" w:ascii="Times New Roman" w:hAnsi="Times New Roman"/>
                <w:i/>
                <w:sz w:val="21"/>
                <w:szCs w:val="21"/>
              </w:rPr>
              <w:instrText xml:space="preserve"> QUOTE </w:instrText>
            </w:r>
            <w:r>
              <w:rPr>
                <w:rFonts w:hint="default" w:ascii="Times New Roman" w:hAnsi="Times New Roman"/>
                <w:i/>
                <w:sz w:val="21"/>
                <w:szCs w:val="21"/>
              </w:rPr>
              <w:pict>
                <v:shape id="_x0000_i1026" o:spt="75" type="#_x0000_t75" style="height:31.5pt;width:468pt;" filled="f" o:preferrelative="t" stroked="f" coordsize="21600,21600"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105&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i/&gt;&lt;w:color w:val=&quot;000000&quot;/&gt;&lt;/w:rPr&gt;&lt;/m:ctrlPr&gt;&lt;/m:sSubPr&gt;&lt;m:e&gt;&lt;m:r&gt;&lt;w:rPr&gt;&lt;w:rFonts w:ascii=&quot;Cambria Math&quot; w:h-ansi=&quot;Cambria Math&quot; w:hint=&quot;default&quot;/&gt;&lt;w:color w:val=&quot;000000&quot;/&gt;&lt;/w:rPr&gt;&lt;m:t&gt;C&lt;/m:t&gt;&lt;/m:r&gt;&lt;m:ctrlPr&gt;&lt;w:rPr&gt;&lt;w:rFonts w:ascii=&quot;Cambria Math&quot; w:h-ansi=&quot;Cambria Math&quot; w:hint=&quot;default&quot;/&gt;&lt;w:i/&gt;&lt;w:color w:val=&quot;000000&quot;/&gt;&lt;/w:rPr&gt;&lt;/m:ctrlPr&gt;&lt;/m:e&gt;&lt;m:sub&gt;&lt;m:r&gt;&lt;m:rPr&gt;&lt;m:sty m:val=&quot;p&quot;/&gt;&lt;/m:rPr&gt;&lt;w:rPr&gt;&lt;w:rFonts w:ascii=&quot;Cambria Math&quot; w:h-ansi=&quot;Cambria Math&quot; w:hint=&quot;fareast&quot;/&gt;&lt;w:color w:val=&quot;000000&quot;/&gt;&lt;/w:rPr&gt;&lt;m:t&gt;本项目&lt;/m:t&gt;&lt;/m:r&gt;&lt;m:ctrlPr&gt;&lt;w:rPr&gt;&lt;w:rFonts w:ascii=&quot;Cambria Math&quot; w:h-ansi=&quot;Cambria Math&quot; w:hint=&quot;default&quot;/&gt;&lt;w:i/&gt;&lt;w:color w:val=&quot;000000&quot;/&gt;&lt;/w:rPr&gt;&lt;/m:ctrlPr&gt;ii=&lt;/m:sub&gt;&lt;/m:sSub&gt;&lt;/m:oMath&gt;&lt;/m:oMathPara&gt;&lt;/w:p&gt;&lt;/wx:sect&gt;&lt;/w:body&gt;&lt;/w:wordDocument&gt;">
                  <v:path/>
                  <v:fill on="f" focussize="0,0"/>
                  <v:stroke on="f" joinstyle="miter"/>
                  <v:imagedata r:id="rId14" o:title=""/>
                  <o:lock v:ext="edit" aspectratio="f"/>
                  <w10:wrap type="none"/>
                  <w10:anchorlock/>
                </v:shape>
              </w:pict>
            </w:r>
            <w:r>
              <w:rPr>
                <w:rFonts w:hint="default" w:ascii="Times New Roman" w:hAnsi="Times New Roman"/>
                <w:i/>
                <w:sz w:val="21"/>
                <w:szCs w:val="21"/>
              </w:rPr>
              <w:instrText xml:space="preserve"> </w:instrText>
            </w:r>
            <w:r>
              <w:rPr>
                <w:rFonts w:hint="default" w:ascii="Times New Roman" w:hAnsi="Times New Roman"/>
                <w:i/>
                <w:sz w:val="21"/>
                <w:szCs w:val="21"/>
              </w:rPr>
              <w:fldChar w:fldCharType="separate"/>
            </w:r>
            <w:r>
              <w:rPr>
                <w:rFonts w:hint="default" w:ascii="Times New Roman" w:hAnsi="Times New Roman"/>
                <w:i/>
                <w:sz w:val="21"/>
                <w:szCs w:val="21"/>
              </w:rPr>
              <w:t>C</w:t>
            </w:r>
            <w:r>
              <w:rPr>
                <w:rFonts w:hint="default" w:ascii="Times New Roman" w:hAnsi="Times New Roman"/>
                <w:i/>
                <w:sz w:val="21"/>
                <w:szCs w:val="21"/>
                <w:vertAlign w:val="subscript"/>
              </w:rPr>
              <w:t>本项目</w:t>
            </w:r>
            <w:r>
              <w:rPr>
                <w:rFonts w:hint="default" w:ascii="Times New Roman" w:hAnsi="Times New Roman"/>
                <w:i/>
                <w:sz w:val="21"/>
                <w:szCs w:val="21"/>
              </w:rPr>
              <w:fldChar w:fldCharType="end"/>
            </w:r>
            <w:r>
              <w:rPr>
                <w:rFonts w:hint="default" w:ascii="Times New Roman" w:hAnsi="Times New Roman"/>
                <w:sz w:val="21"/>
                <w:szCs w:val="21"/>
              </w:rPr>
              <w:t>最大占标率≤100%</w:t>
            </w:r>
            <w:r>
              <w:rPr>
                <w:rFonts w:hint="eastAsia"/>
                <w:sz w:val="21"/>
                <w:szCs w:val="21"/>
                <w:lang w:eastAsia="zh-CN"/>
              </w:rPr>
              <w:t>□</w:t>
            </w:r>
          </w:p>
        </w:tc>
        <w:tc>
          <w:tcPr>
            <w:tcW w:w="3311"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i/>
                <w:sz w:val="21"/>
                <w:szCs w:val="21"/>
              </w:rPr>
              <w:fldChar w:fldCharType="begin"/>
            </w:r>
            <w:r>
              <w:rPr>
                <w:rFonts w:hint="default" w:ascii="Times New Roman" w:hAnsi="Times New Roman"/>
                <w:i/>
                <w:sz w:val="21"/>
                <w:szCs w:val="21"/>
              </w:rPr>
              <w:instrText xml:space="preserve"> QUOTE </w:instrText>
            </w:r>
            <w:r>
              <w:rPr>
                <w:rFonts w:hint="default" w:ascii="Times New Roman" w:hAnsi="Times New Roman"/>
                <w:i/>
                <w:sz w:val="21"/>
                <w:szCs w:val="21"/>
              </w:rPr>
              <w:pict>
                <v:shape id="_x0000_i1027" o:spt="75" type="#_x0000_t75" style="height:31.5pt;width:468pt;" filled="f" o:preferrelative="t" stroked="f" coordsize="21600,21600"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105&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i/&gt;&lt;w:color w:val=&quot;000000&quot;/&gt;&lt;/w:rPr&gt;&lt;/m:ctrlPr&gt;&lt;/m:sSubPr&gt;&lt;m:e&gt;&lt;m:r&gt;&lt;w:rPr&gt;&lt;w:rFonts w:ascii=&quot;Cambria Math&quot; w:h-ansi=&quot;Cambria Math&quot; w:hint=&quot;default&quot;/&gt;&lt;w:color w:val=&quot;000000&quot;/&gt;&lt;/w:rPr&gt;&lt;m:t&gt;C&lt;/m:t&gt;&lt;/m:r&gt;&lt;m:ctrlPr&gt;&lt;w:rPr&gt;&lt;w:rFonts w:ascii=&quot;Cambria Math&quot; w:h-ansi=&quot;Cambria Math&quot; w:hint=&quot;default&quot;/&gt;&lt;w:i/&gt;&lt;w:color w:val=&quot;000000&quot;/&gt;&lt;/w:rPr&gt;&lt;/m:ctrlPr&gt;&lt;/m:e&gt;&lt;m:sub&gt;&lt;m:r&gt;&lt;m:rPr&gt;&lt;m:sty m:val=&quot;p&quot;/&gt;&lt;/m:rPr&gt;&lt;w:rPr&gt;&lt;w:rFonts w:ascii=&quot;Cambria Math&quot; w:h-ansi=&quot;Cambria Math&quot; w:hint=&quot;fareast&quot;/&gt;&lt;w:color w:val=&quot;000000&quot;/&gt;&lt;/w:rPr&gt;&lt;m:t&gt;本项目&lt;/m:t&gt;&lt;/m:r&gt;&lt;m:ctrlPr&gt;&lt;w:rPr&gt;&lt;w:rFonts w:ascii=&quot;Cambria Math&quot; w:h-ansi=&quot;Cambria Math&quot; w:hint=&quot;default&quot;/&gt;&lt;w:i/&gt;&lt;w:color w:val=&quot;000000&quot;/&gt;&lt;/w:rPr&gt;&lt;/m:ctrlPr&gt;ii=&lt;/m:sub&gt;&lt;/m:sSub&gt;&lt;/m:oMath&gt;&lt;/m:oMathPara&gt;&lt;/w:p&gt;&lt;/wx:sect&gt;&lt;/w:body&gt;&lt;/w:wordDocument&gt;">
                  <v:path/>
                  <v:fill on="f" focussize="0,0"/>
                  <v:stroke on="f" joinstyle="miter"/>
                  <v:imagedata r:id="rId14" o:title=""/>
                  <o:lock v:ext="edit" aspectratio="f"/>
                  <w10:wrap type="none"/>
                  <w10:anchorlock/>
                </v:shape>
              </w:pict>
            </w:r>
            <w:r>
              <w:rPr>
                <w:rFonts w:hint="default" w:ascii="Times New Roman" w:hAnsi="Times New Roman"/>
                <w:i/>
                <w:sz w:val="21"/>
                <w:szCs w:val="21"/>
              </w:rPr>
              <w:instrText xml:space="preserve"> </w:instrText>
            </w:r>
            <w:r>
              <w:rPr>
                <w:rFonts w:hint="default" w:ascii="Times New Roman" w:hAnsi="Times New Roman"/>
                <w:i/>
                <w:sz w:val="21"/>
                <w:szCs w:val="21"/>
              </w:rPr>
              <w:fldChar w:fldCharType="separate"/>
            </w:r>
            <w:r>
              <w:rPr>
                <w:rFonts w:hint="default" w:ascii="Times New Roman" w:hAnsi="Times New Roman"/>
                <w:i/>
                <w:sz w:val="21"/>
                <w:szCs w:val="21"/>
              </w:rPr>
              <w:t>C</w:t>
            </w:r>
            <w:r>
              <w:rPr>
                <w:rFonts w:hint="default" w:ascii="Times New Roman" w:hAnsi="Times New Roman"/>
                <w:i/>
                <w:sz w:val="21"/>
                <w:szCs w:val="21"/>
                <w:vertAlign w:val="subscript"/>
              </w:rPr>
              <w:t>本项目</w:t>
            </w:r>
            <w:r>
              <w:rPr>
                <w:rFonts w:hint="default" w:ascii="Times New Roman" w:hAnsi="Times New Roman"/>
                <w:i/>
                <w:sz w:val="21"/>
                <w:szCs w:val="21"/>
              </w:rPr>
              <w:fldChar w:fldCharType="end"/>
            </w:r>
            <w:r>
              <w:rPr>
                <w:rFonts w:hint="default" w:ascii="Times New Roman" w:hAnsi="Times New Roman"/>
                <w:sz w:val="21"/>
                <w:szCs w:val="21"/>
              </w:rPr>
              <w:t xml:space="preserve">最大占标率＞100% </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正常排放年均浓度贡献值</w:t>
            </w:r>
          </w:p>
        </w:tc>
        <w:tc>
          <w:tcPr>
            <w:tcW w:w="1168"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一类区</w:t>
            </w:r>
          </w:p>
        </w:tc>
        <w:tc>
          <w:tcPr>
            <w:tcW w:w="2744"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24" w:beforeAutospacing="0" w:after="24" w:afterAutospacing="0"/>
              <w:ind w:left="0" w:right="0"/>
              <w:rPr>
                <w:rFonts w:hint="default" w:ascii="Times New Roman" w:hAnsi="Times New Roman"/>
                <w:sz w:val="21"/>
                <w:szCs w:val="21"/>
              </w:rPr>
            </w:pPr>
            <w:r>
              <w:rPr>
                <w:rFonts w:hint="default" w:ascii="Times New Roman" w:hAnsi="Times New Roman"/>
                <w:i/>
                <w:sz w:val="21"/>
                <w:szCs w:val="21"/>
              </w:rPr>
              <w:fldChar w:fldCharType="begin"/>
            </w:r>
            <w:r>
              <w:rPr>
                <w:rFonts w:hint="default" w:ascii="Times New Roman" w:hAnsi="Times New Roman"/>
                <w:i/>
                <w:sz w:val="21"/>
                <w:szCs w:val="21"/>
              </w:rPr>
              <w:instrText xml:space="preserve"> QUOTE </w:instrText>
            </w:r>
            <w:r>
              <w:rPr>
                <w:rFonts w:hint="default" w:ascii="Times New Roman" w:hAnsi="Times New Roman"/>
                <w:i/>
                <w:sz w:val="21"/>
                <w:szCs w:val="21"/>
              </w:rPr>
              <w:pict>
                <v:shape id="_x0000_i1028" o:spt="75" type="#_x0000_t75" style="height:31.5pt;width:468pt;" filled="f" o:preferrelative="t" stroked="f" coordsize="21600,21600"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105&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i/&gt;&lt;w:color w:val=&quot;000000&quot;/&gt;&lt;/w:rPr&gt;&lt;/m:ctrlPr&gt;&lt;/m:sSubPr&gt;&lt;m:e&gt;&lt;m:r&gt;&lt;w:rPr&gt;&lt;w:rFonts w:ascii=&quot;Cambria Math&quot; w:h-ansi=&quot;Cambria Math&quot; w:hint=&quot;default&quot;/&gt;&lt;w:color w:val=&quot;000000&quot;/&gt;&lt;/w:rPr&gt;&lt;m:t&gt;C&lt;/m:t&gt;&lt;/m:r&gt;&lt;m:ctrlPr&gt;&lt;w:rPr&gt;&lt;w:rFonts w:ascii=&quot;Cambria Math&quot; w:h-ansi=&quot;Cambria Math&quot; w:hint=&quot;default&quot;/&gt;&lt;w:i/&gt;&lt;w:color w:val=&quot;000000&quot;/&gt;&lt;/w:rPr&gt;&lt;/m:ctrlPr&gt;&lt;/m:e&gt;&lt;m:sub&gt;&lt;m:r&gt;&lt;m:rPr&gt;&lt;m:sty m:val=&quot;p&quot;/&gt;&lt;/m:rPr&gt;&lt;w:rPr&gt;&lt;w:rFonts w:ascii=&quot;Cambria Math&quot; w:h-ansi=&quot;Cambria Math&quot; w:hint=&quot;fareast&quot;/&gt;&lt;w:color w:val=&quot;000000&quot;/&gt;&lt;/w:rPr&gt;&lt;m:t&gt;本项目&lt;/m:t&gt;&lt;/m:r&gt;&lt;m:ctrlPr&gt;&lt;w:rPr&gt;&lt;w:rFonts w:ascii=&quot;Cambria Math&quot; w:h-ansi=&quot;Cambria Math&quot; w:hint=&quot;default&quot;/&gt;&lt;w:i/&gt;&lt;w:color w:val=&quot;000000&quot;/&gt;&lt;/w:rPr&gt;&lt;/m:ctrlPr&gt;ii=&lt;/m:sub&gt;&lt;/m:sSub&gt;&lt;/m:oMath&gt;&lt;/m:oMathPara&gt;&lt;/w:p&gt;&lt;/wx:sect&gt;&lt;/w:body&gt;&lt;/w:wordDocument&gt;">
                  <v:path/>
                  <v:fill on="f" focussize="0,0"/>
                  <v:stroke on="f" joinstyle="miter"/>
                  <v:imagedata r:id="rId14" o:title=""/>
                  <o:lock v:ext="edit" aspectratio="f"/>
                  <w10:wrap type="none"/>
                  <w10:anchorlock/>
                </v:shape>
              </w:pict>
            </w:r>
            <w:r>
              <w:rPr>
                <w:rFonts w:hint="default" w:ascii="Times New Roman" w:hAnsi="Times New Roman"/>
                <w:i/>
                <w:sz w:val="21"/>
                <w:szCs w:val="21"/>
              </w:rPr>
              <w:instrText xml:space="preserve"> </w:instrText>
            </w:r>
            <w:r>
              <w:rPr>
                <w:rFonts w:hint="default" w:ascii="Times New Roman" w:hAnsi="Times New Roman"/>
                <w:i/>
                <w:sz w:val="21"/>
                <w:szCs w:val="21"/>
              </w:rPr>
              <w:fldChar w:fldCharType="separate"/>
            </w:r>
            <w:r>
              <w:rPr>
                <w:rFonts w:hint="default" w:ascii="Times New Roman" w:hAnsi="Times New Roman"/>
                <w:i/>
                <w:sz w:val="21"/>
                <w:szCs w:val="21"/>
              </w:rPr>
              <w:t>C</w:t>
            </w:r>
            <w:r>
              <w:rPr>
                <w:rFonts w:hint="default" w:ascii="Times New Roman" w:hAnsi="Times New Roman"/>
                <w:i/>
                <w:sz w:val="21"/>
                <w:szCs w:val="21"/>
                <w:vertAlign w:val="subscript"/>
              </w:rPr>
              <w:t>本项目</w:t>
            </w:r>
            <w:r>
              <w:rPr>
                <w:rFonts w:hint="default" w:ascii="Times New Roman" w:hAnsi="Times New Roman"/>
                <w:i/>
                <w:sz w:val="21"/>
                <w:szCs w:val="21"/>
              </w:rPr>
              <w:fldChar w:fldCharType="end"/>
            </w:r>
            <w:r>
              <w:rPr>
                <w:rFonts w:hint="default" w:ascii="Times New Roman" w:hAnsi="Times New Roman"/>
                <w:sz w:val="21"/>
                <w:szCs w:val="21"/>
              </w:rPr>
              <w:t>最大占标率≤10%</w:t>
            </w:r>
            <w:r>
              <w:rPr>
                <w:rFonts w:hint="eastAsia" w:ascii="Times New Roman" w:hAnsi="Times New Roman"/>
                <w:sz w:val="21"/>
                <w:szCs w:val="21"/>
              </w:rPr>
              <w:t>□</w:t>
            </w:r>
          </w:p>
        </w:tc>
        <w:tc>
          <w:tcPr>
            <w:tcW w:w="3311"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i/>
                <w:sz w:val="21"/>
                <w:szCs w:val="21"/>
              </w:rPr>
              <w:fldChar w:fldCharType="begin"/>
            </w:r>
            <w:r>
              <w:rPr>
                <w:rFonts w:hint="default" w:ascii="Times New Roman" w:hAnsi="Times New Roman"/>
                <w:i/>
                <w:sz w:val="21"/>
                <w:szCs w:val="21"/>
              </w:rPr>
              <w:instrText xml:space="preserve"> QUOTE </w:instrText>
            </w:r>
            <w:r>
              <w:rPr>
                <w:rFonts w:hint="default" w:ascii="Times New Roman" w:hAnsi="Times New Roman"/>
                <w:i/>
                <w:sz w:val="21"/>
                <w:szCs w:val="21"/>
              </w:rPr>
              <w:pict>
                <v:shape id="_x0000_i1029" o:spt="75" type="#_x0000_t75" style="height:31.5pt;width:468pt;" filled="f" o:preferrelative="t" stroked="f" coordsize="21600,21600"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105&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i/&gt;&lt;w:color w:val=&quot;000000&quot;/&gt;&lt;/w:rPr&gt;&lt;/m:ctrlPr&gt;&lt;/m:sSubPr&gt;&lt;m:e&gt;&lt;m:r&gt;&lt;w:rPr&gt;&lt;w:rFonts w:ascii=&quot;Cambria Math&quot; w:h-ansi=&quot;Cambria Math&quot; w:hint=&quot;default&quot;/&gt;&lt;w:color w:val=&quot;000000&quot;/&gt;&lt;/w:rPr&gt;&lt;m:t&gt;C&lt;/m:t&gt;&lt;/m:r&gt;&lt;m:ctrlPr&gt;&lt;w:rPr&gt;&lt;w:rFonts w:ascii=&quot;Cambria Math&quot; w:h-ansi=&quot;Cambria Math&quot; w:hint=&quot;default&quot;/&gt;&lt;w:i/&gt;&lt;w:color w:val=&quot;000000&quot;/&gt;&lt;/w:rPr&gt;&lt;/m:ctrlPr&gt;&lt;/m:e&gt;&lt;m:sub&gt;&lt;m:r&gt;&lt;m:rPr&gt;&lt;m:sty m:val=&quot;p&quot;/&gt;&lt;/m:rPr&gt;&lt;w:rPr&gt;&lt;w:rFonts w:ascii=&quot;Cambria Math&quot; w:h-ansi=&quot;Cambria Math&quot; w:hint=&quot;fareast&quot;/&gt;&lt;w:color w:val=&quot;000000&quot;/&gt;&lt;/w:rPr&gt;&lt;m:t&gt;本项目&lt;/m:t&gt;&lt;/m:r&gt;&lt;m:ctrlPr&gt;&lt;w:rPr&gt;&lt;w:rFonts w:ascii=&quot;Cambria Math&quot; w:h-ansi=&quot;Cambria Math&quot; w:hint=&quot;default&quot;/&gt;&lt;w:i/&gt;&lt;w:color w:val=&quot;000000&quot;/&gt;&lt;/w:rPr&gt;&lt;/m:ctrlPr&gt;ii=&lt;/m:sub&gt;&lt;/m:sSub&gt;&lt;/m:oMath&gt;&lt;/m:oMathPara&gt;&lt;/w:p&gt;&lt;/wx:sect&gt;&lt;/w:body&gt;&lt;/w:wordDocument&gt;">
                  <v:path/>
                  <v:fill on="f" focussize="0,0"/>
                  <v:stroke on="f" joinstyle="miter"/>
                  <v:imagedata r:id="rId14" o:title=""/>
                  <o:lock v:ext="edit" aspectratio="f"/>
                  <w10:wrap type="none"/>
                  <w10:anchorlock/>
                </v:shape>
              </w:pict>
            </w:r>
            <w:r>
              <w:rPr>
                <w:rFonts w:hint="default" w:ascii="Times New Roman" w:hAnsi="Times New Roman"/>
                <w:i/>
                <w:sz w:val="21"/>
                <w:szCs w:val="21"/>
              </w:rPr>
              <w:instrText xml:space="preserve"> </w:instrText>
            </w:r>
            <w:r>
              <w:rPr>
                <w:rFonts w:hint="default" w:ascii="Times New Roman" w:hAnsi="Times New Roman"/>
                <w:i/>
                <w:sz w:val="21"/>
                <w:szCs w:val="21"/>
              </w:rPr>
              <w:fldChar w:fldCharType="separate"/>
            </w:r>
            <w:r>
              <w:rPr>
                <w:rFonts w:hint="default" w:ascii="Times New Roman" w:hAnsi="Times New Roman"/>
                <w:i/>
                <w:sz w:val="21"/>
                <w:szCs w:val="21"/>
              </w:rPr>
              <w:t>C</w:t>
            </w:r>
            <w:r>
              <w:rPr>
                <w:rFonts w:hint="default" w:ascii="Times New Roman" w:hAnsi="Times New Roman"/>
                <w:i/>
                <w:sz w:val="21"/>
                <w:szCs w:val="21"/>
                <w:vertAlign w:val="subscript"/>
              </w:rPr>
              <w:t>本项目</w:t>
            </w:r>
            <w:r>
              <w:rPr>
                <w:rFonts w:hint="default" w:ascii="Times New Roman" w:hAnsi="Times New Roman"/>
                <w:i/>
                <w:sz w:val="21"/>
                <w:szCs w:val="21"/>
              </w:rPr>
              <w:fldChar w:fldCharType="end"/>
            </w:r>
            <w:r>
              <w:rPr>
                <w:rFonts w:hint="default" w:ascii="Times New Roman" w:hAnsi="Times New Roman"/>
                <w:sz w:val="21"/>
                <w:szCs w:val="21"/>
              </w:rPr>
              <w:t>最大标率＞10%</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168"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二类区</w:t>
            </w:r>
          </w:p>
        </w:tc>
        <w:tc>
          <w:tcPr>
            <w:tcW w:w="2744"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i/>
                <w:sz w:val="21"/>
                <w:szCs w:val="21"/>
              </w:rPr>
              <w:fldChar w:fldCharType="begin"/>
            </w:r>
            <w:r>
              <w:rPr>
                <w:rFonts w:hint="default" w:ascii="Times New Roman" w:hAnsi="Times New Roman"/>
                <w:i/>
                <w:sz w:val="21"/>
                <w:szCs w:val="21"/>
              </w:rPr>
              <w:instrText xml:space="preserve"> QUOTE </w:instrText>
            </w:r>
            <w:r>
              <w:rPr>
                <w:rFonts w:hint="default" w:ascii="Times New Roman" w:hAnsi="Times New Roman"/>
                <w:i/>
                <w:sz w:val="21"/>
                <w:szCs w:val="21"/>
              </w:rPr>
              <w:pict>
                <v:shape id="_x0000_i1030" o:spt="75" type="#_x0000_t75" style="height:31.5pt;width:468pt;" filled="f" o:preferrelative="t" stroked="f" coordsize="21600,21600"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105&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i/&gt;&lt;w:color w:val=&quot;000000&quot;/&gt;&lt;/w:rPr&gt;&lt;/m:ctrlPr&gt;&lt;/m:sSubPr&gt;&lt;m:e&gt;&lt;m:r&gt;&lt;w:rPr&gt;&lt;w:rFonts w:ascii=&quot;Cambria Math&quot; w:h-ansi=&quot;Cambria Math&quot; w:hint=&quot;default&quot;/&gt;&lt;w:color w:val=&quot;000000&quot;/&gt;&lt;/w:rPr&gt;&lt;m:t&gt;C&lt;/m:t&gt;&lt;/m:r&gt;&lt;m:ctrlPr&gt;&lt;w:rPr&gt;&lt;w:rFonts w:ascii=&quot;Cambria Math&quot; w:h-ansi=&quot;Cambria Math&quot; w:hint=&quot;default&quot;/&gt;&lt;w:i/&gt;&lt;w:color w:val=&quot;000000&quot;/&gt;&lt;/w:rPr&gt;&lt;/m:ctrlPr&gt;&lt;/m:e&gt;&lt;m:sub&gt;&lt;m:r&gt;&lt;m:rPr&gt;&lt;m:sty m:val=&quot;p&quot;/&gt;&lt;/m:rPr&gt;&lt;w:rPr&gt;&lt;w:rFonts w:ascii=&quot;Cambria Math&quot; w:h-ansi=&quot;Cambria Math&quot; w:hint=&quot;fareast&quot;/&gt;&lt;w:color w:val=&quot;000000&quot;/&gt;&lt;/w:rPr&gt;&lt;m:t&gt;本项目&lt;/m:t&gt;&lt;/m:r&gt;&lt;m:ctrlPr&gt;&lt;w:rPr&gt;&lt;w:rFonts w:ascii=&quot;Cambria Math&quot; w:h-ansi=&quot;Cambria Math&quot; w:hint=&quot;default&quot;/&gt;&lt;w:i/&gt;&lt;w:color w:val=&quot;000000&quot;/&gt;&lt;/w:rPr&gt;&lt;/m:ctrlPr&gt;ii=&lt;/m:sub&gt;&lt;/m:sSub&gt;&lt;/m:oMath&gt;&lt;/m:oMathPara&gt;&lt;/w:p&gt;&lt;/wx:sect&gt;&lt;/w:body&gt;&lt;/w:wordDocument&gt;">
                  <v:path/>
                  <v:fill on="f" focussize="0,0"/>
                  <v:stroke on="f" joinstyle="miter"/>
                  <v:imagedata r:id="rId14" o:title=""/>
                  <o:lock v:ext="edit" aspectratio="f"/>
                  <w10:wrap type="none"/>
                  <w10:anchorlock/>
                </v:shape>
              </w:pict>
            </w:r>
            <w:r>
              <w:rPr>
                <w:rFonts w:hint="default" w:ascii="Times New Roman" w:hAnsi="Times New Roman"/>
                <w:i/>
                <w:sz w:val="21"/>
                <w:szCs w:val="21"/>
              </w:rPr>
              <w:instrText xml:space="preserve"> </w:instrText>
            </w:r>
            <w:r>
              <w:rPr>
                <w:rFonts w:hint="default" w:ascii="Times New Roman" w:hAnsi="Times New Roman"/>
                <w:i/>
                <w:sz w:val="21"/>
                <w:szCs w:val="21"/>
              </w:rPr>
              <w:fldChar w:fldCharType="separate"/>
            </w:r>
            <w:r>
              <w:rPr>
                <w:rFonts w:hint="default" w:ascii="Times New Roman" w:hAnsi="Times New Roman"/>
                <w:i/>
                <w:sz w:val="21"/>
                <w:szCs w:val="21"/>
              </w:rPr>
              <w:t>C</w:t>
            </w:r>
            <w:r>
              <w:rPr>
                <w:rFonts w:hint="default" w:ascii="Times New Roman" w:hAnsi="Times New Roman"/>
                <w:i/>
                <w:sz w:val="21"/>
                <w:szCs w:val="21"/>
                <w:vertAlign w:val="subscript"/>
              </w:rPr>
              <w:t>本项目</w:t>
            </w:r>
            <w:r>
              <w:rPr>
                <w:rFonts w:hint="default" w:ascii="Times New Roman" w:hAnsi="Times New Roman"/>
                <w:i/>
                <w:sz w:val="21"/>
                <w:szCs w:val="21"/>
              </w:rPr>
              <w:fldChar w:fldCharType="end"/>
            </w:r>
            <w:r>
              <w:rPr>
                <w:rFonts w:hint="default" w:ascii="Times New Roman" w:hAnsi="Times New Roman"/>
                <w:sz w:val="21"/>
                <w:szCs w:val="21"/>
              </w:rPr>
              <w:t>最大占标率≤30%</w:t>
            </w:r>
            <w:r>
              <w:rPr>
                <w:rFonts w:hint="eastAsia" w:ascii="Times New Roman" w:hAnsi="Times New Roman"/>
                <w:sz w:val="21"/>
                <w:szCs w:val="21"/>
                <w:lang w:eastAsia="zh-CN"/>
              </w:rPr>
              <w:t>☑</w:t>
            </w:r>
          </w:p>
        </w:tc>
        <w:tc>
          <w:tcPr>
            <w:tcW w:w="3311"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i/>
                <w:sz w:val="21"/>
                <w:szCs w:val="21"/>
              </w:rPr>
              <w:fldChar w:fldCharType="begin"/>
            </w:r>
            <w:r>
              <w:rPr>
                <w:rFonts w:hint="default" w:ascii="Times New Roman" w:hAnsi="Times New Roman"/>
                <w:i/>
                <w:sz w:val="21"/>
                <w:szCs w:val="21"/>
              </w:rPr>
              <w:instrText xml:space="preserve"> QUOTE </w:instrText>
            </w:r>
            <w:r>
              <w:rPr>
                <w:rFonts w:hint="default" w:ascii="Times New Roman" w:hAnsi="Times New Roman"/>
                <w:i/>
                <w:sz w:val="21"/>
                <w:szCs w:val="21"/>
              </w:rPr>
              <w:pict>
                <v:shape id="_x0000_i1031" o:spt="75" type="#_x0000_t75" style="height:31.5pt;width:468pt;" filled="f" o:preferrelative="t" stroked="f" coordsize="21600,21600"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105&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i/&gt;&lt;w:color w:val=&quot;000000&quot;/&gt;&lt;/w:rPr&gt;&lt;/m:ctrlPr&gt;&lt;/m:sSubPr&gt;&lt;m:e&gt;&lt;m:r&gt;&lt;w:rPr&gt;&lt;w:rFonts w:ascii=&quot;Cambria Math&quot; w:h-ansi=&quot;Cambria Math&quot; w:hint=&quot;default&quot;/&gt;&lt;w:color w:val=&quot;000000&quot;/&gt;&lt;/w:rPr&gt;&lt;m:t&gt;C&lt;/m:t&gt;&lt;/m:r&gt;&lt;m:ctrlPr&gt;&lt;w:rPr&gt;&lt;w:rFonts w:ascii=&quot;Cambria Math&quot; w:h-ansi=&quot;Cambria Math&quot; w:hint=&quot;default&quot;/&gt;&lt;w:i/&gt;&lt;w:color w:val=&quot;000000&quot;/&gt;&lt;/w:rPr&gt;&lt;/m:ctrlPr&gt;&lt;/m:e&gt;&lt;m:sub&gt;&lt;m:r&gt;&lt;m:rPr&gt;&lt;m:sty m:val=&quot;p&quot;/&gt;&lt;/m:rPr&gt;&lt;w:rPr&gt;&lt;w:rFonts w:ascii=&quot;Cambria Math&quot; w:h-ansi=&quot;Cambria Math&quot; w:hint=&quot;fareast&quot;/&gt;&lt;w:color w:val=&quot;000000&quot;/&gt;&lt;/w:rPr&gt;&lt;m:t&gt;本项目&lt;/m:t&gt;&lt;/m:r&gt;&lt;m:ctrlPr&gt;&lt;w:rPr&gt;&lt;w:rFonts w:ascii=&quot;Cambria Math&quot; w:h-ansi=&quot;Cambria Math&quot; w:hint=&quot;default&quot;/&gt;&lt;w:i/&gt;&lt;w:color w:val=&quot;000000&quot;/&gt;&lt;/w:rPr&gt;&lt;/m:ctrlPr&gt;ii=&lt;/m:sub&gt;&lt;/m:sSub&gt;&lt;/m:oMath&gt;&lt;/m:oMathPara&gt;&lt;/w:p&gt;&lt;/wx:sect&gt;&lt;/w:body&gt;&lt;/w:wordDocument&gt;">
                  <v:path/>
                  <v:fill on="f" focussize="0,0"/>
                  <v:stroke on="f" joinstyle="miter"/>
                  <v:imagedata r:id="rId14" o:title=""/>
                  <o:lock v:ext="edit" aspectratio="f"/>
                  <w10:wrap type="none"/>
                  <w10:anchorlock/>
                </v:shape>
              </w:pict>
            </w:r>
            <w:r>
              <w:rPr>
                <w:rFonts w:hint="default" w:ascii="Times New Roman" w:hAnsi="Times New Roman"/>
                <w:i/>
                <w:sz w:val="21"/>
                <w:szCs w:val="21"/>
              </w:rPr>
              <w:instrText xml:space="preserve"> </w:instrText>
            </w:r>
            <w:r>
              <w:rPr>
                <w:rFonts w:hint="default" w:ascii="Times New Roman" w:hAnsi="Times New Roman"/>
                <w:i/>
                <w:sz w:val="21"/>
                <w:szCs w:val="21"/>
              </w:rPr>
              <w:fldChar w:fldCharType="separate"/>
            </w:r>
            <w:r>
              <w:rPr>
                <w:rFonts w:hint="default" w:ascii="Times New Roman" w:hAnsi="Times New Roman"/>
                <w:i/>
                <w:sz w:val="21"/>
                <w:szCs w:val="21"/>
              </w:rPr>
              <w:t>C</w:t>
            </w:r>
            <w:r>
              <w:rPr>
                <w:rFonts w:hint="default" w:ascii="Times New Roman" w:hAnsi="Times New Roman"/>
                <w:i/>
                <w:sz w:val="21"/>
                <w:szCs w:val="21"/>
                <w:vertAlign w:val="subscript"/>
              </w:rPr>
              <w:t>本项目</w:t>
            </w:r>
            <w:r>
              <w:rPr>
                <w:rFonts w:hint="default" w:ascii="Times New Roman" w:hAnsi="Times New Roman"/>
                <w:i/>
                <w:sz w:val="21"/>
                <w:szCs w:val="21"/>
              </w:rPr>
              <w:fldChar w:fldCharType="end"/>
            </w:r>
            <w:r>
              <w:rPr>
                <w:rFonts w:hint="default" w:ascii="Times New Roman" w:hAnsi="Times New Roman"/>
                <w:sz w:val="21"/>
                <w:szCs w:val="21"/>
              </w:rPr>
              <w:t>最大标率＞30%</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非正常排放1h浓度贡献值</w:t>
            </w:r>
          </w:p>
        </w:tc>
        <w:tc>
          <w:tcPr>
            <w:tcW w:w="1606" w:type="dxa"/>
            <w:gridSpan w:val="4"/>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非正常持续时长</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w:t>
            </w:r>
            <w:r>
              <w:rPr>
                <w:rFonts w:hint="eastAsia"/>
                <w:sz w:val="21"/>
                <w:szCs w:val="21"/>
                <w:lang w:val="en-US" w:eastAsia="zh-CN"/>
              </w:rPr>
              <w:t>1</w:t>
            </w:r>
            <w:r>
              <w:rPr>
                <w:rFonts w:hint="default" w:ascii="Times New Roman" w:hAnsi="Times New Roman"/>
                <w:sz w:val="21"/>
                <w:szCs w:val="21"/>
              </w:rPr>
              <w:t>）h</w:t>
            </w:r>
          </w:p>
        </w:tc>
        <w:tc>
          <w:tcPr>
            <w:tcW w:w="3269"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24" w:beforeAutospacing="0" w:after="24" w:afterAutospacing="0"/>
              <w:ind w:left="0" w:right="0"/>
              <w:rPr>
                <w:rFonts w:hint="eastAsia" w:ascii="Times New Roman" w:hAnsi="Times New Roman" w:eastAsia="宋体"/>
                <w:sz w:val="21"/>
                <w:szCs w:val="21"/>
                <w:lang w:eastAsia="zh-CN"/>
              </w:rPr>
            </w:pPr>
            <w:r>
              <w:rPr>
                <w:rFonts w:hint="default" w:ascii="Times New Roman" w:hAnsi="Times New Roman"/>
                <w:i/>
                <w:sz w:val="21"/>
                <w:szCs w:val="21"/>
              </w:rPr>
              <w:fldChar w:fldCharType="begin"/>
            </w:r>
            <w:r>
              <w:rPr>
                <w:rFonts w:hint="default" w:ascii="Times New Roman" w:hAnsi="Times New Roman"/>
                <w:i/>
                <w:sz w:val="21"/>
                <w:szCs w:val="21"/>
              </w:rPr>
              <w:instrText xml:space="preserve"> QUOTE </w:instrText>
            </w:r>
            <w:r>
              <w:rPr>
                <w:rFonts w:hint="default" w:ascii="Times New Roman" w:hAnsi="Times New Roman"/>
                <w:i/>
                <w:sz w:val="21"/>
                <w:szCs w:val="21"/>
              </w:rPr>
              <w:pict>
                <v:shape id="_x0000_i1032" o:spt="75" type="#_x0000_t75" style="height:31.5pt;width:468pt;" filled="f" o:preferrelative="t" stroked="f" coordsize="21600,21600"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105&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i/&gt;&lt;w:color w:val=&quot;000000&quot;/&gt;&lt;/w:rPr&gt;&lt;/m:ctrlPr&gt;&lt;/m:sSubPr&gt;&lt;m:e&gt;&lt;m:r&gt;&lt;w:rPr&gt;&lt;w:rFonts w:ascii=&quot;Cambria Math&quot; w:h-ansi=&quot;Cambria Math&quot; w:hint=&quot;default&quot;/&gt;&lt;w:color w:val=&quot;000000&quot;/&gt;&lt;/w:rPr&gt;&lt;m:t&gt;C&lt;/m:t&gt;&lt;/m:r&gt;&lt;m:ctrlPr&gt;&lt;w:rPr&gt;&lt;w:rFonts w:ascii=&quot;Cambria Math&quot; w:h-ansi=&quot;Cambria Math&quot; w:hint=&quot;default&quot;/&gt;&lt;w:i/&gt;&lt;w:color w:val=&quot;000000&quot;/&gt;&lt;/w:rPr&gt;&lt;/m:ctrlPr&gt;&lt;/m:e&gt;&lt;m:sub&gt;&lt;m:r&gt;&lt;m:rPr&gt;&lt;m:sty m:val=&quot;p&quot;/&gt;&lt;/m:rPr&gt;&lt;w:rPr&gt;&lt;w:rFonts w:ascii=&quot;Cambria Math&quot; w:h-ansi=&quot;Cambria Math&quot; w:hint=&quot;fareast&quot;/&gt;&lt;w:color w:val=&quot;000000&quot;/&gt;&lt;/w:rPr&gt;&lt;m:t&gt;本项目&lt;/m:t&gt;&lt;/m:r&gt;&lt;m:ctrlPr&gt;&lt;w:rPr&gt;&lt;w:rFonts w:ascii=&quot;Cambria Math&quot; w:h-ansi=&quot;Cambria Math&quot; w:hint=&quot;default&quot;/&gt;&lt;w:i/&gt;&lt;w:color w:val=&quot;000000&quot;/&gt;&lt;/w:rPr&gt;&lt;/m:ctrlPr&gt;ii=&lt;/m:sub&gt;&lt;/m:sSub&gt;&lt;/m:oMath&gt;&lt;/m:oMathPara&gt;&lt;/w:p&gt;&lt;/wx:sect&gt;&lt;/w:body&gt;&lt;/w:wordDocument&gt;">
                  <v:path/>
                  <v:fill on="f" focussize="0,0"/>
                  <v:stroke on="f" joinstyle="miter"/>
                  <v:imagedata r:id="rId14" o:title=""/>
                  <o:lock v:ext="edit" aspectratio="f"/>
                  <w10:wrap type="none"/>
                  <w10:anchorlock/>
                </v:shape>
              </w:pict>
            </w:r>
            <w:r>
              <w:rPr>
                <w:rFonts w:hint="default" w:ascii="Times New Roman" w:hAnsi="Times New Roman"/>
                <w:i/>
                <w:sz w:val="21"/>
                <w:szCs w:val="21"/>
              </w:rPr>
              <w:instrText xml:space="preserve"> </w:instrText>
            </w:r>
            <w:r>
              <w:rPr>
                <w:rFonts w:hint="default" w:ascii="Times New Roman" w:hAnsi="Times New Roman"/>
                <w:i/>
                <w:sz w:val="21"/>
                <w:szCs w:val="21"/>
              </w:rPr>
              <w:fldChar w:fldCharType="separate"/>
            </w:r>
            <w:r>
              <w:rPr>
                <w:rFonts w:hint="default" w:ascii="Times New Roman" w:hAnsi="Times New Roman"/>
                <w:i/>
                <w:sz w:val="21"/>
                <w:szCs w:val="21"/>
              </w:rPr>
              <w:t>C</w:t>
            </w:r>
            <w:r>
              <w:rPr>
                <w:rFonts w:hint="default" w:ascii="Times New Roman" w:hAnsi="Times New Roman"/>
                <w:i/>
                <w:sz w:val="21"/>
                <w:szCs w:val="21"/>
                <w:vertAlign w:val="subscript"/>
              </w:rPr>
              <w:t>本项目</w:t>
            </w:r>
            <w:r>
              <w:rPr>
                <w:rFonts w:hint="default" w:ascii="Times New Roman" w:hAnsi="Times New Roman"/>
                <w:i/>
                <w:sz w:val="21"/>
                <w:szCs w:val="21"/>
              </w:rPr>
              <w:fldChar w:fldCharType="end"/>
            </w:r>
            <w:r>
              <w:rPr>
                <w:rFonts w:hint="default" w:ascii="Times New Roman" w:hAnsi="Times New Roman"/>
                <w:sz w:val="21"/>
                <w:szCs w:val="21"/>
              </w:rPr>
              <w:t>占标率≤100%</w:t>
            </w:r>
            <w:r>
              <w:rPr>
                <w:rFonts w:hint="eastAsia"/>
                <w:sz w:val="21"/>
                <w:szCs w:val="21"/>
                <w:lang w:eastAsia="zh-CN"/>
              </w:rPr>
              <w:t>☑</w:t>
            </w:r>
          </w:p>
        </w:tc>
        <w:tc>
          <w:tcPr>
            <w:tcW w:w="2348" w:type="dxa"/>
            <w:gridSpan w:val="6"/>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i/>
                <w:sz w:val="21"/>
                <w:szCs w:val="21"/>
              </w:rPr>
              <w:fldChar w:fldCharType="begin"/>
            </w:r>
            <w:r>
              <w:rPr>
                <w:rFonts w:hint="default" w:ascii="Times New Roman" w:hAnsi="Times New Roman"/>
                <w:i/>
                <w:sz w:val="21"/>
                <w:szCs w:val="21"/>
              </w:rPr>
              <w:instrText xml:space="preserve"> QUOTE </w:instrText>
            </w:r>
            <w:r>
              <w:rPr>
                <w:rFonts w:hint="default" w:ascii="Times New Roman" w:hAnsi="Times New Roman"/>
                <w:i/>
                <w:sz w:val="21"/>
                <w:szCs w:val="21"/>
              </w:rPr>
              <w:pict>
                <v:shape id="_x0000_i1033" o:spt="75" type="#_x0000_t75" style="height:31.5pt;width:468pt;" filled="f" o:preferrelative="t" stroked="f" coordsize="21600,21600"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105&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i/&gt;&lt;w:color w:val=&quot;000000&quot;/&gt;&lt;/w:rPr&gt;&lt;/m:ctrlPr&gt;&lt;/m:sSubPr&gt;&lt;m:e&gt;&lt;m:r&gt;&lt;w:rPr&gt;&lt;w:rFonts w:ascii=&quot;Cambria Math&quot; w:h-ansi=&quot;Cambria Math&quot; w:hint=&quot;default&quot;/&gt;&lt;w:color w:val=&quot;000000&quot;/&gt;&lt;/w:rPr&gt;&lt;m:t&gt;C&lt;/m:t&gt;&lt;/m:r&gt;&lt;m:ctrlPr&gt;&lt;w:rPr&gt;&lt;w:rFonts w:ascii=&quot;Cambria Math&quot; w:h-ansi=&quot;Cambria Math&quot; w:hint=&quot;default&quot;/&gt;&lt;w:i/&gt;&lt;w:color w:val=&quot;000000&quot;/&gt;&lt;/w:rPr&gt;&lt;/m:ctrlPr&gt;&lt;/m:e&gt;&lt;m:sub&gt;&lt;m:r&gt;&lt;m:rPr&gt;&lt;m:sty m:val=&quot;p&quot;/&gt;&lt;/m:rPr&gt;&lt;w:rPr&gt;&lt;w:rFonts w:ascii=&quot;Cambria Math&quot; w:h-ansi=&quot;Cambria Math&quot; w:hint=&quot;fareast&quot;/&gt;&lt;w:color w:val=&quot;000000&quot;/&gt;&lt;/w:rPr&gt;&lt;m:t&gt;本项目&lt;/m:t&gt;&lt;/m:r&gt;&lt;m:ctrlPr&gt;&lt;w:rPr&gt;&lt;w:rFonts w:ascii=&quot;Cambria Math&quot; w:h-ansi=&quot;Cambria Math&quot; w:hint=&quot;default&quot;/&gt;&lt;w:i/&gt;&lt;w:color w:val=&quot;000000&quot;/&gt;&lt;/w:rPr&gt;&lt;/m:ctrlPr&gt;ii=&lt;/m:sub&gt;&lt;/m:sSub&gt;&lt;/m:oMath&gt;&lt;/m:oMathPara&gt;&lt;/w:p&gt;&lt;/wx:sect&gt;&lt;/w:body&gt;&lt;/w:wordDocument&gt;">
                  <v:path/>
                  <v:fill on="f" focussize="0,0"/>
                  <v:stroke on="f" joinstyle="miter"/>
                  <v:imagedata r:id="rId14" o:title=""/>
                  <o:lock v:ext="edit" aspectratio="f"/>
                  <w10:wrap type="none"/>
                  <w10:anchorlock/>
                </v:shape>
              </w:pict>
            </w:r>
            <w:r>
              <w:rPr>
                <w:rFonts w:hint="default" w:ascii="Times New Roman" w:hAnsi="Times New Roman"/>
                <w:i/>
                <w:sz w:val="21"/>
                <w:szCs w:val="21"/>
              </w:rPr>
              <w:instrText xml:space="preserve"> </w:instrText>
            </w:r>
            <w:r>
              <w:rPr>
                <w:rFonts w:hint="default" w:ascii="Times New Roman" w:hAnsi="Times New Roman"/>
                <w:i/>
                <w:sz w:val="21"/>
                <w:szCs w:val="21"/>
              </w:rPr>
              <w:fldChar w:fldCharType="separate"/>
            </w:r>
            <w:r>
              <w:rPr>
                <w:rFonts w:hint="default" w:ascii="Times New Roman" w:hAnsi="Times New Roman"/>
                <w:i/>
                <w:sz w:val="21"/>
                <w:szCs w:val="21"/>
              </w:rPr>
              <w:t>C</w:t>
            </w:r>
            <w:r>
              <w:rPr>
                <w:rFonts w:hint="default" w:ascii="Times New Roman" w:hAnsi="Times New Roman"/>
                <w:i/>
                <w:sz w:val="21"/>
                <w:szCs w:val="21"/>
                <w:vertAlign w:val="subscript"/>
              </w:rPr>
              <w:t>本项目</w:t>
            </w:r>
            <w:r>
              <w:rPr>
                <w:rFonts w:hint="default" w:ascii="Times New Roman" w:hAnsi="Times New Roman"/>
                <w:i/>
                <w:sz w:val="21"/>
                <w:szCs w:val="21"/>
              </w:rPr>
              <w:fldChar w:fldCharType="end"/>
            </w:r>
            <w:r>
              <w:rPr>
                <w:rFonts w:hint="default" w:ascii="Times New Roman" w:hAnsi="Times New Roman"/>
                <w:sz w:val="21"/>
                <w:szCs w:val="21"/>
              </w:rPr>
              <w:t>占标率＞100%</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保证率日平均浓度和年平均浓度叠加值</w:t>
            </w:r>
          </w:p>
        </w:tc>
        <w:tc>
          <w:tcPr>
            <w:tcW w:w="3912" w:type="dxa"/>
            <w:gridSpan w:val="10"/>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i/>
                <w:sz w:val="21"/>
                <w:szCs w:val="21"/>
              </w:rPr>
              <w:fldChar w:fldCharType="begin"/>
            </w:r>
            <w:r>
              <w:rPr>
                <w:rFonts w:hint="default" w:ascii="Times New Roman" w:hAnsi="Times New Roman"/>
                <w:i/>
                <w:sz w:val="21"/>
                <w:szCs w:val="21"/>
              </w:rPr>
              <w:instrText xml:space="preserve"> QUOTE </w:instrText>
            </w:r>
            <w:r>
              <w:rPr>
                <w:rFonts w:hint="default" w:ascii="Times New Roman" w:hAnsi="Times New Roman"/>
                <w:i/>
                <w:sz w:val="21"/>
                <w:szCs w:val="21"/>
              </w:rPr>
              <w:pict>
                <v:shape id="_x0000_i1034" o:spt="75" type="#_x0000_t75" style="height:31.5pt;width:468pt;" filled="f" o:preferrelative="t" stroked="f" coordsize="21600,21600"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105&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i/&gt;&lt;w:color w:val=&quot;000000&quot;/&gt;&lt;/w:rPr&gt;&lt;/m:ctrlPr&gt;&lt;/m:sSubPr&gt;&lt;m:e&gt;&lt;m:r&gt;&lt;w:rPr&gt;&lt;w:rFonts w:ascii=&quot;Cambria Math&quot; w:h-ansi=&quot;Cambria Math&quot; w:hint=&quot;default&quot;/&gt;&lt;w:color w:val=&quot;000000&quot;/&gt;&lt;/w:rPr&gt;&lt;m:t&gt;C&lt;/m:t&gt;&lt;/m:r&gt;&lt;m:ctrlPr&gt;&lt;w:rPr&gt;&lt;w:rFonts w:ascii=&quot;Cambria Math&quot; w:h-ansi=&quot;Cambria Math&quot; w:hint=&quot;default&quot;/&gt;&lt;w:i/&gt;&lt;w:color w:val=&quot;000000&quot;/&gt;&lt;/w:rPr&gt;&lt;/m:ctrlPr&gt;&lt;/m:e&gt;&lt;m:sub&gt;&lt;m:r&gt;&lt;m:rPr&gt;&lt;m:sty m:val=&quot;p&quot;/&gt;&lt;/m:rPr&gt;&lt;w:rPr&gt;&lt;w:rFonts w:ascii=&quot;Cambria Math&quot; w:h-ansi=&quot;Cambria Math&quot; w:hint=&quot;fareast&quot;/&gt;&lt;w:color w:val=&quot;000000&quot;/&gt;&lt;/w:rPr&gt;&lt;m:t&gt;本项目&lt;/m:t&gt;&lt;/m:r&gt;&lt;m:ctrlPr&gt;&lt;w:rPr&gt;&lt;w:rFonts w:ascii=&quot;Cambria Math&quot; w:h-ansi=&quot;Cambria Math&quot; w:hint=&quot;default&quot;/&gt;&lt;w:i/&gt;&lt;w:color w:val=&quot;000000&quot;/&gt;&lt;/w:rPr&gt;&lt;/m:ctrlPr&gt;ii=&lt;/m:sub&gt;&lt;/m:sSub&gt;&lt;/m:oMath&gt;&lt;/m:oMathPara&gt;&lt;/w:p&gt;&lt;/wx:sect&gt;&lt;/w:body&gt;&lt;/w:wordDocument&gt;">
                  <v:path/>
                  <v:fill on="f" focussize="0,0"/>
                  <v:stroke on="f" joinstyle="miter"/>
                  <v:imagedata r:id="rId14" o:title=""/>
                  <o:lock v:ext="edit" aspectratio="f"/>
                  <w10:wrap type="none"/>
                  <w10:anchorlock/>
                </v:shape>
              </w:pict>
            </w:r>
            <w:r>
              <w:rPr>
                <w:rFonts w:hint="default" w:ascii="Times New Roman" w:hAnsi="Times New Roman"/>
                <w:i/>
                <w:sz w:val="21"/>
                <w:szCs w:val="21"/>
              </w:rPr>
              <w:instrText xml:space="preserve"> </w:instrText>
            </w:r>
            <w:r>
              <w:rPr>
                <w:rFonts w:hint="default" w:ascii="Times New Roman" w:hAnsi="Times New Roman"/>
                <w:i/>
                <w:sz w:val="21"/>
                <w:szCs w:val="21"/>
              </w:rPr>
              <w:fldChar w:fldCharType="separate"/>
            </w:r>
            <w:r>
              <w:rPr>
                <w:rFonts w:hint="default" w:ascii="Times New Roman" w:hAnsi="Times New Roman"/>
                <w:i/>
                <w:sz w:val="21"/>
                <w:szCs w:val="21"/>
              </w:rPr>
              <w:t>C</w:t>
            </w:r>
            <w:r>
              <w:rPr>
                <w:rFonts w:hint="default" w:ascii="Times New Roman" w:hAnsi="Times New Roman"/>
                <w:i/>
                <w:sz w:val="21"/>
                <w:szCs w:val="21"/>
                <w:vertAlign w:val="subscript"/>
              </w:rPr>
              <w:t>叠加</w:t>
            </w:r>
            <w:r>
              <w:rPr>
                <w:rFonts w:hint="default" w:ascii="Times New Roman" w:hAnsi="Times New Roman"/>
                <w:i/>
                <w:sz w:val="21"/>
                <w:szCs w:val="21"/>
              </w:rPr>
              <w:fldChar w:fldCharType="end"/>
            </w:r>
            <w:r>
              <w:rPr>
                <w:rFonts w:hint="default" w:ascii="Times New Roman" w:hAnsi="Times New Roman"/>
                <w:i/>
                <w:sz w:val="21"/>
                <w:szCs w:val="21"/>
              </w:rPr>
              <w:t xml:space="preserve"> </w:t>
            </w:r>
            <w:r>
              <w:rPr>
                <w:rFonts w:hint="default" w:ascii="Times New Roman" w:hAnsi="Times New Roman"/>
                <w:sz w:val="21"/>
                <w:szCs w:val="21"/>
              </w:rPr>
              <w:t>达标</w:t>
            </w:r>
            <w:r>
              <w:rPr>
                <w:rFonts w:hint="eastAsia"/>
                <w:sz w:val="21"/>
                <w:szCs w:val="21"/>
                <w:lang w:eastAsia="zh-CN"/>
              </w:rPr>
              <w:t>☑</w:t>
            </w:r>
          </w:p>
        </w:tc>
        <w:tc>
          <w:tcPr>
            <w:tcW w:w="3311"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i/>
                <w:sz w:val="21"/>
                <w:szCs w:val="21"/>
              </w:rPr>
              <w:fldChar w:fldCharType="begin"/>
            </w:r>
            <w:r>
              <w:rPr>
                <w:rFonts w:hint="default" w:ascii="Times New Roman" w:hAnsi="Times New Roman"/>
                <w:i/>
                <w:sz w:val="21"/>
                <w:szCs w:val="21"/>
              </w:rPr>
              <w:instrText xml:space="preserve"> QUOTE </w:instrText>
            </w:r>
            <w:r>
              <w:rPr>
                <w:rFonts w:hint="default" w:ascii="Times New Roman" w:hAnsi="Times New Roman"/>
                <w:i/>
                <w:sz w:val="21"/>
                <w:szCs w:val="21"/>
              </w:rPr>
              <w:pict>
                <v:shape id="_x0000_i1035" o:spt="75" type="#_x0000_t75" style="height:31.5pt;width:468pt;" filled="f" o:preferrelative="t" stroked="f" coordsize="21600,21600"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oNotEmbedSystemFonts/&gt;&lt;w:defaultTabStop w:val=&quot;420&quot;/&gt;&lt;w:drawingGridHorizontalSpacing w:val=&quot;105&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sSub&gt;&lt;m:sSubPr&gt;&lt;m:ctrlPr&gt;&lt;w:rPr&gt;&lt;w:rFonts w:ascii=&quot;Cambria Math&quot; w:h-ansi=&quot;Cambria Math&quot; w:hint=&quot;default&quot;/&gt;&lt;w:i/&gt;&lt;w:color w:val=&quot;000000&quot;/&gt;&lt;/w:rPr&gt;&lt;/m:ctrlPr&gt;&lt;/m:sSubPr&gt;&lt;m:e&gt;&lt;m:r&gt;&lt;w:rPr&gt;&lt;w:rFonts w:ascii=&quot;Cambria Math&quot; w:h-ansi=&quot;Cambria Math&quot; w:hint=&quot;default&quot;/&gt;&lt;w:color w:val=&quot;000000&quot;/&gt;&lt;/w:rPr&gt;&lt;m:t&gt;C&lt;/m:t&gt;&lt;/m:r&gt;&lt;m:ctrlPr&gt;&lt;w:rPr&gt;&lt;w:rFonts w:ascii=&quot;Cambria Math&quot; w:h-ansi=&quot;Cambria Math&quot; w:hint=&quot;default&quot;/&gt;&lt;w:i/&gt;&lt;w:color w:val=&quot;000000&quot;/&gt;&lt;/w:rPr&gt;&lt;/m:ctrlPr&gt;&lt;/m:e&gt;&lt;m:sub&gt;&lt;m:r&gt;&lt;m:rPr&gt;&lt;m:sty m:val=&quot;p&quot;/&gt;&lt;/m:rPr&gt;&lt;w:rPr&gt;&lt;w:rFonts w:ascii=&quot;Cambria Math&quot; w:h-ansi=&quot;Cambria Math&quot; w:hint=&quot;fareast&quot;/&gt;&lt;w:color w:val=&quot;000000&quot;/&gt;&lt;/w:rPr&gt;&lt;m:t&gt;本项目&lt;/m:t&gt;&lt;/m:r&gt;&lt;m:ctrlPr&gt;&lt;w:rPr&gt;&lt;w:rFonts w:ascii=&quot;Cambria Math&quot; w:h-ansi=&quot;Cambria Math&quot; w:hint=&quot;default&quot;/&gt;&lt;w:i/&gt;&lt;w:color w:val=&quot;000000&quot;/&gt;&lt;/w:rPr&gt;&lt;/m:ctrlPr&gt;ii=&lt;/m:sub&gt;&lt;/m:sSub&gt;&lt;/m:oMath&gt;&lt;/m:oMathPara&gt;&lt;/w:p&gt;&lt;/wx:sect&gt;&lt;/w:body&gt;&lt;/w:wordDocument&gt;">
                  <v:path/>
                  <v:fill on="f" focussize="0,0"/>
                  <v:stroke on="f" joinstyle="miter"/>
                  <v:imagedata r:id="rId14" o:title=""/>
                  <o:lock v:ext="edit" aspectratio="f"/>
                  <w10:wrap type="none"/>
                  <w10:anchorlock/>
                </v:shape>
              </w:pict>
            </w:r>
            <w:r>
              <w:rPr>
                <w:rFonts w:hint="default" w:ascii="Times New Roman" w:hAnsi="Times New Roman"/>
                <w:i/>
                <w:sz w:val="21"/>
                <w:szCs w:val="21"/>
              </w:rPr>
              <w:instrText xml:space="preserve"> </w:instrText>
            </w:r>
            <w:r>
              <w:rPr>
                <w:rFonts w:hint="default" w:ascii="Times New Roman" w:hAnsi="Times New Roman"/>
                <w:i/>
                <w:sz w:val="21"/>
                <w:szCs w:val="21"/>
              </w:rPr>
              <w:fldChar w:fldCharType="separate"/>
            </w:r>
            <w:r>
              <w:rPr>
                <w:rFonts w:hint="default" w:ascii="Times New Roman" w:hAnsi="Times New Roman"/>
                <w:i/>
                <w:sz w:val="21"/>
                <w:szCs w:val="21"/>
              </w:rPr>
              <w:t>C</w:t>
            </w:r>
            <w:r>
              <w:rPr>
                <w:rFonts w:hint="default" w:ascii="Times New Roman" w:hAnsi="Times New Roman"/>
                <w:i/>
                <w:sz w:val="21"/>
                <w:szCs w:val="21"/>
                <w:vertAlign w:val="subscript"/>
              </w:rPr>
              <w:t>叠加</w:t>
            </w:r>
            <w:r>
              <w:rPr>
                <w:rFonts w:hint="default" w:ascii="Times New Roman" w:hAnsi="Times New Roman"/>
                <w:i/>
                <w:sz w:val="21"/>
                <w:szCs w:val="21"/>
              </w:rPr>
              <w:fldChar w:fldCharType="end"/>
            </w:r>
            <w:r>
              <w:rPr>
                <w:rFonts w:hint="default" w:ascii="Times New Roman" w:hAnsi="Times New Roman"/>
                <w:i/>
                <w:sz w:val="21"/>
                <w:szCs w:val="21"/>
              </w:rPr>
              <w:t xml:space="preserve"> </w:t>
            </w:r>
            <w:r>
              <w:rPr>
                <w:rFonts w:hint="default" w:ascii="Times New Roman" w:hAnsi="Times New Roman"/>
                <w:sz w:val="21"/>
                <w:szCs w:val="21"/>
              </w:rPr>
              <w:t>不达标</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区域环境质量的整体变化情况</w:t>
            </w:r>
          </w:p>
        </w:tc>
        <w:tc>
          <w:tcPr>
            <w:tcW w:w="3912" w:type="dxa"/>
            <w:gridSpan w:val="10"/>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i/>
                <w:sz w:val="21"/>
                <w:szCs w:val="21"/>
              </w:rPr>
              <w:t xml:space="preserve">k </w:t>
            </w:r>
            <w:r>
              <w:rPr>
                <w:rFonts w:hint="default" w:ascii="Times New Roman" w:hAnsi="Times New Roman"/>
                <w:sz w:val="21"/>
                <w:szCs w:val="21"/>
              </w:rPr>
              <w:t>≤-20%</w:t>
            </w:r>
            <w:r>
              <w:rPr>
                <w:rFonts w:hint="eastAsia" w:ascii="Times New Roman" w:hAnsi="Times New Roman"/>
                <w:sz w:val="21"/>
                <w:szCs w:val="21"/>
              </w:rPr>
              <w:t>□</w:t>
            </w:r>
          </w:p>
        </w:tc>
        <w:tc>
          <w:tcPr>
            <w:tcW w:w="3311" w:type="dxa"/>
            <w:gridSpan w:val="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i/>
                <w:sz w:val="21"/>
                <w:szCs w:val="21"/>
              </w:rPr>
              <w:t>k</w:t>
            </w:r>
            <w:r>
              <w:rPr>
                <w:rFonts w:hint="default" w:ascii="Times New Roman" w:hAnsi="Times New Roman"/>
                <w:sz w:val="21"/>
                <w:szCs w:val="21"/>
              </w:rPr>
              <w:t xml:space="preserve"> ＞-20%</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环境监测计划</w:t>
            </w: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污染源监测</w:t>
            </w:r>
          </w:p>
        </w:tc>
        <w:tc>
          <w:tcPr>
            <w:tcW w:w="3912" w:type="dxa"/>
            <w:gridSpan w:val="10"/>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监测因子：（</w:t>
            </w:r>
            <w:r>
              <w:rPr>
                <w:rFonts w:hint="default" w:ascii="Times New Roman" w:hAnsi="Times New Roman"/>
                <w:sz w:val="21"/>
                <w:szCs w:val="21"/>
                <w:lang w:val="en-US" w:eastAsia="zh-CN"/>
              </w:rPr>
              <w:t>TSP、二氧化硫、氮氧化物、沥青烟、苯并[a]芘、非甲烷总烃</w:t>
            </w:r>
            <w:r>
              <w:rPr>
                <w:rFonts w:hint="default" w:ascii="Times New Roman" w:hAnsi="Times New Roman"/>
                <w:sz w:val="21"/>
                <w:szCs w:val="21"/>
              </w:rPr>
              <w:t>）</w:t>
            </w:r>
          </w:p>
        </w:tc>
        <w:tc>
          <w:tcPr>
            <w:tcW w:w="1981" w:type="dxa"/>
            <w:gridSpan w:val="6"/>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sz w:val="21"/>
                <w:szCs w:val="21"/>
                <w:lang w:eastAsia="zh-CN"/>
              </w:rPr>
            </w:pPr>
            <w:r>
              <w:rPr>
                <w:rFonts w:hint="default" w:ascii="Times New Roman" w:hAnsi="Times New Roman"/>
                <w:sz w:val="21"/>
                <w:szCs w:val="21"/>
              </w:rPr>
              <w:t>有组织废气监测</w:t>
            </w:r>
            <w:r>
              <w:rPr>
                <w:rFonts w:hint="eastAsia"/>
                <w:sz w:val="21"/>
                <w:szCs w:val="21"/>
                <w:lang w:eastAsia="zh-CN"/>
              </w:rPr>
              <w:t>☑</w:t>
            </w:r>
          </w:p>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无组织废气监测</w:t>
            </w:r>
            <w:r>
              <w:rPr>
                <w:rFonts w:hint="eastAsia"/>
                <w:sz w:val="21"/>
                <w:szCs w:val="21"/>
                <w:lang w:eastAsia="zh-CN"/>
              </w:rPr>
              <w:t>☑</w:t>
            </w:r>
          </w:p>
        </w:tc>
        <w:tc>
          <w:tcPr>
            <w:tcW w:w="1330"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无监测</w:t>
            </w:r>
            <w:r>
              <w:rPr>
                <w:rFonts w:hint="eastAsia" w:ascii="Times New Roman" w:hAnsi="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环境质量监测</w:t>
            </w:r>
          </w:p>
        </w:tc>
        <w:tc>
          <w:tcPr>
            <w:tcW w:w="3912" w:type="dxa"/>
            <w:gridSpan w:val="10"/>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监测因子：（）</w:t>
            </w:r>
          </w:p>
        </w:tc>
        <w:tc>
          <w:tcPr>
            <w:tcW w:w="1981" w:type="dxa"/>
            <w:gridSpan w:val="6"/>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监测点位数（）</w:t>
            </w:r>
          </w:p>
        </w:tc>
        <w:tc>
          <w:tcPr>
            <w:tcW w:w="1330" w:type="dxa"/>
            <w:gridSpan w:val="2"/>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无监测</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restart"/>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评价结论</w:t>
            </w: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环境影响</w:t>
            </w:r>
          </w:p>
        </w:tc>
        <w:tc>
          <w:tcPr>
            <w:tcW w:w="7223" w:type="dxa"/>
            <w:gridSpan w:val="1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eastAsia" w:ascii="Times New Roman" w:hAnsi="Times New Roman" w:eastAsia="宋体"/>
                <w:sz w:val="21"/>
                <w:szCs w:val="21"/>
                <w:lang w:eastAsia="zh-CN"/>
              </w:rPr>
            </w:pPr>
            <w:r>
              <w:rPr>
                <w:rFonts w:hint="default" w:ascii="Times New Roman" w:hAnsi="Times New Roman"/>
                <w:sz w:val="21"/>
                <w:szCs w:val="21"/>
              </w:rPr>
              <w:t>可以接受</w:t>
            </w:r>
            <w:r>
              <w:rPr>
                <w:rFonts w:hint="eastAsia" w:ascii="Times New Roman" w:hAnsi="Times New Roman"/>
                <w:sz w:val="21"/>
                <w:szCs w:val="21"/>
                <w:lang w:eastAsia="zh-CN"/>
              </w:rPr>
              <w:t>☑</w:t>
            </w:r>
            <w:r>
              <w:rPr>
                <w:rFonts w:hint="default" w:ascii="Times New Roman" w:hAnsi="Times New Roman"/>
                <w:sz w:val="21"/>
                <w:szCs w:val="21"/>
              </w:rPr>
              <w:t xml:space="preserve">      不可以接受</w:t>
            </w:r>
            <w:r>
              <w:rPr>
                <w:rFonts w:hint="eastAsia" w:ascii="Times New Roman" w:hAnsi="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大气环境防护距离</w:t>
            </w:r>
          </w:p>
        </w:tc>
        <w:tc>
          <w:tcPr>
            <w:tcW w:w="7223" w:type="dxa"/>
            <w:gridSpan w:val="18"/>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距（/）厂界最远（/）m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31" w:type="dxa"/>
            <w:vMerge w:val="continue"/>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p>
        </w:tc>
        <w:tc>
          <w:tcPr>
            <w:tcW w:w="1648" w:type="dxa"/>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污染源年排放量</w:t>
            </w:r>
          </w:p>
        </w:tc>
        <w:tc>
          <w:tcPr>
            <w:tcW w:w="1350" w:type="dxa"/>
            <w:gridSpan w:val="3"/>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SO</w:t>
            </w:r>
            <w:r>
              <w:rPr>
                <w:rFonts w:hint="default" w:ascii="Times New Roman" w:hAnsi="Times New Roman"/>
                <w:sz w:val="21"/>
                <w:szCs w:val="21"/>
                <w:vertAlign w:val="subscript"/>
              </w:rPr>
              <w:t>2</w:t>
            </w:r>
            <w:r>
              <w:rPr>
                <w:rFonts w:hint="default" w:ascii="Times New Roman" w:hAnsi="Times New Roman"/>
                <w:sz w:val="21"/>
                <w:szCs w:val="21"/>
              </w:rPr>
              <w:t>:（</w:t>
            </w:r>
            <w:r>
              <w:rPr>
                <w:rFonts w:hint="eastAsia"/>
                <w:sz w:val="21"/>
                <w:szCs w:val="21"/>
                <w:lang w:val="en-US" w:eastAsia="zh-CN"/>
              </w:rPr>
              <w:t>1.33</w:t>
            </w:r>
            <w:r>
              <w:rPr>
                <w:rFonts w:hint="default" w:ascii="Times New Roman" w:hAnsi="Times New Roman"/>
                <w:sz w:val="21"/>
                <w:szCs w:val="21"/>
              </w:rPr>
              <w:t>）t/a</w:t>
            </w:r>
          </w:p>
        </w:tc>
        <w:tc>
          <w:tcPr>
            <w:tcW w:w="1640" w:type="dxa"/>
            <w:gridSpan w:val="5"/>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NO</w:t>
            </w:r>
            <w:r>
              <w:rPr>
                <w:rFonts w:hint="default" w:ascii="Times New Roman" w:hAnsi="Times New Roman"/>
                <w:sz w:val="21"/>
                <w:szCs w:val="21"/>
                <w:vertAlign w:val="subscript"/>
              </w:rPr>
              <w:t>x</w:t>
            </w:r>
            <w:r>
              <w:rPr>
                <w:rFonts w:hint="default" w:ascii="Times New Roman" w:hAnsi="Times New Roman"/>
                <w:sz w:val="21"/>
                <w:szCs w:val="21"/>
              </w:rPr>
              <w:t>:（</w:t>
            </w:r>
            <w:r>
              <w:rPr>
                <w:rFonts w:hint="eastAsia"/>
                <w:sz w:val="21"/>
                <w:szCs w:val="21"/>
                <w:lang w:val="en-US" w:eastAsia="zh-CN"/>
              </w:rPr>
              <w:t>1.29</w:t>
            </w:r>
            <w:r>
              <w:rPr>
                <w:rFonts w:hint="default" w:ascii="Times New Roman" w:hAnsi="Times New Roman"/>
                <w:sz w:val="21"/>
                <w:szCs w:val="21"/>
              </w:rPr>
              <w:t>）t/a</w:t>
            </w:r>
          </w:p>
        </w:tc>
        <w:tc>
          <w:tcPr>
            <w:tcW w:w="2113" w:type="dxa"/>
            <w:gridSpan w:val="6"/>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颗粒物:（</w:t>
            </w:r>
            <w:r>
              <w:rPr>
                <w:rFonts w:hint="eastAsia"/>
                <w:sz w:val="21"/>
                <w:szCs w:val="21"/>
                <w:lang w:val="en-US" w:eastAsia="zh-CN"/>
              </w:rPr>
              <w:t>0.4518</w:t>
            </w:r>
            <w:r>
              <w:rPr>
                <w:rFonts w:hint="default" w:ascii="Times New Roman" w:hAnsi="Times New Roman"/>
                <w:sz w:val="21"/>
                <w:szCs w:val="21"/>
              </w:rPr>
              <w:t>）t/a</w:t>
            </w:r>
          </w:p>
        </w:tc>
        <w:tc>
          <w:tcPr>
            <w:tcW w:w="2120" w:type="dxa"/>
            <w:gridSpan w:val="4"/>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rPr>
                <w:rFonts w:hint="default" w:ascii="Times New Roman" w:hAnsi="Times New Roman"/>
                <w:sz w:val="21"/>
                <w:szCs w:val="21"/>
              </w:rPr>
            </w:pPr>
            <w:r>
              <w:rPr>
                <w:rFonts w:hint="default" w:ascii="Times New Roman" w:hAnsi="Times New Roman"/>
                <w:sz w:val="21"/>
                <w:szCs w:val="21"/>
              </w:rPr>
              <w:t>VOC</w:t>
            </w:r>
            <w:r>
              <w:rPr>
                <w:rFonts w:hint="default" w:ascii="Times New Roman" w:hAnsi="Times New Roman"/>
                <w:sz w:val="21"/>
                <w:szCs w:val="21"/>
                <w:vertAlign w:val="subscript"/>
              </w:rPr>
              <w:t>s</w:t>
            </w:r>
            <w:r>
              <w:rPr>
                <w:rFonts w:hint="default" w:ascii="Times New Roman" w:hAnsi="Times New Roman"/>
                <w:sz w:val="21"/>
                <w:szCs w:val="21"/>
              </w:rPr>
              <w:t>:（</w:t>
            </w:r>
            <w:r>
              <w:rPr>
                <w:rFonts w:hint="eastAsia"/>
                <w:sz w:val="21"/>
                <w:szCs w:val="21"/>
                <w:lang w:val="en-US" w:eastAsia="zh-CN"/>
              </w:rPr>
              <w:t>0.000253</w:t>
            </w:r>
            <w:r>
              <w:rPr>
                <w:rFonts w:hint="default" w:ascii="Times New Roman" w:hAnsi="Times New Roman"/>
                <w:sz w:val="21"/>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trPr>
        <w:tc>
          <w:tcPr>
            <w:tcW w:w="9802" w:type="dxa"/>
            <w:gridSpan w:val="20"/>
            <w:tcBorders>
              <w:tl2br w:val="nil"/>
              <w:tr2bl w:val="nil"/>
            </w:tcBorders>
            <w:vAlign w:val="center"/>
          </w:tcPr>
          <w:p>
            <w:pPr>
              <w:pStyle w:val="9"/>
              <w:keepNext w:val="0"/>
              <w:keepLines w:val="0"/>
              <w:framePr w:wrap="auto" w:vAnchor="margin" w:hAnchor="text" w:xAlign="left" w:yAlign="inline"/>
              <w:widowControl/>
              <w:suppressLineNumbers w:val="0"/>
              <w:spacing w:before="0" w:beforeAutospacing="0" w:after="0" w:afterAutospacing="0"/>
              <w:ind w:left="0" w:right="0"/>
              <w:jc w:val="left"/>
              <w:rPr>
                <w:rFonts w:hint="default" w:ascii="Times New Roman" w:hAnsi="Times New Roman"/>
                <w:sz w:val="21"/>
                <w:szCs w:val="21"/>
              </w:rPr>
            </w:pPr>
            <w:r>
              <w:rPr>
                <w:rFonts w:hint="default" w:ascii="Times New Roman" w:hAnsi="Times New Roman"/>
                <w:sz w:val="21"/>
                <w:szCs w:val="21"/>
              </w:rPr>
              <w:t>注：“□” 为勾选项 ，填“√” ；“（   ）” 为内容填写项</w:t>
            </w:r>
          </w:p>
        </w:tc>
      </w:tr>
    </w:tbl>
    <w:p>
      <w:pPr>
        <w:ind w:firstLine="480"/>
        <w:sectPr>
          <w:pgSz w:w="11906" w:h="16838"/>
          <w:pgMar w:top="1531" w:right="1701" w:bottom="1531" w:left="1701" w:header="851" w:footer="851" w:gutter="0"/>
          <w:cols w:space="720" w:num="1"/>
          <w:docGrid w:linePitch="312" w:charSpace="0"/>
        </w:sectPr>
      </w:pPr>
    </w:p>
    <w:p>
      <w:pPr>
        <w:ind w:left="0" w:leftChars="0" w:firstLine="0" w:firstLineChars="0"/>
        <w:jc w:val="both"/>
        <w:rPr>
          <w:rFonts w:hint="eastAsia"/>
        </w:rPr>
      </w:pPr>
    </w:p>
    <w:sectPr>
      <w:footerReference r:id="rId7"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ind w:firstLine="480"/>
    </w:pPr>
    <w:r>
      <w:fldChar w:fldCharType="begin"/>
    </w:r>
    <w:r>
      <w:instrText xml:space="preserve">PAGE  </w:instrText>
    </w:r>
    <w:r>
      <w:fldChar w:fldCharType="end"/>
    </w:r>
  </w:p>
  <w:p>
    <w:pPr>
      <w:tabs>
        <w:tab w:val="center" w:pos="4153"/>
        <w:tab w:val="right" w:pos="8306"/>
      </w:tabs>
      <w:ind w:right="360"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firstLine="560"/>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99</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tabs>
                        <w:tab w:val="center" w:pos="4153"/>
                        <w:tab w:val="right" w:pos="8306"/>
                      </w:tabs>
                      <w:ind w:firstLine="560"/>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99</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firstLine="560"/>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104</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tabs>
                        <w:tab w:val="center" w:pos="4153"/>
                        <w:tab w:val="right" w:pos="8306"/>
                      </w:tabs>
                      <w:ind w:firstLine="560"/>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104</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firstLine="560"/>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126</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tabs>
                        <w:tab w:val="center" w:pos="4153"/>
                        <w:tab w:val="right" w:pos="8306"/>
                      </w:tabs>
                      <w:ind w:firstLine="560"/>
                      <w:rPr>
                        <w:rFonts w:ascii="宋体" w:hAnsi="宋体"/>
                        <w:sz w:val="28"/>
                        <w:szCs w:val="28"/>
                      </w:rPr>
                    </w:pPr>
                    <w:r>
                      <w:rPr>
                        <w:rFonts w:hint="eastAsia" w:ascii="宋体" w:hAnsi="宋体"/>
                        <w:sz w:val="28"/>
                        <w:szCs w:val="28"/>
                      </w:rPr>
                      <w:t>—</w:t>
                    </w:r>
                    <w:r>
                      <w:rPr>
                        <w:rFonts w:hint="eastAsia" w:ascii="宋体" w:hAnsi="宋体"/>
                        <w:sz w:val="20"/>
                      </w:rPr>
                      <w:t xml:space="preserve">  </w:t>
                    </w:r>
                    <w:r>
                      <w:rPr>
                        <w:rFonts w:ascii="宋体" w:hAnsi="宋体"/>
                        <w:sz w:val="26"/>
                        <w:szCs w:val="26"/>
                      </w:rPr>
                      <w:fldChar w:fldCharType="begin"/>
                    </w:r>
                    <w:r>
                      <w:rPr>
                        <w:rFonts w:ascii="宋体" w:hAnsi="宋体"/>
                        <w:sz w:val="26"/>
                        <w:szCs w:val="26"/>
                      </w:rPr>
                      <w:instrText xml:space="preserve">PAGE  </w:instrText>
                    </w:r>
                    <w:r>
                      <w:rPr>
                        <w:rFonts w:ascii="宋体" w:hAnsi="宋体"/>
                        <w:sz w:val="26"/>
                        <w:szCs w:val="26"/>
                      </w:rPr>
                      <w:fldChar w:fldCharType="separate"/>
                    </w:r>
                    <w:r>
                      <w:rPr>
                        <w:rFonts w:ascii="宋体" w:hAnsi="宋体"/>
                        <w:sz w:val="26"/>
                        <w:szCs w:val="26"/>
                      </w:rPr>
                      <w:t>126</w:t>
                    </w:r>
                    <w:r>
                      <w:rPr>
                        <w:rFonts w:ascii="宋体" w:hAnsi="宋体"/>
                        <w:sz w:val="26"/>
                        <w:szCs w:val="26"/>
                      </w:rPr>
                      <w:fldChar w:fldCharType="end"/>
                    </w:r>
                    <w:r>
                      <w:rPr>
                        <w:rFonts w:hint="eastAsia" w:ascii="宋体" w:hAnsi="宋体"/>
                        <w:sz w:val="20"/>
                      </w:rPr>
                      <w:t xml:space="preserve">  </w:t>
                    </w:r>
                    <w:r>
                      <w:rPr>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YTZkNzMwZGNhNTkzOTZhYzlhODIxOGQ5M2NkZDgifQ=="/>
  </w:docVars>
  <w:rsids>
    <w:rsidRoot w:val="00172A27"/>
    <w:rsid w:val="000060B3"/>
    <w:rsid w:val="000273CC"/>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377E3"/>
    <w:rsid w:val="00140FA8"/>
    <w:rsid w:val="00142FEB"/>
    <w:rsid w:val="00143A2D"/>
    <w:rsid w:val="00145A41"/>
    <w:rsid w:val="00151675"/>
    <w:rsid w:val="00157435"/>
    <w:rsid w:val="00172A27"/>
    <w:rsid w:val="0017504D"/>
    <w:rsid w:val="0017671A"/>
    <w:rsid w:val="00177422"/>
    <w:rsid w:val="00180474"/>
    <w:rsid w:val="00184590"/>
    <w:rsid w:val="001870D1"/>
    <w:rsid w:val="0018781E"/>
    <w:rsid w:val="0019262D"/>
    <w:rsid w:val="001A1B35"/>
    <w:rsid w:val="001A48A2"/>
    <w:rsid w:val="001A6F61"/>
    <w:rsid w:val="001B72B8"/>
    <w:rsid w:val="001C048E"/>
    <w:rsid w:val="001C69B3"/>
    <w:rsid w:val="001D5595"/>
    <w:rsid w:val="001D56AC"/>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3AD3"/>
    <w:rsid w:val="002B49E2"/>
    <w:rsid w:val="002B7B00"/>
    <w:rsid w:val="002B7C44"/>
    <w:rsid w:val="002C2B17"/>
    <w:rsid w:val="002C61F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871D0"/>
    <w:rsid w:val="00390857"/>
    <w:rsid w:val="003A4BF3"/>
    <w:rsid w:val="003B05AB"/>
    <w:rsid w:val="003B420D"/>
    <w:rsid w:val="003C6C16"/>
    <w:rsid w:val="003D5A2C"/>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45B0A"/>
    <w:rsid w:val="00554A7B"/>
    <w:rsid w:val="0055572C"/>
    <w:rsid w:val="005574FC"/>
    <w:rsid w:val="0056106A"/>
    <w:rsid w:val="005720AE"/>
    <w:rsid w:val="00594D77"/>
    <w:rsid w:val="005969E4"/>
    <w:rsid w:val="005A06B7"/>
    <w:rsid w:val="005A1759"/>
    <w:rsid w:val="005A68A7"/>
    <w:rsid w:val="005C088A"/>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97617"/>
    <w:rsid w:val="007A2170"/>
    <w:rsid w:val="007A22BF"/>
    <w:rsid w:val="007A3323"/>
    <w:rsid w:val="007B72B8"/>
    <w:rsid w:val="007B7A58"/>
    <w:rsid w:val="007C21B5"/>
    <w:rsid w:val="007E432B"/>
    <w:rsid w:val="007E4BD2"/>
    <w:rsid w:val="00801393"/>
    <w:rsid w:val="00802F88"/>
    <w:rsid w:val="0081200F"/>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0C2"/>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6AEC"/>
    <w:rsid w:val="00AB7747"/>
    <w:rsid w:val="00AC14CE"/>
    <w:rsid w:val="00AC2A56"/>
    <w:rsid w:val="00AD055E"/>
    <w:rsid w:val="00AD297A"/>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C503A"/>
    <w:rsid w:val="00CD2BCD"/>
    <w:rsid w:val="00CD3A4C"/>
    <w:rsid w:val="00CE10E9"/>
    <w:rsid w:val="00CE2910"/>
    <w:rsid w:val="00CE5393"/>
    <w:rsid w:val="00CE72AE"/>
    <w:rsid w:val="00CF36BE"/>
    <w:rsid w:val="00CF6000"/>
    <w:rsid w:val="00D003F3"/>
    <w:rsid w:val="00D02080"/>
    <w:rsid w:val="00D0364F"/>
    <w:rsid w:val="00D06834"/>
    <w:rsid w:val="00D20B4D"/>
    <w:rsid w:val="00D308ED"/>
    <w:rsid w:val="00D36D86"/>
    <w:rsid w:val="00D428AA"/>
    <w:rsid w:val="00D45C80"/>
    <w:rsid w:val="00D50A34"/>
    <w:rsid w:val="00D53EFA"/>
    <w:rsid w:val="00D8172D"/>
    <w:rsid w:val="00D94A7C"/>
    <w:rsid w:val="00D95896"/>
    <w:rsid w:val="00DA5C53"/>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C20ED"/>
    <w:rsid w:val="00ED0639"/>
    <w:rsid w:val="00ED3BD8"/>
    <w:rsid w:val="00EF4755"/>
    <w:rsid w:val="00EF7135"/>
    <w:rsid w:val="00F027DB"/>
    <w:rsid w:val="00F14A7A"/>
    <w:rsid w:val="00F22985"/>
    <w:rsid w:val="00F3383E"/>
    <w:rsid w:val="00F465A7"/>
    <w:rsid w:val="00F50B7C"/>
    <w:rsid w:val="00F550E6"/>
    <w:rsid w:val="00F60312"/>
    <w:rsid w:val="00F74345"/>
    <w:rsid w:val="00F80A0A"/>
    <w:rsid w:val="00F82B19"/>
    <w:rsid w:val="00F9212D"/>
    <w:rsid w:val="00F965DA"/>
    <w:rsid w:val="00FA406A"/>
    <w:rsid w:val="00FB503A"/>
    <w:rsid w:val="00FB516C"/>
    <w:rsid w:val="00FD0236"/>
    <w:rsid w:val="00FD18F4"/>
    <w:rsid w:val="00FD54DB"/>
    <w:rsid w:val="00FD619F"/>
    <w:rsid w:val="00FE0D64"/>
    <w:rsid w:val="01062EEC"/>
    <w:rsid w:val="0111193D"/>
    <w:rsid w:val="011B0745"/>
    <w:rsid w:val="011C44BE"/>
    <w:rsid w:val="01290F7E"/>
    <w:rsid w:val="012D593F"/>
    <w:rsid w:val="0138157B"/>
    <w:rsid w:val="014F1536"/>
    <w:rsid w:val="015D1E09"/>
    <w:rsid w:val="016C16F3"/>
    <w:rsid w:val="0179546C"/>
    <w:rsid w:val="018067FB"/>
    <w:rsid w:val="01852063"/>
    <w:rsid w:val="01865B42"/>
    <w:rsid w:val="018C1895"/>
    <w:rsid w:val="01AD2888"/>
    <w:rsid w:val="01B563A9"/>
    <w:rsid w:val="01C54B55"/>
    <w:rsid w:val="01D370E3"/>
    <w:rsid w:val="01DD59FB"/>
    <w:rsid w:val="01E1703D"/>
    <w:rsid w:val="01FE5971"/>
    <w:rsid w:val="0203600B"/>
    <w:rsid w:val="0204567E"/>
    <w:rsid w:val="026659F0"/>
    <w:rsid w:val="02697903"/>
    <w:rsid w:val="0270061D"/>
    <w:rsid w:val="02785724"/>
    <w:rsid w:val="028E07AB"/>
    <w:rsid w:val="02AE7397"/>
    <w:rsid w:val="02B91EC7"/>
    <w:rsid w:val="02D908B8"/>
    <w:rsid w:val="02F96569"/>
    <w:rsid w:val="02FA438B"/>
    <w:rsid w:val="02FE031F"/>
    <w:rsid w:val="03177BCF"/>
    <w:rsid w:val="03362040"/>
    <w:rsid w:val="0341645D"/>
    <w:rsid w:val="034877EC"/>
    <w:rsid w:val="034C108A"/>
    <w:rsid w:val="03595555"/>
    <w:rsid w:val="03653EFA"/>
    <w:rsid w:val="03810BB8"/>
    <w:rsid w:val="038325D2"/>
    <w:rsid w:val="03870314"/>
    <w:rsid w:val="0389238A"/>
    <w:rsid w:val="03920A67"/>
    <w:rsid w:val="039371DC"/>
    <w:rsid w:val="03A52548"/>
    <w:rsid w:val="03A859A0"/>
    <w:rsid w:val="03E33245"/>
    <w:rsid w:val="03E35797"/>
    <w:rsid w:val="03E56DE9"/>
    <w:rsid w:val="03EA7B21"/>
    <w:rsid w:val="03F05454"/>
    <w:rsid w:val="0405752A"/>
    <w:rsid w:val="0426363E"/>
    <w:rsid w:val="044A2F22"/>
    <w:rsid w:val="04567CE7"/>
    <w:rsid w:val="045A1585"/>
    <w:rsid w:val="049727D9"/>
    <w:rsid w:val="04D01847"/>
    <w:rsid w:val="05047743"/>
    <w:rsid w:val="05080EB6"/>
    <w:rsid w:val="050B287F"/>
    <w:rsid w:val="05114158"/>
    <w:rsid w:val="053C0C8A"/>
    <w:rsid w:val="05453BD6"/>
    <w:rsid w:val="05526700"/>
    <w:rsid w:val="05643067"/>
    <w:rsid w:val="057C0ED0"/>
    <w:rsid w:val="057E74F5"/>
    <w:rsid w:val="058162D7"/>
    <w:rsid w:val="05864302"/>
    <w:rsid w:val="058727A8"/>
    <w:rsid w:val="058D598A"/>
    <w:rsid w:val="05997E8B"/>
    <w:rsid w:val="059F4439"/>
    <w:rsid w:val="05A14F91"/>
    <w:rsid w:val="05A54A82"/>
    <w:rsid w:val="05A709B8"/>
    <w:rsid w:val="05AB06BC"/>
    <w:rsid w:val="05B20F4D"/>
    <w:rsid w:val="05BB21D1"/>
    <w:rsid w:val="05BF161B"/>
    <w:rsid w:val="05D4471C"/>
    <w:rsid w:val="05DA0EAA"/>
    <w:rsid w:val="05DD06BF"/>
    <w:rsid w:val="05EC34C1"/>
    <w:rsid w:val="05EF03F3"/>
    <w:rsid w:val="05F41565"/>
    <w:rsid w:val="05F83EAE"/>
    <w:rsid w:val="0617096E"/>
    <w:rsid w:val="061A681E"/>
    <w:rsid w:val="062549A8"/>
    <w:rsid w:val="06257970"/>
    <w:rsid w:val="063E7D85"/>
    <w:rsid w:val="06526B6D"/>
    <w:rsid w:val="066753C3"/>
    <w:rsid w:val="066F5090"/>
    <w:rsid w:val="067A7CBC"/>
    <w:rsid w:val="06954AF6"/>
    <w:rsid w:val="0696086E"/>
    <w:rsid w:val="06A905A2"/>
    <w:rsid w:val="06AB60C8"/>
    <w:rsid w:val="06BB4119"/>
    <w:rsid w:val="06C914E9"/>
    <w:rsid w:val="06CB0518"/>
    <w:rsid w:val="06EB7569"/>
    <w:rsid w:val="06FA0F5D"/>
    <w:rsid w:val="06FA704F"/>
    <w:rsid w:val="06FD269B"/>
    <w:rsid w:val="06FE3AAF"/>
    <w:rsid w:val="07293586"/>
    <w:rsid w:val="07295285"/>
    <w:rsid w:val="072D2F81"/>
    <w:rsid w:val="072D3364"/>
    <w:rsid w:val="072E6CF9"/>
    <w:rsid w:val="073C7C63"/>
    <w:rsid w:val="0745028B"/>
    <w:rsid w:val="074938C4"/>
    <w:rsid w:val="07524795"/>
    <w:rsid w:val="0757624F"/>
    <w:rsid w:val="075A6BFD"/>
    <w:rsid w:val="07636392"/>
    <w:rsid w:val="076F5347"/>
    <w:rsid w:val="07751C03"/>
    <w:rsid w:val="07770C56"/>
    <w:rsid w:val="078443B5"/>
    <w:rsid w:val="07866291"/>
    <w:rsid w:val="07B13BB2"/>
    <w:rsid w:val="07B344E4"/>
    <w:rsid w:val="07E74E6E"/>
    <w:rsid w:val="07F65A68"/>
    <w:rsid w:val="07F81C25"/>
    <w:rsid w:val="080041F1"/>
    <w:rsid w:val="08030185"/>
    <w:rsid w:val="081952B3"/>
    <w:rsid w:val="08196F74"/>
    <w:rsid w:val="08404F36"/>
    <w:rsid w:val="088017D6"/>
    <w:rsid w:val="08980A8D"/>
    <w:rsid w:val="089F5390"/>
    <w:rsid w:val="08C2594B"/>
    <w:rsid w:val="08C416C3"/>
    <w:rsid w:val="08D77648"/>
    <w:rsid w:val="08DB0B60"/>
    <w:rsid w:val="08E458C1"/>
    <w:rsid w:val="08E6788B"/>
    <w:rsid w:val="08FF26FB"/>
    <w:rsid w:val="09093C92"/>
    <w:rsid w:val="090F3FC1"/>
    <w:rsid w:val="091F0B53"/>
    <w:rsid w:val="092217DD"/>
    <w:rsid w:val="09293C1C"/>
    <w:rsid w:val="093A7294"/>
    <w:rsid w:val="0952634F"/>
    <w:rsid w:val="095F28AF"/>
    <w:rsid w:val="09672ED0"/>
    <w:rsid w:val="09684744"/>
    <w:rsid w:val="098F1CD1"/>
    <w:rsid w:val="099C619C"/>
    <w:rsid w:val="09B307A0"/>
    <w:rsid w:val="09B42310"/>
    <w:rsid w:val="09DB095F"/>
    <w:rsid w:val="09DF6C17"/>
    <w:rsid w:val="09ED1731"/>
    <w:rsid w:val="09F4422A"/>
    <w:rsid w:val="0A174B80"/>
    <w:rsid w:val="0A1977EC"/>
    <w:rsid w:val="0A263993"/>
    <w:rsid w:val="0A2D0390"/>
    <w:rsid w:val="0A2D3AC2"/>
    <w:rsid w:val="0A5E78F5"/>
    <w:rsid w:val="0A652A31"/>
    <w:rsid w:val="0A66380E"/>
    <w:rsid w:val="0A6A252A"/>
    <w:rsid w:val="0A6C12F4"/>
    <w:rsid w:val="0A7942C5"/>
    <w:rsid w:val="0A8B7C43"/>
    <w:rsid w:val="0AA755DF"/>
    <w:rsid w:val="0AB20676"/>
    <w:rsid w:val="0AC10861"/>
    <w:rsid w:val="0ACC376C"/>
    <w:rsid w:val="0AD3127A"/>
    <w:rsid w:val="0AEE0B31"/>
    <w:rsid w:val="0AF12517"/>
    <w:rsid w:val="0AF81AF7"/>
    <w:rsid w:val="0B120D44"/>
    <w:rsid w:val="0B296DDE"/>
    <w:rsid w:val="0B2E5519"/>
    <w:rsid w:val="0B635168"/>
    <w:rsid w:val="0B7774FC"/>
    <w:rsid w:val="0B7F2855"/>
    <w:rsid w:val="0B9A495D"/>
    <w:rsid w:val="0BA215D3"/>
    <w:rsid w:val="0BD22349"/>
    <w:rsid w:val="0BD27BF6"/>
    <w:rsid w:val="0BE65DF4"/>
    <w:rsid w:val="0BED0F30"/>
    <w:rsid w:val="0BF027CF"/>
    <w:rsid w:val="0C0149DC"/>
    <w:rsid w:val="0C152235"/>
    <w:rsid w:val="0C1C7A68"/>
    <w:rsid w:val="0C3628D7"/>
    <w:rsid w:val="0C37664F"/>
    <w:rsid w:val="0C3B3C7D"/>
    <w:rsid w:val="0C542D5E"/>
    <w:rsid w:val="0C5965C6"/>
    <w:rsid w:val="0C6069C9"/>
    <w:rsid w:val="0C685EAE"/>
    <w:rsid w:val="0C6A07D3"/>
    <w:rsid w:val="0C7565A8"/>
    <w:rsid w:val="0C803B53"/>
    <w:rsid w:val="0C896A04"/>
    <w:rsid w:val="0C922E46"/>
    <w:rsid w:val="0CAB2EAE"/>
    <w:rsid w:val="0CAD06C0"/>
    <w:rsid w:val="0CB90009"/>
    <w:rsid w:val="0CC87020"/>
    <w:rsid w:val="0CE26495"/>
    <w:rsid w:val="0D140CC6"/>
    <w:rsid w:val="0D2546FA"/>
    <w:rsid w:val="0D3112F1"/>
    <w:rsid w:val="0D434C45"/>
    <w:rsid w:val="0D58687D"/>
    <w:rsid w:val="0D621C7D"/>
    <w:rsid w:val="0D6E42F3"/>
    <w:rsid w:val="0D731909"/>
    <w:rsid w:val="0D741EB3"/>
    <w:rsid w:val="0D7731A8"/>
    <w:rsid w:val="0D8A34B8"/>
    <w:rsid w:val="0DA033EA"/>
    <w:rsid w:val="0DA27AF9"/>
    <w:rsid w:val="0DB937C0"/>
    <w:rsid w:val="0DC431C4"/>
    <w:rsid w:val="0DD51C7C"/>
    <w:rsid w:val="0DD57ECE"/>
    <w:rsid w:val="0DD954DB"/>
    <w:rsid w:val="0DF02F5A"/>
    <w:rsid w:val="0DF32985"/>
    <w:rsid w:val="0DFC36AD"/>
    <w:rsid w:val="0E033747"/>
    <w:rsid w:val="0E1924B1"/>
    <w:rsid w:val="0E1B7FD7"/>
    <w:rsid w:val="0E407A3D"/>
    <w:rsid w:val="0E4450F7"/>
    <w:rsid w:val="0E73034D"/>
    <w:rsid w:val="0E8408F9"/>
    <w:rsid w:val="0EA16002"/>
    <w:rsid w:val="0EA21550"/>
    <w:rsid w:val="0EA55AF2"/>
    <w:rsid w:val="0EA753E8"/>
    <w:rsid w:val="0EB12411"/>
    <w:rsid w:val="0EBB3D93"/>
    <w:rsid w:val="0EBB6B65"/>
    <w:rsid w:val="0EBE5D16"/>
    <w:rsid w:val="0EC248F6"/>
    <w:rsid w:val="0ED548E6"/>
    <w:rsid w:val="0EDA5D8D"/>
    <w:rsid w:val="0EDE1004"/>
    <w:rsid w:val="0EED488B"/>
    <w:rsid w:val="0EFB5712"/>
    <w:rsid w:val="0F000D97"/>
    <w:rsid w:val="0F13775A"/>
    <w:rsid w:val="0F296723"/>
    <w:rsid w:val="0F305684"/>
    <w:rsid w:val="0F3E7912"/>
    <w:rsid w:val="0F4F5A5E"/>
    <w:rsid w:val="0F552C47"/>
    <w:rsid w:val="0F5F45FE"/>
    <w:rsid w:val="0F751969"/>
    <w:rsid w:val="0F81030D"/>
    <w:rsid w:val="0F8E47D8"/>
    <w:rsid w:val="0F925CFC"/>
    <w:rsid w:val="0F9A112B"/>
    <w:rsid w:val="0FB26719"/>
    <w:rsid w:val="0FB3423F"/>
    <w:rsid w:val="0FB839BF"/>
    <w:rsid w:val="0FD3668F"/>
    <w:rsid w:val="10077E9A"/>
    <w:rsid w:val="100C579E"/>
    <w:rsid w:val="10256788"/>
    <w:rsid w:val="10266A6D"/>
    <w:rsid w:val="10330701"/>
    <w:rsid w:val="1033098C"/>
    <w:rsid w:val="10334D2F"/>
    <w:rsid w:val="105E051F"/>
    <w:rsid w:val="106075E4"/>
    <w:rsid w:val="106D2F64"/>
    <w:rsid w:val="107240FA"/>
    <w:rsid w:val="107D3EC8"/>
    <w:rsid w:val="109951E3"/>
    <w:rsid w:val="10B63710"/>
    <w:rsid w:val="10B72F40"/>
    <w:rsid w:val="10BE4267"/>
    <w:rsid w:val="10C34956"/>
    <w:rsid w:val="10CA7A92"/>
    <w:rsid w:val="10CD1330"/>
    <w:rsid w:val="10CF12B0"/>
    <w:rsid w:val="10E16B8A"/>
    <w:rsid w:val="10E24D48"/>
    <w:rsid w:val="10EC085B"/>
    <w:rsid w:val="10F10820"/>
    <w:rsid w:val="10F45636"/>
    <w:rsid w:val="10F468BD"/>
    <w:rsid w:val="110034B4"/>
    <w:rsid w:val="110C0813"/>
    <w:rsid w:val="111C2F7A"/>
    <w:rsid w:val="1122342A"/>
    <w:rsid w:val="112F78F5"/>
    <w:rsid w:val="113D0264"/>
    <w:rsid w:val="114A2981"/>
    <w:rsid w:val="114B7449"/>
    <w:rsid w:val="115630D4"/>
    <w:rsid w:val="11665CA1"/>
    <w:rsid w:val="117143B2"/>
    <w:rsid w:val="11731ED8"/>
    <w:rsid w:val="119974E4"/>
    <w:rsid w:val="11B6298B"/>
    <w:rsid w:val="11CC0BDA"/>
    <w:rsid w:val="1205258B"/>
    <w:rsid w:val="121A194A"/>
    <w:rsid w:val="121F42FE"/>
    <w:rsid w:val="12255A8E"/>
    <w:rsid w:val="124E7624"/>
    <w:rsid w:val="124F64A1"/>
    <w:rsid w:val="128D6FC9"/>
    <w:rsid w:val="12940358"/>
    <w:rsid w:val="129634E1"/>
    <w:rsid w:val="12AF6F40"/>
    <w:rsid w:val="12C878BC"/>
    <w:rsid w:val="12CB61CC"/>
    <w:rsid w:val="12E71741"/>
    <w:rsid w:val="12FD414F"/>
    <w:rsid w:val="130F5C30"/>
    <w:rsid w:val="131B42F0"/>
    <w:rsid w:val="132C67E2"/>
    <w:rsid w:val="13451652"/>
    <w:rsid w:val="134829B4"/>
    <w:rsid w:val="134C478E"/>
    <w:rsid w:val="13514063"/>
    <w:rsid w:val="13695C36"/>
    <w:rsid w:val="137D2B9A"/>
    <w:rsid w:val="138D2BA9"/>
    <w:rsid w:val="13951726"/>
    <w:rsid w:val="13985C26"/>
    <w:rsid w:val="13A07CC2"/>
    <w:rsid w:val="13A61301"/>
    <w:rsid w:val="13B30CB1"/>
    <w:rsid w:val="13C92283"/>
    <w:rsid w:val="13F82B68"/>
    <w:rsid w:val="140426E0"/>
    <w:rsid w:val="14052375"/>
    <w:rsid w:val="140719B9"/>
    <w:rsid w:val="141554C8"/>
    <w:rsid w:val="142434BD"/>
    <w:rsid w:val="14292D22"/>
    <w:rsid w:val="14396509"/>
    <w:rsid w:val="1444190A"/>
    <w:rsid w:val="146E69CC"/>
    <w:rsid w:val="147D6BCA"/>
    <w:rsid w:val="149A1F33"/>
    <w:rsid w:val="14BA7E1E"/>
    <w:rsid w:val="14BB6F31"/>
    <w:rsid w:val="14BF6E04"/>
    <w:rsid w:val="14CD6EC1"/>
    <w:rsid w:val="14DD2C3C"/>
    <w:rsid w:val="14ED01F3"/>
    <w:rsid w:val="15023C9F"/>
    <w:rsid w:val="15430F8C"/>
    <w:rsid w:val="154A2F50"/>
    <w:rsid w:val="154C7EA9"/>
    <w:rsid w:val="15602773"/>
    <w:rsid w:val="156269D0"/>
    <w:rsid w:val="157C5211"/>
    <w:rsid w:val="159E0259"/>
    <w:rsid w:val="15A92871"/>
    <w:rsid w:val="15B12FCF"/>
    <w:rsid w:val="15B50D11"/>
    <w:rsid w:val="15D46CBD"/>
    <w:rsid w:val="15D867AD"/>
    <w:rsid w:val="16087E1D"/>
    <w:rsid w:val="160E6673"/>
    <w:rsid w:val="16117F11"/>
    <w:rsid w:val="162E5D73"/>
    <w:rsid w:val="16377978"/>
    <w:rsid w:val="164B3423"/>
    <w:rsid w:val="16504596"/>
    <w:rsid w:val="16573B76"/>
    <w:rsid w:val="16585B40"/>
    <w:rsid w:val="165C118C"/>
    <w:rsid w:val="166444E5"/>
    <w:rsid w:val="167F4E7B"/>
    <w:rsid w:val="16856C77"/>
    <w:rsid w:val="16945039"/>
    <w:rsid w:val="169B6530"/>
    <w:rsid w:val="169D7336"/>
    <w:rsid w:val="16A06334"/>
    <w:rsid w:val="16AE5B13"/>
    <w:rsid w:val="16B20DAC"/>
    <w:rsid w:val="16C46AEF"/>
    <w:rsid w:val="16C75F5C"/>
    <w:rsid w:val="16CC5D74"/>
    <w:rsid w:val="16EF0253"/>
    <w:rsid w:val="16F7322A"/>
    <w:rsid w:val="17365E81"/>
    <w:rsid w:val="174E6889"/>
    <w:rsid w:val="175A10DF"/>
    <w:rsid w:val="175D340E"/>
    <w:rsid w:val="176B04A7"/>
    <w:rsid w:val="17701D14"/>
    <w:rsid w:val="17735226"/>
    <w:rsid w:val="177E2203"/>
    <w:rsid w:val="1798087A"/>
    <w:rsid w:val="17A40EDD"/>
    <w:rsid w:val="17B648CC"/>
    <w:rsid w:val="17BB62CF"/>
    <w:rsid w:val="17C4348D"/>
    <w:rsid w:val="17DB7343"/>
    <w:rsid w:val="17FC780C"/>
    <w:rsid w:val="17FF6273"/>
    <w:rsid w:val="180550B5"/>
    <w:rsid w:val="180C0990"/>
    <w:rsid w:val="182A6A7F"/>
    <w:rsid w:val="183869EB"/>
    <w:rsid w:val="18581E27"/>
    <w:rsid w:val="185A30AA"/>
    <w:rsid w:val="18601EA5"/>
    <w:rsid w:val="186802BC"/>
    <w:rsid w:val="186B56B7"/>
    <w:rsid w:val="18702423"/>
    <w:rsid w:val="18702CCD"/>
    <w:rsid w:val="1873303D"/>
    <w:rsid w:val="18867602"/>
    <w:rsid w:val="188E5E3A"/>
    <w:rsid w:val="189F624C"/>
    <w:rsid w:val="18B057C0"/>
    <w:rsid w:val="18C56BD4"/>
    <w:rsid w:val="18C64720"/>
    <w:rsid w:val="18D47700"/>
    <w:rsid w:val="18DE057F"/>
    <w:rsid w:val="18E5190D"/>
    <w:rsid w:val="193208CA"/>
    <w:rsid w:val="193E726F"/>
    <w:rsid w:val="19516FA3"/>
    <w:rsid w:val="19524AC9"/>
    <w:rsid w:val="1977452F"/>
    <w:rsid w:val="197D54C2"/>
    <w:rsid w:val="198774F0"/>
    <w:rsid w:val="19936669"/>
    <w:rsid w:val="19971CFA"/>
    <w:rsid w:val="19A31984"/>
    <w:rsid w:val="19AE36B9"/>
    <w:rsid w:val="19B85E4F"/>
    <w:rsid w:val="19B94B48"/>
    <w:rsid w:val="19BD5EE0"/>
    <w:rsid w:val="19D84FCE"/>
    <w:rsid w:val="19D92AF4"/>
    <w:rsid w:val="19E10397"/>
    <w:rsid w:val="1A02204B"/>
    <w:rsid w:val="1A11228E"/>
    <w:rsid w:val="1A1C66C0"/>
    <w:rsid w:val="1A376AEE"/>
    <w:rsid w:val="1A42393B"/>
    <w:rsid w:val="1A4268EB"/>
    <w:rsid w:val="1A4D0F33"/>
    <w:rsid w:val="1A676333"/>
    <w:rsid w:val="1A6D4E91"/>
    <w:rsid w:val="1A845156"/>
    <w:rsid w:val="1A882AFB"/>
    <w:rsid w:val="1A8C692E"/>
    <w:rsid w:val="1A9A04D5"/>
    <w:rsid w:val="1A9A2283"/>
    <w:rsid w:val="1AA04930"/>
    <w:rsid w:val="1AA8432A"/>
    <w:rsid w:val="1AAD45DE"/>
    <w:rsid w:val="1AB64BE3"/>
    <w:rsid w:val="1AC7726A"/>
    <w:rsid w:val="1AF376AB"/>
    <w:rsid w:val="1AFE6CB6"/>
    <w:rsid w:val="1B046F80"/>
    <w:rsid w:val="1B153EBF"/>
    <w:rsid w:val="1B3267B5"/>
    <w:rsid w:val="1B391FF2"/>
    <w:rsid w:val="1B393829"/>
    <w:rsid w:val="1B40161D"/>
    <w:rsid w:val="1B441859"/>
    <w:rsid w:val="1B4F7512"/>
    <w:rsid w:val="1B516E1C"/>
    <w:rsid w:val="1B6606B1"/>
    <w:rsid w:val="1B79574F"/>
    <w:rsid w:val="1B9A4716"/>
    <w:rsid w:val="1B9F03B9"/>
    <w:rsid w:val="1BAF1D5E"/>
    <w:rsid w:val="1BC17053"/>
    <w:rsid w:val="1BC740F2"/>
    <w:rsid w:val="1BD03214"/>
    <w:rsid w:val="1BD16179"/>
    <w:rsid w:val="1BE0344B"/>
    <w:rsid w:val="1C00080C"/>
    <w:rsid w:val="1C24274C"/>
    <w:rsid w:val="1C361372"/>
    <w:rsid w:val="1C377A4B"/>
    <w:rsid w:val="1C5A43C0"/>
    <w:rsid w:val="1C5E7925"/>
    <w:rsid w:val="1C6568C1"/>
    <w:rsid w:val="1C715266"/>
    <w:rsid w:val="1C746B04"/>
    <w:rsid w:val="1C990E53"/>
    <w:rsid w:val="1C9D31EB"/>
    <w:rsid w:val="1CA831E6"/>
    <w:rsid w:val="1CC2329C"/>
    <w:rsid w:val="1CC57360"/>
    <w:rsid w:val="1CE26164"/>
    <w:rsid w:val="1CFA16FF"/>
    <w:rsid w:val="1CFD070F"/>
    <w:rsid w:val="1D0D1D03"/>
    <w:rsid w:val="1D123CAA"/>
    <w:rsid w:val="1D1D73F8"/>
    <w:rsid w:val="1D2D3883"/>
    <w:rsid w:val="1D3A1AFC"/>
    <w:rsid w:val="1D464944"/>
    <w:rsid w:val="1D5F6196"/>
    <w:rsid w:val="1D6132A5"/>
    <w:rsid w:val="1D660B43"/>
    <w:rsid w:val="1D691375"/>
    <w:rsid w:val="1D76522A"/>
    <w:rsid w:val="1D79207C"/>
    <w:rsid w:val="1D882373"/>
    <w:rsid w:val="1D8E56D5"/>
    <w:rsid w:val="1DA33D00"/>
    <w:rsid w:val="1DA5166B"/>
    <w:rsid w:val="1DBE44DB"/>
    <w:rsid w:val="1DD06719"/>
    <w:rsid w:val="1DE81532"/>
    <w:rsid w:val="1DEF0B38"/>
    <w:rsid w:val="1DFD707E"/>
    <w:rsid w:val="1DFE6FCD"/>
    <w:rsid w:val="1E024D4F"/>
    <w:rsid w:val="1E0F6C4C"/>
    <w:rsid w:val="1E3649B9"/>
    <w:rsid w:val="1E390005"/>
    <w:rsid w:val="1E4075E6"/>
    <w:rsid w:val="1E4470D6"/>
    <w:rsid w:val="1E4662B7"/>
    <w:rsid w:val="1E480AC7"/>
    <w:rsid w:val="1E591960"/>
    <w:rsid w:val="1E5B1898"/>
    <w:rsid w:val="1E687720"/>
    <w:rsid w:val="1E696B3C"/>
    <w:rsid w:val="1E6C7D27"/>
    <w:rsid w:val="1E6E167D"/>
    <w:rsid w:val="1E7372ED"/>
    <w:rsid w:val="1E7A43DA"/>
    <w:rsid w:val="1E8219AC"/>
    <w:rsid w:val="1E8A5FA4"/>
    <w:rsid w:val="1EA00084"/>
    <w:rsid w:val="1EC41FC5"/>
    <w:rsid w:val="1ECC062C"/>
    <w:rsid w:val="1ECE074D"/>
    <w:rsid w:val="1EEB57A3"/>
    <w:rsid w:val="1F220A99"/>
    <w:rsid w:val="1F2C5F2A"/>
    <w:rsid w:val="1F2E743E"/>
    <w:rsid w:val="1F307CB4"/>
    <w:rsid w:val="1F742D90"/>
    <w:rsid w:val="1F84539D"/>
    <w:rsid w:val="1F9A6382"/>
    <w:rsid w:val="1F9B4EE5"/>
    <w:rsid w:val="1FA8344C"/>
    <w:rsid w:val="1FB060A5"/>
    <w:rsid w:val="1FBA1254"/>
    <w:rsid w:val="1FC658C9"/>
    <w:rsid w:val="1FC74E17"/>
    <w:rsid w:val="1FDC6E9A"/>
    <w:rsid w:val="1FDE0502"/>
    <w:rsid w:val="1FE7539E"/>
    <w:rsid w:val="200308CB"/>
    <w:rsid w:val="201118D9"/>
    <w:rsid w:val="202B1BD0"/>
    <w:rsid w:val="20523600"/>
    <w:rsid w:val="20557672"/>
    <w:rsid w:val="20607AD1"/>
    <w:rsid w:val="20667A75"/>
    <w:rsid w:val="20671BE0"/>
    <w:rsid w:val="20963CB8"/>
    <w:rsid w:val="20A630D0"/>
    <w:rsid w:val="20A81A1B"/>
    <w:rsid w:val="20AE4CDA"/>
    <w:rsid w:val="20B07FB6"/>
    <w:rsid w:val="20B61DE1"/>
    <w:rsid w:val="20B646FB"/>
    <w:rsid w:val="20BB73F7"/>
    <w:rsid w:val="20C91B14"/>
    <w:rsid w:val="20DF4E94"/>
    <w:rsid w:val="20F30772"/>
    <w:rsid w:val="21005984"/>
    <w:rsid w:val="2110329F"/>
    <w:rsid w:val="21103CC2"/>
    <w:rsid w:val="211A5ECC"/>
    <w:rsid w:val="21350F58"/>
    <w:rsid w:val="213A031C"/>
    <w:rsid w:val="213B74B1"/>
    <w:rsid w:val="213C22E6"/>
    <w:rsid w:val="213C704A"/>
    <w:rsid w:val="21496264"/>
    <w:rsid w:val="215A2310"/>
    <w:rsid w:val="215C66D7"/>
    <w:rsid w:val="215D04AF"/>
    <w:rsid w:val="216B2BCB"/>
    <w:rsid w:val="216B4179"/>
    <w:rsid w:val="217A696B"/>
    <w:rsid w:val="217D3687"/>
    <w:rsid w:val="217D645B"/>
    <w:rsid w:val="21804DE2"/>
    <w:rsid w:val="2197576F"/>
    <w:rsid w:val="21A32365"/>
    <w:rsid w:val="21A34154"/>
    <w:rsid w:val="21B005DE"/>
    <w:rsid w:val="21B6105F"/>
    <w:rsid w:val="21C4408A"/>
    <w:rsid w:val="21DE318A"/>
    <w:rsid w:val="21E91B75"/>
    <w:rsid w:val="21EF5B80"/>
    <w:rsid w:val="21FA6A7A"/>
    <w:rsid w:val="22022EA1"/>
    <w:rsid w:val="2217065D"/>
    <w:rsid w:val="2217240B"/>
    <w:rsid w:val="22191EB0"/>
    <w:rsid w:val="221C5C74"/>
    <w:rsid w:val="221D30A5"/>
    <w:rsid w:val="22286CD5"/>
    <w:rsid w:val="222F7209"/>
    <w:rsid w:val="223034CD"/>
    <w:rsid w:val="224B0307"/>
    <w:rsid w:val="22576990"/>
    <w:rsid w:val="225B2C40"/>
    <w:rsid w:val="2260049A"/>
    <w:rsid w:val="22646776"/>
    <w:rsid w:val="226B2757"/>
    <w:rsid w:val="226C09A9"/>
    <w:rsid w:val="22723AE6"/>
    <w:rsid w:val="22765384"/>
    <w:rsid w:val="22CD6F6E"/>
    <w:rsid w:val="22E36792"/>
    <w:rsid w:val="22F47480"/>
    <w:rsid w:val="22F664C5"/>
    <w:rsid w:val="23203542"/>
    <w:rsid w:val="23341819"/>
    <w:rsid w:val="2342795C"/>
    <w:rsid w:val="23621DAC"/>
    <w:rsid w:val="23645B24"/>
    <w:rsid w:val="237C4C1C"/>
    <w:rsid w:val="2383244E"/>
    <w:rsid w:val="238911D8"/>
    <w:rsid w:val="238E3811"/>
    <w:rsid w:val="23B95E70"/>
    <w:rsid w:val="23C65279"/>
    <w:rsid w:val="23D74C12"/>
    <w:rsid w:val="23DE1C48"/>
    <w:rsid w:val="23E629DD"/>
    <w:rsid w:val="23F62333"/>
    <w:rsid w:val="240210CD"/>
    <w:rsid w:val="240864B0"/>
    <w:rsid w:val="242F7EE0"/>
    <w:rsid w:val="243A6885"/>
    <w:rsid w:val="245A2A83"/>
    <w:rsid w:val="24637B8A"/>
    <w:rsid w:val="247C0C4C"/>
    <w:rsid w:val="248D2E59"/>
    <w:rsid w:val="24B108F5"/>
    <w:rsid w:val="24BF09F7"/>
    <w:rsid w:val="24BF7810"/>
    <w:rsid w:val="24CA5E5B"/>
    <w:rsid w:val="24CB073C"/>
    <w:rsid w:val="24E946D2"/>
    <w:rsid w:val="24EA3E07"/>
    <w:rsid w:val="25047D24"/>
    <w:rsid w:val="251B2213"/>
    <w:rsid w:val="251B38B2"/>
    <w:rsid w:val="2520346F"/>
    <w:rsid w:val="252D53FE"/>
    <w:rsid w:val="25305A0C"/>
    <w:rsid w:val="25502A3D"/>
    <w:rsid w:val="25554B6D"/>
    <w:rsid w:val="255870C9"/>
    <w:rsid w:val="255A6CC6"/>
    <w:rsid w:val="2561130C"/>
    <w:rsid w:val="256911D0"/>
    <w:rsid w:val="256F34BF"/>
    <w:rsid w:val="25716CDC"/>
    <w:rsid w:val="25755DC7"/>
    <w:rsid w:val="258424AE"/>
    <w:rsid w:val="25873D4C"/>
    <w:rsid w:val="25A20B86"/>
    <w:rsid w:val="25B94068"/>
    <w:rsid w:val="25EC2D81"/>
    <w:rsid w:val="25FE4991"/>
    <w:rsid w:val="2604714B"/>
    <w:rsid w:val="26142DBE"/>
    <w:rsid w:val="26230386"/>
    <w:rsid w:val="26233813"/>
    <w:rsid w:val="264439EB"/>
    <w:rsid w:val="26487037"/>
    <w:rsid w:val="266A1FA3"/>
    <w:rsid w:val="26802C75"/>
    <w:rsid w:val="269E6B1E"/>
    <w:rsid w:val="26AC3A6A"/>
    <w:rsid w:val="26B11081"/>
    <w:rsid w:val="26BB5A5B"/>
    <w:rsid w:val="26D144D4"/>
    <w:rsid w:val="26D23FB3"/>
    <w:rsid w:val="26D92385"/>
    <w:rsid w:val="26DB60FD"/>
    <w:rsid w:val="26E91E79"/>
    <w:rsid w:val="26F31699"/>
    <w:rsid w:val="2705317A"/>
    <w:rsid w:val="270D0281"/>
    <w:rsid w:val="27233601"/>
    <w:rsid w:val="272C4BAB"/>
    <w:rsid w:val="272F6449"/>
    <w:rsid w:val="273F6164"/>
    <w:rsid w:val="27567D0F"/>
    <w:rsid w:val="275B723E"/>
    <w:rsid w:val="275F7F2B"/>
    <w:rsid w:val="277057A2"/>
    <w:rsid w:val="27CE7A10"/>
    <w:rsid w:val="27E47234"/>
    <w:rsid w:val="27EB6814"/>
    <w:rsid w:val="27FA0651"/>
    <w:rsid w:val="27FB0659"/>
    <w:rsid w:val="28032EB0"/>
    <w:rsid w:val="28071805"/>
    <w:rsid w:val="280B656E"/>
    <w:rsid w:val="28302A61"/>
    <w:rsid w:val="28343EE7"/>
    <w:rsid w:val="28416434"/>
    <w:rsid w:val="284C097D"/>
    <w:rsid w:val="28650375"/>
    <w:rsid w:val="28655A3D"/>
    <w:rsid w:val="287609A1"/>
    <w:rsid w:val="288B3B53"/>
    <w:rsid w:val="28996B80"/>
    <w:rsid w:val="289C2C1C"/>
    <w:rsid w:val="28AA3FD9"/>
    <w:rsid w:val="28B22E8E"/>
    <w:rsid w:val="28D64DCE"/>
    <w:rsid w:val="28DE1322"/>
    <w:rsid w:val="28E219C5"/>
    <w:rsid w:val="28E62B38"/>
    <w:rsid w:val="290355B4"/>
    <w:rsid w:val="290556B4"/>
    <w:rsid w:val="290D4568"/>
    <w:rsid w:val="291678C1"/>
    <w:rsid w:val="29206EB8"/>
    <w:rsid w:val="292813A2"/>
    <w:rsid w:val="292875F4"/>
    <w:rsid w:val="29345E48"/>
    <w:rsid w:val="293662DD"/>
    <w:rsid w:val="293E4722"/>
    <w:rsid w:val="29532A6E"/>
    <w:rsid w:val="29534671"/>
    <w:rsid w:val="29595666"/>
    <w:rsid w:val="2966025B"/>
    <w:rsid w:val="296E71C5"/>
    <w:rsid w:val="296F6FD1"/>
    <w:rsid w:val="29711109"/>
    <w:rsid w:val="29874881"/>
    <w:rsid w:val="29891E41"/>
    <w:rsid w:val="29996774"/>
    <w:rsid w:val="29A70519"/>
    <w:rsid w:val="29C63095"/>
    <w:rsid w:val="29DB4666"/>
    <w:rsid w:val="29E325E0"/>
    <w:rsid w:val="29E63A56"/>
    <w:rsid w:val="29EE439A"/>
    <w:rsid w:val="29F37C02"/>
    <w:rsid w:val="29FB2613"/>
    <w:rsid w:val="2A0C211C"/>
    <w:rsid w:val="2A1B5000"/>
    <w:rsid w:val="2A1D07DB"/>
    <w:rsid w:val="2A1D6A2D"/>
    <w:rsid w:val="2A452503"/>
    <w:rsid w:val="2A4D10C0"/>
    <w:rsid w:val="2A570191"/>
    <w:rsid w:val="2A623761"/>
    <w:rsid w:val="2A686E5D"/>
    <w:rsid w:val="2A88034A"/>
    <w:rsid w:val="2A9B04C8"/>
    <w:rsid w:val="2A9B7764"/>
    <w:rsid w:val="2AA20688"/>
    <w:rsid w:val="2AC05D36"/>
    <w:rsid w:val="2B0069ED"/>
    <w:rsid w:val="2B030C95"/>
    <w:rsid w:val="2B1A4D1A"/>
    <w:rsid w:val="2B1B11BE"/>
    <w:rsid w:val="2B2F6A18"/>
    <w:rsid w:val="2B3758CC"/>
    <w:rsid w:val="2B395742"/>
    <w:rsid w:val="2B5841C1"/>
    <w:rsid w:val="2B715282"/>
    <w:rsid w:val="2B8054C5"/>
    <w:rsid w:val="2B9B40AD"/>
    <w:rsid w:val="2B9F0F6C"/>
    <w:rsid w:val="2BA936A8"/>
    <w:rsid w:val="2BBB474F"/>
    <w:rsid w:val="2BBC3B7F"/>
    <w:rsid w:val="2C012AA8"/>
    <w:rsid w:val="2C083482"/>
    <w:rsid w:val="2C2161A0"/>
    <w:rsid w:val="2C315A5A"/>
    <w:rsid w:val="2C393A76"/>
    <w:rsid w:val="2C4A0BA8"/>
    <w:rsid w:val="2C4B1C25"/>
    <w:rsid w:val="2C557BDC"/>
    <w:rsid w:val="2C5E2083"/>
    <w:rsid w:val="2C612A55"/>
    <w:rsid w:val="2C950AFD"/>
    <w:rsid w:val="2C9E20A7"/>
    <w:rsid w:val="2C9F7BCD"/>
    <w:rsid w:val="2CA36BB7"/>
    <w:rsid w:val="2CAB0320"/>
    <w:rsid w:val="2CD45AC9"/>
    <w:rsid w:val="2CE43DFE"/>
    <w:rsid w:val="2CE67F35"/>
    <w:rsid w:val="2D0D2D89"/>
    <w:rsid w:val="2D0E5466"/>
    <w:rsid w:val="2D477A9D"/>
    <w:rsid w:val="2D4F15F3"/>
    <w:rsid w:val="2D597CE1"/>
    <w:rsid w:val="2D5C786C"/>
    <w:rsid w:val="2D5E35E4"/>
    <w:rsid w:val="2D9139BA"/>
    <w:rsid w:val="2D947006"/>
    <w:rsid w:val="2D9E56F5"/>
    <w:rsid w:val="2DBE439C"/>
    <w:rsid w:val="2DCB1872"/>
    <w:rsid w:val="2DDB2E87"/>
    <w:rsid w:val="2E5B7B24"/>
    <w:rsid w:val="2E667F96"/>
    <w:rsid w:val="2E6F49E7"/>
    <w:rsid w:val="2E76670C"/>
    <w:rsid w:val="2E80325A"/>
    <w:rsid w:val="2E8226AB"/>
    <w:rsid w:val="2E8E0C05"/>
    <w:rsid w:val="2E9A064C"/>
    <w:rsid w:val="2EA34562"/>
    <w:rsid w:val="2ED94F25"/>
    <w:rsid w:val="2EDA2C06"/>
    <w:rsid w:val="2EDB5810"/>
    <w:rsid w:val="2EEC0727"/>
    <w:rsid w:val="2EF30B0C"/>
    <w:rsid w:val="2F113F38"/>
    <w:rsid w:val="2F1F5CBE"/>
    <w:rsid w:val="2F2B74F6"/>
    <w:rsid w:val="2F3F1CAA"/>
    <w:rsid w:val="2F477ADD"/>
    <w:rsid w:val="2F4F4678"/>
    <w:rsid w:val="2F57478F"/>
    <w:rsid w:val="2F7F0633"/>
    <w:rsid w:val="2FA737F1"/>
    <w:rsid w:val="2FA769C6"/>
    <w:rsid w:val="2FA96966"/>
    <w:rsid w:val="2FB67708"/>
    <w:rsid w:val="2FBE001C"/>
    <w:rsid w:val="2FC31E25"/>
    <w:rsid w:val="2FD065E6"/>
    <w:rsid w:val="2FD1009E"/>
    <w:rsid w:val="2FD96870"/>
    <w:rsid w:val="2FDB716E"/>
    <w:rsid w:val="2FE51D9B"/>
    <w:rsid w:val="2FEA115F"/>
    <w:rsid w:val="300342AF"/>
    <w:rsid w:val="30110DE2"/>
    <w:rsid w:val="302208F9"/>
    <w:rsid w:val="303643A5"/>
    <w:rsid w:val="303837B5"/>
    <w:rsid w:val="30395C43"/>
    <w:rsid w:val="303F6DC6"/>
    <w:rsid w:val="30552D60"/>
    <w:rsid w:val="30580BC9"/>
    <w:rsid w:val="305D7B83"/>
    <w:rsid w:val="305F38FB"/>
    <w:rsid w:val="307E2E55"/>
    <w:rsid w:val="3082085A"/>
    <w:rsid w:val="30872E52"/>
    <w:rsid w:val="30977539"/>
    <w:rsid w:val="30A5696A"/>
    <w:rsid w:val="30A734F4"/>
    <w:rsid w:val="30A752A2"/>
    <w:rsid w:val="30AC600F"/>
    <w:rsid w:val="30D61664"/>
    <w:rsid w:val="30E3277E"/>
    <w:rsid w:val="31107C85"/>
    <w:rsid w:val="31145655"/>
    <w:rsid w:val="311771E3"/>
    <w:rsid w:val="311B6FC1"/>
    <w:rsid w:val="311C359A"/>
    <w:rsid w:val="311E2ED7"/>
    <w:rsid w:val="31250826"/>
    <w:rsid w:val="312D1C4B"/>
    <w:rsid w:val="313034EA"/>
    <w:rsid w:val="31523460"/>
    <w:rsid w:val="3154282A"/>
    <w:rsid w:val="315619EE"/>
    <w:rsid w:val="315950F5"/>
    <w:rsid w:val="315C449C"/>
    <w:rsid w:val="316A2416"/>
    <w:rsid w:val="31707707"/>
    <w:rsid w:val="31901DBB"/>
    <w:rsid w:val="31A0241D"/>
    <w:rsid w:val="31A64532"/>
    <w:rsid w:val="31AC514F"/>
    <w:rsid w:val="31AD12EB"/>
    <w:rsid w:val="31B81B6A"/>
    <w:rsid w:val="31B82709"/>
    <w:rsid w:val="31BB1005"/>
    <w:rsid w:val="31D05482"/>
    <w:rsid w:val="31D200FD"/>
    <w:rsid w:val="31E85B72"/>
    <w:rsid w:val="31FB58A6"/>
    <w:rsid w:val="32137D09"/>
    <w:rsid w:val="32163E9C"/>
    <w:rsid w:val="3216448E"/>
    <w:rsid w:val="32197887"/>
    <w:rsid w:val="322A7F39"/>
    <w:rsid w:val="32400B34"/>
    <w:rsid w:val="3240775C"/>
    <w:rsid w:val="32566C09"/>
    <w:rsid w:val="32755658"/>
    <w:rsid w:val="32935D9A"/>
    <w:rsid w:val="329B2BE5"/>
    <w:rsid w:val="329E65D5"/>
    <w:rsid w:val="329E6876"/>
    <w:rsid w:val="32A41A99"/>
    <w:rsid w:val="32BB1CF1"/>
    <w:rsid w:val="32BD02DC"/>
    <w:rsid w:val="32C3011A"/>
    <w:rsid w:val="32DD3726"/>
    <w:rsid w:val="32E362F8"/>
    <w:rsid w:val="32EE71B8"/>
    <w:rsid w:val="32F97067"/>
    <w:rsid w:val="33092A82"/>
    <w:rsid w:val="3311045F"/>
    <w:rsid w:val="331A1067"/>
    <w:rsid w:val="331F4D46"/>
    <w:rsid w:val="33263350"/>
    <w:rsid w:val="333015F2"/>
    <w:rsid w:val="333077D1"/>
    <w:rsid w:val="33313E91"/>
    <w:rsid w:val="333F17C2"/>
    <w:rsid w:val="334B0167"/>
    <w:rsid w:val="334B6320"/>
    <w:rsid w:val="335135AD"/>
    <w:rsid w:val="33522495"/>
    <w:rsid w:val="33574D5E"/>
    <w:rsid w:val="33661445"/>
    <w:rsid w:val="336D632F"/>
    <w:rsid w:val="33732C8D"/>
    <w:rsid w:val="337F1B74"/>
    <w:rsid w:val="33883169"/>
    <w:rsid w:val="33977111"/>
    <w:rsid w:val="339C1832"/>
    <w:rsid w:val="33AB09C5"/>
    <w:rsid w:val="33B91F4C"/>
    <w:rsid w:val="33CD3272"/>
    <w:rsid w:val="33D37747"/>
    <w:rsid w:val="33D934D4"/>
    <w:rsid w:val="33E04D53"/>
    <w:rsid w:val="33E10ACB"/>
    <w:rsid w:val="33E5773F"/>
    <w:rsid w:val="33FC5905"/>
    <w:rsid w:val="33FE2F6A"/>
    <w:rsid w:val="340E07E5"/>
    <w:rsid w:val="34235BF7"/>
    <w:rsid w:val="342866FA"/>
    <w:rsid w:val="34311A53"/>
    <w:rsid w:val="34362BC5"/>
    <w:rsid w:val="343B01DB"/>
    <w:rsid w:val="344F1ED9"/>
    <w:rsid w:val="345703A7"/>
    <w:rsid w:val="345968B4"/>
    <w:rsid w:val="345E49AB"/>
    <w:rsid w:val="34621C0C"/>
    <w:rsid w:val="348222AE"/>
    <w:rsid w:val="348464A5"/>
    <w:rsid w:val="348C6C89"/>
    <w:rsid w:val="34921F7B"/>
    <w:rsid w:val="34A00986"/>
    <w:rsid w:val="34A63459"/>
    <w:rsid w:val="34BD356D"/>
    <w:rsid w:val="34CC6B5C"/>
    <w:rsid w:val="34CE05D4"/>
    <w:rsid w:val="34D32B0A"/>
    <w:rsid w:val="35066A3B"/>
    <w:rsid w:val="351078BA"/>
    <w:rsid w:val="35194603"/>
    <w:rsid w:val="353D7F83"/>
    <w:rsid w:val="3541739D"/>
    <w:rsid w:val="3543582D"/>
    <w:rsid w:val="354C51AA"/>
    <w:rsid w:val="356E638F"/>
    <w:rsid w:val="3579545F"/>
    <w:rsid w:val="358C5FA8"/>
    <w:rsid w:val="35A64918"/>
    <w:rsid w:val="35AA187C"/>
    <w:rsid w:val="35C15DF1"/>
    <w:rsid w:val="36074A7F"/>
    <w:rsid w:val="36086E75"/>
    <w:rsid w:val="360D5BA8"/>
    <w:rsid w:val="361C0AFD"/>
    <w:rsid w:val="362B4280"/>
    <w:rsid w:val="36363350"/>
    <w:rsid w:val="3643466D"/>
    <w:rsid w:val="364C104F"/>
    <w:rsid w:val="3655578F"/>
    <w:rsid w:val="365D08DD"/>
    <w:rsid w:val="366B4833"/>
    <w:rsid w:val="36721FC0"/>
    <w:rsid w:val="368F480F"/>
    <w:rsid w:val="36923549"/>
    <w:rsid w:val="369823B7"/>
    <w:rsid w:val="36B37B7B"/>
    <w:rsid w:val="36B75FBF"/>
    <w:rsid w:val="36BB5604"/>
    <w:rsid w:val="36BD0C45"/>
    <w:rsid w:val="36BE50F4"/>
    <w:rsid w:val="36C73FA8"/>
    <w:rsid w:val="36D466C5"/>
    <w:rsid w:val="36EA3F31"/>
    <w:rsid w:val="37092813"/>
    <w:rsid w:val="370E7E29"/>
    <w:rsid w:val="372A42BA"/>
    <w:rsid w:val="37405B09"/>
    <w:rsid w:val="37515F68"/>
    <w:rsid w:val="37695319"/>
    <w:rsid w:val="376A70F8"/>
    <w:rsid w:val="376E376D"/>
    <w:rsid w:val="37722CC3"/>
    <w:rsid w:val="378523FE"/>
    <w:rsid w:val="378B4579"/>
    <w:rsid w:val="37A34A15"/>
    <w:rsid w:val="37B02C8E"/>
    <w:rsid w:val="37B20750"/>
    <w:rsid w:val="37B26A07"/>
    <w:rsid w:val="37C702A9"/>
    <w:rsid w:val="37E00298"/>
    <w:rsid w:val="37E47F58"/>
    <w:rsid w:val="37F27B20"/>
    <w:rsid w:val="37FB0DE9"/>
    <w:rsid w:val="37FB1A80"/>
    <w:rsid w:val="37FF1EAB"/>
    <w:rsid w:val="38163439"/>
    <w:rsid w:val="382F74A4"/>
    <w:rsid w:val="3837205F"/>
    <w:rsid w:val="38465BBC"/>
    <w:rsid w:val="3862042D"/>
    <w:rsid w:val="38855EC9"/>
    <w:rsid w:val="388D1222"/>
    <w:rsid w:val="388F6D48"/>
    <w:rsid w:val="38B302F9"/>
    <w:rsid w:val="38BD38B5"/>
    <w:rsid w:val="38C06F01"/>
    <w:rsid w:val="38C22C79"/>
    <w:rsid w:val="38C56C0D"/>
    <w:rsid w:val="38D145AE"/>
    <w:rsid w:val="38DB1F8D"/>
    <w:rsid w:val="38E01351"/>
    <w:rsid w:val="38F12CD3"/>
    <w:rsid w:val="38F512A1"/>
    <w:rsid w:val="38F94775"/>
    <w:rsid w:val="391C7943"/>
    <w:rsid w:val="3922196A"/>
    <w:rsid w:val="39251EE3"/>
    <w:rsid w:val="392971ED"/>
    <w:rsid w:val="39325651"/>
    <w:rsid w:val="3942776E"/>
    <w:rsid w:val="394817FA"/>
    <w:rsid w:val="394F1D9E"/>
    <w:rsid w:val="396528A4"/>
    <w:rsid w:val="39657C8F"/>
    <w:rsid w:val="396B2DE1"/>
    <w:rsid w:val="396E4BAF"/>
    <w:rsid w:val="397554F8"/>
    <w:rsid w:val="399C171C"/>
    <w:rsid w:val="399F745E"/>
    <w:rsid w:val="39A1380C"/>
    <w:rsid w:val="39BD78E5"/>
    <w:rsid w:val="39C90037"/>
    <w:rsid w:val="39D90DD3"/>
    <w:rsid w:val="39F007EB"/>
    <w:rsid w:val="39F01A68"/>
    <w:rsid w:val="39F94508"/>
    <w:rsid w:val="39FF3A59"/>
    <w:rsid w:val="3A142870"/>
    <w:rsid w:val="3A216FD4"/>
    <w:rsid w:val="3A2B6F44"/>
    <w:rsid w:val="3A330458"/>
    <w:rsid w:val="3A370748"/>
    <w:rsid w:val="3A7200D2"/>
    <w:rsid w:val="3A8328DC"/>
    <w:rsid w:val="3A872856"/>
    <w:rsid w:val="3A922B1F"/>
    <w:rsid w:val="3AB141AA"/>
    <w:rsid w:val="3AC30F2B"/>
    <w:rsid w:val="3AD35612"/>
    <w:rsid w:val="3AD849D5"/>
    <w:rsid w:val="3AE4397F"/>
    <w:rsid w:val="3AEA3989"/>
    <w:rsid w:val="3AFA17A2"/>
    <w:rsid w:val="3AFA69E7"/>
    <w:rsid w:val="3B023801"/>
    <w:rsid w:val="3B0F1AD1"/>
    <w:rsid w:val="3B167A46"/>
    <w:rsid w:val="3B2C4D22"/>
    <w:rsid w:val="3B2D2B70"/>
    <w:rsid w:val="3B2E1944"/>
    <w:rsid w:val="3B3763D1"/>
    <w:rsid w:val="3B4E6A46"/>
    <w:rsid w:val="3B5B5607"/>
    <w:rsid w:val="3B663F34"/>
    <w:rsid w:val="3B6A70F1"/>
    <w:rsid w:val="3B744D0F"/>
    <w:rsid w:val="3B7A5A8D"/>
    <w:rsid w:val="3B7B35B3"/>
    <w:rsid w:val="3B862684"/>
    <w:rsid w:val="3B90695A"/>
    <w:rsid w:val="3B914D7E"/>
    <w:rsid w:val="3BAA5E8F"/>
    <w:rsid w:val="3BAC5E63"/>
    <w:rsid w:val="3BE27CBA"/>
    <w:rsid w:val="3C0812EB"/>
    <w:rsid w:val="3C0D06AF"/>
    <w:rsid w:val="3C131A3E"/>
    <w:rsid w:val="3C1732DC"/>
    <w:rsid w:val="3C184A38"/>
    <w:rsid w:val="3C1A2DCC"/>
    <w:rsid w:val="3C2F6E1E"/>
    <w:rsid w:val="3C37397E"/>
    <w:rsid w:val="3C3C505A"/>
    <w:rsid w:val="3C4F64BA"/>
    <w:rsid w:val="3C5E0698"/>
    <w:rsid w:val="3C6E53B1"/>
    <w:rsid w:val="3C7127BC"/>
    <w:rsid w:val="3C7C3A87"/>
    <w:rsid w:val="3C8E4303"/>
    <w:rsid w:val="3C926E07"/>
    <w:rsid w:val="3C971410"/>
    <w:rsid w:val="3CAB01CF"/>
    <w:rsid w:val="3CC176EC"/>
    <w:rsid w:val="3CD15B81"/>
    <w:rsid w:val="3CDA245A"/>
    <w:rsid w:val="3CE8111C"/>
    <w:rsid w:val="3D037D04"/>
    <w:rsid w:val="3D1E06B7"/>
    <w:rsid w:val="3D4225DB"/>
    <w:rsid w:val="3D483969"/>
    <w:rsid w:val="3D4D2351"/>
    <w:rsid w:val="3D694C4D"/>
    <w:rsid w:val="3D6A38DF"/>
    <w:rsid w:val="3D7711F0"/>
    <w:rsid w:val="3D803CE4"/>
    <w:rsid w:val="3D8E3A72"/>
    <w:rsid w:val="3D9516DB"/>
    <w:rsid w:val="3DA823F9"/>
    <w:rsid w:val="3DB12946"/>
    <w:rsid w:val="3DB67032"/>
    <w:rsid w:val="3DD05E38"/>
    <w:rsid w:val="3DDF018D"/>
    <w:rsid w:val="3DF80E91"/>
    <w:rsid w:val="3E215965"/>
    <w:rsid w:val="3E257275"/>
    <w:rsid w:val="3E295549"/>
    <w:rsid w:val="3E2E34E2"/>
    <w:rsid w:val="3E3143FD"/>
    <w:rsid w:val="3E491747"/>
    <w:rsid w:val="3E5D51F2"/>
    <w:rsid w:val="3E6F57B2"/>
    <w:rsid w:val="3EA66B99"/>
    <w:rsid w:val="3EAF1EF2"/>
    <w:rsid w:val="3EB47508"/>
    <w:rsid w:val="3EB75711"/>
    <w:rsid w:val="3EB92606"/>
    <w:rsid w:val="3ED60ECC"/>
    <w:rsid w:val="3EDA0523"/>
    <w:rsid w:val="3EEA117C"/>
    <w:rsid w:val="3EF5367D"/>
    <w:rsid w:val="3F142B7B"/>
    <w:rsid w:val="3F161E9B"/>
    <w:rsid w:val="3F4940F4"/>
    <w:rsid w:val="3F4B2DF0"/>
    <w:rsid w:val="3F4F4B3E"/>
    <w:rsid w:val="3F516B05"/>
    <w:rsid w:val="3F591BE0"/>
    <w:rsid w:val="3F620D12"/>
    <w:rsid w:val="3F70371B"/>
    <w:rsid w:val="3F964E60"/>
    <w:rsid w:val="3FA806EF"/>
    <w:rsid w:val="3FAA4467"/>
    <w:rsid w:val="3FAE3F57"/>
    <w:rsid w:val="3FCA54BF"/>
    <w:rsid w:val="3FD020C9"/>
    <w:rsid w:val="3FDF62E7"/>
    <w:rsid w:val="3FE23C01"/>
    <w:rsid w:val="3FE74124"/>
    <w:rsid w:val="3FE768C7"/>
    <w:rsid w:val="3FEA0D08"/>
    <w:rsid w:val="3FF72A35"/>
    <w:rsid w:val="3FFA53EF"/>
    <w:rsid w:val="400022D9"/>
    <w:rsid w:val="40133775"/>
    <w:rsid w:val="4015058E"/>
    <w:rsid w:val="40216D8F"/>
    <w:rsid w:val="402D32A1"/>
    <w:rsid w:val="403D0813"/>
    <w:rsid w:val="403F72A5"/>
    <w:rsid w:val="404D19C2"/>
    <w:rsid w:val="4050500F"/>
    <w:rsid w:val="40610FCA"/>
    <w:rsid w:val="40707630"/>
    <w:rsid w:val="40784565"/>
    <w:rsid w:val="407A6407"/>
    <w:rsid w:val="408B4299"/>
    <w:rsid w:val="40980764"/>
    <w:rsid w:val="409C0254"/>
    <w:rsid w:val="409F5F68"/>
    <w:rsid w:val="40A13ABC"/>
    <w:rsid w:val="40BC6B48"/>
    <w:rsid w:val="40CA66A9"/>
    <w:rsid w:val="40D027D9"/>
    <w:rsid w:val="40DC2174"/>
    <w:rsid w:val="40F2351F"/>
    <w:rsid w:val="41137CCD"/>
    <w:rsid w:val="413466DE"/>
    <w:rsid w:val="415D3E87"/>
    <w:rsid w:val="4162324B"/>
    <w:rsid w:val="41631337"/>
    <w:rsid w:val="41670706"/>
    <w:rsid w:val="416C231C"/>
    <w:rsid w:val="41760AA5"/>
    <w:rsid w:val="41931657"/>
    <w:rsid w:val="41944C54"/>
    <w:rsid w:val="41B11ADD"/>
    <w:rsid w:val="41B2666F"/>
    <w:rsid w:val="41C17BF0"/>
    <w:rsid w:val="41C75A56"/>
    <w:rsid w:val="41CF03C8"/>
    <w:rsid w:val="41D63846"/>
    <w:rsid w:val="41F36599"/>
    <w:rsid w:val="4200449D"/>
    <w:rsid w:val="42334BE8"/>
    <w:rsid w:val="42383FAC"/>
    <w:rsid w:val="423A3BCC"/>
    <w:rsid w:val="42402E61"/>
    <w:rsid w:val="424E57D2"/>
    <w:rsid w:val="4255040E"/>
    <w:rsid w:val="42636FFD"/>
    <w:rsid w:val="426B0C0B"/>
    <w:rsid w:val="42742522"/>
    <w:rsid w:val="42A41642"/>
    <w:rsid w:val="42A930FC"/>
    <w:rsid w:val="42B26C49"/>
    <w:rsid w:val="42B742CB"/>
    <w:rsid w:val="42B9333F"/>
    <w:rsid w:val="42C34E0B"/>
    <w:rsid w:val="42D22931"/>
    <w:rsid w:val="42EA174A"/>
    <w:rsid w:val="430330F3"/>
    <w:rsid w:val="43036368"/>
    <w:rsid w:val="431A7B56"/>
    <w:rsid w:val="431C1B20"/>
    <w:rsid w:val="432D1637"/>
    <w:rsid w:val="433A6FE6"/>
    <w:rsid w:val="43480868"/>
    <w:rsid w:val="4350713C"/>
    <w:rsid w:val="4352109E"/>
    <w:rsid w:val="436653E0"/>
    <w:rsid w:val="4367657D"/>
    <w:rsid w:val="4368567E"/>
    <w:rsid w:val="43776D56"/>
    <w:rsid w:val="437C436D"/>
    <w:rsid w:val="43963680"/>
    <w:rsid w:val="43AB09F8"/>
    <w:rsid w:val="43AD45AC"/>
    <w:rsid w:val="43C4431A"/>
    <w:rsid w:val="43E75C8A"/>
    <w:rsid w:val="44112678"/>
    <w:rsid w:val="441741F0"/>
    <w:rsid w:val="4427252A"/>
    <w:rsid w:val="44364549"/>
    <w:rsid w:val="44415FA8"/>
    <w:rsid w:val="446E63AB"/>
    <w:rsid w:val="447319C0"/>
    <w:rsid w:val="447D65EE"/>
    <w:rsid w:val="448636F5"/>
    <w:rsid w:val="448B58D0"/>
    <w:rsid w:val="449000D0"/>
    <w:rsid w:val="44A27E03"/>
    <w:rsid w:val="44B6565C"/>
    <w:rsid w:val="44B951CC"/>
    <w:rsid w:val="44CA3562"/>
    <w:rsid w:val="44CD14E0"/>
    <w:rsid w:val="44E4041B"/>
    <w:rsid w:val="44F20B0B"/>
    <w:rsid w:val="44FA7C3F"/>
    <w:rsid w:val="4504122F"/>
    <w:rsid w:val="45144335"/>
    <w:rsid w:val="45252286"/>
    <w:rsid w:val="452D1DC2"/>
    <w:rsid w:val="452E5F4C"/>
    <w:rsid w:val="453F38A4"/>
    <w:rsid w:val="45464C32"/>
    <w:rsid w:val="45473CA4"/>
    <w:rsid w:val="454F3BC4"/>
    <w:rsid w:val="45612018"/>
    <w:rsid w:val="458946E9"/>
    <w:rsid w:val="45897DA0"/>
    <w:rsid w:val="459B31D0"/>
    <w:rsid w:val="45A47C0E"/>
    <w:rsid w:val="45A831F7"/>
    <w:rsid w:val="45B7168C"/>
    <w:rsid w:val="45E67EBA"/>
    <w:rsid w:val="461D1E37"/>
    <w:rsid w:val="46376E0D"/>
    <w:rsid w:val="46535859"/>
    <w:rsid w:val="46577FD6"/>
    <w:rsid w:val="469519CD"/>
    <w:rsid w:val="469A6FE4"/>
    <w:rsid w:val="46A460B4"/>
    <w:rsid w:val="46B2394B"/>
    <w:rsid w:val="46CB1893"/>
    <w:rsid w:val="46D955A7"/>
    <w:rsid w:val="46DE6DA2"/>
    <w:rsid w:val="46EE26E4"/>
    <w:rsid w:val="46F74436"/>
    <w:rsid w:val="46FE03F8"/>
    <w:rsid w:val="470F7109"/>
    <w:rsid w:val="47133957"/>
    <w:rsid w:val="471843AC"/>
    <w:rsid w:val="4751434B"/>
    <w:rsid w:val="47560BA9"/>
    <w:rsid w:val="4761203F"/>
    <w:rsid w:val="477041E8"/>
    <w:rsid w:val="478F40BA"/>
    <w:rsid w:val="47A07E0C"/>
    <w:rsid w:val="47A3636C"/>
    <w:rsid w:val="47C84024"/>
    <w:rsid w:val="47D13668"/>
    <w:rsid w:val="47D509D1"/>
    <w:rsid w:val="47E0311C"/>
    <w:rsid w:val="47FD3CCE"/>
    <w:rsid w:val="48052B82"/>
    <w:rsid w:val="48074B4D"/>
    <w:rsid w:val="48256D81"/>
    <w:rsid w:val="48285DF1"/>
    <w:rsid w:val="482A495B"/>
    <w:rsid w:val="48360F8E"/>
    <w:rsid w:val="483A48D0"/>
    <w:rsid w:val="48403BBB"/>
    <w:rsid w:val="486E697A"/>
    <w:rsid w:val="4870272E"/>
    <w:rsid w:val="48783354"/>
    <w:rsid w:val="488717E9"/>
    <w:rsid w:val="48877A3B"/>
    <w:rsid w:val="48A1717E"/>
    <w:rsid w:val="48A2424E"/>
    <w:rsid w:val="48B30ECD"/>
    <w:rsid w:val="48E1714C"/>
    <w:rsid w:val="48EB621C"/>
    <w:rsid w:val="49082480"/>
    <w:rsid w:val="491D4DA4"/>
    <w:rsid w:val="49221512"/>
    <w:rsid w:val="4922704D"/>
    <w:rsid w:val="492C6C7C"/>
    <w:rsid w:val="492E634C"/>
    <w:rsid w:val="494D6479"/>
    <w:rsid w:val="495854F9"/>
    <w:rsid w:val="495855E7"/>
    <w:rsid w:val="4961028C"/>
    <w:rsid w:val="498B1314"/>
    <w:rsid w:val="499248EA"/>
    <w:rsid w:val="499A5A39"/>
    <w:rsid w:val="49A01A1A"/>
    <w:rsid w:val="49B05850"/>
    <w:rsid w:val="49DC7715"/>
    <w:rsid w:val="4A023139"/>
    <w:rsid w:val="4A104EAD"/>
    <w:rsid w:val="4A271B53"/>
    <w:rsid w:val="4A286FFC"/>
    <w:rsid w:val="4A2A2D74"/>
    <w:rsid w:val="4A2C2648"/>
    <w:rsid w:val="4A2E6B75"/>
    <w:rsid w:val="4A3968CB"/>
    <w:rsid w:val="4A445C00"/>
    <w:rsid w:val="4A453156"/>
    <w:rsid w:val="4A655B5A"/>
    <w:rsid w:val="4A786951"/>
    <w:rsid w:val="4A7B576F"/>
    <w:rsid w:val="4A7D4C52"/>
    <w:rsid w:val="4A845704"/>
    <w:rsid w:val="4A8A55C1"/>
    <w:rsid w:val="4A9E2E1A"/>
    <w:rsid w:val="4AA76173"/>
    <w:rsid w:val="4AB32D6A"/>
    <w:rsid w:val="4AC26B85"/>
    <w:rsid w:val="4AE20F59"/>
    <w:rsid w:val="4AF561A9"/>
    <w:rsid w:val="4B053BA1"/>
    <w:rsid w:val="4B2E0642"/>
    <w:rsid w:val="4B2E23F0"/>
    <w:rsid w:val="4B321EE0"/>
    <w:rsid w:val="4B35377F"/>
    <w:rsid w:val="4B3C2D5F"/>
    <w:rsid w:val="4B46773A"/>
    <w:rsid w:val="4B524331"/>
    <w:rsid w:val="4B58746D"/>
    <w:rsid w:val="4B8464B4"/>
    <w:rsid w:val="4B8C5178"/>
    <w:rsid w:val="4B95590C"/>
    <w:rsid w:val="4BBE31C1"/>
    <w:rsid w:val="4BDD30E9"/>
    <w:rsid w:val="4BE93A2C"/>
    <w:rsid w:val="4BEA504D"/>
    <w:rsid w:val="4BF16EDC"/>
    <w:rsid w:val="4C013661"/>
    <w:rsid w:val="4C1E4213"/>
    <w:rsid w:val="4C24698F"/>
    <w:rsid w:val="4C376A3F"/>
    <w:rsid w:val="4C4A0649"/>
    <w:rsid w:val="4C7D362F"/>
    <w:rsid w:val="4C7E5ECA"/>
    <w:rsid w:val="4C876AA5"/>
    <w:rsid w:val="4C912C37"/>
    <w:rsid w:val="4C982217"/>
    <w:rsid w:val="4CAA3922"/>
    <w:rsid w:val="4CAC7A71"/>
    <w:rsid w:val="4CC748AA"/>
    <w:rsid w:val="4CC823D1"/>
    <w:rsid w:val="4CC93E10"/>
    <w:rsid w:val="4CCA6149"/>
    <w:rsid w:val="4CD07887"/>
    <w:rsid w:val="4CD40D06"/>
    <w:rsid w:val="4CD86AB8"/>
    <w:rsid w:val="4CE511D4"/>
    <w:rsid w:val="4CEA0599"/>
    <w:rsid w:val="4CF338F1"/>
    <w:rsid w:val="4CF82CB6"/>
    <w:rsid w:val="4CFE42B6"/>
    <w:rsid w:val="4D0840EF"/>
    <w:rsid w:val="4D0E00FB"/>
    <w:rsid w:val="4D0E6538"/>
    <w:rsid w:val="4D176606"/>
    <w:rsid w:val="4D2C0BB1"/>
    <w:rsid w:val="4D3C1302"/>
    <w:rsid w:val="4D461C73"/>
    <w:rsid w:val="4D4E6D7A"/>
    <w:rsid w:val="4D587961"/>
    <w:rsid w:val="4D6E11CA"/>
    <w:rsid w:val="4D8A4B84"/>
    <w:rsid w:val="4D8C33FE"/>
    <w:rsid w:val="4DA44955"/>
    <w:rsid w:val="4DAD1CF2"/>
    <w:rsid w:val="4DAD7E3A"/>
    <w:rsid w:val="4DAE37D1"/>
    <w:rsid w:val="4DDF5363"/>
    <w:rsid w:val="4DDF79D2"/>
    <w:rsid w:val="4DE3795A"/>
    <w:rsid w:val="4DEC4FB0"/>
    <w:rsid w:val="4DF2155F"/>
    <w:rsid w:val="4DFE3144"/>
    <w:rsid w:val="4E013DEC"/>
    <w:rsid w:val="4E075D8A"/>
    <w:rsid w:val="4E157A52"/>
    <w:rsid w:val="4E481A1B"/>
    <w:rsid w:val="4E4D2773"/>
    <w:rsid w:val="4E5812B1"/>
    <w:rsid w:val="4E5A52AA"/>
    <w:rsid w:val="4E5E0BA4"/>
    <w:rsid w:val="4E6B74B7"/>
    <w:rsid w:val="4E6D3230"/>
    <w:rsid w:val="4E724CEA"/>
    <w:rsid w:val="4E853271"/>
    <w:rsid w:val="4E93355A"/>
    <w:rsid w:val="4EA02F4B"/>
    <w:rsid w:val="4EAC3D58"/>
    <w:rsid w:val="4EB726FD"/>
    <w:rsid w:val="4EC00FAD"/>
    <w:rsid w:val="4ECC7F56"/>
    <w:rsid w:val="4ED67027"/>
    <w:rsid w:val="4EDD03B5"/>
    <w:rsid w:val="4EE16AD9"/>
    <w:rsid w:val="4EE31FE7"/>
    <w:rsid w:val="4EEF633A"/>
    <w:rsid w:val="4F00212F"/>
    <w:rsid w:val="4F134B35"/>
    <w:rsid w:val="4F1D2EA8"/>
    <w:rsid w:val="4F216980"/>
    <w:rsid w:val="4F271630"/>
    <w:rsid w:val="4F2935FA"/>
    <w:rsid w:val="4F2F01CE"/>
    <w:rsid w:val="4F304989"/>
    <w:rsid w:val="4F4C1097"/>
    <w:rsid w:val="4F585C8E"/>
    <w:rsid w:val="4F5A0243"/>
    <w:rsid w:val="4F7800DE"/>
    <w:rsid w:val="4F7F3CDA"/>
    <w:rsid w:val="4F8B7E11"/>
    <w:rsid w:val="4F9547EC"/>
    <w:rsid w:val="4F9843DC"/>
    <w:rsid w:val="4F9E0730"/>
    <w:rsid w:val="4FB55F93"/>
    <w:rsid w:val="4FC62A8C"/>
    <w:rsid w:val="4FD12F1D"/>
    <w:rsid w:val="4FD33566"/>
    <w:rsid w:val="4FE20F0D"/>
    <w:rsid w:val="4FE26324"/>
    <w:rsid w:val="4FE51552"/>
    <w:rsid w:val="50016325"/>
    <w:rsid w:val="50175053"/>
    <w:rsid w:val="502C3D52"/>
    <w:rsid w:val="503A70DF"/>
    <w:rsid w:val="503C110B"/>
    <w:rsid w:val="50454464"/>
    <w:rsid w:val="504A437F"/>
    <w:rsid w:val="504D3319"/>
    <w:rsid w:val="50504C4B"/>
    <w:rsid w:val="50720FD1"/>
    <w:rsid w:val="507A52F9"/>
    <w:rsid w:val="50822328"/>
    <w:rsid w:val="508605D9"/>
    <w:rsid w:val="508640C4"/>
    <w:rsid w:val="509B14DF"/>
    <w:rsid w:val="509C6E7C"/>
    <w:rsid w:val="50A3118B"/>
    <w:rsid w:val="50AC0A5E"/>
    <w:rsid w:val="50AC6291"/>
    <w:rsid w:val="50B909AE"/>
    <w:rsid w:val="50CD4459"/>
    <w:rsid w:val="50D52F3B"/>
    <w:rsid w:val="50DB3BE9"/>
    <w:rsid w:val="50ED6EED"/>
    <w:rsid w:val="50EF617E"/>
    <w:rsid w:val="50FA4237"/>
    <w:rsid w:val="50FC089B"/>
    <w:rsid w:val="51113F85"/>
    <w:rsid w:val="511A5C60"/>
    <w:rsid w:val="511B27C3"/>
    <w:rsid w:val="51220613"/>
    <w:rsid w:val="513B35F4"/>
    <w:rsid w:val="514C537E"/>
    <w:rsid w:val="5162104E"/>
    <w:rsid w:val="516C3454"/>
    <w:rsid w:val="516E1798"/>
    <w:rsid w:val="518B7299"/>
    <w:rsid w:val="518E4082"/>
    <w:rsid w:val="51A21442"/>
    <w:rsid w:val="51B353FD"/>
    <w:rsid w:val="51BF0246"/>
    <w:rsid w:val="51C12A45"/>
    <w:rsid w:val="51CE2237"/>
    <w:rsid w:val="51F06CF2"/>
    <w:rsid w:val="51F93C44"/>
    <w:rsid w:val="52102850"/>
    <w:rsid w:val="522B1438"/>
    <w:rsid w:val="5233653E"/>
    <w:rsid w:val="52377CF8"/>
    <w:rsid w:val="523A1FC6"/>
    <w:rsid w:val="52505342"/>
    <w:rsid w:val="52595FA5"/>
    <w:rsid w:val="525F337F"/>
    <w:rsid w:val="52612F1E"/>
    <w:rsid w:val="52783258"/>
    <w:rsid w:val="527E3C5D"/>
    <w:rsid w:val="52894B3D"/>
    <w:rsid w:val="52976ACD"/>
    <w:rsid w:val="52AA4B21"/>
    <w:rsid w:val="52BB6C5F"/>
    <w:rsid w:val="52CD7E41"/>
    <w:rsid w:val="52F263F9"/>
    <w:rsid w:val="52F42171"/>
    <w:rsid w:val="52F932E4"/>
    <w:rsid w:val="52FB2878"/>
    <w:rsid w:val="53076DD7"/>
    <w:rsid w:val="53081779"/>
    <w:rsid w:val="530F48B5"/>
    <w:rsid w:val="53310CD0"/>
    <w:rsid w:val="53430A03"/>
    <w:rsid w:val="53486019"/>
    <w:rsid w:val="53582700"/>
    <w:rsid w:val="53723AA5"/>
    <w:rsid w:val="53740D2E"/>
    <w:rsid w:val="538E0464"/>
    <w:rsid w:val="539B083F"/>
    <w:rsid w:val="539D6365"/>
    <w:rsid w:val="53A039CC"/>
    <w:rsid w:val="53A1505A"/>
    <w:rsid w:val="53B9088E"/>
    <w:rsid w:val="53BE1A5B"/>
    <w:rsid w:val="53C16DD2"/>
    <w:rsid w:val="53FA016C"/>
    <w:rsid w:val="54063E08"/>
    <w:rsid w:val="541128AF"/>
    <w:rsid w:val="54113409"/>
    <w:rsid w:val="54183C3E"/>
    <w:rsid w:val="54332825"/>
    <w:rsid w:val="543437E8"/>
    <w:rsid w:val="543A753C"/>
    <w:rsid w:val="543E12A8"/>
    <w:rsid w:val="547215A0"/>
    <w:rsid w:val="54754BEC"/>
    <w:rsid w:val="54854FA6"/>
    <w:rsid w:val="548E6AF4"/>
    <w:rsid w:val="54907C78"/>
    <w:rsid w:val="54B27180"/>
    <w:rsid w:val="54CE07E8"/>
    <w:rsid w:val="54DC2EBD"/>
    <w:rsid w:val="54F73313"/>
    <w:rsid w:val="54F80955"/>
    <w:rsid w:val="550348EE"/>
    <w:rsid w:val="55156B3F"/>
    <w:rsid w:val="55216B22"/>
    <w:rsid w:val="554D7917"/>
    <w:rsid w:val="555170A7"/>
    <w:rsid w:val="55546EF7"/>
    <w:rsid w:val="55575883"/>
    <w:rsid w:val="556C5592"/>
    <w:rsid w:val="55795567"/>
    <w:rsid w:val="5587536D"/>
    <w:rsid w:val="55937A20"/>
    <w:rsid w:val="559B174B"/>
    <w:rsid w:val="55B559FE"/>
    <w:rsid w:val="55CE0CF4"/>
    <w:rsid w:val="55D66D1B"/>
    <w:rsid w:val="55DA2824"/>
    <w:rsid w:val="55DB0E1A"/>
    <w:rsid w:val="55ED227E"/>
    <w:rsid w:val="55F662E2"/>
    <w:rsid w:val="56041143"/>
    <w:rsid w:val="56271EEC"/>
    <w:rsid w:val="562B7C58"/>
    <w:rsid w:val="562C577E"/>
    <w:rsid w:val="56325CFA"/>
    <w:rsid w:val="566001FD"/>
    <w:rsid w:val="566927CE"/>
    <w:rsid w:val="566F0395"/>
    <w:rsid w:val="56892BD1"/>
    <w:rsid w:val="56A31EE4"/>
    <w:rsid w:val="56A33C92"/>
    <w:rsid w:val="56B22A9C"/>
    <w:rsid w:val="56B244F0"/>
    <w:rsid w:val="56C06C3C"/>
    <w:rsid w:val="56DA342C"/>
    <w:rsid w:val="570B7A8A"/>
    <w:rsid w:val="57102FAD"/>
    <w:rsid w:val="57117A69"/>
    <w:rsid w:val="571E156B"/>
    <w:rsid w:val="57315F5A"/>
    <w:rsid w:val="573C09D9"/>
    <w:rsid w:val="574249AC"/>
    <w:rsid w:val="57504A4E"/>
    <w:rsid w:val="575A44FC"/>
    <w:rsid w:val="576670AF"/>
    <w:rsid w:val="576D42A0"/>
    <w:rsid w:val="576E6C64"/>
    <w:rsid w:val="5776277D"/>
    <w:rsid w:val="5785783C"/>
    <w:rsid w:val="579730CB"/>
    <w:rsid w:val="579C48FF"/>
    <w:rsid w:val="579D6934"/>
    <w:rsid w:val="57B27A7F"/>
    <w:rsid w:val="57B72A76"/>
    <w:rsid w:val="57C3426C"/>
    <w:rsid w:val="57CE1F93"/>
    <w:rsid w:val="57D76A5F"/>
    <w:rsid w:val="57EC0A1F"/>
    <w:rsid w:val="57F81DBC"/>
    <w:rsid w:val="57FF6649"/>
    <w:rsid w:val="58150BC0"/>
    <w:rsid w:val="58211B97"/>
    <w:rsid w:val="582232DD"/>
    <w:rsid w:val="582404EA"/>
    <w:rsid w:val="583059FA"/>
    <w:rsid w:val="58443253"/>
    <w:rsid w:val="584B0369"/>
    <w:rsid w:val="584E7BBC"/>
    <w:rsid w:val="585E7061"/>
    <w:rsid w:val="58604AAB"/>
    <w:rsid w:val="588743D1"/>
    <w:rsid w:val="5887701A"/>
    <w:rsid w:val="58A56994"/>
    <w:rsid w:val="58E24D3F"/>
    <w:rsid w:val="58E30CBE"/>
    <w:rsid w:val="58FF0E19"/>
    <w:rsid w:val="59003415"/>
    <w:rsid w:val="59037A62"/>
    <w:rsid w:val="59134F7D"/>
    <w:rsid w:val="59165437"/>
    <w:rsid w:val="591E5852"/>
    <w:rsid w:val="592230B8"/>
    <w:rsid w:val="593A0748"/>
    <w:rsid w:val="59576FB6"/>
    <w:rsid w:val="595827B1"/>
    <w:rsid w:val="59684BF4"/>
    <w:rsid w:val="597638E0"/>
    <w:rsid w:val="5980650D"/>
    <w:rsid w:val="59815DE1"/>
    <w:rsid w:val="59995169"/>
    <w:rsid w:val="599D7C0B"/>
    <w:rsid w:val="59A0095D"/>
    <w:rsid w:val="59B91A1F"/>
    <w:rsid w:val="59C0439F"/>
    <w:rsid w:val="59CC0D4E"/>
    <w:rsid w:val="59F82547"/>
    <w:rsid w:val="5A186745"/>
    <w:rsid w:val="5A190546"/>
    <w:rsid w:val="5A1A14A7"/>
    <w:rsid w:val="5A3612C1"/>
    <w:rsid w:val="5A3A517B"/>
    <w:rsid w:val="5A4F7C8D"/>
    <w:rsid w:val="5A555670"/>
    <w:rsid w:val="5A787483"/>
    <w:rsid w:val="5A7C4A8F"/>
    <w:rsid w:val="5A8B6F17"/>
    <w:rsid w:val="5A903F0A"/>
    <w:rsid w:val="5A993AC9"/>
    <w:rsid w:val="5A9B1124"/>
    <w:rsid w:val="5AA054E0"/>
    <w:rsid w:val="5ABE2233"/>
    <w:rsid w:val="5AD50F48"/>
    <w:rsid w:val="5AD84127"/>
    <w:rsid w:val="5B0B62AA"/>
    <w:rsid w:val="5B112400"/>
    <w:rsid w:val="5B195A0A"/>
    <w:rsid w:val="5B2353A2"/>
    <w:rsid w:val="5B2829B8"/>
    <w:rsid w:val="5B305D11"/>
    <w:rsid w:val="5B323837"/>
    <w:rsid w:val="5B394BC5"/>
    <w:rsid w:val="5B687259"/>
    <w:rsid w:val="5B6A2FD1"/>
    <w:rsid w:val="5B6F05E7"/>
    <w:rsid w:val="5B865F53"/>
    <w:rsid w:val="5B8D7428"/>
    <w:rsid w:val="5BB57A5E"/>
    <w:rsid w:val="5BB66216"/>
    <w:rsid w:val="5BDF5D95"/>
    <w:rsid w:val="5BEF091F"/>
    <w:rsid w:val="5BF403B0"/>
    <w:rsid w:val="5BF57AC4"/>
    <w:rsid w:val="5BFE7528"/>
    <w:rsid w:val="5C267788"/>
    <w:rsid w:val="5C621EFA"/>
    <w:rsid w:val="5C69772C"/>
    <w:rsid w:val="5C6B4842"/>
    <w:rsid w:val="5C7165E1"/>
    <w:rsid w:val="5C7560D1"/>
    <w:rsid w:val="5C7D3A38"/>
    <w:rsid w:val="5C7E485A"/>
    <w:rsid w:val="5C837DF9"/>
    <w:rsid w:val="5C846314"/>
    <w:rsid w:val="5C8956D8"/>
    <w:rsid w:val="5CB306FC"/>
    <w:rsid w:val="5CB56E9B"/>
    <w:rsid w:val="5CDF79EE"/>
    <w:rsid w:val="5CE648D9"/>
    <w:rsid w:val="5CE92406"/>
    <w:rsid w:val="5CF80AB0"/>
    <w:rsid w:val="5D083376"/>
    <w:rsid w:val="5D083F57"/>
    <w:rsid w:val="5D0A19D1"/>
    <w:rsid w:val="5D2536F9"/>
    <w:rsid w:val="5D6879E4"/>
    <w:rsid w:val="5D8E4AA0"/>
    <w:rsid w:val="5D954031"/>
    <w:rsid w:val="5D9910A4"/>
    <w:rsid w:val="5D9A6A57"/>
    <w:rsid w:val="5DB03139"/>
    <w:rsid w:val="5DB76275"/>
    <w:rsid w:val="5DB93D9B"/>
    <w:rsid w:val="5DCD5A99"/>
    <w:rsid w:val="5DD57F98"/>
    <w:rsid w:val="5DDC29A4"/>
    <w:rsid w:val="5DEE04B2"/>
    <w:rsid w:val="5E0D40E7"/>
    <w:rsid w:val="5E2467F1"/>
    <w:rsid w:val="5E3632B2"/>
    <w:rsid w:val="5E377A3E"/>
    <w:rsid w:val="5E4F4542"/>
    <w:rsid w:val="5E6301AB"/>
    <w:rsid w:val="5E651287"/>
    <w:rsid w:val="5E6C5399"/>
    <w:rsid w:val="5E8847FA"/>
    <w:rsid w:val="5E8E13E1"/>
    <w:rsid w:val="5E90608A"/>
    <w:rsid w:val="5E96232F"/>
    <w:rsid w:val="5E987E55"/>
    <w:rsid w:val="5EA507C4"/>
    <w:rsid w:val="5EC32B2B"/>
    <w:rsid w:val="5ECF09A3"/>
    <w:rsid w:val="5EDA221B"/>
    <w:rsid w:val="5EDC2437"/>
    <w:rsid w:val="5EEE5CC7"/>
    <w:rsid w:val="5EF07702"/>
    <w:rsid w:val="5EF270D9"/>
    <w:rsid w:val="5EF62586"/>
    <w:rsid w:val="5F0A577B"/>
    <w:rsid w:val="5F125E59"/>
    <w:rsid w:val="5F13572D"/>
    <w:rsid w:val="5F1A2B43"/>
    <w:rsid w:val="5F346EF5"/>
    <w:rsid w:val="5F396B7C"/>
    <w:rsid w:val="5F5C70D4"/>
    <w:rsid w:val="5F9E149B"/>
    <w:rsid w:val="5FA36AB1"/>
    <w:rsid w:val="5FB15643"/>
    <w:rsid w:val="5FB837BB"/>
    <w:rsid w:val="5FBD7DB8"/>
    <w:rsid w:val="5FBE38EB"/>
    <w:rsid w:val="5FCF338E"/>
    <w:rsid w:val="5FDA065E"/>
    <w:rsid w:val="5FEB0458"/>
    <w:rsid w:val="5FF84615"/>
    <w:rsid w:val="60114363"/>
    <w:rsid w:val="60134292"/>
    <w:rsid w:val="60163727"/>
    <w:rsid w:val="602D524B"/>
    <w:rsid w:val="60326060"/>
    <w:rsid w:val="60402552"/>
    <w:rsid w:val="60786190"/>
    <w:rsid w:val="60794AB2"/>
    <w:rsid w:val="60844B35"/>
    <w:rsid w:val="60911000"/>
    <w:rsid w:val="60917251"/>
    <w:rsid w:val="6094289E"/>
    <w:rsid w:val="60972CB5"/>
    <w:rsid w:val="60AD570E"/>
    <w:rsid w:val="60BB71D7"/>
    <w:rsid w:val="60CA4511"/>
    <w:rsid w:val="60CC405A"/>
    <w:rsid w:val="60DC5C61"/>
    <w:rsid w:val="60E2185B"/>
    <w:rsid w:val="60E90E3C"/>
    <w:rsid w:val="60EE0200"/>
    <w:rsid w:val="60F90953"/>
    <w:rsid w:val="60FA1991"/>
    <w:rsid w:val="60FD0443"/>
    <w:rsid w:val="610417D1"/>
    <w:rsid w:val="6109328C"/>
    <w:rsid w:val="612C2AD6"/>
    <w:rsid w:val="61482130"/>
    <w:rsid w:val="614B7400"/>
    <w:rsid w:val="614F2B37"/>
    <w:rsid w:val="61646714"/>
    <w:rsid w:val="617E77D6"/>
    <w:rsid w:val="617F354E"/>
    <w:rsid w:val="619121BE"/>
    <w:rsid w:val="61972646"/>
    <w:rsid w:val="619F599E"/>
    <w:rsid w:val="61AD3C17"/>
    <w:rsid w:val="61C923E9"/>
    <w:rsid w:val="61E215D8"/>
    <w:rsid w:val="61F950AE"/>
    <w:rsid w:val="620022F3"/>
    <w:rsid w:val="62053A53"/>
    <w:rsid w:val="62160AE0"/>
    <w:rsid w:val="621B3775"/>
    <w:rsid w:val="621C199B"/>
    <w:rsid w:val="62261C1B"/>
    <w:rsid w:val="622D504B"/>
    <w:rsid w:val="62364782"/>
    <w:rsid w:val="623D5CA9"/>
    <w:rsid w:val="623E6F65"/>
    <w:rsid w:val="6247450C"/>
    <w:rsid w:val="627B4304"/>
    <w:rsid w:val="6287090C"/>
    <w:rsid w:val="6292203D"/>
    <w:rsid w:val="62922E0D"/>
    <w:rsid w:val="62A0552A"/>
    <w:rsid w:val="62A33CBB"/>
    <w:rsid w:val="62AC2121"/>
    <w:rsid w:val="62AE5E99"/>
    <w:rsid w:val="62CD2031"/>
    <w:rsid w:val="62CF1F42"/>
    <w:rsid w:val="62DE42A4"/>
    <w:rsid w:val="62DF7A41"/>
    <w:rsid w:val="62ED1D7D"/>
    <w:rsid w:val="62FB30A8"/>
    <w:rsid w:val="63047292"/>
    <w:rsid w:val="6320666B"/>
    <w:rsid w:val="632E2B36"/>
    <w:rsid w:val="63332A0B"/>
    <w:rsid w:val="633A4B2A"/>
    <w:rsid w:val="634B193A"/>
    <w:rsid w:val="635146B8"/>
    <w:rsid w:val="63692347"/>
    <w:rsid w:val="636E73D6"/>
    <w:rsid w:val="637225C3"/>
    <w:rsid w:val="637F7835"/>
    <w:rsid w:val="63807109"/>
    <w:rsid w:val="638F4BFB"/>
    <w:rsid w:val="6394356A"/>
    <w:rsid w:val="63A70B3A"/>
    <w:rsid w:val="63B9521E"/>
    <w:rsid w:val="63C1211D"/>
    <w:rsid w:val="63C61B2C"/>
    <w:rsid w:val="63C96D02"/>
    <w:rsid w:val="63D25BB7"/>
    <w:rsid w:val="63D40BE9"/>
    <w:rsid w:val="63DC4C88"/>
    <w:rsid w:val="63DD455C"/>
    <w:rsid w:val="63E61662"/>
    <w:rsid w:val="63FA6EBC"/>
    <w:rsid w:val="640B10C9"/>
    <w:rsid w:val="640E283F"/>
    <w:rsid w:val="64102431"/>
    <w:rsid w:val="64264155"/>
    <w:rsid w:val="64276DCF"/>
    <w:rsid w:val="644259D9"/>
    <w:rsid w:val="6445282D"/>
    <w:rsid w:val="64542A70"/>
    <w:rsid w:val="645955B7"/>
    <w:rsid w:val="645D22AF"/>
    <w:rsid w:val="64675F32"/>
    <w:rsid w:val="646F18AC"/>
    <w:rsid w:val="64852C29"/>
    <w:rsid w:val="64A5243A"/>
    <w:rsid w:val="64B02DA1"/>
    <w:rsid w:val="64C30D99"/>
    <w:rsid w:val="64E77440"/>
    <w:rsid w:val="64EA33D4"/>
    <w:rsid w:val="64EB03BF"/>
    <w:rsid w:val="64EE1078"/>
    <w:rsid w:val="64F531DE"/>
    <w:rsid w:val="64F63B27"/>
    <w:rsid w:val="64FA25B8"/>
    <w:rsid w:val="650D7FAF"/>
    <w:rsid w:val="650E4F68"/>
    <w:rsid w:val="65220B07"/>
    <w:rsid w:val="65286E80"/>
    <w:rsid w:val="6535464F"/>
    <w:rsid w:val="65363F24"/>
    <w:rsid w:val="65373578"/>
    <w:rsid w:val="65390E49"/>
    <w:rsid w:val="653A7EB8"/>
    <w:rsid w:val="653C09CD"/>
    <w:rsid w:val="65515201"/>
    <w:rsid w:val="655D7702"/>
    <w:rsid w:val="65640A91"/>
    <w:rsid w:val="656960A7"/>
    <w:rsid w:val="657C2DE8"/>
    <w:rsid w:val="658F44B7"/>
    <w:rsid w:val="65984BDE"/>
    <w:rsid w:val="65A20C08"/>
    <w:rsid w:val="65AB7DEE"/>
    <w:rsid w:val="65AE61B0"/>
    <w:rsid w:val="65B16842"/>
    <w:rsid w:val="65B732B6"/>
    <w:rsid w:val="65B80DDC"/>
    <w:rsid w:val="65D36CF1"/>
    <w:rsid w:val="65DD720D"/>
    <w:rsid w:val="65DF4DCA"/>
    <w:rsid w:val="65EB11B2"/>
    <w:rsid w:val="65FE2B87"/>
    <w:rsid w:val="6603474E"/>
    <w:rsid w:val="660D1128"/>
    <w:rsid w:val="660E4EA0"/>
    <w:rsid w:val="661F0E5C"/>
    <w:rsid w:val="663B6ADC"/>
    <w:rsid w:val="664B7EA3"/>
    <w:rsid w:val="665E2090"/>
    <w:rsid w:val="66777C14"/>
    <w:rsid w:val="667876F7"/>
    <w:rsid w:val="667E2026"/>
    <w:rsid w:val="66817D3D"/>
    <w:rsid w:val="66892C19"/>
    <w:rsid w:val="668E3917"/>
    <w:rsid w:val="66AF0810"/>
    <w:rsid w:val="66C32BE9"/>
    <w:rsid w:val="66C8504F"/>
    <w:rsid w:val="66E0683D"/>
    <w:rsid w:val="66EF4CD2"/>
    <w:rsid w:val="66F75934"/>
    <w:rsid w:val="66FE3167"/>
    <w:rsid w:val="670D6F06"/>
    <w:rsid w:val="671F124A"/>
    <w:rsid w:val="672522D9"/>
    <w:rsid w:val="67283D40"/>
    <w:rsid w:val="67542D87"/>
    <w:rsid w:val="675D52B0"/>
    <w:rsid w:val="676236F6"/>
    <w:rsid w:val="677A33C6"/>
    <w:rsid w:val="678E776E"/>
    <w:rsid w:val="67A07FE7"/>
    <w:rsid w:val="67C9069F"/>
    <w:rsid w:val="67D839B8"/>
    <w:rsid w:val="67E645BE"/>
    <w:rsid w:val="67F1102B"/>
    <w:rsid w:val="67F51E74"/>
    <w:rsid w:val="67F72090"/>
    <w:rsid w:val="67F84382"/>
    <w:rsid w:val="67FC3439"/>
    <w:rsid w:val="680E73DA"/>
    <w:rsid w:val="681A5D7E"/>
    <w:rsid w:val="681F6961"/>
    <w:rsid w:val="682E5386"/>
    <w:rsid w:val="68336E40"/>
    <w:rsid w:val="683926A8"/>
    <w:rsid w:val="683D381B"/>
    <w:rsid w:val="684F5FBB"/>
    <w:rsid w:val="6852376A"/>
    <w:rsid w:val="6853303E"/>
    <w:rsid w:val="68610A2F"/>
    <w:rsid w:val="686314D3"/>
    <w:rsid w:val="687A681D"/>
    <w:rsid w:val="68805514"/>
    <w:rsid w:val="688B2364"/>
    <w:rsid w:val="6894168D"/>
    <w:rsid w:val="68A45648"/>
    <w:rsid w:val="68BA7AC6"/>
    <w:rsid w:val="68BC73C6"/>
    <w:rsid w:val="68DD74D8"/>
    <w:rsid w:val="68E51EE8"/>
    <w:rsid w:val="68EB0DB8"/>
    <w:rsid w:val="690802CD"/>
    <w:rsid w:val="69180510"/>
    <w:rsid w:val="69316E2F"/>
    <w:rsid w:val="694E2071"/>
    <w:rsid w:val="695157D0"/>
    <w:rsid w:val="69615A58"/>
    <w:rsid w:val="697463D3"/>
    <w:rsid w:val="69747710"/>
    <w:rsid w:val="69766163"/>
    <w:rsid w:val="69782D5D"/>
    <w:rsid w:val="697A3B33"/>
    <w:rsid w:val="699456BD"/>
    <w:rsid w:val="69A41031"/>
    <w:rsid w:val="69A94F28"/>
    <w:rsid w:val="69B72FE9"/>
    <w:rsid w:val="69C441F4"/>
    <w:rsid w:val="69D44760"/>
    <w:rsid w:val="69D54D60"/>
    <w:rsid w:val="69FA2A07"/>
    <w:rsid w:val="69FC0450"/>
    <w:rsid w:val="6A057161"/>
    <w:rsid w:val="6A2D7979"/>
    <w:rsid w:val="6A435B12"/>
    <w:rsid w:val="6A49294B"/>
    <w:rsid w:val="6A4B0471"/>
    <w:rsid w:val="6A520EC7"/>
    <w:rsid w:val="6A5A06B4"/>
    <w:rsid w:val="6A633A0D"/>
    <w:rsid w:val="6A6D03E7"/>
    <w:rsid w:val="6A7F011B"/>
    <w:rsid w:val="6A894DD0"/>
    <w:rsid w:val="6A9A48D4"/>
    <w:rsid w:val="6AA41BBD"/>
    <w:rsid w:val="6AC124E1"/>
    <w:rsid w:val="6AC6091A"/>
    <w:rsid w:val="6AD246EE"/>
    <w:rsid w:val="6ADA17F5"/>
    <w:rsid w:val="6AE10DD5"/>
    <w:rsid w:val="6AF64881"/>
    <w:rsid w:val="6AF87E20"/>
    <w:rsid w:val="6B0B7C00"/>
    <w:rsid w:val="6B2625BA"/>
    <w:rsid w:val="6B2B093A"/>
    <w:rsid w:val="6B2F3925"/>
    <w:rsid w:val="6B322639"/>
    <w:rsid w:val="6B4846AF"/>
    <w:rsid w:val="6B8425F1"/>
    <w:rsid w:val="6B90232B"/>
    <w:rsid w:val="6B9D4C21"/>
    <w:rsid w:val="6BA954BC"/>
    <w:rsid w:val="6BAA31E3"/>
    <w:rsid w:val="6BAD2A21"/>
    <w:rsid w:val="6BBD0EFB"/>
    <w:rsid w:val="6BC40CCC"/>
    <w:rsid w:val="6BC71D79"/>
    <w:rsid w:val="6BDF0881"/>
    <w:rsid w:val="6BF568E6"/>
    <w:rsid w:val="6C0E1756"/>
    <w:rsid w:val="6C1A56E3"/>
    <w:rsid w:val="6C206D11"/>
    <w:rsid w:val="6C217ED7"/>
    <w:rsid w:val="6C262F44"/>
    <w:rsid w:val="6C2E004A"/>
    <w:rsid w:val="6C3513D9"/>
    <w:rsid w:val="6C3B1D3C"/>
    <w:rsid w:val="6C515AE7"/>
    <w:rsid w:val="6C636C38"/>
    <w:rsid w:val="6C6972D4"/>
    <w:rsid w:val="6C7E0185"/>
    <w:rsid w:val="6C7F2654"/>
    <w:rsid w:val="6C8156FE"/>
    <w:rsid w:val="6C950E4F"/>
    <w:rsid w:val="6CA10794"/>
    <w:rsid w:val="6CA34594"/>
    <w:rsid w:val="6CA90A3F"/>
    <w:rsid w:val="6CB57E24"/>
    <w:rsid w:val="6CC64199"/>
    <w:rsid w:val="6CCC60F6"/>
    <w:rsid w:val="6CD55963"/>
    <w:rsid w:val="6CD81D64"/>
    <w:rsid w:val="6CE8644B"/>
    <w:rsid w:val="6D013069"/>
    <w:rsid w:val="6D056FFD"/>
    <w:rsid w:val="6D0609E6"/>
    <w:rsid w:val="6D08089B"/>
    <w:rsid w:val="6D1234C8"/>
    <w:rsid w:val="6D2F407A"/>
    <w:rsid w:val="6D54763D"/>
    <w:rsid w:val="6D5E495F"/>
    <w:rsid w:val="6D681925"/>
    <w:rsid w:val="6D981750"/>
    <w:rsid w:val="6DB227C7"/>
    <w:rsid w:val="6DB34098"/>
    <w:rsid w:val="6DB545B6"/>
    <w:rsid w:val="6DBB590E"/>
    <w:rsid w:val="6DC14287"/>
    <w:rsid w:val="6DE02FB4"/>
    <w:rsid w:val="6DF57072"/>
    <w:rsid w:val="6E0D0088"/>
    <w:rsid w:val="6E173F5E"/>
    <w:rsid w:val="6E1B63AC"/>
    <w:rsid w:val="6E4A0A40"/>
    <w:rsid w:val="6E514CED"/>
    <w:rsid w:val="6E5A6DD8"/>
    <w:rsid w:val="6E69536A"/>
    <w:rsid w:val="6EAD34A8"/>
    <w:rsid w:val="6EB26D11"/>
    <w:rsid w:val="6EB563D5"/>
    <w:rsid w:val="6EC0117B"/>
    <w:rsid w:val="6ED92677"/>
    <w:rsid w:val="6EF74724"/>
    <w:rsid w:val="6EF909A8"/>
    <w:rsid w:val="6F046E40"/>
    <w:rsid w:val="6F1223EB"/>
    <w:rsid w:val="6F1572A0"/>
    <w:rsid w:val="6F196C97"/>
    <w:rsid w:val="6F225983"/>
    <w:rsid w:val="6F255735"/>
    <w:rsid w:val="6F264E29"/>
    <w:rsid w:val="6F3C482C"/>
    <w:rsid w:val="6F4436E1"/>
    <w:rsid w:val="6F5A4CB2"/>
    <w:rsid w:val="6F6F4C26"/>
    <w:rsid w:val="6F92269E"/>
    <w:rsid w:val="6FA440F0"/>
    <w:rsid w:val="6FAC19B2"/>
    <w:rsid w:val="6FB01AA2"/>
    <w:rsid w:val="6FBD596D"/>
    <w:rsid w:val="6FCD1928"/>
    <w:rsid w:val="6FD1766A"/>
    <w:rsid w:val="6FD20CED"/>
    <w:rsid w:val="6FDC1E49"/>
    <w:rsid w:val="6FDD0FE2"/>
    <w:rsid w:val="6FE17097"/>
    <w:rsid w:val="6FE80510"/>
    <w:rsid w:val="6FFC5590"/>
    <w:rsid w:val="70117A67"/>
    <w:rsid w:val="701234E1"/>
    <w:rsid w:val="70147102"/>
    <w:rsid w:val="702E686B"/>
    <w:rsid w:val="704A7AEE"/>
    <w:rsid w:val="706D1DD0"/>
    <w:rsid w:val="706F0B3B"/>
    <w:rsid w:val="70856B87"/>
    <w:rsid w:val="70A94143"/>
    <w:rsid w:val="70B86135"/>
    <w:rsid w:val="70D27F9B"/>
    <w:rsid w:val="70D44E93"/>
    <w:rsid w:val="70D52065"/>
    <w:rsid w:val="70D527EE"/>
    <w:rsid w:val="70D94A29"/>
    <w:rsid w:val="70EF60F1"/>
    <w:rsid w:val="71015F80"/>
    <w:rsid w:val="71121CE9"/>
    <w:rsid w:val="711B6B1E"/>
    <w:rsid w:val="712E63F7"/>
    <w:rsid w:val="71453E6C"/>
    <w:rsid w:val="715B3690"/>
    <w:rsid w:val="715B5300"/>
    <w:rsid w:val="716F367F"/>
    <w:rsid w:val="71780344"/>
    <w:rsid w:val="717B788E"/>
    <w:rsid w:val="71900A0A"/>
    <w:rsid w:val="71A072F4"/>
    <w:rsid w:val="71A36DE5"/>
    <w:rsid w:val="71AC3EEB"/>
    <w:rsid w:val="71C01745"/>
    <w:rsid w:val="71CB45FC"/>
    <w:rsid w:val="71D27F8A"/>
    <w:rsid w:val="71DC40A5"/>
    <w:rsid w:val="71ED0060"/>
    <w:rsid w:val="72057201"/>
    <w:rsid w:val="722A26B8"/>
    <w:rsid w:val="724957B7"/>
    <w:rsid w:val="724D2DB9"/>
    <w:rsid w:val="72553024"/>
    <w:rsid w:val="72645D9D"/>
    <w:rsid w:val="72726891"/>
    <w:rsid w:val="72780EDF"/>
    <w:rsid w:val="72802C82"/>
    <w:rsid w:val="729A1F96"/>
    <w:rsid w:val="72BD3ED6"/>
    <w:rsid w:val="72D80D10"/>
    <w:rsid w:val="72DA4424"/>
    <w:rsid w:val="72DC1508"/>
    <w:rsid w:val="72F571CC"/>
    <w:rsid w:val="73122968"/>
    <w:rsid w:val="73124222"/>
    <w:rsid w:val="731F5D5E"/>
    <w:rsid w:val="733078DA"/>
    <w:rsid w:val="73377010"/>
    <w:rsid w:val="73412411"/>
    <w:rsid w:val="7358775B"/>
    <w:rsid w:val="735C549D"/>
    <w:rsid w:val="7363682B"/>
    <w:rsid w:val="739F5634"/>
    <w:rsid w:val="73A4328D"/>
    <w:rsid w:val="73A44F2A"/>
    <w:rsid w:val="73BF2BB4"/>
    <w:rsid w:val="73C31078"/>
    <w:rsid w:val="73C51AD5"/>
    <w:rsid w:val="73C6500C"/>
    <w:rsid w:val="73F97190"/>
    <w:rsid w:val="73FB4CB6"/>
    <w:rsid w:val="74151511"/>
    <w:rsid w:val="74166220"/>
    <w:rsid w:val="741E2752"/>
    <w:rsid w:val="741E793C"/>
    <w:rsid w:val="74363F40"/>
    <w:rsid w:val="74404DBF"/>
    <w:rsid w:val="745E3944"/>
    <w:rsid w:val="74604B19"/>
    <w:rsid w:val="74691E15"/>
    <w:rsid w:val="74AE767B"/>
    <w:rsid w:val="74C404A4"/>
    <w:rsid w:val="74C838E9"/>
    <w:rsid w:val="74D40FCB"/>
    <w:rsid w:val="74D84FF7"/>
    <w:rsid w:val="74E95F0F"/>
    <w:rsid w:val="74F03575"/>
    <w:rsid w:val="75020AFF"/>
    <w:rsid w:val="75040A3A"/>
    <w:rsid w:val="750D133A"/>
    <w:rsid w:val="75151DA7"/>
    <w:rsid w:val="75200C3E"/>
    <w:rsid w:val="7521074C"/>
    <w:rsid w:val="752E2E69"/>
    <w:rsid w:val="752F2C75"/>
    <w:rsid w:val="753C0676"/>
    <w:rsid w:val="75410C1A"/>
    <w:rsid w:val="75470E99"/>
    <w:rsid w:val="755723C0"/>
    <w:rsid w:val="757C7878"/>
    <w:rsid w:val="759058D2"/>
    <w:rsid w:val="75970A0E"/>
    <w:rsid w:val="75995495"/>
    <w:rsid w:val="75B90985"/>
    <w:rsid w:val="75D237F5"/>
    <w:rsid w:val="75E43528"/>
    <w:rsid w:val="7601057E"/>
    <w:rsid w:val="76022CF1"/>
    <w:rsid w:val="76250490"/>
    <w:rsid w:val="76257DC8"/>
    <w:rsid w:val="763444AF"/>
    <w:rsid w:val="7635099D"/>
    <w:rsid w:val="763E2968"/>
    <w:rsid w:val="764257EC"/>
    <w:rsid w:val="764A3CD3"/>
    <w:rsid w:val="7657019E"/>
    <w:rsid w:val="76595CC4"/>
    <w:rsid w:val="76944F4E"/>
    <w:rsid w:val="76966F18"/>
    <w:rsid w:val="76D054B2"/>
    <w:rsid w:val="76E539FB"/>
    <w:rsid w:val="76E81C8A"/>
    <w:rsid w:val="76FA35BE"/>
    <w:rsid w:val="77106CCA"/>
    <w:rsid w:val="771209F6"/>
    <w:rsid w:val="771B314E"/>
    <w:rsid w:val="771D7749"/>
    <w:rsid w:val="77206181"/>
    <w:rsid w:val="77324E93"/>
    <w:rsid w:val="77334767"/>
    <w:rsid w:val="774B21B7"/>
    <w:rsid w:val="775A4A61"/>
    <w:rsid w:val="776104AC"/>
    <w:rsid w:val="77690189"/>
    <w:rsid w:val="77754D7F"/>
    <w:rsid w:val="77762421"/>
    <w:rsid w:val="7789082B"/>
    <w:rsid w:val="77A70DAE"/>
    <w:rsid w:val="77B40324"/>
    <w:rsid w:val="77B56B1F"/>
    <w:rsid w:val="77CB701E"/>
    <w:rsid w:val="77D5581E"/>
    <w:rsid w:val="77E912C9"/>
    <w:rsid w:val="77F959B0"/>
    <w:rsid w:val="77FF01B7"/>
    <w:rsid w:val="780F09F4"/>
    <w:rsid w:val="781F1B1B"/>
    <w:rsid w:val="782753A3"/>
    <w:rsid w:val="783B1B25"/>
    <w:rsid w:val="783C589D"/>
    <w:rsid w:val="784850B7"/>
    <w:rsid w:val="784C2E38"/>
    <w:rsid w:val="784F5452"/>
    <w:rsid w:val="7863107C"/>
    <w:rsid w:val="786D1EFA"/>
    <w:rsid w:val="78701BA4"/>
    <w:rsid w:val="787E1A12"/>
    <w:rsid w:val="788A6608"/>
    <w:rsid w:val="788F2E8E"/>
    <w:rsid w:val="78911745"/>
    <w:rsid w:val="7892370F"/>
    <w:rsid w:val="789B25C4"/>
    <w:rsid w:val="78A05E2C"/>
    <w:rsid w:val="78A90480"/>
    <w:rsid w:val="78B90C9C"/>
    <w:rsid w:val="78C0202A"/>
    <w:rsid w:val="78C338C8"/>
    <w:rsid w:val="78ED4F54"/>
    <w:rsid w:val="78F07CFF"/>
    <w:rsid w:val="78F46178"/>
    <w:rsid w:val="78F91413"/>
    <w:rsid w:val="78F9553C"/>
    <w:rsid w:val="790A1709"/>
    <w:rsid w:val="790F5D09"/>
    <w:rsid w:val="792504D4"/>
    <w:rsid w:val="79256331"/>
    <w:rsid w:val="792A1B99"/>
    <w:rsid w:val="792E51E6"/>
    <w:rsid w:val="79323A5E"/>
    <w:rsid w:val="793D367B"/>
    <w:rsid w:val="795135CA"/>
    <w:rsid w:val="79530DA9"/>
    <w:rsid w:val="79660E24"/>
    <w:rsid w:val="796721E3"/>
    <w:rsid w:val="796C5667"/>
    <w:rsid w:val="797A15C6"/>
    <w:rsid w:val="797F1EE5"/>
    <w:rsid w:val="798133B1"/>
    <w:rsid w:val="79825532"/>
    <w:rsid w:val="79A42E88"/>
    <w:rsid w:val="79AC6671"/>
    <w:rsid w:val="79B36FA4"/>
    <w:rsid w:val="79BD2A0E"/>
    <w:rsid w:val="79CD0EA3"/>
    <w:rsid w:val="79DF65E8"/>
    <w:rsid w:val="79FF4DD4"/>
    <w:rsid w:val="7A0930C8"/>
    <w:rsid w:val="7A227B18"/>
    <w:rsid w:val="7A293BFF"/>
    <w:rsid w:val="7A364017"/>
    <w:rsid w:val="7A3C36A9"/>
    <w:rsid w:val="7A3E3B4E"/>
    <w:rsid w:val="7A4E3666"/>
    <w:rsid w:val="7A5A1ED3"/>
    <w:rsid w:val="7A5A7D91"/>
    <w:rsid w:val="7A5E0E2C"/>
    <w:rsid w:val="7A6765A3"/>
    <w:rsid w:val="7A7D28C9"/>
    <w:rsid w:val="7A8265E1"/>
    <w:rsid w:val="7A8A28F0"/>
    <w:rsid w:val="7A911ED0"/>
    <w:rsid w:val="7AA300E0"/>
    <w:rsid w:val="7AA61E09"/>
    <w:rsid w:val="7AB81868"/>
    <w:rsid w:val="7AC758F2"/>
    <w:rsid w:val="7AC878BC"/>
    <w:rsid w:val="7AD9224A"/>
    <w:rsid w:val="7ADD3367"/>
    <w:rsid w:val="7AF16E13"/>
    <w:rsid w:val="7AF5302D"/>
    <w:rsid w:val="7AFD7566"/>
    <w:rsid w:val="7B114DBF"/>
    <w:rsid w:val="7B1B798E"/>
    <w:rsid w:val="7B3D01B3"/>
    <w:rsid w:val="7B474C85"/>
    <w:rsid w:val="7B4F1915"/>
    <w:rsid w:val="7B6507A8"/>
    <w:rsid w:val="7B656EB9"/>
    <w:rsid w:val="7B686D42"/>
    <w:rsid w:val="7B6A70F0"/>
    <w:rsid w:val="7B6A770C"/>
    <w:rsid w:val="7B713AB0"/>
    <w:rsid w:val="7B791E2B"/>
    <w:rsid w:val="7B7A0BB6"/>
    <w:rsid w:val="7B7C0170"/>
    <w:rsid w:val="7B802698"/>
    <w:rsid w:val="7B841746"/>
    <w:rsid w:val="7B8657AD"/>
    <w:rsid w:val="7B9B0B2D"/>
    <w:rsid w:val="7BA93249"/>
    <w:rsid w:val="7BB5399C"/>
    <w:rsid w:val="7BC77B74"/>
    <w:rsid w:val="7BD328B6"/>
    <w:rsid w:val="7BDB68EC"/>
    <w:rsid w:val="7BDD7EF6"/>
    <w:rsid w:val="7BE05DAF"/>
    <w:rsid w:val="7BEB37BC"/>
    <w:rsid w:val="7BF01E0A"/>
    <w:rsid w:val="7C172CEB"/>
    <w:rsid w:val="7C2823C0"/>
    <w:rsid w:val="7C2B40C6"/>
    <w:rsid w:val="7C6276EC"/>
    <w:rsid w:val="7C6C5AC7"/>
    <w:rsid w:val="7C702B07"/>
    <w:rsid w:val="7C7471F7"/>
    <w:rsid w:val="7C7E1AF1"/>
    <w:rsid w:val="7C7F1C74"/>
    <w:rsid w:val="7CA97333"/>
    <w:rsid w:val="7CB830BD"/>
    <w:rsid w:val="7CC3658D"/>
    <w:rsid w:val="7CC6544B"/>
    <w:rsid w:val="7CCA30C3"/>
    <w:rsid w:val="7CD52458"/>
    <w:rsid w:val="7CDE5175"/>
    <w:rsid w:val="7CE21998"/>
    <w:rsid w:val="7CE341BC"/>
    <w:rsid w:val="7CE51A0E"/>
    <w:rsid w:val="7CFA4312"/>
    <w:rsid w:val="7D0239FF"/>
    <w:rsid w:val="7D0D49A1"/>
    <w:rsid w:val="7D0D7808"/>
    <w:rsid w:val="7D297495"/>
    <w:rsid w:val="7D320092"/>
    <w:rsid w:val="7D407BDD"/>
    <w:rsid w:val="7D476228"/>
    <w:rsid w:val="7D5335E1"/>
    <w:rsid w:val="7D5E40CD"/>
    <w:rsid w:val="7D664A50"/>
    <w:rsid w:val="7D781125"/>
    <w:rsid w:val="7D9F66B2"/>
    <w:rsid w:val="7DA22B94"/>
    <w:rsid w:val="7DA43071"/>
    <w:rsid w:val="7DAF2A0C"/>
    <w:rsid w:val="7DCD56F2"/>
    <w:rsid w:val="7DEB7B49"/>
    <w:rsid w:val="7DED2AB8"/>
    <w:rsid w:val="7DF033B2"/>
    <w:rsid w:val="7DF67E62"/>
    <w:rsid w:val="7E063675"/>
    <w:rsid w:val="7E130329"/>
    <w:rsid w:val="7E1A3F8B"/>
    <w:rsid w:val="7E2E3EDA"/>
    <w:rsid w:val="7E3922D0"/>
    <w:rsid w:val="7E431733"/>
    <w:rsid w:val="7E76302D"/>
    <w:rsid w:val="7E8F4979"/>
    <w:rsid w:val="7EB51F05"/>
    <w:rsid w:val="7EB919F5"/>
    <w:rsid w:val="7EC301BA"/>
    <w:rsid w:val="7EE226B8"/>
    <w:rsid w:val="7EEF6B38"/>
    <w:rsid w:val="7EFE7EFE"/>
    <w:rsid w:val="7F001CE7"/>
    <w:rsid w:val="7F1629A4"/>
    <w:rsid w:val="7F166D43"/>
    <w:rsid w:val="7F1B26B0"/>
    <w:rsid w:val="7F4E2B3D"/>
    <w:rsid w:val="7F5636E8"/>
    <w:rsid w:val="7F5B3A6D"/>
    <w:rsid w:val="7F6A0F42"/>
    <w:rsid w:val="7F6B3FEE"/>
    <w:rsid w:val="7F7A02FE"/>
    <w:rsid w:val="7F7E49ED"/>
    <w:rsid w:val="7F8A3392"/>
    <w:rsid w:val="7F914720"/>
    <w:rsid w:val="7F934B69"/>
    <w:rsid w:val="7F945FBF"/>
    <w:rsid w:val="7FA206DC"/>
    <w:rsid w:val="7FAB50F2"/>
    <w:rsid w:val="7FB4040F"/>
    <w:rsid w:val="7FB753E9"/>
    <w:rsid w:val="7FD30895"/>
    <w:rsid w:val="7FE20412"/>
    <w:rsid w:val="7FE47E50"/>
    <w:rsid w:val="7FED3375"/>
    <w:rsid w:val="7FF33517"/>
    <w:rsid w:val="7FF4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ocked="1"/>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sdException w:unhideWhenUsed="0" w:uiPriority="0" w:semiHidden="0" w:name="FollowedHyperlink" w:locked="1"/>
    <w:lsdException w:qFormat="1" w:unhideWhenUsed="0" w:uiPriority="0" w:semiHidden="0" w:name="Strong"/>
    <w:lsdException w:unhideWhenUsed="0" w:uiPriority="0" w:semiHidden="0" w:name="Emphasis" w:locked="1"/>
    <w:lsdException w:unhideWhenUsed="0" w:uiPriority="0" w:semiHidden="0" w:name="Document Map" w:locked="1"/>
    <w:lsdException w:unhideWhenUsed="0" w:uiPriority="0" w:semiHidden="0" w:name="Plain Text"/>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locked/>
    <w:uiPriority w:val="99"/>
    <w:pPr>
      <w:keepNext/>
      <w:overflowPunct w:val="0"/>
      <w:spacing w:before="120" w:after="120"/>
      <w:jc w:val="center"/>
      <w:outlineLvl w:val="0"/>
    </w:pPr>
    <w:rPr>
      <w:rFonts w:eastAsia="黑体"/>
      <w:b/>
      <w:bCs/>
      <w:color w:val="000000"/>
      <w:kern w:val="44"/>
      <w:sz w:val="30"/>
      <w:szCs w:val="30"/>
    </w:rPr>
  </w:style>
  <w:style w:type="paragraph" w:styleId="3">
    <w:name w:val="heading 3"/>
    <w:basedOn w:val="1"/>
    <w:next w:val="1"/>
    <w:semiHidden/>
    <w:unhideWhenUsed/>
    <w:qFormat/>
    <w:locked/>
    <w:uiPriority w:val="0"/>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Body Text"/>
    <w:basedOn w:val="1"/>
    <w:qFormat/>
    <w:uiPriority w:val="0"/>
    <w:pPr>
      <w:adjustRightInd w:val="0"/>
      <w:snapToGrid w:val="0"/>
      <w:spacing w:line="360" w:lineRule="auto"/>
      <w:ind w:firstLine="1450" w:firstLineChars="200"/>
    </w:pPr>
    <w:rPr>
      <w:rFonts w:ascii="宋体" w:hAnsi="宋体" w:eastAsia="宋体"/>
      <w:sz w:val="24"/>
    </w:rPr>
  </w:style>
  <w:style w:type="paragraph" w:styleId="5">
    <w:name w:val="toc 1"/>
    <w:basedOn w:val="1"/>
    <w:next w:val="1"/>
    <w:qFormat/>
    <w:locked/>
    <w:uiPriority w:val="0"/>
  </w:style>
  <w:style w:type="table" w:styleId="7">
    <w:name w:val="Table Grid"/>
    <w:basedOn w:val="6"/>
    <w:qFormat/>
    <w:uiPriority w:val="0"/>
    <w:rPr>
      <w:sz w:val="21"/>
    </w:rPr>
    <w:tblPr>
      <w:jc w:val="center"/>
      <w:tblBorders>
        <w:top w:val="single" w:color="auto" w:sz="12" w:space="0"/>
        <w:bottom w:val="single" w:color="auto" w:sz="12" w:space="0"/>
        <w:insideH w:val="single" w:color="auto" w:sz="6" w:space="0"/>
        <w:insideV w:val="single" w:color="auto" w:sz="6" w:space="0"/>
      </w:tblBorders>
      <w:tblLayout w:type="fixed"/>
      <w:tblCellMar>
        <w:top w:w="0" w:type="dxa"/>
        <w:left w:w="108" w:type="dxa"/>
        <w:bottom w:w="0" w:type="dxa"/>
        <w:right w:w="108" w:type="dxa"/>
      </w:tblCellMar>
    </w:tblPr>
    <w:trPr>
      <w:jc w:val="center"/>
    </w:trPr>
  </w:style>
  <w:style w:type="paragraph" w:customStyle="1" w:styleId="9">
    <w:name w:val="表格文字"/>
    <w:qFormat/>
    <w:uiPriority w:val="0"/>
    <w:pPr>
      <w:framePr w:wrap="around" w:vAnchor="text" w:hAnchor="text" w:xAlign="center" w:y="1"/>
      <w:jc w:val="center"/>
    </w:pPr>
    <w:rPr>
      <w:rFonts w:ascii="Times New Roman" w:hAnsi="Times New Roman" w:eastAsia="宋体" w:cs="Times New Roman"/>
      <w:sz w:val="21"/>
      <w:lang w:val="en-US" w:eastAsia="zh-CN" w:bidi="ar-SA"/>
    </w:rPr>
  </w:style>
  <w:style w:type="paragraph" w:customStyle="1" w:styleId="10">
    <w:name w:val="图号"/>
    <w:basedOn w:val="1"/>
    <w:qFormat/>
    <w:uiPriority w:val="0"/>
    <w:pPr>
      <w:spacing w:after="50" w:afterLines="50" w:line="240" w:lineRule="auto"/>
      <w:ind w:firstLine="0" w:firstLineChars="0"/>
      <w:jc w:val="center"/>
    </w:pPr>
    <w:rPr>
      <w:rFonts w:eastAsia="黑体"/>
      <w:b/>
    </w:rPr>
  </w:style>
  <w:style w:type="paragraph" w:customStyle="1" w:styleId="11">
    <w:name w:val="表头"/>
    <w:next w:val="1"/>
    <w:qFormat/>
    <w:uiPriority w:val="0"/>
    <w:pPr>
      <w:bidi w:val="0"/>
      <w:spacing w:before="50" w:beforeLines="50" w:line="240" w:lineRule="auto"/>
      <w:ind w:firstLine="0" w:firstLineChars="0"/>
      <w:jc w:val="center"/>
    </w:pPr>
    <w:rPr>
      <w:rFonts w:ascii="Times New Roman" w:hAnsi="Times New Roman" w:eastAsia="黑体" w:cs="Times New Roman"/>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Microsoft_Visio_2003-2010___1.vsd"/><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gxMjY4ODIyMDY1IiwKCSJHcm91cElkIiA6ICIyNDkzMzU2MTciLAoJIkltYWdlIiA6ICJpVkJPUncwS0dnb0FBQUFOU1VoRVVnQUFCVGdBQUFOSkNBWUFBQUFvUjFPbEFBQUFBWE5TUjBJQXJzNGM2UUFBSUFCSlJFRlVlSnpzM1hsY1ZQWCt4L0gzbVFGRUJEWEZGVkpVRkNVRmwweXoxRFMzN0tacFpkN0tzaXhiTE12VXRNeTB6UmJUYlBHcVphWFpZcHBwYXRwaWFWbHFMcWxvQ0s2NGtRdnVJSXN3NS9jSE1UOUdHSUZoWUFCZno4ZmpQdTZjbWM4NTV6UDVuV0hPNTN3WE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kZHovQjdRaHo4KzZTa294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88</Pages>
  <Words>46140</Words>
  <Characters>58229</Characters>
  <Lines>1</Lines>
  <Paragraphs>1</Paragraphs>
  <TotalTime>1</TotalTime>
  <ScaleCrop>false</ScaleCrop>
  <LinksUpToDate>false</LinksUpToDate>
  <CharactersWithSpaces>58650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2020-12-29T02:43:00Z</cp:lastPrinted>
  <dcterms:modified xsi:type="dcterms:W3CDTF">2024-07-10T00:30:04Z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CB8ABF84A55D45B3A4CD42D3B7E535B2_13</vt:lpwstr>
  </property>
</Properties>
</file>