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jc w:val="center"/>
        <w:rPr>
          <w:rFonts w:asciiTheme="minorEastAsia" w:hAnsiTheme="minorEastAsia" w:eastAsiaTheme="minorEastAsia"/>
          <w:b/>
          <w:sz w:val="36"/>
          <w:szCs w:val="36"/>
          <w:lang w:val="zh-CN"/>
        </w:rPr>
      </w:pPr>
      <w:r>
        <w:rPr>
          <w:rFonts w:hint="eastAsia" w:asciiTheme="minorEastAsia" w:hAnsiTheme="minorEastAsia" w:eastAsiaTheme="minorEastAsia"/>
          <w:b/>
          <w:sz w:val="36"/>
          <w:szCs w:val="36"/>
          <w:lang w:val="zh-CN"/>
        </w:rPr>
        <w:t>目  录</w:t>
      </w:r>
    </w:p>
    <w:p>
      <w:pPr>
        <w:widowControl/>
        <w:spacing w:line="400" w:lineRule="exact"/>
        <w:jc w:val="center"/>
        <w:rPr>
          <w:rFonts w:asciiTheme="minorEastAsia" w:hAnsiTheme="minorEastAsia" w:eastAsiaTheme="minorEastAsia"/>
          <w:b/>
          <w:sz w:val="36"/>
          <w:szCs w:val="36"/>
        </w:rPr>
      </w:pPr>
    </w:p>
    <w:sdt>
      <w:sdtPr>
        <w:rPr>
          <w:rFonts w:ascii="仿宋_GB2312" w:hAnsi="Times New Roman" w:eastAsia="仿宋_GB2312"/>
          <w:b/>
          <w:bCs/>
          <w:kern w:val="30"/>
          <w:sz w:val="24"/>
          <w:szCs w:val="24"/>
          <w:lang w:val="zh-CN"/>
        </w:rPr>
        <w:id w:val="-1"/>
        <w:docPartObj>
          <w:docPartGallery w:val="Table of Contents"/>
          <w:docPartUnique/>
        </w:docPartObj>
      </w:sdtPr>
      <w:sdtEndPr>
        <w:rPr>
          <w:rStyle w:val="24"/>
          <w:rFonts w:hint="eastAsia" w:asciiTheme="minorEastAsia" w:hAnsiTheme="minorEastAsia" w:eastAsiaTheme="minorEastAsia"/>
          <w:b w:val="0"/>
          <w:bCs w:val="0"/>
          <w:color w:val="0000FF" w:themeColor="hyperlink"/>
          <w:kern w:val="0"/>
          <w:sz w:val="28"/>
          <w:szCs w:val="28"/>
          <w:u w:val="single"/>
          <w:lang w:val="en-US"/>
        </w:rPr>
      </w:sdtEndPr>
      <w:sdtContent>
        <w:p>
          <w:pPr>
            <w:pStyle w:val="15"/>
            <w:spacing w:line="400" w:lineRule="exact"/>
            <w:ind w:right="0" w:rightChars="0"/>
            <w:rPr>
              <w:rFonts w:cs="Times New Roman" w:asciiTheme="minorEastAsia" w:hAnsiTheme="minorEastAsia" w:eastAsiaTheme="minorEastAsia"/>
              <w:color w:val="0000FF" w:themeColor="hyperlink"/>
              <w:kern w:val="0"/>
              <w:sz w:val="28"/>
              <w:szCs w:val="28"/>
              <w:u w:val="single"/>
              <w:lang w:val="en-US" w:eastAsia="zh-CN" w:bidi="ar-SA"/>
            </w:rPr>
          </w:pPr>
          <w:r>
            <w:rPr>
              <w:rStyle w:val="24"/>
              <w:rFonts w:asciiTheme="minorEastAsia" w:hAnsiTheme="minorEastAsia"/>
              <w:sz w:val="28"/>
              <w:szCs w:val="28"/>
            </w:rPr>
            <w:fldChar w:fldCharType="begin"/>
          </w:r>
          <w:r>
            <w:rPr>
              <w:rStyle w:val="24"/>
              <w:rFonts w:asciiTheme="minorEastAsia" w:hAnsiTheme="minorEastAsia"/>
              <w:sz w:val="28"/>
              <w:szCs w:val="28"/>
            </w:rPr>
            <w:instrText xml:space="preserve"> TOC \o "1-3" \h \z \u </w:instrText>
          </w:r>
          <w:r>
            <w:rPr>
              <w:rStyle w:val="24"/>
              <w:rFonts w:asciiTheme="minorEastAsia" w:hAnsiTheme="minorEastAsia"/>
              <w:sz w:val="28"/>
              <w:szCs w:val="28"/>
            </w:rPr>
            <w:fldChar w:fldCharType="separate"/>
          </w:r>
        </w:p>
        <w:p>
          <w:pPr>
            <w:pStyle w:val="17"/>
            <w:tabs>
              <w:tab w:val="right" w:leader="dot" w:pos="8844"/>
              <w:tab w:val="clear" w:pos="8789"/>
            </w:tabs>
            <w:spacing w:line="440" w:lineRule="exact"/>
            <w:rPr>
              <w:rFonts w:hint="eastAsia" w:ascii="宋体" w:hAnsi="宋体" w:eastAsia="宋体" w:cs="宋体"/>
              <w:b w:val="0"/>
              <w:bCs w:val="0"/>
              <w:spacing w:val="6"/>
              <w:kern w:val="30"/>
              <w:sz w:val="28"/>
              <w:szCs w:val="28"/>
              <w:lang w:val="en-US"/>
            </w:rPr>
          </w:pP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HYPERLINK \l _Toc24899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摘  要</w:t>
          </w:r>
          <w:r>
            <w:rPr>
              <w:rFonts w:hint="eastAsia" w:ascii="宋体" w:hAnsi="宋体" w:eastAsia="宋体" w:cs="宋体"/>
              <w:b w:val="0"/>
              <w:bCs w:val="0"/>
              <w:spacing w:val="6"/>
              <w:kern w:val="30"/>
              <w:sz w:val="28"/>
              <w:szCs w:val="28"/>
              <w:lang w:val="en-US"/>
            </w:rPr>
            <w:tab/>
          </w: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PAGEREF _Toc24899 \h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i</w:t>
          </w:r>
          <w:r>
            <w:rPr>
              <w:rFonts w:hint="eastAsia" w:ascii="宋体" w:hAnsi="宋体" w:eastAsia="宋体" w:cs="宋体"/>
              <w:b w:val="0"/>
              <w:bCs w:val="0"/>
              <w:spacing w:val="6"/>
              <w:kern w:val="30"/>
              <w:sz w:val="28"/>
              <w:szCs w:val="28"/>
              <w:lang w:val="en-US"/>
            </w:rPr>
            <w:fldChar w:fldCharType="end"/>
          </w:r>
          <w:r>
            <w:rPr>
              <w:rFonts w:hint="eastAsia" w:ascii="宋体" w:hAnsi="宋体" w:eastAsia="宋体" w:cs="宋体"/>
              <w:b w:val="0"/>
              <w:bCs w:val="0"/>
              <w:spacing w:val="6"/>
              <w:kern w:val="30"/>
              <w:sz w:val="28"/>
              <w:szCs w:val="28"/>
              <w:lang w:val="en-US"/>
            </w:rPr>
            <w:fldChar w:fldCharType="end"/>
          </w:r>
        </w:p>
        <w:p>
          <w:pPr>
            <w:pStyle w:val="17"/>
            <w:tabs>
              <w:tab w:val="right" w:leader="dot" w:pos="8844"/>
              <w:tab w:val="clear" w:pos="8789"/>
            </w:tabs>
            <w:spacing w:line="440" w:lineRule="exact"/>
            <w:rPr>
              <w:rFonts w:hint="eastAsia" w:ascii="宋体" w:hAnsi="宋体" w:eastAsia="宋体" w:cs="宋体"/>
              <w:b w:val="0"/>
              <w:bCs w:val="0"/>
              <w:spacing w:val="6"/>
              <w:kern w:val="30"/>
              <w:sz w:val="28"/>
              <w:szCs w:val="28"/>
              <w:lang w:val="en-US"/>
            </w:rPr>
          </w:pP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HYPERLINK \l _Toc23394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一、基本情况</w:t>
          </w:r>
          <w:r>
            <w:rPr>
              <w:rFonts w:hint="eastAsia" w:ascii="宋体" w:hAnsi="宋体" w:eastAsia="宋体" w:cs="宋体"/>
              <w:b w:val="0"/>
              <w:bCs w:val="0"/>
              <w:spacing w:val="6"/>
              <w:kern w:val="30"/>
              <w:sz w:val="28"/>
              <w:szCs w:val="28"/>
              <w:lang w:val="en-US"/>
            </w:rPr>
            <w:tab/>
          </w: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PAGEREF _Toc23394 \h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1</w:t>
          </w:r>
          <w:r>
            <w:rPr>
              <w:rFonts w:hint="eastAsia" w:ascii="宋体" w:hAnsi="宋体" w:eastAsia="宋体" w:cs="宋体"/>
              <w:b w:val="0"/>
              <w:bCs w:val="0"/>
              <w:spacing w:val="6"/>
              <w:kern w:val="30"/>
              <w:sz w:val="28"/>
              <w:szCs w:val="28"/>
              <w:lang w:val="en-US"/>
            </w:rPr>
            <w:fldChar w:fldCharType="end"/>
          </w:r>
          <w:r>
            <w:rPr>
              <w:rFonts w:hint="eastAsia" w:ascii="宋体" w:hAnsi="宋体" w:eastAsia="宋体" w:cs="宋体"/>
              <w:b w:val="0"/>
              <w:bCs w:val="0"/>
              <w:spacing w:val="6"/>
              <w:kern w:val="30"/>
              <w:sz w:val="28"/>
              <w:szCs w:val="28"/>
              <w:lang w:val="en-US"/>
            </w:rPr>
            <w:fldChar w:fldCharType="end"/>
          </w:r>
        </w:p>
        <w:p>
          <w:pPr>
            <w:pStyle w:val="17"/>
            <w:tabs>
              <w:tab w:val="right" w:leader="dot" w:pos="8844"/>
              <w:tab w:val="clear" w:pos="8789"/>
            </w:tabs>
            <w:spacing w:line="440" w:lineRule="exact"/>
            <w:rPr>
              <w:rFonts w:hint="eastAsia" w:ascii="宋体" w:hAnsi="宋体" w:eastAsia="宋体" w:cs="宋体"/>
              <w:b w:val="0"/>
              <w:bCs w:val="0"/>
              <w:spacing w:val="6"/>
              <w:kern w:val="30"/>
              <w:sz w:val="28"/>
              <w:szCs w:val="28"/>
              <w:lang w:val="en-US"/>
            </w:rPr>
          </w:pP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HYPERLINK \l _Toc4079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（一）项目概况</w:t>
          </w:r>
          <w:r>
            <w:rPr>
              <w:rFonts w:hint="eastAsia" w:ascii="宋体" w:hAnsi="宋体" w:eastAsia="宋体" w:cs="宋体"/>
              <w:b w:val="0"/>
              <w:bCs w:val="0"/>
              <w:spacing w:val="6"/>
              <w:kern w:val="30"/>
              <w:sz w:val="28"/>
              <w:szCs w:val="28"/>
              <w:lang w:val="en-US"/>
            </w:rPr>
            <w:tab/>
          </w: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PAGEREF _Toc4079 \h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1</w:t>
          </w:r>
          <w:r>
            <w:rPr>
              <w:rFonts w:hint="eastAsia" w:ascii="宋体" w:hAnsi="宋体" w:eastAsia="宋体" w:cs="宋体"/>
              <w:b w:val="0"/>
              <w:bCs w:val="0"/>
              <w:spacing w:val="6"/>
              <w:kern w:val="30"/>
              <w:sz w:val="28"/>
              <w:szCs w:val="28"/>
              <w:lang w:val="en-US"/>
            </w:rPr>
            <w:fldChar w:fldCharType="end"/>
          </w:r>
          <w:r>
            <w:rPr>
              <w:rFonts w:hint="eastAsia" w:ascii="宋体" w:hAnsi="宋体" w:eastAsia="宋体" w:cs="宋体"/>
              <w:b w:val="0"/>
              <w:bCs w:val="0"/>
              <w:spacing w:val="6"/>
              <w:kern w:val="30"/>
              <w:sz w:val="28"/>
              <w:szCs w:val="28"/>
              <w:lang w:val="en-US"/>
            </w:rPr>
            <w:fldChar w:fldCharType="end"/>
          </w:r>
        </w:p>
        <w:p>
          <w:pPr>
            <w:pStyle w:val="17"/>
            <w:tabs>
              <w:tab w:val="right" w:leader="dot" w:pos="8844"/>
              <w:tab w:val="clear" w:pos="8789"/>
            </w:tabs>
            <w:spacing w:line="440" w:lineRule="exact"/>
            <w:rPr>
              <w:rFonts w:hint="eastAsia" w:ascii="宋体" w:hAnsi="宋体" w:eastAsia="宋体" w:cs="宋体"/>
              <w:b w:val="0"/>
              <w:bCs w:val="0"/>
              <w:spacing w:val="6"/>
              <w:kern w:val="30"/>
              <w:sz w:val="28"/>
              <w:szCs w:val="28"/>
              <w:lang w:val="en-US"/>
            </w:rPr>
          </w:pP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HYPERLINK \l _Toc12669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（二）项目资金安排情况</w:t>
          </w:r>
          <w:r>
            <w:rPr>
              <w:rFonts w:hint="eastAsia" w:ascii="宋体" w:hAnsi="宋体" w:eastAsia="宋体" w:cs="宋体"/>
              <w:b w:val="0"/>
              <w:bCs w:val="0"/>
              <w:spacing w:val="6"/>
              <w:kern w:val="30"/>
              <w:sz w:val="28"/>
              <w:szCs w:val="28"/>
              <w:lang w:val="en-US"/>
            </w:rPr>
            <w:tab/>
          </w: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PAGEREF _Toc12669 \h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2</w:t>
          </w:r>
          <w:r>
            <w:rPr>
              <w:rFonts w:hint="eastAsia" w:ascii="宋体" w:hAnsi="宋体" w:eastAsia="宋体" w:cs="宋体"/>
              <w:b w:val="0"/>
              <w:bCs w:val="0"/>
              <w:spacing w:val="6"/>
              <w:kern w:val="30"/>
              <w:sz w:val="28"/>
              <w:szCs w:val="28"/>
              <w:lang w:val="en-US"/>
            </w:rPr>
            <w:fldChar w:fldCharType="end"/>
          </w:r>
          <w:r>
            <w:rPr>
              <w:rFonts w:hint="eastAsia" w:ascii="宋体" w:hAnsi="宋体" w:eastAsia="宋体" w:cs="宋体"/>
              <w:b w:val="0"/>
              <w:bCs w:val="0"/>
              <w:spacing w:val="6"/>
              <w:kern w:val="30"/>
              <w:sz w:val="28"/>
              <w:szCs w:val="28"/>
              <w:lang w:val="en-US"/>
            </w:rPr>
            <w:fldChar w:fldCharType="end"/>
          </w:r>
        </w:p>
        <w:p>
          <w:pPr>
            <w:pStyle w:val="17"/>
            <w:tabs>
              <w:tab w:val="right" w:leader="dot" w:pos="8844"/>
              <w:tab w:val="clear" w:pos="8789"/>
            </w:tabs>
            <w:spacing w:line="440" w:lineRule="exact"/>
            <w:rPr>
              <w:rFonts w:hint="eastAsia" w:ascii="宋体" w:hAnsi="宋体" w:eastAsia="宋体" w:cs="宋体"/>
              <w:b w:val="0"/>
              <w:bCs w:val="0"/>
              <w:spacing w:val="6"/>
              <w:kern w:val="30"/>
              <w:sz w:val="28"/>
              <w:szCs w:val="28"/>
              <w:lang w:val="en-US"/>
            </w:rPr>
          </w:pP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HYPERLINK \l _Toc22374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（三）项目实施内容</w:t>
          </w:r>
          <w:r>
            <w:rPr>
              <w:rFonts w:hint="eastAsia" w:ascii="宋体" w:hAnsi="宋体" w:eastAsia="宋体" w:cs="宋体"/>
              <w:b w:val="0"/>
              <w:bCs w:val="0"/>
              <w:spacing w:val="6"/>
              <w:kern w:val="30"/>
              <w:sz w:val="28"/>
              <w:szCs w:val="28"/>
              <w:lang w:val="en-US"/>
            </w:rPr>
            <w:tab/>
          </w: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PAGEREF _Toc22374 \h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3</w:t>
          </w:r>
          <w:r>
            <w:rPr>
              <w:rFonts w:hint="eastAsia" w:ascii="宋体" w:hAnsi="宋体" w:eastAsia="宋体" w:cs="宋体"/>
              <w:b w:val="0"/>
              <w:bCs w:val="0"/>
              <w:spacing w:val="6"/>
              <w:kern w:val="30"/>
              <w:sz w:val="28"/>
              <w:szCs w:val="28"/>
              <w:lang w:val="en-US"/>
            </w:rPr>
            <w:fldChar w:fldCharType="end"/>
          </w:r>
          <w:r>
            <w:rPr>
              <w:rFonts w:hint="eastAsia" w:ascii="宋体" w:hAnsi="宋体" w:eastAsia="宋体" w:cs="宋体"/>
              <w:b w:val="0"/>
              <w:bCs w:val="0"/>
              <w:spacing w:val="6"/>
              <w:kern w:val="30"/>
              <w:sz w:val="28"/>
              <w:szCs w:val="28"/>
              <w:lang w:val="en-US"/>
            </w:rPr>
            <w:fldChar w:fldCharType="end"/>
          </w:r>
        </w:p>
        <w:p>
          <w:pPr>
            <w:pStyle w:val="17"/>
            <w:tabs>
              <w:tab w:val="right" w:leader="dot" w:pos="8844"/>
              <w:tab w:val="clear" w:pos="8789"/>
            </w:tabs>
            <w:spacing w:line="440" w:lineRule="exact"/>
            <w:rPr>
              <w:rFonts w:hint="eastAsia" w:ascii="宋体" w:hAnsi="宋体" w:eastAsia="宋体" w:cs="宋体"/>
              <w:b w:val="0"/>
              <w:bCs w:val="0"/>
              <w:spacing w:val="6"/>
              <w:kern w:val="30"/>
              <w:sz w:val="28"/>
              <w:szCs w:val="28"/>
              <w:lang w:val="en-US"/>
            </w:rPr>
          </w:pP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HYPERLINK \l _Toc11617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（四）项目绩效目标设立情况</w:t>
          </w:r>
          <w:r>
            <w:rPr>
              <w:rFonts w:hint="eastAsia" w:ascii="宋体" w:hAnsi="宋体" w:eastAsia="宋体" w:cs="宋体"/>
              <w:b w:val="0"/>
              <w:bCs w:val="0"/>
              <w:spacing w:val="6"/>
              <w:kern w:val="30"/>
              <w:sz w:val="28"/>
              <w:szCs w:val="28"/>
              <w:lang w:val="en-US"/>
            </w:rPr>
            <w:tab/>
          </w: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PAGEREF _Toc11617 \h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4</w:t>
          </w:r>
          <w:r>
            <w:rPr>
              <w:rFonts w:hint="eastAsia" w:ascii="宋体" w:hAnsi="宋体" w:eastAsia="宋体" w:cs="宋体"/>
              <w:b w:val="0"/>
              <w:bCs w:val="0"/>
              <w:spacing w:val="6"/>
              <w:kern w:val="30"/>
              <w:sz w:val="28"/>
              <w:szCs w:val="28"/>
              <w:lang w:val="en-US"/>
            </w:rPr>
            <w:fldChar w:fldCharType="end"/>
          </w:r>
          <w:r>
            <w:rPr>
              <w:rFonts w:hint="eastAsia" w:ascii="宋体" w:hAnsi="宋体" w:eastAsia="宋体" w:cs="宋体"/>
              <w:b w:val="0"/>
              <w:bCs w:val="0"/>
              <w:spacing w:val="6"/>
              <w:kern w:val="30"/>
              <w:sz w:val="28"/>
              <w:szCs w:val="28"/>
              <w:lang w:val="en-US"/>
            </w:rPr>
            <w:fldChar w:fldCharType="end"/>
          </w:r>
        </w:p>
        <w:p>
          <w:pPr>
            <w:pStyle w:val="17"/>
            <w:tabs>
              <w:tab w:val="right" w:leader="dot" w:pos="8844"/>
              <w:tab w:val="clear" w:pos="8789"/>
            </w:tabs>
            <w:spacing w:line="440" w:lineRule="exact"/>
            <w:rPr>
              <w:rFonts w:hint="eastAsia" w:ascii="宋体" w:hAnsi="宋体" w:eastAsia="宋体" w:cs="宋体"/>
              <w:b w:val="0"/>
              <w:bCs w:val="0"/>
              <w:spacing w:val="6"/>
              <w:kern w:val="30"/>
              <w:sz w:val="28"/>
              <w:szCs w:val="28"/>
              <w:lang w:val="en-US"/>
            </w:rPr>
          </w:pP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HYPERLINK \l _Toc24060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（五）组织管理情况</w:t>
          </w:r>
          <w:r>
            <w:rPr>
              <w:rFonts w:hint="eastAsia" w:ascii="宋体" w:hAnsi="宋体" w:eastAsia="宋体" w:cs="宋体"/>
              <w:b w:val="0"/>
              <w:bCs w:val="0"/>
              <w:spacing w:val="6"/>
              <w:kern w:val="30"/>
              <w:sz w:val="28"/>
              <w:szCs w:val="28"/>
              <w:lang w:val="en-US"/>
            </w:rPr>
            <w:tab/>
          </w: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PAGEREF _Toc24060 \h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6</w:t>
          </w:r>
          <w:r>
            <w:rPr>
              <w:rFonts w:hint="eastAsia" w:ascii="宋体" w:hAnsi="宋体" w:eastAsia="宋体" w:cs="宋体"/>
              <w:b w:val="0"/>
              <w:bCs w:val="0"/>
              <w:spacing w:val="6"/>
              <w:kern w:val="30"/>
              <w:sz w:val="28"/>
              <w:szCs w:val="28"/>
              <w:lang w:val="en-US"/>
            </w:rPr>
            <w:fldChar w:fldCharType="end"/>
          </w:r>
          <w:r>
            <w:rPr>
              <w:rFonts w:hint="eastAsia" w:ascii="宋体" w:hAnsi="宋体" w:eastAsia="宋体" w:cs="宋体"/>
              <w:b w:val="0"/>
              <w:bCs w:val="0"/>
              <w:spacing w:val="6"/>
              <w:kern w:val="30"/>
              <w:sz w:val="28"/>
              <w:szCs w:val="28"/>
              <w:lang w:val="en-US"/>
            </w:rPr>
            <w:fldChar w:fldCharType="end"/>
          </w:r>
        </w:p>
        <w:p>
          <w:pPr>
            <w:pStyle w:val="17"/>
            <w:tabs>
              <w:tab w:val="right" w:leader="dot" w:pos="8844"/>
              <w:tab w:val="clear" w:pos="8789"/>
            </w:tabs>
            <w:spacing w:line="440" w:lineRule="exact"/>
            <w:rPr>
              <w:rFonts w:hint="eastAsia" w:ascii="宋体" w:hAnsi="宋体" w:eastAsia="宋体" w:cs="宋体"/>
              <w:b w:val="0"/>
              <w:bCs w:val="0"/>
              <w:spacing w:val="6"/>
              <w:kern w:val="30"/>
              <w:sz w:val="28"/>
              <w:szCs w:val="28"/>
              <w:lang w:val="en-US"/>
            </w:rPr>
          </w:pP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HYPERLINK \l _Toc22390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二、绩效评价工作开展情况</w:t>
          </w:r>
          <w:r>
            <w:rPr>
              <w:rFonts w:hint="eastAsia" w:ascii="宋体" w:hAnsi="宋体" w:eastAsia="宋体" w:cs="宋体"/>
              <w:b w:val="0"/>
              <w:bCs w:val="0"/>
              <w:spacing w:val="6"/>
              <w:kern w:val="30"/>
              <w:sz w:val="28"/>
              <w:szCs w:val="28"/>
              <w:lang w:val="en-US"/>
            </w:rPr>
            <w:tab/>
          </w: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PAGEREF _Toc22390 \h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7</w:t>
          </w:r>
          <w:r>
            <w:rPr>
              <w:rFonts w:hint="eastAsia" w:ascii="宋体" w:hAnsi="宋体" w:eastAsia="宋体" w:cs="宋体"/>
              <w:b w:val="0"/>
              <w:bCs w:val="0"/>
              <w:spacing w:val="6"/>
              <w:kern w:val="30"/>
              <w:sz w:val="28"/>
              <w:szCs w:val="28"/>
              <w:lang w:val="en-US"/>
            </w:rPr>
            <w:fldChar w:fldCharType="end"/>
          </w:r>
          <w:r>
            <w:rPr>
              <w:rFonts w:hint="eastAsia" w:ascii="宋体" w:hAnsi="宋体" w:eastAsia="宋体" w:cs="宋体"/>
              <w:b w:val="0"/>
              <w:bCs w:val="0"/>
              <w:spacing w:val="6"/>
              <w:kern w:val="30"/>
              <w:sz w:val="28"/>
              <w:szCs w:val="28"/>
              <w:lang w:val="en-US"/>
            </w:rPr>
            <w:fldChar w:fldCharType="end"/>
          </w:r>
        </w:p>
        <w:p>
          <w:pPr>
            <w:pStyle w:val="17"/>
            <w:tabs>
              <w:tab w:val="right" w:leader="dot" w:pos="8844"/>
              <w:tab w:val="clear" w:pos="8789"/>
            </w:tabs>
            <w:spacing w:line="440" w:lineRule="exact"/>
            <w:rPr>
              <w:rFonts w:hint="eastAsia" w:ascii="宋体" w:hAnsi="宋体" w:eastAsia="宋体" w:cs="宋体"/>
              <w:b w:val="0"/>
              <w:bCs w:val="0"/>
              <w:spacing w:val="6"/>
              <w:kern w:val="30"/>
              <w:sz w:val="28"/>
              <w:szCs w:val="28"/>
              <w:lang w:val="en-US"/>
            </w:rPr>
          </w:pP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HYPERLINK \l _Toc8277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（一）绩效评价目的、对象和范围</w:t>
          </w:r>
          <w:r>
            <w:rPr>
              <w:rFonts w:hint="eastAsia" w:ascii="宋体" w:hAnsi="宋体" w:eastAsia="宋体" w:cs="宋体"/>
              <w:b w:val="0"/>
              <w:bCs w:val="0"/>
              <w:spacing w:val="6"/>
              <w:kern w:val="30"/>
              <w:sz w:val="28"/>
              <w:szCs w:val="28"/>
              <w:lang w:val="en-US"/>
            </w:rPr>
            <w:tab/>
          </w: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PAGEREF _Toc8277 \h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7</w:t>
          </w:r>
          <w:r>
            <w:rPr>
              <w:rFonts w:hint="eastAsia" w:ascii="宋体" w:hAnsi="宋体" w:eastAsia="宋体" w:cs="宋体"/>
              <w:b w:val="0"/>
              <w:bCs w:val="0"/>
              <w:spacing w:val="6"/>
              <w:kern w:val="30"/>
              <w:sz w:val="28"/>
              <w:szCs w:val="28"/>
              <w:lang w:val="en-US"/>
            </w:rPr>
            <w:fldChar w:fldCharType="end"/>
          </w:r>
          <w:r>
            <w:rPr>
              <w:rFonts w:hint="eastAsia" w:ascii="宋体" w:hAnsi="宋体" w:eastAsia="宋体" w:cs="宋体"/>
              <w:b w:val="0"/>
              <w:bCs w:val="0"/>
              <w:spacing w:val="6"/>
              <w:kern w:val="30"/>
              <w:sz w:val="28"/>
              <w:szCs w:val="28"/>
              <w:lang w:val="en-US"/>
            </w:rPr>
            <w:fldChar w:fldCharType="end"/>
          </w:r>
        </w:p>
        <w:p>
          <w:pPr>
            <w:pStyle w:val="17"/>
            <w:tabs>
              <w:tab w:val="right" w:leader="dot" w:pos="8844"/>
              <w:tab w:val="clear" w:pos="8789"/>
            </w:tabs>
            <w:spacing w:line="440" w:lineRule="exact"/>
            <w:rPr>
              <w:rFonts w:hint="eastAsia" w:ascii="宋体" w:hAnsi="宋体" w:eastAsia="宋体" w:cs="宋体"/>
              <w:b w:val="0"/>
              <w:bCs w:val="0"/>
              <w:spacing w:val="6"/>
              <w:kern w:val="30"/>
              <w:sz w:val="28"/>
              <w:szCs w:val="28"/>
              <w:lang w:val="en-US"/>
            </w:rPr>
          </w:pP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HYPERLINK \l _Toc24645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（二）绩效评价原则、指标体系、方法、标准和抽样</w:t>
          </w:r>
          <w:r>
            <w:rPr>
              <w:rFonts w:hint="eastAsia" w:ascii="宋体" w:hAnsi="宋体" w:eastAsia="宋体" w:cs="宋体"/>
              <w:b w:val="0"/>
              <w:bCs w:val="0"/>
              <w:spacing w:val="6"/>
              <w:kern w:val="30"/>
              <w:sz w:val="28"/>
              <w:szCs w:val="28"/>
              <w:lang w:val="en-US"/>
            </w:rPr>
            <w:tab/>
          </w: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PAGEREF _Toc24645 \h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7</w:t>
          </w:r>
          <w:r>
            <w:rPr>
              <w:rFonts w:hint="eastAsia" w:ascii="宋体" w:hAnsi="宋体" w:eastAsia="宋体" w:cs="宋体"/>
              <w:b w:val="0"/>
              <w:bCs w:val="0"/>
              <w:spacing w:val="6"/>
              <w:kern w:val="30"/>
              <w:sz w:val="28"/>
              <w:szCs w:val="28"/>
              <w:lang w:val="en-US"/>
            </w:rPr>
            <w:fldChar w:fldCharType="end"/>
          </w:r>
          <w:r>
            <w:rPr>
              <w:rFonts w:hint="eastAsia" w:ascii="宋体" w:hAnsi="宋体" w:eastAsia="宋体" w:cs="宋体"/>
              <w:b w:val="0"/>
              <w:bCs w:val="0"/>
              <w:spacing w:val="6"/>
              <w:kern w:val="30"/>
              <w:sz w:val="28"/>
              <w:szCs w:val="28"/>
              <w:lang w:val="en-US"/>
            </w:rPr>
            <w:fldChar w:fldCharType="end"/>
          </w:r>
        </w:p>
        <w:p>
          <w:pPr>
            <w:pStyle w:val="17"/>
            <w:tabs>
              <w:tab w:val="right" w:leader="dot" w:pos="8844"/>
              <w:tab w:val="clear" w:pos="8789"/>
            </w:tabs>
            <w:spacing w:line="440" w:lineRule="exact"/>
            <w:rPr>
              <w:rFonts w:hint="eastAsia" w:ascii="宋体" w:hAnsi="宋体" w:eastAsia="宋体" w:cs="宋体"/>
              <w:b w:val="0"/>
              <w:bCs w:val="0"/>
              <w:spacing w:val="6"/>
              <w:kern w:val="30"/>
              <w:sz w:val="28"/>
              <w:szCs w:val="28"/>
              <w:lang w:val="en-US"/>
            </w:rPr>
          </w:pP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HYPERLINK \l _Toc24957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（三）绩效评价工作过程</w:t>
          </w:r>
          <w:r>
            <w:rPr>
              <w:rFonts w:hint="eastAsia" w:ascii="宋体" w:hAnsi="宋体" w:eastAsia="宋体" w:cs="宋体"/>
              <w:b w:val="0"/>
              <w:bCs w:val="0"/>
              <w:spacing w:val="6"/>
              <w:kern w:val="30"/>
              <w:sz w:val="28"/>
              <w:szCs w:val="28"/>
              <w:lang w:val="en-US"/>
            </w:rPr>
            <w:tab/>
          </w: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PAGEREF _Toc24957 \h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14</w:t>
          </w:r>
          <w:r>
            <w:rPr>
              <w:rFonts w:hint="eastAsia" w:ascii="宋体" w:hAnsi="宋体" w:eastAsia="宋体" w:cs="宋体"/>
              <w:b w:val="0"/>
              <w:bCs w:val="0"/>
              <w:spacing w:val="6"/>
              <w:kern w:val="30"/>
              <w:sz w:val="28"/>
              <w:szCs w:val="28"/>
              <w:lang w:val="en-US"/>
            </w:rPr>
            <w:fldChar w:fldCharType="end"/>
          </w:r>
          <w:r>
            <w:rPr>
              <w:rFonts w:hint="eastAsia" w:ascii="宋体" w:hAnsi="宋体" w:eastAsia="宋体" w:cs="宋体"/>
              <w:b w:val="0"/>
              <w:bCs w:val="0"/>
              <w:spacing w:val="6"/>
              <w:kern w:val="30"/>
              <w:sz w:val="28"/>
              <w:szCs w:val="28"/>
              <w:lang w:val="en-US"/>
            </w:rPr>
            <w:fldChar w:fldCharType="end"/>
          </w:r>
        </w:p>
        <w:p>
          <w:pPr>
            <w:pStyle w:val="17"/>
            <w:tabs>
              <w:tab w:val="right" w:leader="dot" w:pos="8844"/>
              <w:tab w:val="clear" w:pos="8789"/>
            </w:tabs>
            <w:spacing w:line="440" w:lineRule="exact"/>
            <w:rPr>
              <w:rFonts w:hint="eastAsia" w:ascii="宋体" w:hAnsi="宋体" w:eastAsia="宋体" w:cs="宋体"/>
              <w:b w:val="0"/>
              <w:bCs w:val="0"/>
              <w:spacing w:val="6"/>
              <w:kern w:val="30"/>
              <w:sz w:val="28"/>
              <w:szCs w:val="28"/>
              <w:lang w:val="en-US"/>
            </w:rPr>
          </w:pP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HYPERLINK \l _Toc10405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三、绩效评价结论</w:t>
          </w:r>
          <w:r>
            <w:rPr>
              <w:rFonts w:hint="eastAsia" w:ascii="宋体" w:hAnsi="宋体" w:eastAsia="宋体" w:cs="宋体"/>
              <w:b w:val="0"/>
              <w:bCs w:val="0"/>
              <w:spacing w:val="6"/>
              <w:kern w:val="30"/>
              <w:sz w:val="28"/>
              <w:szCs w:val="28"/>
              <w:lang w:val="en-US"/>
            </w:rPr>
            <w:tab/>
          </w: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PAGEREF _Toc10405 \h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16</w:t>
          </w:r>
          <w:r>
            <w:rPr>
              <w:rFonts w:hint="eastAsia" w:ascii="宋体" w:hAnsi="宋体" w:eastAsia="宋体" w:cs="宋体"/>
              <w:b w:val="0"/>
              <w:bCs w:val="0"/>
              <w:spacing w:val="6"/>
              <w:kern w:val="30"/>
              <w:sz w:val="28"/>
              <w:szCs w:val="28"/>
              <w:lang w:val="en-US"/>
            </w:rPr>
            <w:fldChar w:fldCharType="end"/>
          </w:r>
          <w:r>
            <w:rPr>
              <w:rFonts w:hint="eastAsia" w:ascii="宋体" w:hAnsi="宋体" w:eastAsia="宋体" w:cs="宋体"/>
              <w:b w:val="0"/>
              <w:bCs w:val="0"/>
              <w:spacing w:val="6"/>
              <w:kern w:val="30"/>
              <w:sz w:val="28"/>
              <w:szCs w:val="28"/>
              <w:lang w:val="en-US"/>
            </w:rPr>
            <w:fldChar w:fldCharType="end"/>
          </w:r>
        </w:p>
        <w:p>
          <w:pPr>
            <w:pStyle w:val="17"/>
            <w:tabs>
              <w:tab w:val="right" w:leader="dot" w:pos="8844"/>
              <w:tab w:val="clear" w:pos="8789"/>
            </w:tabs>
            <w:spacing w:line="440" w:lineRule="exact"/>
            <w:rPr>
              <w:rFonts w:hint="eastAsia" w:ascii="宋体" w:hAnsi="宋体" w:eastAsia="宋体" w:cs="宋体"/>
              <w:b w:val="0"/>
              <w:bCs w:val="0"/>
              <w:spacing w:val="6"/>
              <w:kern w:val="30"/>
              <w:sz w:val="28"/>
              <w:szCs w:val="28"/>
              <w:lang w:val="en-US"/>
            </w:rPr>
          </w:pP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HYPERLINK \l _Toc2286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（一）绩效评价综合结论</w:t>
          </w:r>
          <w:r>
            <w:rPr>
              <w:rFonts w:hint="eastAsia" w:ascii="宋体" w:hAnsi="宋体" w:eastAsia="宋体" w:cs="宋体"/>
              <w:b w:val="0"/>
              <w:bCs w:val="0"/>
              <w:spacing w:val="6"/>
              <w:kern w:val="30"/>
              <w:sz w:val="28"/>
              <w:szCs w:val="28"/>
              <w:lang w:val="en-US"/>
            </w:rPr>
            <w:tab/>
          </w: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PAGEREF _Toc2286 \h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16</w:t>
          </w:r>
          <w:r>
            <w:rPr>
              <w:rFonts w:hint="eastAsia" w:ascii="宋体" w:hAnsi="宋体" w:eastAsia="宋体" w:cs="宋体"/>
              <w:b w:val="0"/>
              <w:bCs w:val="0"/>
              <w:spacing w:val="6"/>
              <w:kern w:val="30"/>
              <w:sz w:val="28"/>
              <w:szCs w:val="28"/>
              <w:lang w:val="en-US"/>
            </w:rPr>
            <w:fldChar w:fldCharType="end"/>
          </w:r>
          <w:r>
            <w:rPr>
              <w:rFonts w:hint="eastAsia" w:ascii="宋体" w:hAnsi="宋体" w:eastAsia="宋体" w:cs="宋体"/>
              <w:b w:val="0"/>
              <w:bCs w:val="0"/>
              <w:spacing w:val="6"/>
              <w:kern w:val="30"/>
              <w:sz w:val="28"/>
              <w:szCs w:val="28"/>
              <w:lang w:val="en-US"/>
            </w:rPr>
            <w:fldChar w:fldCharType="end"/>
          </w:r>
        </w:p>
        <w:p>
          <w:pPr>
            <w:pStyle w:val="17"/>
            <w:tabs>
              <w:tab w:val="right" w:leader="dot" w:pos="8844"/>
              <w:tab w:val="clear" w:pos="8789"/>
            </w:tabs>
            <w:spacing w:line="440" w:lineRule="exact"/>
            <w:rPr>
              <w:rFonts w:hint="eastAsia" w:ascii="宋体" w:hAnsi="宋体" w:eastAsia="宋体" w:cs="宋体"/>
              <w:b w:val="0"/>
              <w:bCs w:val="0"/>
              <w:spacing w:val="6"/>
              <w:kern w:val="30"/>
              <w:sz w:val="28"/>
              <w:szCs w:val="28"/>
              <w:lang w:val="en-US"/>
            </w:rPr>
          </w:pP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HYPERLINK \l _Toc17474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（二）绩效目标实现情况</w:t>
          </w:r>
          <w:r>
            <w:rPr>
              <w:rFonts w:hint="eastAsia" w:ascii="宋体" w:hAnsi="宋体" w:eastAsia="宋体" w:cs="宋体"/>
              <w:b w:val="0"/>
              <w:bCs w:val="0"/>
              <w:spacing w:val="6"/>
              <w:kern w:val="30"/>
              <w:sz w:val="28"/>
              <w:szCs w:val="28"/>
              <w:lang w:val="en-US"/>
            </w:rPr>
            <w:tab/>
          </w: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PAGEREF _Toc17474 \h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17</w:t>
          </w:r>
          <w:r>
            <w:rPr>
              <w:rFonts w:hint="eastAsia" w:ascii="宋体" w:hAnsi="宋体" w:eastAsia="宋体" w:cs="宋体"/>
              <w:b w:val="0"/>
              <w:bCs w:val="0"/>
              <w:spacing w:val="6"/>
              <w:kern w:val="30"/>
              <w:sz w:val="28"/>
              <w:szCs w:val="28"/>
              <w:lang w:val="en-US"/>
            </w:rPr>
            <w:fldChar w:fldCharType="end"/>
          </w:r>
          <w:r>
            <w:rPr>
              <w:rFonts w:hint="eastAsia" w:ascii="宋体" w:hAnsi="宋体" w:eastAsia="宋体" w:cs="宋体"/>
              <w:b w:val="0"/>
              <w:bCs w:val="0"/>
              <w:spacing w:val="6"/>
              <w:kern w:val="30"/>
              <w:sz w:val="28"/>
              <w:szCs w:val="28"/>
              <w:lang w:val="en-US"/>
            </w:rPr>
            <w:fldChar w:fldCharType="end"/>
          </w:r>
        </w:p>
        <w:p>
          <w:pPr>
            <w:pStyle w:val="17"/>
            <w:tabs>
              <w:tab w:val="right" w:leader="dot" w:pos="8844"/>
              <w:tab w:val="clear" w:pos="8789"/>
            </w:tabs>
            <w:spacing w:line="440" w:lineRule="exact"/>
            <w:rPr>
              <w:rFonts w:hint="eastAsia" w:ascii="宋体" w:hAnsi="宋体" w:eastAsia="宋体" w:cs="宋体"/>
              <w:b w:val="0"/>
              <w:bCs w:val="0"/>
              <w:spacing w:val="6"/>
              <w:kern w:val="30"/>
              <w:sz w:val="28"/>
              <w:szCs w:val="28"/>
              <w:lang w:val="en-US"/>
            </w:rPr>
          </w:pP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HYPERLINK \l _Toc17773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四、绩效评价情况分析</w:t>
          </w:r>
          <w:r>
            <w:rPr>
              <w:rFonts w:hint="eastAsia" w:ascii="宋体" w:hAnsi="宋体" w:eastAsia="宋体" w:cs="宋体"/>
              <w:b w:val="0"/>
              <w:bCs w:val="0"/>
              <w:spacing w:val="6"/>
              <w:kern w:val="30"/>
              <w:sz w:val="28"/>
              <w:szCs w:val="28"/>
              <w:lang w:val="en-US"/>
            </w:rPr>
            <w:tab/>
          </w: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PAGEREF _Toc17773 \h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18</w:t>
          </w:r>
          <w:r>
            <w:rPr>
              <w:rFonts w:hint="eastAsia" w:ascii="宋体" w:hAnsi="宋体" w:eastAsia="宋体" w:cs="宋体"/>
              <w:b w:val="0"/>
              <w:bCs w:val="0"/>
              <w:spacing w:val="6"/>
              <w:kern w:val="30"/>
              <w:sz w:val="28"/>
              <w:szCs w:val="28"/>
              <w:lang w:val="en-US"/>
            </w:rPr>
            <w:fldChar w:fldCharType="end"/>
          </w:r>
          <w:r>
            <w:rPr>
              <w:rFonts w:hint="eastAsia" w:ascii="宋体" w:hAnsi="宋体" w:eastAsia="宋体" w:cs="宋体"/>
              <w:b w:val="0"/>
              <w:bCs w:val="0"/>
              <w:spacing w:val="6"/>
              <w:kern w:val="30"/>
              <w:sz w:val="28"/>
              <w:szCs w:val="28"/>
              <w:lang w:val="en-US"/>
            </w:rPr>
            <w:fldChar w:fldCharType="end"/>
          </w:r>
        </w:p>
        <w:p>
          <w:pPr>
            <w:pStyle w:val="17"/>
            <w:tabs>
              <w:tab w:val="right" w:leader="dot" w:pos="8844"/>
              <w:tab w:val="clear" w:pos="8789"/>
            </w:tabs>
            <w:spacing w:line="440" w:lineRule="exact"/>
            <w:rPr>
              <w:rFonts w:hint="eastAsia" w:ascii="宋体" w:hAnsi="宋体" w:eastAsia="宋体" w:cs="宋体"/>
              <w:b w:val="0"/>
              <w:bCs w:val="0"/>
              <w:spacing w:val="6"/>
              <w:kern w:val="30"/>
              <w:sz w:val="28"/>
              <w:szCs w:val="28"/>
              <w:lang w:val="en-US"/>
            </w:rPr>
          </w:pP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HYPERLINK \l _Toc4457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（一）投入情况分析</w:t>
          </w:r>
          <w:r>
            <w:rPr>
              <w:rFonts w:hint="eastAsia" w:ascii="宋体" w:hAnsi="宋体" w:eastAsia="宋体" w:cs="宋体"/>
              <w:b w:val="0"/>
              <w:bCs w:val="0"/>
              <w:spacing w:val="6"/>
              <w:kern w:val="30"/>
              <w:sz w:val="28"/>
              <w:szCs w:val="28"/>
              <w:lang w:val="en-US"/>
            </w:rPr>
            <w:tab/>
          </w: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PAGEREF _Toc4457 \h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18</w:t>
          </w:r>
          <w:r>
            <w:rPr>
              <w:rFonts w:hint="eastAsia" w:ascii="宋体" w:hAnsi="宋体" w:eastAsia="宋体" w:cs="宋体"/>
              <w:b w:val="0"/>
              <w:bCs w:val="0"/>
              <w:spacing w:val="6"/>
              <w:kern w:val="30"/>
              <w:sz w:val="28"/>
              <w:szCs w:val="28"/>
              <w:lang w:val="en-US"/>
            </w:rPr>
            <w:fldChar w:fldCharType="end"/>
          </w:r>
          <w:r>
            <w:rPr>
              <w:rFonts w:hint="eastAsia" w:ascii="宋体" w:hAnsi="宋体" w:eastAsia="宋体" w:cs="宋体"/>
              <w:b w:val="0"/>
              <w:bCs w:val="0"/>
              <w:spacing w:val="6"/>
              <w:kern w:val="30"/>
              <w:sz w:val="28"/>
              <w:szCs w:val="28"/>
              <w:lang w:val="en-US"/>
            </w:rPr>
            <w:fldChar w:fldCharType="end"/>
          </w:r>
        </w:p>
        <w:p>
          <w:pPr>
            <w:pStyle w:val="17"/>
            <w:tabs>
              <w:tab w:val="right" w:leader="dot" w:pos="8844"/>
              <w:tab w:val="clear" w:pos="8789"/>
            </w:tabs>
            <w:spacing w:line="440" w:lineRule="exact"/>
            <w:rPr>
              <w:rFonts w:hint="eastAsia" w:ascii="宋体" w:hAnsi="宋体" w:eastAsia="宋体" w:cs="宋体"/>
              <w:b w:val="0"/>
              <w:bCs w:val="0"/>
              <w:spacing w:val="6"/>
              <w:kern w:val="30"/>
              <w:sz w:val="28"/>
              <w:szCs w:val="28"/>
              <w:lang w:val="en-US"/>
            </w:rPr>
          </w:pP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HYPERLINK \l _Toc17447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（二）过程情况分析</w:t>
          </w:r>
          <w:r>
            <w:rPr>
              <w:rFonts w:hint="eastAsia" w:ascii="宋体" w:hAnsi="宋体" w:eastAsia="宋体" w:cs="宋体"/>
              <w:b w:val="0"/>
              <w:bCs w:val="0"/>
              <w:spacing w:val="6"/>
              <w:kern w:val="30"/>
              <w:sz w:val="28"/>
              <w:szCs w:val="28"/>
              <w:lang w:val="en-US"/>
            </w:rPr>
            <w:tab/>
          </w: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PAGEREF _Toc17447 \h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21</w:t>
          </w:r>
          <w:r>
            <w:rPr>
              <w:rFonts w:hint="eastAsia" w:ascii="宋体" w:hAnsi="宋体" w:eastAsia="宋体" w:cs="宋体"/>
              <w:b w:val="0"/>
              <w:bCs w:val="0"/>
              <w:spacing w:val="6"/>
              <w:kern w:val="30"/>
              <w:sz w:val="28"/>
              <w:szCs w:val="28"/>
              <w:lang w:val="en-US"/>
            </w:rPr>
            <w:fldChar w:fldCharType="end"/>
          </w:r>
          <w:r>
            <w:rPr>
              <w:rFonts w:hint="eastAsia" w:ascii="宋体" w:hAnsi="宋体" w:eastAsia="宋体" w:cs="宋体"/>
              <w:b w:val="0"/>
              <w:bCs w:val="0"/>
              <w:spacing w:val="6"/>
              <w:kern w:val="30"/>
              <w:sz w:val="28"/>
              <w:szCs w:val="28"/>
              <w:lang w:val="en-US"/>
            </w:rPr>
            <w:fldChar w:fldCharType="end"/>
          </w:r>
        </w:p>
        <w:p>
          <w:pPr>
            <w:pStyle w:val="17"/>
            <w:tabs>
              <w:tab w:val="right" w:leader="dot" w:pos="8844"/>
              <w:tab w:val="clear" w:pos="8789"/>
            </w:tabs>
            <w:spacing w:line="440" w:lineRule="exact"/>
            <w:rPr>
              <w:rFonts w:hint="eastAsia" w:ascii="宋体" w:hAnsi="宋体" w:eastAsia="宋体" w:cs="宋体"/>
              <w:b w:val="0"/>
              <w:bCs w:val="0"/>
              <w:spacing w:val="6"/>
              <w:kern w:val="30"/>
              <w:sz w:val="28"/>
              <w:szCs w:val="28"/>
              <w:lang w:val="en-US"/>
            </w:rPr>
          </w:pP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HYPERLINK \l _Toc6218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（三）产出情况分析</w:t>
          </w:r>
          <w:r>
            <w:rPr>
              <w:rFonts w:hint="eastAsia" w:ascii="宋体" w:hAnsi="宋体" w:eastAsia="宋体" w:cs="宋体"/>
              <w:b w:val="0"/>
              <w:bCs w:val="0"/>
              <w:spacing w:val="6"/>
              <w:kern w:val="30"/>
              <w:sz w:val="28"/>
              <w:szCs w:val="28"/>
              <w:lang w:val="en-US"/>
            </w:rPr>
            <w:tab/>
          </w: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PAGEREF _Toc6218 \h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24</w:t>
          </w:r>
          <w:r>
            <w:rPr>
              <w:rFonts w:hint="eastAsia" w:ascii="宋体" w:hAnsi="宋体" w:eastAsia="宋体" w:cs="宋体"/>
              <w:b w:val="0"/>
              <w:bCs w:val="0"/>
              <w:spacing w:val="6"/>
              <w:kern w:val="30"/>
              <w:sz w:val="28"/>
              <w:szCs w:val="28"/>
              <w:lang w:val="en-US"/>
            </w:rPr>
            <w:fldChar w:fldCharType="end"/>
          </w:r>
          <w:r>
            <w:rPr>
              <w:rFonts w:hint="eastAsia" w:ascii="宋体" w:hAnsi="宋体" w:eastAsia="宋体" w:cs="宋体"/>
              <w:b w:val="0"/>
              <w:bCs w:val="0"/>
              <w:spacing w:val="6"/>
              <w:kern w:val="30"/>
              <w:sz w:val="28"/>
              <w:szCs w:val="28"/>
              <w:lang w:val="en-US"/>
            </w:rPr>
            <w:fldChar w:fldCharType="end"/>
          </w:r>
        </w:p>
        <w:p>
          <w:pPr>
            <w:pStyle w:val="17"/>
            <w:tabs>
              <w:tab w:val="right" w:leader="dot" w:pos="8844"/>
              <w:tab w:val="clear" w:pos="8789"/>
            </w:tabs>
            <w:spacing w:line="440" w:lineRule="exact"/>
            <w:rPr>
              <w:rFonts w:hint="eastAsia" w:ascii="宋体" w:hAnsi="宋体" w:eastAsia="宋体" w:cs="宋体"/>
              <w:b w:val="0"/>
              <w:bCs w:val="0"/>
              <w:spacing w:val="6"/>
              <w:kern w:val="30"/>
              <w:sz w:val="28"/>
              <w:szCs w:val="28"/>
              <w:lang w:val="en-US"/>
            </w:rPr>
          </w:pP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HYPERLINK \l _Toc1405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（四）效果情况分析</w:t>
          </w:r>
          <w:r>
            <w:rPr>
              <w:rFonts w:hint="eastAsia" w:ascii="宋体" w:hAnsi="宋体" w:eastAsia="宋体" w:cs="宋体"/>
              <w:b w:val="0"/>
              <w:bCs w:val="0"/>
              <w:spacing w:val="6"/>
              <w:kern w:val="30"/>
              <w:sz w:val="28"/>
              <w:szCs w:val="28"/>
              <w:lang w:val="en-US"/>
            </w:rPr>
            <w:tab/>
          </w: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PAGEREF _Toc1405 \h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26</w:t>
          </w:r>
          <w:r>
            <w:rPr>
              <w:rFonts w:hint="eastAsia" w:ascii="宋体" w:hAnsi="宋体" w:eastAsia="宋体" w:cs="宋体"/>
              <w:b w:val="0"/>
              <w:bCs w:val="0"/>
              <w:spacing w:val="6"/>
              <w:kern w:val="30"/>
              <w:sz w:val="28"/>
              <w:szCs w:val="28"/>
              <w:lang w:val="en-US"/>
            </w:rPr>
            <w:fldChar w:fldCharType="end"/>
          </w:r>
          <w:r>
            <w:rPr>
              <w:rFonts w:hint="eastAsia" w:ascii="宋体" w:hAnsi="宋体" w:eastAsia="宋体" w:cs="宋体"/>
              <w:b w:val="0"/>
              <w:bCs w:val="0"/>
              <w:spacing w:val="6"/>
              <w:kern w:val="30"/>
              <w:sz w:val="28"/>
              <w:szCs w:val="28"/>
              <w:lang w:val="en-US"/>
            </w:rPr>
            <w:fldChar w:fldCharType="end"/>
          </w:r>
        </w:p>
        <w:p>
          <w:pPr>
            <w:pStyle w:val="17"/>
            <w:tabs>
              <w:tab w:val="right" w:leader="dot" w:pos="8844"/>
              <w:tab w:val="clear" w:pos="8789"/>
            </w:tabs>
            <w:spacing w:line="440" w:lineRule="exact"/>
            <w:rPr>
              <w:rFonts w:hint="eastAsia" w:ascii="宋体" w:hAnsi="宋体" w:eastAsia="宋体" w:cs="宋体"/>
              <w:b w:val="0"/>
              <w:bCs w:val="0"/>
              <w:spacing w:val="6"/>
              <w:kern w:val="30"/>
              <w:sz w:val="28"/>
              <w:szCs w:val="28"/>
              <w:lang w:val="en-US"/>
            </w:rPr>
          </w:pP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HYPERLINK \l _Toc13566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五、存在问题及原因分析</w:t>
          </w:r>
          <w:r>
            <w:rPr>
              <w:rFonts w:hint="eastAsia" w:ascii="宋体" w:hAnsi="宋体" w:eastAsia="宋体" w:cs="宋体"/>
              <w:b w:val="0"/>
              <w:bCs w:val="0"/>
              <w:spacing w:val="6"/>
              <w:kern w:val="30"/>
              <w:sz w:val="28"/>
              <w:szCs w:val="28"/>
              <w:lang w:val="en-US"/>
            </w:rPr>
            <w:tab/>
          </w: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PAGEREF _Toc13566 \h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28</w:t>
          </w:r>
          <w:r>
            <w:rPr>
              <w:rFonts w:hint="eastAsia" w:ascii="宋体" w:hAnsi="宋体" w:eastAsia="宋体" w:cs="宋体"/>
              <w:b w:val="0"/>
              <w:bCs w:val="0"/>
              <w:spacing w:val="6"/>
              <w:kern w:val="30"/>
              <w:sz w:val="28"/>
              <w:szCs w:val="28"/>
              <w:lang w:val="en-US"/>
            </w:rPr>
            <w:fldChar w:fldCharType="end"/>
          </w:r>
          <w:r>
            <w:rPr>
              <w:rFonts w:hint="eastAsia" w:ascii="宋体" w:hAnsi="宋体" w:eastAsia="宋体" w:cs="宋体"/>
              <w:b w:val="0"/>
              <w:bCs w:val="0"/>
              <w:spacing w:val="6"/>
              <w:kern w:val="30"/>
              <w:sz w:val="28"/>
              <w:szCs w:val="28"/>
              <w:lang w:val="en-US"/>
            </w:rPr>
            <w:fldChar w:fldCharType="end"/>
          </w:r>
        </w:p>
        <w:p>
          <w:pPr>
            <w:pStyle w:val="17"/>
            <w:tabs>
              <w:tab w:val="right" w:leader="dot" w:pos="8844"/>
              <w:tab w:val="clear" w:pos="8789"/>
            </w:tabs>
            <w:spacing w:line="440" w:lineRule="exact"/>
            <w:rPr>
              <w:rFonts w:hint="eastAsia" w:ascii="宋体" w:hAnsi="宋体" w:eastAsia="宋体" w:cs="宋体"/>
              <w:b w:val="0"/>
              <w:bCs w:val="0"/>
              <w:spacing w:val="6"/>
              <w:kern w:val="30"/>
              <w:sz w:val="28"/>
              <w:szCs w:val="28"/>
              <w:lang w:val="en-US"/>
            </w:rPr>
          </w:pP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HYPERLINK \l _Toc25946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（一）项目前期规划不足，实施方案论证不充分</w:t>
          </w:r>
          <w:r>
            <w:rPr>
              <w:rFonts w:hint="eastAsia" w:ascii="宋体" w:hAnsi="宋体" w:eastAsia="宋体" w:cs="宋体"/>
              <w:b w:val="0"/>
              <w:bCs w:val="0"/>
              <w:spacing w:val="6"/>
              <w:kern w:val="30"/>
              <w:sz w:val="28"/>
              <w:szCs w:val="28"/>
              <w:lang w:val="en-US"/>
            </w:rPr>
            <w:tab/>
          </w: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PAGEREF _Toc25946 \h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28</w:t>
          </w:r>
          <w:r>
            <w:rPr>
              <w:rFonts w:hint="eastAsia" w:ascii="宋体" w:hAnsi="宋体" w:eastAsia="宋体" w:cs="宋体"/>
              <w:b w:val="0"/>
              <w:bCs w:val="0"/>
              <w:spacing w:val="6"/>
              <w:kern w:val="30"/>
              <w:sz w:val="28"/>
              <w:szCs w:val="28"/>
              <w:lang w:val="en-US"/>
            </w:rPr>
            <w:fldChar w:fldCharType="end"/>
          </w:r>
          <w:r>
            <w:rPr>
              <w:rFonts w:hint="eastAsia" w:ascii="宋体" w:hAnsi="宋体" w:eastAsia="宋体" w:cs="宋体"/>
              <w:b w:val="0"/>
              <w:bCs w:val="0"/>
              <w:spacing w:val="6"/>
              <w:kern w:val="30"/>
              <w:sz w:val="28"/>
              <w:szCs w:val="28"/>
              <w:lang w:val="en-US"/>
            </w:rPr>
            <w:fldChar w:fldCharType="end"/>
          </w:r>
        </w:p>
        <w:p>
          <w:pPr>
            <w:pStyle w:val="17"/>
            <w:tabs>
              <w:tab w:val="right" w:leader="dot" w:pos="8844"/>
              <w:tab w:val="clear" w:pos="8789"/>
            </w:tabs>
            <w:spacing w:line="440" w:lineRule="exact"/>
            <w:rPr>
              <w:rFonts w:hint="eastAsia" w:ascii="宋体" w:hAnsi="宋体" w:eastAsia="宋体" w:cs="宋体"/>
              <w:b w:val="0"/>
              <w:bCs w:val="0"/>
              <w:spacing w:val="6"/>
              <w:kern w:val="30"/>
              <w:sz w:val="28"/>
              <w:szCs w:val="28"/>
              <w:lang w:val="en-US"/>
            </w:rPr>
          </w:pP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HYPERLINK \l _Toc27419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（二）施工合同未明确金额，项目成本控制不到位</w:t>
          </w:r>
          <w:r>
            <w:rPr>
              <w:rFonts w:hint="eastAsia" w:ascii="宋体" w:hAnsi="宋体" w:eastAsia="宋体" w:cs="宋体"/>
              <w:b w:val="0"/>
              <w:bCs w:val="0"/>
              <w:spacing w:val="6"/>
              <w:kern w:val="30"/>
              <w:sz w:val="28"/>
              <w:szCs w:val="28"/>
              <w:lang w:val="en-US"/>
            </w:rPr>
            <w:tab/>
          </w: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PAGEREF _Toc27419 \h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29</w:t>
          </w:r>
          <w:r>
            <w:rPr>
              <w:rFonts w:hint="eastAsia" w:ascii="宋体" w:hAnsi="宋体" w:eastAsia="宋体" w:cs="宋体"/>
              <w:b w:val="0"/>
              <w:bCs w:val="0"/>
              <w:spacing w:val="6"/>
              <w:kern w:val="30"/>
              <w:sz w:val="28"/>
              <w:szCs w:val="28"/>
              <w:lang w:val="en-US"/>
            </w:rPr>
            <w:fldChar w:fldCharType="end"/>
          </w:r>
          <w:r>
            <w:rPr>
              <w:rFonts w:hint="eastAsia" w:ascii="宋体" w:hAnsi="宋体" w:eastAsia="宋体" w:cs="宋体"/>
              <w:b w:val="0"/>
              <w:bCs w:val="0"/>
              <w:spacing w:val="6"/>
              <w:kern w:val="30"/>
              <w:sz w:val="28"/>
              <w:szCs w:val="28"/>
              <w:lang w:val="en-US"/>
            </w:rPr>
            <w:fldChar w:fldCharType="end"/>
          </w:r>
        </w:p>
        <w:p>
          <w:pPr>
            <w:pStyle w:val="17"/>
            <w:tabs>
              <w:tab w:val="right" w:leader="dot" w:pos="8844"/>
              <w:tab w:val="clear" w:pos="8789"/>
            </w:tabs>
            <w:spacing w:line="440" w:lineRule="exact"/>
            <w:rPr>
              <w:rFonts w:hint="eastAsia" w:ascii="宋体" w:hAnsi="宋体" w:eastAsia="宋体" w:cs="宋体"/>
              <w:b w:val="0"/>
              <w:bCs w:val="0"/>
              <w:spacing w:val="6"/>
              <w:kern w:val="30"/>
              <w:sz w:val="28"/>
              <w:szCs w:val="28"/>
              <w:lang w:val="en-US"/>
            </w:rPr>
          </w:pP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HYPERLINK \l _Toc23305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（三）运营服务方案缺失，</w:t>
          </w:r>
          <w:r>
            <w:rPr>
              <w:rFonts w:hint="eastAsia" w:ascii="宋体" w:hAnsi="宋体" w:eastAsia="宋体" w:cs="宋体"/>
              <w:b w:val="0"/>
              <w:bCs w:val="0"/>
              <w:spacing w:val="6"/>
              <w:kern w:val="30"/>
              <w:sz w:val="28"/>
              <w:szCs w:val="28"/>
              <w:lang w:val="en-US" w:eastAsia="zh-CN"/>
            </w:rPr>
            <w:t>制度有待进一步完善</w:t>
          </w:r>
          <w:r>
            <w:rPr>
              <w:rFonts w:hint="eastAsia" w:ascii="宋体" w:hAnsi="宋体" w:eastAsia="宋体" w:cs="宋体"/>
              <w:b w:val="0"/>
              <w:bCs w:val="0"/>
              <w:spacing w:val="6"/>
              <w:kern w:val="30"/>
              <w:sz w:val="28"/>
              <w:szCs w:val="28"/>
              <w:lang w:val="en-US"/>
            </w:rPr>
            <w:tab/>
          </w: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PAGEREF _Toc23305 \h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29</w:t>
          </w:r>
          <w:r>
            <w:rPr>
              <w:rFonts w:hint="eastAsia" w:ascii="宋体" w:hAnsi="宋体" w:eastAsia="宋体" w:cs="宋体"/>
              <w:b w:val="0"/>
              <w:bCs w:val="0"/>
              <w:spacing w:val="6"/>
              <w:kern w:val="30"/>
              <w:sz w:val="28"/>
              <w:szCs w:val="28"/>
              <w:lang w:val="en-US"/>
            </w:rPr>
            <w:fldChar w:fldCharType="end"/>
          </w:r>
          <w:r>
            <w:rPr>
              <w:rFonts w:hint="eastAsia" w:ascii="宋体" w:hAnsi="宋体" w:eastAsia="宋体" w:cs="宋体"/>
              <w:b w:val="0"/>
              <w:bCs w:val="0"/>
              <w:spacing w:val="6"/>
              <w:kern w:val="30"/>
              <w:sz w:val="28"/>
              <w:szCs w:val="28"/>
              <w:lang w:val="en-US"/>
            </w:rPr>
            <w:fldChar w:fldCharType="end"/>
          </w:r>
        </w:p>
        <w:p>
          <w:pPr>
            <w:pStyle w:val="17"/>
            <w:tabs>
              <w:tab w:val="right" w:leader="dot" w:pos="8844"/>
              <w:tab w:val="clear" w:pos="8789"/>
            </w:tabs>
            <w:spacing w:line="440" w:lineRule="exact"/>
            <w:rPr>
              <w:rFonts w:hint="eastAsia" w:ascii="宋体" w:hAnsi="宋体" w:eastAsia="宋体" w:cs="宋体"/>
              <w:b w:val="0"/>
              <w:bCs w:val="0"/>
              <w:spacing w:val="6"/>
              <w:kern w:val="30"/>
              <w:sz w:val="28"/>
              <w:szCs w:val="28"/>
              <w:lang w:val="en-US"/>
            </w:rPr>
          </w:pP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HYPERLINK \l _Toc30369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（四）支付进度较为缓慢</w:t>
          </w:r>
          <w:r>
            <w:rPr>
              <w:rFonts w:hint="eastAsia" w:ascii="宋体" w:hAnsi="宋体" w:eastAsia="宋体" w:cs="宋体"/>
              <w:b w:val="0"/>
              <w:bCs w:val="0"/>
              <w:spacing w:val="6"/>
              <w:kern w:val="30"/>
              <w:sz w:val="28"/>
              <w:szCs w:val="28"/>
              <w:lang w:val="en-US" w:eastAsia="zh-CN"/>
            </w:rPr>
            <w:t>，</w:t>
          </w:r>
          <w:r>
            <w:rPr>
              <w:rFonts w:hint="eastAsia" w:ascii="宋体" w:hAnsi="宋体" w:eastAsia="宋体" w:cs="宋体"/>
              <w:b w:val="0"/>
              <w:bCs w:val="0"/>
              <w:spacing w:val="6"/>
              <w:kern w:val="30"/>
              <w:sz w:val="28"/>
              <w:szCs w:val="28"/>
              <w:lang w:val="en-US"/>
            </w:rPr>
            <w:t>资金使用不规范</w:t>
          </w:r>
          <w:r>
            <w:rPr>
              <w:rFonts w:hint="eastAsia" w:ascii="宋体" w:hAnsi="宋体" w:eastAsia="宋体" w:cs="宋体"/>
              <w:b w:val="0"/>
              <w:bCs w:val="0"/>
              <w:spacing w:val="6"/>
              <w:kern w:val="30"/>
              <w:sz w:val="28"/>
              <w:szCs w:val="28"/>
              <w:lang w:val="en-US"/>
            </w:rPr>
            <w:tab/>
          </w: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PAGEREF _Toc30369 \h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30</w:t>
          </w:r>
          <w:r>
            <w:rPr>
              <w:rFonts w:hint="eastAsia" w:ascii="宋体" w:hAnsi="宋体" w:eastAsia="宋体" w:cs="宋体"/>
              <w:b w:val="0"/>
              <w:bCs w:val="0"/>
              <w:spacing w:val="6"/>
              <w:kern w:val="30"/>
              <w:sz w:val="28"/>
              <w:szCs w:val="28"/>
              <w:lang w:val="en-US"/>
            </w:rPr>
            <w:fldChar w:fldCharType="end"/>
          </w:r>
          <w:r>
            <w:rPr>
              <w:rFonts w:hint="eastAsia" w:ascii="宋体" w:hAnsi="宋体" w:eastAsia="宋体" w:cs="宋体"/>
              <w:b w:val="0"/>
              <w:bCs w:val="0"/>
              <w:spacing w:val="6"/>
              <w:kern w:val="30"/>
              <w:sz w:val="28"/>
              <w:szCs w:val="28"/>
              <w:lang w:val="en-US"/>
            </w:rPr>
            <w:fldChar w:fldCharType="end"/>
          </w:r>
        </w:p>
        <w:p>
          <w:pPr>
            <w:pStyle w:val="17"/>
            <w:tabs>
              <w:tab w:val="right" w:leader="dot" w:pos="8844"/>
              <w:tab w:val="clear" w:pos="8789"/>
            </w:tabs>
            <w:spacing w:line="440" w:lineRule="exact"/>
            <w:rPr>
              <w:rFonts w:hint="eastAsia" w:ascii="宋体" w:hAnsi="宋体" w:eastAsia="宋体" w:cs="宋体"/>
              <w:b w:val="0"/>
              <w:bCs w:val="0"/>
              <w:spacing w:val="6"/>
              <w:kern w:val="30"/>
              <w:sz w:val="28"/>
              <w:szCs w:val="28"/>
              <w:lang w:val="en-US"/>
            </w:rPr>
          </w:pP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HYPERLINK \l _Toc21729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六、建议</w:t>
          </w:r>
          <w:r>
            <w:rPr>
              <w:rFonts w:hint="eastAsia" w:ascii="宋体" w:hAnsi="宋体" w:eastAsia="宋体" w:cs="宋体"/>
              <w:b w:val="0"/>
              <w:bCs w:val="0"/>
              <w:spacing w:val="6"/>
              <w:kern w:val="30"/>
              <w:sz w:val="28"/>
              <w:szCs w:val="28"/>
              <w:lang w:val="en-US"/>
            </w:rPr>
            <w:tab/>
          </w: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PAGEREF _Toc21729 \h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31</w:t>
          </w:r>
          <w:r>
            <w:rPr>
              <w:rFonts w:hint="eastAsia" w:ascii="宋体" w:hAnsi="宋体" w:eastAsia="宋体" w:cs="宋体"/>
              <w:b w:val="0"/>
              <w:bCs w:val="0"/>
              <w:spacing w:val="6"/>
              <w:kern w:val="30"/>
              <w:sz w:val="28"/>
              <w:szCs w:val="28"/>
              <w:lang w:val="en-US"/>
            </w:rPr>
            <w:fldChar w:fldCharType="end"/>
          </w:r>
          <w:r>
            <w:rPr>
              <w:rFonts w:hint="eastAsia" w:ascii="宋体" w:hAnsi="宋体" w:eastAsia="宋体" w:cs="宋体"/>
              <w:b w:val="0"/>
              <w:bCs w:val="0"/>
              <w:spacing w:val="6"/>
              <w:kern w:val="30"/>
              <w:sz w:val="28"/>
              <w:szCs w:val="28"/>
              <w:lang w:val="en-US"/>
            </w:rPr>
            <w:fldChar w:fldCharType="end"/>
          </w:r>
        </w:p>
        <w:p>
          <w:pPr>
            <w:pStyle w:val="17"/>
            <w:tabs>
              <w:tab w:val="right" w:leader="dot" w:pos="8844"/>
              <w:tab w:val="clear" w:pos="8789"/>
            </w:tabs>
            <w:spacing w:line="440" w:lineRule="exact"/>
            <w:rPr>
              <w:rFonts w:hint="eastAsia" w:ascii="宋体" w:hAnsi="宋体" w:eastAsia="宋体" w:cs="宋体"/>
              <w:b w:val="0"/>
              <w:bCs w:val="0"/>
              <w:spacing w:val="6"/>
              <w:kern w:val="30"/>
              <w:sz w:val="28"/>
              <w:szCs w:val="28"/>
              <w:lang w:val="en-US"/>
            </w:rPr>
          </w:pP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HYPERLINK \l _Toc3451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（一）加强项目前期统筹规划，确保实施方案合理可行</w:t>
          </w:r>
          <w:r>
            <w:rPr>
              <w:rFonts w:hint="eastAsia" w:ascii="宋体" w:hAnsi="宋体" w:eastAsia="宋体" w:cs="宋体"/>
              <w:b w:val="0"/>
              <w:bCs w:val="0"/>
              <w:spacing w:val="6"/>
              <w:kern w:val="30"/>
              <w:sz w:val="28"/>
              <w:szCs w:val="28"/>
              <w:lang w:val="en-US"/>
            </w:rPr>
            <w:tab/>
          </w: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PAGEREF _Toc3451 \h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31</w:t>
          </w:r>
          <w:r>
            <w:rPr>
              <w:rFonts w:hint="eastAsia" w:ascii="宋体" w:hAnsi="宋体" w:eastAsia="宋体" w:cs="宋体"/>
              <w:b w:val="0"/>
              <w:bCs w:val="0"/>
              <w:spacing w:val="6"/>
              <w:kern w:val="30"/>
              <w:sz w:val="28"/>
              <w:szCs w:val="28"/>
              <w:lang w:val="en-US"/>
            </w:rPr>
            <w:fldChar w:fldCharType="end"/>
          </w:r>
          <w:r>
            <w:rPr>
              <w:rFonts w:hint="eastAsia" w:ascii="宋体" w:hAnsi="宋体" w:eastAsia="宋体" w:cs="宋体"/>
              <w:b w:val="0"/>
              <w:bCs w:val="0"/>
              <w:spacing w:val="6"/>
              <w:kern w:val="30"/>
              <w:sz w:val="28"/>
              <w:szCs w:val="28"/>
              <w:lang w:val="en-US"/>
            </w:rPr>
            <w:fldChar w:fldCharType="end"/>
          </w:r>
        </w:p>
        <w:p>
          <w:pPr>
            <w:pStyle w:val="17"/>
            <w:tabs>
              <w:tab w:val="right" w:leader="dot" w:pos="8844"/>
              <w:tab w:val="clear" w:pos="8789"/>
            </w:tabs>
            <w:spacing w:line="440" w:lineRule="exact"/>
            <w:rPr>
              <w:rFonts w:hint="eastAsia" w:ascii="宋体" w:hAnsi="宋体" w:eastAsia="宋体" w:cs="宋体"/>
              <w:b w:val="0"/>
              <w:bCs w:val="0"/>
              <w:spacing w:val="6"/>
              <w:kern w:val="30"/>
              <w:sz w:val="28"/>
              <w:szCs w:val="28"/>
              <w:lang w:val="en-US"/>
            </w:rPr>
          </w:pP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HYPERLINK \l _Toc30282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（二）签订合同补充协议，明确项目建设金额</w:t>
          </w:r>
          <w:r>
            <w:rPr>
              <w:rFonts w:hint="eastAsia" w:ascii="宋体" w:hAnsi="宋体" w:eastAsia="宋体" w:cs="宋体"/>
              <w:b w:val="0"/>
              <w:bCs w:val="0"/>
              <w:spacing w:val="6"/>
              <w:kern w:val="30"/>
              <w:sz w:val="28"/>
              <w:szCs w:val="28"/>
              <w:lang w:val="en-US"/>
            </w:rPr>
            <w:tab/>
          </w: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PAGEREF _Toc30282 \h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31</w:t>
          </w:r>
          <w:r>
            <w:rPr>
              <w:rFonts w:hint="eastAsia" w:ascii="宋体" w:hAnsi="宋体" w:eastAsia="宋体" w:cs="宋体"/>
              <w:b w:val="0"/>
              <w:bCs w:val="0"/>
              <w:spacing w:val="6"/>
              <w:kern w:val="30"/>
              <w:sz w:val="28"/>
              <w:szCs w:val="28"/>
              <w:lang w:val="en-US"/>
            </w:rPr>
            <w:fldChar w:fldCharType="end"/>
          </w:r>
          <w:r>
            <w:rPr>
              <w:rFonts w:hint="eastAsia" w:ascii="宋体" w:hAnsi="宋体" w:eastAsia="宋体" w:cs="宋体"/>
              <w:b w:val="0"/>
              <w:bCs w:val="0"/>
              <w:spacing w:val="6"/>
              <w:kern w:val="30"/>
              <w:sz w:val="28"/>
              <w:szCs w:val="28"/>
              <w:lang w:val="en-US"/>
            </w:rPr>
            <w:fldChar w:fldCharType="end"/>
          </w:r>
        </w:p>
        <w:p>
          <w:pPr>
            <w:pStyle w:val="17"/>
            <w:tabs>
              <w:tab w:val="right" w:leader="dot" w:pos="8844"/>
              <w:tab w:val="clear" w:pos="8789"/>
            </w:tabs>
            <w:spacing w:line="440" w:lineRule="exact"/>
            <w:rPr>
              <w:rFonts w:hint="eastAsia" w:ascii="宋体" w:hAnsi="宋体" w:eastAsia="宋体" w:cs="宋体"/>
              <w:b w:val="0"/>
              <w:bCs w:val="0"/>
              <w:spacing w:val="6"/>
              <w:kern w:val="30"/>
              <w:sz w:val="28"/>
              <w:szCs w:val="28"/>
              <w:lang w:val="en-US"/>
            </w:rPr>
          </w:pP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HYPERLINK \l _Toc7668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（三）把控项目制度建设进度，完善项目制度体系</w:t>
          </w:r>
          <w:r>
            <w:rPr>
              <w:rFonts w:hint="eastAsia" w:ascii="宋体" w:hAnsi="宋体" w:eastAsia="宋体" w:cs="宋体"/>
              <w:b w:val="0"/>
              <w:bCs w:val="0"/>
              <w:spacing w:val="6"/>
              <w:kern w:val="30"/>
              <w:sz w:val="28"/>
              <w:szCs w:val="28"/>
              <w:lang w:val="en-US"/>
            </w:rPr>
            <w:tab/>
          </w: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PAGEREF _Toc7668 \h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31</w:t>
          </w:r>
          <w:r>
            <w:rPr>
              <w:rFonts w:hint="eastAsia" w:ascii="宋体" w:hAnsi="宋体" w:eastAsia="宋体" w:cs="宋体"/>
              <w:b w:val="0"/>
              <w:bCs w:val="0"/>
              <w:spacing w:val="6"/>
              <w:kern w:val="30"/>
              <w:sz w:val="28"/>
              <w:szCs w:val="28"/>
              <w:lang w:val="en-US"/>
            </w:rPr>
            <w:fldChar w:fldCharType="end"/>
          </w:r>
          <w:r>
            <w:rPr>
              <w:rFonts w:hint="eastAsia" w:ascii="宋体" w:hAnsi="宋体" w:eastAsia="宋体" w:cs="宋体"/>
              <w:b w:val="0"/>
              <w:bCs w:val="0"/>
              <w:spacing w:val="6"/>
              <w:kern w:val="30"/>
              <w:sz w:val="28"/>
              <w:szCs w:val="28"/>
              <w:lang w:val="en-US"/>
            </w:rPr>
            <w:fldChar w:fldCharType="end"/>
          </w:r>
        </w:p>
        <w:p>
          <w:pPr>
            <w:pStyle w:val="17"/>
            <w:tabs>
              <w:tab w:val="right" w:leader="dot" w:pos="8844"/>
              <w:tab w:val="clear" w:pos="8789"/>
            </w:tabs>
            <w:spacing w:line="440" w:lineRule="exact"/>
            <w:rPr>
              <w:rFonts w:hint="eastAsia" w:ascii="宋体" w:hAnsi="宋体" w:eastAsia="宋体" w:cs="宋体"/>
              <w:b w:val="0"/>
              <w:bCs w:val="0"/>
              <w:spacing w:val="6"/>
              <w:kern w:val="30"/>
              <w:sz w:val="28"/>
              <w:szCs w:val="28"/>
              <w:lang w:val="en-US"/>
            </w:rPr>
          </w:pP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HYPERLINK \l _Toc29411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（四）加强专项债券资金管理，压实各环节管理责任</w:t>
          </w:r>
          <w:r>
            <w:rPr>
              <w:rFonts w:hint="eastAsia" w:ascii="宋体" w:hAnsi="宋体" w:eastAsia="宋体" w:cs="宋体"/>
              <w:b w:val="0"/>
              <w:bCs w:val="0"/>
              <w:spacing w:val="6"/>
              <w:kern w:val="30"/>
              <w:sz w:val="28"/>
              <w:szCs w:val="28"/>
              <w:lang w:val="en-US"/>
            </w:rPr>
            <w:tab/>
          </w: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PAGEREF _Toc29411 \h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32</w:t>
          </w:r>
          <w:r>
            <w:rPr>
              <w:rFonts w:hint="eastAsia" w:ascii="宋体" w:hAnsi="宋体" w:eastAsia="宋体" w:cs="宋体"/>
              <w:b w:val="0"/>
              <w:bCs w:val="0"/>
              <w:spacing w:val="6"/>
              <w:kern w:val="30"/>
              <w:sz w:val="28"/>
              <w:szCs w:val="28"/>
              <w:lang w:val="en-US"/>
            </w:rPr>
            <w:fldChar w:fldCharType="end"/>
          </w:r>
          <w:r>
            <w:rPr>
              <w:rFonts w:hint="eastAsia" w:ascii="宋体" w:hAnsi="宋体" w:eastAsia="宋体" w:cs="宋体"/>
              <w:b w:val="0"/>
              <w:bCs w:val="0"/>
              <w:spacing w:val="6"/>
              <w:kern w:val="30"/>
              <w:sz w:val="28"/>
              <w:szCs w:val="28"/>
              <w:lang w:val="en-US"/>
            </w:rPr>
            <w:fldChar w:fldCharType="end"/>
          </w:r>
        </w:p>
        <w:p>
          <w:pPr>
            <w:pStyle w:val="17"/>
            <w:tabs>
              <w:tab w:val="right" w:leader="dot" w:pos="8844"/>
              <w:tab w:val="clear" w:pos="8789"/>
            </w:tabs>
            <w:spacing w:line="440" w:lineRule="exact"/>
          </w:pP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HYPERLINK \l _Toc31170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七、其它需说明的情况</w:t>
          </w:r>
          <w:r>
            <w:rPr>
              <w:rFonts w:hint="eastAsia" w:ascii="宋体" w:hAnsi="宋体" w:eastAsia="宋体" w:cs="宋体"/>
              <w:b w:val="0"/>
              <w:bCs w:val="0"/>
              <w:spacing w:val="6"/>
              <w:kern w:val="30"/>
              <w:sz w:val="28"/>
              <w:szCs w:val="28"/>
              <w:lang w:val="en-US"/>
            </w:rPr>
            <w:tab/>
          </w:r>
          <w:r>
            <w:rPr>
              <w:rFonts w:hint="eastAsia" w:ascii="宋体" w:hAnsi="宋体" w:eastAsia="宋体" w:cs="宋体"/>
              <w:b w:val="0"/>
              <w:bCs w:val="0"/>
              <w:spacing w:val="6"/>
              <w:kern w:val="30"/>
              <w:sz w:val="28"/>
              <w:szCs w:val="28"/>
              <w:lang w:val="en-US"/>
            </w:rPr>
            <w:fldChar w:fldCharType="begin"/>
          </w:r>
          <w:r>
            <w:rPr>
              <w:rFonts w:hint="eastAsia" w:ascii="宋体" w:hAnsi="宋体" w:eastAsia="宋体" w:cs="宋体"/>
              <w:b w:val="0"/>
              <w:bCs w:val="0"/>
              <w:spacing w:val="6"/>
              <w:kern w:val="30"/>
              <w:sz w:val="28"/>
              <w:szCs w:val="28"/>
              <w:lang w:val="en-US"/>
            </w:rPr>
            <w:instrText xml:space="preserve"> PAGEREF _Toc31170 \h </w:instrText>
          </w:r>
          <w:r>
            <w:rPr>
              <w:rFonts w:hint="eastAsia" w:ascii="宋体" w:hAnsi="宋体" w:eastAsia="宋体" w:cs="宋体"/>
              <w:b w:val="0"/>
              <w:bCs w:val="0"/>
              <w:spacing w:val="6"/>
              <w:kern w:val="30"/>
              <w:sz w:val="28"/>
              <w:szCs w:val="28"/>
              <w:lang w:val="en-US"/>
            </w:rPr>
            <w:fldChar w:fldCharType="separate"/>
          </w:r>
          <w:r>
            <w:rPr>
              <w:rFonts w:hint="eastAsia" w:ascii="宋体" w:hAnsi="宋体" w:eastAsia="宋体" w:cs="宋体"/>
              <w:b w:val="0"/>
              <w:bCs w:val="0"/>
              <w:spacing w:val="6"/>
              <w:kern w:val="30"/>
              <w:sz w:val="28"/>
              <w:szCs w:val="28"/>
              <w:lang w:val="en-US"/>
            </w:rPr>
            <w:t>32</w:t>
          </w:r>
          <w:r>
            <w:rPr>
              <w:rFonts w:hint="eastAsia" w:ascii="宋体" w:hAnsi="宋体" w:eastAsia="宋体" w:cs="宋体"/>
              <w:b w:val="0"/>
              <w:bCs w:val="0"/>
              <w:spacing w:val="6"/>
              <w:kern w:val="30"/>
              <w:sz w:val="28"/>
              <w:szCs w:val="28"/>
              <w:lang w:val="en-US"/>
            </w:rPr>
            <w:fldChar w:fldCharType="end"/>
          </w:r>
          <w:r>
            <w:rPr>
              <w:rFonts w:hint="eastAsia" w:ascii="宋体" w:hAnsi="宋体" w:eastAsia="宋体" w:cs="宋体"/>
              <w:b w:val="0"/>
              <w:bCs w:val="0"/>
              <w:spacing w:val="6"/>
              <w:kern w:val="30"/>
              <w:sz w:val="28"/>
              <w:szCs w:val="28"/>
              <w:lang w:val="en-US"/>
            </w:rPr>
            <w:fldChar w:fldCharType="end"/>
          </w:r>
        </w:p>
        <w:p>
          <w:pPr>
            <w:pStyle w:val="17"/>
            <w:tabs>
              <w:tab w:val="right" w:leader="dot" w:pos="8844"/>
              <w:tab w:val="clear" w:pos="8789"/>
            </w:tabs>
            <w:spacing w:line="440" w:lineRule="exact"/>
            <w:ind w:right="0" w:rightChars="0"/>
            <w:rPr>
              <w:rStyle w:val="24"/>
              <w:rFonts w:asciiTheme="minorEastAsia" w:hAnsiTheme="minorEastAsia"/>
              <w:sz w:val="28"/>
              <w:szCs w:val="28"/>
            </w:rPr>
          </w:pPr>
          <w:r>
            <w:rPr>
              <w:rStyle w:val="24"/>
              <w:rFonts w:asciiTheme="minorEastAsia" w:hAnsiTheme="minorEastAsia"/>
              <w:sz w:val="28"/>
              <w:szCs w:val="28"/>
            </w:rPr>
            <w:fldChar w:fldCharType="end"/>
          </w:r>
        </w:p>
      </w:sdtContent>
    </w:sdt>
    <w:p>
      <w:pPr>
        <w:overflowPunct w:val="0"/>
        <w:spacing w:line="579" w:lineRule="exact"/>
        <w:jc w:val="center"/>
        <w:outlineLvl w:val="0"/>
        <w:rPr>
          <w:rFonts w:ascii="方正小标宋简体" w:eastAsia="方正小标宋简体"/>
          <w:sz w:val="44"/>
          <w:szCs w:val="44"/>
        </w:rPr>
        <w:sectPr>
          <w:footerReference r:id="rId3" w:type="default"/>
          <w:type w:val="oddPage"/>
          <w:pgSz w:w="11906" w:h="16838"/>
          <w:pgMar w:top="2098" w:right="1474" w:bottom="1985" w:left="1588" w:header="851" w:footer="1474" w:gutter="0"/>
          <w:pgNumType w:fmt="lowerRoman" w:start="1"/>
          <w:cols w:space="425" w:num="1"/>
          <w:docGrid w:type="linesAndChars" w:linePitch="579" w:charSpace="3247"/>
        </w:sectPr>
      </w:pPr>
    </w:p>
    <w:p>
      <w:pPr>
        <w:overflowPunct w:val="0"/>
        <w:spacing w:line="579" w:lineRule="exact"/>
        <w:jc w:val="center"/>
        <w:outlineLvl w:val="0"/>
        <w:rPr>
          <w:rFonts w:ascii="方正小标宋简体" w:eastAsia="方正小标宋简体"/>
          <w:sz w:val="44"/>
          <w:szCs w:val="44"/>
        </w:rPr>
      </w:pPr>
      <w:bookmarkStart w:id="0" w:name="_Toc24899"/>
      <w:bookmarkStart w:id="1" w:name="_Hlk525313924"/>
      <w:r>
        <w:rPr>
          <w:rFonts w:hint="eastAsia" w:ascii="方正小标宋简体" w:eastAsia="方正小标宋简体"/>
          <w:sz w:val="44"/>
          <w:szCs w:val="44"/>
        </w:rPr>
        <w:t>摘  要</w:t>
      </w:r>
      <w:bookmarkEnd w:id="0"/>
    </w:p>
    <w:p>
      <w:pPr>
        <w:overflowPunct w:val="0"/>
        <w:spacing w:line="579" w:lineRule="exact"/>
        <w:ind w:firstLine="632"/>
        <w:rPr>
          <w:rFonts w:hAnsi="仿宋"/>
          <w:szCs w:val="30"/>
        </w:rPr>
      </w:pPr>
    </w:p>
    <w:p>
      <w:pPr>
        <w:overflowPunct w:val="0"/>
        <w:spacing w:line="590" w:lineRule="exact"/>
        <w:ind w:firstLine="629"/>
        <w:rPr>
          <w:rFonts w:ascii="黑体" w:hAnsi="黑体" w:eastAsia="黑体"/>
          <w:szCs w:val="30"/>
        </w:rPr>
      </w:pPr>
      <w:r>
        <w:rPr>
          <w:rFonts w:hint="eastAsia" w:ascii="黑体" w:hAnsi="黑体" w:eastAsia="黑体"/>
          <w:szCs w:val="30"/>
        </w:rPr>
        <w:t>一、基本情况</w:t>
      </w:r>
    </w:p>
    <w:p>
      <w:pPr>
        <w:pStyle w:val="40"/>
        <w:spacing w:line="590" w:lineRule="exact"/>
        <w:ind w:left="142" w:firstLine="656"/>
        <w:rPr>
          <w:rFonts w:hint="eastAsia" w:ascii="仿宋_GB2312" w:hAnsi="仿宋_GB2312" w:eastAsia="仿宋_GB2312" w:cs="仿宋_GB2312"/>
          <w:spacing w:val="6"/>
          <w:szCs w:val="30"/>
        </w:rPr>
      </w:pPr>
      <w:r>
        <w:rPr>
          <w:rFonts w:hint="eastAsia" w:ascii="仿宋_GB2312" w:hAnsi="仿宋_GB2312" w:eastAsia="仿宋_GB2312" w:cs="仿宋_GB2312"/>
          <w:spacing w:val="6"/>
          <w:szCs w:val="30"/>
        </w:rPr>
        <w:t>为深入推进农业供给侧结构性改革，大力发展乡村产业，依托富民县独特的资源优势，发展特色农业，提高当地农民收入，富民县农业农村局根据《国务院办公厅关于加快转变农业发展方式的意见》（国办发〔2015〕59号）、《中共云南省委、云南省人民政府关于贯彻乡村振兴战略的实施意见》等政策要求，通过发行地方政府专项债券的方式支持富民产投黎乾实业有限公司开展富民县现代农业示范园建设。</w:t>
      </w:r>
    </w:p>
    <w:p>
      <w:pPr>
        <w:pStyle w:val="40"/>
        <w:spacing w:line="590" w:lineRule="exact"/>
        <w:ind w:left="142" w:firstLine="656"/>
        <w:rPr>
          <w:rFonts w:hint="eastAsia" w:ascii="仿宋_GB2312" w:hAnsi="仿宋_GB2312" w:eastAsia="仿宋_GB2312" w:cs="仿宋_GB2312"/>
          <w:spacing w:val="6"/>
          <w:szCs w:val="30"/>
        </w:rPr>
      </w:pPr>
      <w:r>
        <w:rPr>
          <w:rFonts w:hint="eastAsia" w:ascii="仿宋_GB2312" w:hAnsi="仿宋_GB2312" w:eastAsia="仿宋_GB2312" w:cs="仿宋_GB2312"/>
          <w:spacing w:val="6"/>
          <w:szCs w:val="30"/>
        </w:rPr>
        <w:t>项目分为三期实施。项目总投资35,820.81万元，资金来源</w:t>
      </w:r>
      <w:r>
        <w:rPr>
          <w:rFonts w:hint="eastAsia" w:ascii="仿宋_GB2312" w:hAnsi="仿宋_GB2312" w:eastAsia="仿宋_GB2312" w:cs="仿宋_GB2312"/>
          <w:spacing w:val="6"/>
          <w:szCs w:val="30"/>
          <w:lang w:val="en-US" w:eastAsia="zh-CN"/>
        </w:rPr>
        <w:t>为</w:t>
      </w:r>
      <w:r>
        <w:rPr>
          <w:rFonts w:hint="eastAsia" w:ascii="仿宋_GB2312" w:hAnsi="仿宋_GB2312" w:eastAsia="仿宋_GB2312" w:cs="仿宋_GB2312"/>
          <w:spacing w:val="6"/>
          <w:szCs w:val="30"/>
        </w:rPr>
        <w:t>自筹资金17,820.81万元，剩余不足部分拟申请2022年地方政府专项债券18,000万元，其中：2022年发行6,000万元；2023年发行6,000万元；2024年发行6,000万元，建设工期36个月。截至2022年12月31日，应到位专项债券资金6,000万元，实际到位6,000万元，资金到位率100%；2022年累计支付专项债券资金3,349.84万元，资金使用率55.83%，截至2023年2月28日，第一期专项债券资金6,000万元已支付完毕，资金使用率100%。</w:t>
      </w:r>
    </w:p>
    <w:p>
      <w:pPr>
        <w:overflowPunct w:val="0"/>
        <w:spacing w:line="590" w:lineRule="exact"/>
        <w:ind w:firstLine="629"/>
        <w:rPr>
          <w:rFonts w:ascii="黑体" w:hAnsi="黑体" w:eastAsia="黑体"/>
          <w:szCs w:val="30"/>
        </w:rPr>
      </w:pPr>
      <w:r>
        <w:rPr>
          <w:rFonts w:hint="eastAsia" w:ascii="黑体" w:hAnsi="黑体" w:eastAsia="黑体"/>
          <w:szCs w:val="30"/>
        </w:rPr>
        <w:t>二、绩效评价结论</w:t>
      </w:r>
    </w:p>
    <w:p>
      <w:pPr>
        <w:pStyle w:val="40"/>
        <w:spacing w:line="590" w:lineRule="exact"/>
        <w:ind w:left="142" w:firstLine="656"/>
        <w:rPr>
          <w:rFonts w:ascii="仿宋_GB2312" w:hAnsi="仿宋_GB2312" w:eastAsia="仿宋_GB2312" w:cs="仿宋_GB2312"/>
          <w:spacing w:val="6"/>
          <w:szCs w:val="30"/>
        </w:rPr>
      </w:pPr>
      <w:r>
        <w:rPr>
          <w:rFonts w:hint="eastAsia" w:ascii="仿宋_GB2312" w:hAnsi="仿宋_GB2312" w:eastAsia="仿宋_GB2312" w:cs="仿宋_GB2312"/>
          <w:spacing w:val="6"/>
          <w:szCs w:val="30"/>
        </w:rPr>
        <w:t>富民县现代农业示范园建设项目绩效评价得分83.90分，评价等级为“良”。</w:t>
      </w:r>
    </w:p>
    <w:p>
      <w:pPr>
        <w:pStyle w:val="40"/>
        <w:spacing w:line="590" w:lineRule="exact"/>
        <w:ind w:left="142" w:firstLine="656"/>
        <w:rPr>
          <w:rFonts w:ascii="仿宋_GB2312" w:hAnsi="仿宋_GB2312" w:eastAsia="仿宋_GB2312" w:cs="仿宋_GB2312"/>
          <w:spacing w:val="6"/>
          <w:szCs w:val="30"/>
          <w:highlight w:val="none"/>
        </w:rPr>
      </w:pPr>
      <w:r>
        <w:rPr>
          <w:rFonts w:hint="eastAsia" w:ascii="仿宋_GB2312" w:hAnsi="仿宋_GB2312" w:eastAsia="仿宋_GB2312" w:cs="仿宋_GB2312"/>
          <w:spacing w:val="6"/>
          <w:szCs w:val="30"/>
        </w:rPr>
        <w:t>经评价，2022年富民县现代农业示范园建设项目完成土地流转1,670.16亩，对核心区乐在村320亩示范园进行场地平整、田间道路、灌溉排水等建设工程，完成部分机耕道建设、老河道及藕田清淤、老河道回填、土方开挖转运工程量和便桥搭建等工作，为后续两期示范园建设作了积极铺垫。</w:t>
      </w:r>
      <w:r>
        <w:rPr>
          <w:rFonts w:hint="eastAsia" w:ascii="仿宋_GB2312" w:hAnsi="仿宋_GB2312" w:eastAsia="仿宋_GB2312" w:cs="仿宋_GB2312"/>
          <w:spacing w:val="6"/>
          <w:szCs w:val="30"/>
          <w:highlight w:val="none"/>
        </w:rPr>
        <w:t>但项目也存在项目前期规划不足，实施方案论证不充分</w:t>
      </w:r>
      <w:r>
        <w:rPr>
          <w:rFonts w:hint="eastAsia" w:ascii="仿宋_GB2312" w:hAnsi="仿宋_GB2312" w:eastAsia="仿宋_GB2312" w:cs="仿宋_GB2312"/>
          <w:spacing w:val="6"/>
          <w:szCs w:val="30"/>
          <w:highlight w:val="none"/>
          <w:lang w:eastAsia="zh-CN"/>
        </w:rPr>
        <w:t>、施工合同未明确金额，项目成本控制不到位、运营服务方案缺失，制度有待进一步完善、支付进度较为缓慢，资金使用不规范</w:t>
      </w:r>
      <w:r>
        <w:rPr>
          <w:rFonts w:hint="eastAsia" w:ascii="仿宋_GB2312" w:hAnsi="仿宋_GB2312" w:eastAsia="仿宋_GB2312" w:cs="仿宋_GB2312"/>
          <w:spacing w:val="6"/>
          <w:szCs w:val="30"/>
          <w:highlight w:val="none"/>
        </w:rPr>
        <w:t>等问题。</w:t>
      </w:r>
    </w:p>
    <w:p>
      <w:pPr>
        <w:overflowPunct w:val="0"/>
        <w:spacing w:line="590" w:lineRule="exact"/>
        <w:ind w:firstLine="629"/>
        <w:rPr>
          <w:rFonts w:ascii="黑体" w:hAnsi="黑体" w:eastAsia="黑体"/>
          <w:szCs w:val="30"/>
        </w:rPr>
      </w:pPr>
      <w:r>
        <w:rPr>
          <w:rFonts w:hint="eastAsia" w:ascii="黑体" w:hAnsi="黑体" w:eastAsia="黑体"/>
          <w:szCs w:val="30"/>
        </w:rPr>
        <w:t>三、存在的主要问题</w:t>
      </w:r>
    </w:p>
    <w:p>
      <w:pPr>
        <w:spacing w:line="590" w:lineRule="exact"/>
        <w:ind w:firstLine="654" w:firstLineChars="200"/>
        <w:rPr>
          <w:rFonts w:ascii="楷体_GB2312" w:hAnsi="楷体_GB2312" w:eastAsia="楷体_GB2312" w:cs="楷体_GB2312"/>
          <w:spacing w:val="6"/>
          <w:szCs w:val="30"/>
        </w:rPr>
      </w:pPr>
      <w:r>
        <w:rPr>
          <w:rFonts w:hint="eastAsia" w:ascii="楷体_GB2312" w:hAnsi="楷体_GB2312" w:eastAsia="楷体_GB2312" w:cs="楷体_GB2312"/>
          <w:spacing w:val="6"/>
          <w:szCs w:val="30"/>
        </w:rPr>
        <w:t>（一）项目前期规划不足，实施方案论证不充分</w:t>
      </w:r>
    </w:p>
    <w:p>
      <w:pPr>
        <w:spacing w:line="590" w:lineRule="exact"/>
        <w:ind w:firstLine="654" w:firstLineChars="200"/>
        <w:rPr>
          <w:rFonts w:hint="eastAsia" w:ascii="仿宋_GB2312" w:hAnsi="仿宋_GB2312" w:eastAsia="仿宋_GB2312" w:cs="仿宋_GB2312"/>
          <w:spacing w:val="6"/>
          <w:szCs w:val="30"/>
          <w:lang w:eastAsia="zh-CN"/>
        </w:rPr>
      </w:pPr>
      <w:r>
        <w:rPr>
          <w:rFonts w:ascii="仿宋_GB2312" w:hAnsi="仿宋_GB2312" w:eastAsia="仿宋_GB2312" w:cs="仿宋_GB2312"/>
          <w:spacing w:val="6"/>
          <w:szCs w:val="30"/>
        </w:rPr>
        <w:t>该项目前期规划包括智能温控大棚建设</w:t>
      </w:r>
      <w:r>
        <w:rPr>
          <w:rFonts w:hint="eastAsia" w:ascii="仿宋_GB2312" w:hAnsi="仿宋_GB2312" w:eastAsia="仿宋_GB2312" w:cs="仿宋_GB2312"/>
          <w:spacing w:val="6"/>
          <w:szCs w:val="30"/>
        </w:rPr>
        <w:t>，</w:t>
      </w:r>
      <w:r>
        <w:rPr>
          <w:rFonts w:ascii="仿宋_GB2312" w:hAnsi="仿宋_GB2312" w:eastAsia="仿宋_GB2312" w:cs="仿宋_GB2312"/>
          <w:spacing w:val="6"/>
          <w:szCs w:val="30"/>
        </w:rPr>
        <w:t>流转土地</w:t>
      </w:r>
      <w:r>
        <w:rPr>
          <w:rFonts w:hint="eastAsia" w:ascii="仿宋_GB2312" w:hAnsi="仿宋_GB2312" w:eastAsia="仿宋_GB2312" w:cs="仿宋_GB2312"/>
          <w:spacing w:val="6"/>
          <w:szCs w:val="30"/>
        </w:rPr>
        <w:t>在规划时</w:t>
      </w:r>
      <w:r>
        <w:rPr>
          <w:rFonts w:ascii="仿宋_GB2312" w:hAnsi="仿宋_GB2312" w:eastAsia="仿宋_GB2312" w:cs="仿宋_GB2312"/>
          <w:spacing w:val="6"/>
          <w:szCs w:val="30"/>
        </w:rPr>
        <w:t>全部为基本农田</w:t>
      </w:r>
      <w:r>
        <w:rPr>
          <w:rFonts w:hint="eastAsia" w:ascii="仿宋_GB2312" w:hAnsi="仿宋_GB2312" w:eastAsia="仿宋_GB2312" w:cs="仿宋_GB2312"/>
          <w:spacing w:val="6"/>
          <w:szCs w:val="30"/>
        </w:rPr>
        <w:t>。按照《</w:t>
      </w:r>
      <w:r>
        <w:rPr>
          <w:rFonts w:ascii="仿宋_GB2312" w:hAnsi="仿宋_GB2312" w:eastAsia="仿宋_GB2312" w:cs="仿宋_GB2312"/>
          <w:spacing w:val="6"/>
          <w:szCs w:val="30"/>
        </w:rPr>
        <w:t>昆明市人民政府办公室关于印发</w:t>
      </w:r>
      <w:r>
        <w:rPr>
          <w:rFonts w:hint="eastAsia" w:ascii="仿宋_GB2312" w:hAnsi="仿宋_GB2312" w:eastAsia="仿宋_GB2312" w:cs="仿宋_GB2312"/>
          <w:spacing w:val="6"/>
          <w:szCs w:val="30"/>
        </w:rPr>
        <w:t>&lt;</w:t>
      </w:r>
      <w:r>
        <w:rPr>
          <w:rFonts w:ascii="仿宋_GB2312" w:hAnsi="仿宋_GB2312" w:eastAsia="仿宋_GB2312" w:cs="仿宋_GB2312"/>
          <w:spacing w:val="6"/>
          <w:szCs w:val="30"/>
        </w:rPr>
        <w:t>昆明市防止耕地“非粮化”稳定粮食生产实施方案</w:t>
      </w:r>
      <w:r>
        <w:rPr>
          <w:rFonts w:hint="eastAsia" w:ascii="仿宋_GB2312" w:hAnsi="仿宋_GB2312" w:eastAsia="仿宋_GB2312" w:cs="仿宋_GB2312"/>
          <w:spacing w:val="6"/>
          <w:szCs w:val="30"/>
        </w:rPr>
        <w:t>&gt;</w:t>
      </w:r>
      <w:r>
        <w:rPr>
          <w:rFonts w:ascii="仿宋_GB2312" w:hAnsi="仿宋_GB2312" w:eastAsia="仿宋_GB2312" w:cs="仿宋_GB2312"/>
          <w:spacing w:val="6"/>
          <w:szCs w:val="30"/>
        </w:rPr>
        <w:t>的通知</w:t>
      </w:r>
      <w:r>
        <w:rPr>
          <w:rFonts w:hint="eastAsia" w:ascii="仿宋_GB2312" w:hAnsi="仿宋_GB2312" w:eastAsia="仿宋_GB2312" w:cs="仿宋_GB2312"/>
          <w:spacing w:val="6"/>
          <w:szCs w:val="30"/>
        </w:rPr>
        <w:t>》（昆政办</w:t>
      </w:r>
      <w:r>
        <w:rPr>
          <w:rFonts w:hint="eastAsia" w:ascii="仿宋_GB2312" w:hAnsi="仿宋_GB2312" w:eastAsia="仿宋_GB2312" w:cs="仿宋_GB2312"/>
          <w:spacing w:val="6"/>
          <w:kern w:val="30"/>
          <w:sz w:val="30"/>
          <w:szCs w:val="30"/>
          <w:lang w:val="en-US" w:eastAsia="zh-CN" w:bidi="ar-SA"/>
        </w:rPr>
        <w:t>函〔2021〕8号），政策要求基本农田不允许建造大棚等设施。因前期规划未充分考</w:t>
      </w:r>
      <w:r>
        <w:rPr>
          <w:rFonts w:hint="eastAsia" w:ascii="仿宋_GB2312" w:hAnsi="仿宋_GB2312" w:eastAsia="仿宋_GB2312" w:cs="仿宋_GB2312"/>
          <w:spacing w:val="6"/>
          <w:szCs w:val="30"/>
        </w:rPr>
        <w:t>虑政策限制要求，项目建设到二期时，只能</w:t>
      </w:r>
      <w:r>
        <w:rPr>
          <w:rFonts w:ascii="仿宋_GB2312" w:hAnsi="仿宋_GB2312" w:eastAsia="仿宋_GB2312" w:cs="仿宋_GB2312"/>
          <w:spacing w:val="6"/>
          <w:szCs w:val="30"/>
        </w:rPr>
        <w:t>对项目重新进行设计和报批</w:t>
      </w:r>
      <w:r>
        <w:rPr>
          <w:rFonts w:hint="eastAsia" w:ascii="仿宋_GB2312" w:hAnsi="仿宋_GB2312" w:eastAsia="仿宋_GB2312" w:cs="仿宋_GB2312"/>
          <w:spacing w:val="6"/>
          <w:szCs w:val="30"/>
        </w:rPr>
        <w:t>。</w:t>
      </w:r>
      <w:r>
        <w:rPr>
          <w:rFonts w:ascii="仿宋_GB2312" w:hAnsi="仿宋_GB2312" w:eastAsia="仿宋_GB2312" w:cs="仿宋_GB2312"/>
          <w:spacing w:val="6"/>
          <w:szCs w:val="30"/>
        </w:rPr>
        <w:t>项目前期的规划不严谨</w:t>
      </w:r>
      <w:r>
        <w:rPr>
          <w:rFonts w:hint="eastAsia" w:ascii="仿宋_GB2312" w:hAnsi="仿宋_GB2312" w:eastAsia="仿宋_GB2312" w:cs="仿宋_GB2312"/>
          <w:spacing w:val="6"/>
          <w:szCs w:val="30"/>
        </w:rPr>
        <w:t>、论证不充分不仅</w:t>
      </w:r>
      <w:r>
        <w:rPr>
          <w:rFonts w:ascii="仿宋_GB2312" w:hAnsi="仿宋_GB2312" w:eastAsia="仿宋_GB2312" w:cs="仿宋_GB2312"/>
          <w:spacing w:val="6"/>
          <w:szCs w:val="30"/>
        </w:rPr>
        <w:t>影响</w:t>
      </w:r>
      <w:r>
        <w:rPr>
          <w:rFonts w:hint="eastAsia" w:ascii="仿宋_GB2312" w:hAnsi="仿宋_GB2312" w:eastAsia="仿宋_GB2312" w:cs="仿宋_GB2312"/>
          <w:spacing w:val="6"/>
          <w:szCs w:val="30"/>
        </w:rPr>
        <w:t>了</w:t>
      </w:r>
      <w:r>
        <w:rPr>
          <w:rFonts w:ascii="仿宋_GB2312" w:hAnsi="仿宋_GB2312" w:eastAsia="仿宋_GB2312" w:cs="仿宋_GB2312"/>
          <w:spacing w:val="6"/>
          <w:szCs w:val="30"/>
        </w:rPr>
        <w:t>项目整体进度</w:t>
      </w:r>
      <w:r>
        <w:rPr>
          <w:rFonts w:hint="eastAsia" w:ascii="仿宋_GB2312" w:hAnsi="仿宋_GB2312" w:eastAsia="仿宋_GB2312" w:cs="仿宋_GB2312"/>
          <w:spacing w:val="6"/>
          <w:szCs w:val="30"/>
        </w:rPr>
        <w:t>，还</w:t>
      </w:r>
      <w:r>
        <w:rPr>
          <w:rFonts w:ascii="仿宋_GB2312" w:hAnsi="仿宋_GB2312" w:eastAsia="仿宋_GB2312" w:cs="仿宋_GB2312"/>
          <w:spacing w:val="6"/>
          <w:szCs w:val="30"/>
        </w:rPr>
        <w:t>增加</w:t>
      </w:r>
      <w:r>
        <w:rPr>
          <w:rFonts w:hint="eastAsia" w:ascii="仿宋_GB2312" w:hAnsi="仿宋_GB2312" w:eastAsia="仿宋_GB2312" w:cs="仿宋_GB2312"/>
          <w:spacing w:val="6"/>
          <w:szCs w:val="30"/>
        </w:rPr>
        <w:t>了</w:t>
      </w:r>
      <w:r>
        <w:rPr>
          <w:rFonts w:ascii="仿宋_GB2312" w:hAnsi="仿宋_GB2312" w:eastAsia="仿宋_GB2312" w:cs="仿宋_GB2312"/>
          <w:spacing w:val="6"/>
          <w:szCs w:val="30"/>
        </w:rPr>
        <w:t>项目</w:t>
      </w:r>
      <w:r>
        <w:rPr>
          <w:rFonts w:hint="eastAsia" w:ascii="仿宋_GB2312" w:hAnsi="仿宋_GB2312" w:eastAsia="仿宋_GB2312" w:cs="仿宋_GB2312"/>
          <w:spacing w:val="6"/>
          <w:szCs w:val="30"/>
        </w:rPr>
        <w:t>的</w:t>
      </w:r>
      <w:r>
        <w:rPr>
          <w:rFonts w:ascii="仿宋_GB2312" w:hAnsi="仿宋_GB2312" w:eastAsia="仿宋_GB2312" w:cs="仿宋_GB2312"/>
          <w:spacing w:val="6"/>
          <w:szCs w:val="30"/>
        </w:rPr>
        <w:t>建设成本</w:t>
      </w:r>
      <w:r>
        <w:rPr>
          <w:rFonts w:hint="eastAsia" w:ascii="仿宋_GB2312" w:hAnsi="仿宋_GB2312" w:eastAsia="仿宋_GB2312" w:cs="仿宋_GB2312"/>
          <w:spacing w:val="6"/>
          <w:szCs w:val="30"/>
          <w:lang w:val="en-US" w:eastAsia="zh-CN"/>
        </w:rPr>
        <w:t>和预期收益实现难度</w:t>
      </w:r>
      <w:r>
        <w:rPr>
          <w:rFonts w:hint="eastAsia" w:ascii="仿宋_GB2312" w:hAnsi="仿宋_GB2312" w:eastAsia="仿宋_GB2312" w:cs="仿宋_GB2312"/>
          <w:spacing w:val="6"/>
          <w:szCs w:val="30"/>
          <w:lang w:eastAsia="zh-CN"/>
        </w:rPr>
        <w:t>。</w:t>
      </w:r>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lang w:eastAsia="zh-CN"/>
        </w:rPr>
        <w:t>根据问卷B第6题的结果分析可知，社会群众多为价格敏感型消费者，在基本条件大致相同时，面对不同租金标准，大部分问卷对象会选择更低租金标准的选项。结合耕地红线政策影响，在基本农田不允许建造大棚等设施的情况下，商户的土地租赁意愿会大幅下降，这将导致商业预期收益实现难度加大</w:t>
      </w:r>
      <w:r>
        <w:rPr>
          <w:rFonts w:hint="default" w:ascii="仿宋_GB2312" w:hAnsi="仿宋_GB2312" w:eastAsia="仿宋_GB2312" w:cs="仿宋_GB2312"/>
          <w:spacing w:val="6"/>
          <w:sz w:val="30"/>
          <w:szCs w:val="30"/>
          <w:lang w:val="en-US" w:eastAsia="zh-CN"/>
        </w:rPr>
        <w:t>，项目偿债存在一定压力</w:t>
      </w:r>
      <w:r>
        <w:rPr>
          <w:rFonts w:hint="eastAsia" w:ascii="仿宋_GB2312" w:hAnsi="仿宋_GB2312" w:eastAsia="仿宋_GB2312" w:cs="仿宋_GB2312"/>
          <w:spacing w:val="6"/>
          <w:sz w:val="30"/>
          <w:szCs w:val="30"/>
          <w:lang w:val="en-US" w:eastAsia="zh-CN"/>
        </w:rPr>
        <w:t>。</w:t>
      </w:r>
    </w:p>
    <w:p>
      <w:pPr>
        <w:spacing w:line="590" w:lineRule="exact"/>
        <w:ind w:firstLine="654" w:firstLineChars="200"/>
        <w:rPr>
          <w:rFonts w:ascii="楷体_GB2312" w:hAnsi="楷体_GB2312" w:eastAsia="楷体_GB2312" w:cs="楷体_GB2312"/>
          <w:spacing w:val="6"/>
          <w:szCs w:val="30"/>
        </w:rPr>
      </w:pPr>
      <w:r>
        <w:rPr>
          <w:rFonts w:hint="eastAsia" w:ascii="楷体_GB2312" w:hAnsi="楷体_GB2312" w:eastAsia="楷体_GB2312" w:cs="楷体_GB2312"/>
          <w:spacing w:val="6"/>
          <w:szCs w:val="30"/>
        </w:rPr>
        <w:t>（二）施工合同未明确金额，项目成本控制不到位</w:t>
      </w:r>
    </w:p>
    <w:p>
      <w:pPr>
        <w:spacing w:line="590" w:lineRule="exact"/>
        <w:ind w:firstLine="654" w:firstLineChars="200"/>
        <w:rPr>
          <w:rFonts w:hint="eastAsia" w:ascii="仿宋_GB2312" w:hAnsi="仿宋_GB2312" w:eastAsia="仿宋_GB2312" w:cs="仿宋_GB2312"/>
          <w:spacing w:val="6"/>
          <w:szCs w:val="30"/>
        </w:rPr>
      </w:pPr>
      <w:r>
        <w:rPr>
          <w:rFonts w:ascii="仿宋_GB2312" w:hAnsi="仿宋_GB2312" w:eastAsia="仿宋_GB2312" w:cs="仿宋_GB2312"/>
          <w:spacing w:val="6"/>
          <w:szCs w:val="30"/>
        </w:rPr>
        <w:t>富民县现代农业示范园建设项目</w:t>
      </w:r>
      <w:r>
        <w:rPr>
          <w:rFonts w:hint="eastAsia" w:ascii="仿宋_GB2312" w:hAnsi="仿宋_GB2312" w:eastAsia="仿宋_GB2312" w:cs="仿宋_GB2312"/>
          <w:spacing w:val="6"/>
          <w:szCs w:val="30"/>
        </w:rPr>
        <w:t>（一期）通过公开招标的方式确定建设单位为富民兴达建筑有限公司，</w:t>
      </w:r>
      <w:r>
        <w:rPr>
          <w:rFonts w:hint="eastAsia" w:ascii="仿宋_GB2312" w:hAnsi="仿宋_GB2312" w:eastAsia="仿宋_GB2312" w:cs="仿宋_GB2312"/>
          <w:spacing w:val="6"/>
          <w:szCs w:val="30"/>
          <w:lang w:val="en-US" w:eastAsia="zh-CN"/>
        </w:rPr>
        <w:t>按照</w:t>
      </w:r>
      <w:r>
        <w:rPr>
          <w:rFonts w:hint="eastAsia" w:ascii="仿宋_GB2312" w:hAnsi="仿宋_GB2312" w:eastAsia="仿宋_GB2312" w:cs="仿宋_GB2312"/>
          <w:spacing w:val="6"/>
          <w:szCs w:val="30"/>
        </w:rPr>
        <w:t>《</w:t>
      </w:r>
      <w:r>
        <w:rPr>
          <w:rFonts w:hint="eastAsia" w:ascii="仿宋_GB2312" w:hAnsi="仿宋_GB2312" w:eastAsia="仿宋_GB2312" w:cs="仿宋_GB2312"/>
          <w:spacing w:val="6"/>
          <w:szCs w:val="30"/>
          <w:lang w:val="en-US" w:eastAsia="zh-CN"/>
        </w:rPr>
        <w:t>中华人民共和国</w:t>
      </w:r>
      <w:r>
        <w:rPr>
          <w:rFonts w:hint="eastAsia" w:ascii="仿宋_GB2312" w:hAnsi="仿宋_GB2312" w:eastAsia="仿宋_GB2312" w:cs="仿宋_GB2312"/>
          <w:spacing w:val="6"/>
          <w:szCs w:val="30"/>
        </w:rPr>
        <w:t xml:space="preserve">招标投标法实施条例》第五十七条 </w:t>
      </w:r>
      <w:r>
        <w:rPr>
          <w:rFonts w:hint="eastAsia" w:ascii="仿宋_GB2312" w:hAnsi="仿宋_GB2312" w:eastAsia="仿宋_GB2312" w:cs="仿宋_GB2312"/>
          <w:spacing w:val="6"/>
          <w:szCs w:val="30"/>
          <w:lang w:eastAsia="zh-CN"/>
        </w:rPr>
        <w:t>“</w:t>
      </w:r>
      <w:r>
        <w:rPr>
          <w:rFonts w:hint="eastAsia" w:ascii="仿宋_GB2312" w:hAnsi="仿宋_GB2312" w:eastAsia="仿宋_GB2312" w:cs="仿宋_GB2312"/>
          <w:spacing w:val="6"/>
          <w:szCs w:val="30"/>
        </w:rPr>
        <w:t>招标人和中标人应当依照招标投标法和本条例的规定签订书面合同，合同的标的、价款、质量、履行期限等主要条款应当与招标文件和中标人的投标文件的内容一致</w:t>
      </w:r>
      <w:r>
        <w:rPr>
          <w:rFonts w:hint="eastAsia" w:ascii="仿宋_GB2312" w:hAnsi="仿宋_GB2312" w:eastAsia="仿宋_GB2312" w:cs="仿宋_GB2312"/>
          <w:spacing w:val="6"/>
          <w:szCs w:val="30"/>
          <w:lang w:eastAsia="zh-CN"/>
        </w:rPr>
        <w:t>……</w:t>
      </w:r>
      <w:r>
        <w:rPr>
          <w:rFonts w:hint="default" w:ascii="仿宋_GB2312" w:hAnsi="仿宋_GB2312" w:eastAsia="仿宋_GB2312" w:cs="仿宋_GB2312"/>
          <w:spacing w:val="6"/>
          <w:szCs w:val="30"/>
          <w:lang w:val="en-US" w:eastAsia="zh-CN"/>
        </w:rPr>
        <w:t>”</w:t>
      </w:r>
      <w:r>
        <w:rPr>
          <w:rFonts w:hint="eastAsia" w:ascii="仿宋_GB2312" w:hAnsi="仿宋_GB2312" w:eastAsia="仿宋_GB2312" w:cs="仿宋_GB2312"/>
          <w:spacing w:val="6"/>
          <w:szCs w:val="30"/>
          <w:lang w:val="en-US" w:eastAsia="zh-CN"/>
        </w:rPr>
        <w:t>，合同签订应明确合同</w:t>
      </w:r>
      <w:r>
        <w:rPr>
          <w:rFonts w:hint="eastAsia" w:ascii="仿宋_GB2312" w:hAnsi="仿宋_GB2312" w:eastAsia="仿宋_GB2312" w:cs="仿宋_GB2312"/>
          <w:spacing w:val="6"/>
          <w:szCs w:val="30"/>
        </w:rPr>
        <w:t>标的、价款</w:t>
      </w:r>
      <w:r>
        <w:rPr>
          <w:rFonts w:hint="eastAsia" w:ascii="仿宋_GB2312" w:hAnsi="仿宋_GB2312" w:eastAsia="仿宋_GB2312" w:cs="仿宋_GB2312"/>
          <w:spacing w:val="6"/>
          <w:szCs w:val="30"/>
          <w:lang w:val="en-US" w:eastAsia="zh-CN"/>
        </w:rPr>
        <w:t>等主要条款，</w:t>
      </w:r>
      <w:r>
        <w:rPr>
          <w:rFonts w:hint="eastAsia" w:ascii="仿宋_GB2312" w:hAnsi="仿宋_GB2312" w:eastAsia="仿宋_GB2312" w:cs="仿宋_GB2312"/>
          <w:spacing w:val="6"/>
          <w:szCs w:val="30"/>
        </w:rPr>
        <w:t>但</w:t>
      </w:r>
      <w:r>
        <w:rPr>
          <w:rFonts w:hint="eastAsia" w:ascii="仿宋_GB2312" w:hAnsi="仿宋_GB2312" w:eastAsia="仿宋_GB2312" w:cs="仿宋_GB2312"/>
          <w:spacing w:val="6"/>
          <w:szCs w:val="30"/>
          <w:lang w:val="en-US" w:eastAsia="zh-CN"/>
        </w:rPr>
        <w:t>该项目</w:t>
      </w:r>
      <w:r>
        <w:rPr>
          <w:rFonts w:hint="eastAsia" w:ascii="仿宋_GB2312" w:hAnsi="仿宋_GB2312" w:eastAsia="仿宋_GB2312" w:cs="仿宋_GB2312"/>
          <w:spacing w:val="6"/>
          <w:szCs w:val="30"/>
        </w:rPr>
        <w:t>中标通知书和施工合同均未明确项目建设金额。</w:t>
      </w:r>
    </w:p>
    <w:p>
      <w:pPr>
        <w:spacing w:line="590" w:lineRule="exact"/>
        <w:ind w:firstLine="654" w:firstLineChars="200"/>
        <w:rPr>
          <w:rFonts w:hint="eastAsia" w:ascii="楷体_GB2312" w:hAnsi="楷体_GB2312" w:eastAsia="楷体_GB2312" w:cs="楷体_GB2312"/>
          <w:spacing w:val="6"/>
          <w:szCs w:val="30"/>
        </w:rPr>
      </w:pPr>
      <w:r>
        <w:rPr>
          <w:rFonts w:hint="eastAsia" w:ascii="仿宋_GB2312" w:hAnsi="仿宋_GB2312" w:eastAsia="仿宋_GB2312" w:cs="仿宋_GB2312"/>
          <w:spacing w:val="6"/>
          <w:szCs w:val="30"/>
        </w:rPr>
        <w:t>按委托方与中标方的约定，因项目施工的具体工程量不确定，须施工单位进场测量后确定最终工程量及建设金额</w:t>
      </w:r>
      <w:r>
        <w:rPr>
          <w:rFonts w:hint="eastAsia" w:ascii="仿宋_GB2312" w:hAnsi="仿宋_GB2312" w:eastAsia="仿宋_GB2312" w:cs="仿宋_GB2312"/>
          <w:spacing w:val="6"/>
          <w:szCs w:val="30"/>
          <w:lang w:eastAsia="zh-CN"/>
        </w:rPr>
        <w:t>，</w:t>
      </w:r>
      <w:r>
        <w:rPr>
          <w:rFonts w:hint="eastAsia" w:ascii="仿宋_GB2312" w:hAnsi="仿宋_GB2312" w:eastAsia="仿宋_GB2312" w:cs="仿宋_GB2312"/>
          <w:spacing w:val="6"/>
          <w:szCs w:val="30"/>
        </w:rPr>
        <w:t>但待施工单位进场施工后也并未就合同金额补充相关协议</w:t>
      </w:r>
      <w:r>
        <w:rPr>
          <w:rFonts w:hint="eastAsia" w:ascii="仿宋_GB2312" w:hAnsi="仿宋_GB2312" w:eastAsia="仿宋_GB2312" w:cs="仿宋_GB2312"/>
          <w:spacing w:val="6"/>
          <w:szCs w:val="30"/>
          <w:lang w:eastAsia="zh-CN"/>
        </w:rPr>
        <w:t>。</w:t>
      </w:r>
      <w:r>
        <w:rPr>
          <w:rFonts w:hint="eastAsia" w:ascii="仿宋_GB2312" w:hAnsi="仿宋_GB2312" w:eastAsia="仿宋_GB2312" w:cs="仿宋_GB2312"/>
          <w:spacing w:val="6"/>
          <w:szCs w:val="30"/>
        </w:rPr>
        <w:t>项目建设成本的不确定会导致项目监理、造价咨询服务等相关服务定价无据可循，建设预期成本难以衡量，不利于项目建设成本的管控。</w:t>
      </w:r>
    </w:p>
    <w:p>
      <w:pPr>
        <w:spacing w:line="590" w:lineRule="exact"/>
        <w:ind w:firstLine="654" w:firstLineChars="200"/>
        <w:rPr>
          <w:rFonts w:ascii="楷体_GB2312" w:hAnsi="楷体_GB2312" w:eastAsia="楷体_GB2312" w:cs="楷体_GB2312"/>
          <w:spacing w:val="6"/>
          <w:szCs w:val="30"/>
        </w:rPr>
      </w:pPr>
      <w:r>
        <w:rPr>
          <w:rFonts w:hint="eastAsia" w:ascii="楷体_GB2312" w:hAnsi="楷体_GB2312" w:eastAsia="楷体_GB2312" w:cs="楷体_GB2312"/>
          <w:spacing w:val="6"/>
          <w:szCs w:val="30"/>
        </w:rPr>
        <w:t>（三）运营服务方案缺失，</w:t>
      </w:r>
      <w:r>
        <w:rPr>
          <w:rFonts w:hint="eastAsia" w:ascii="楷体_GB2312" w:hAnsi="楷体_GB2312" w:eastAsia="楷体_GB2312" w:cs="楷体_GB2312"/>
          <w:spacing w:val="6"/>
          <w:szCs w:val="30"/>
          <w:lang w:val="en-US" w:eastAsia="zh-CN"/>
        </w:rPr>
        <w:t>制度有待进一步完善</w:t>
      </w:r>
    </w:p>
    <w:p>
      <w:pPr>
        <w:spacing w:line="590" w:lineRule="exact"/>
        <w:ind w:firstLine="654" w:firstLineChars="200"/>
        <w:rPr>
          <w:rFonts w:hint="default" w:ascii="仿宋_GB2312" w:hAnsi="仿宋_GB2312" w:eastAsia="楷体_GB2312" w:cs="仿宋_GB2312"/>
          <w:spacing w:val="6"/>
          <w:szCs w:val="30"/>
          <w:lang w:val="en-US" w:eastAsia="zh-CN"/>
        </w:rPr>
      </w:pPr>
      <w:r>
        <w:rPr>
          <w:rFonts w:hint="eastAsia" w:ascii="仿宋_GB2312" w:hAnsi="仿宋_GB2312" w:eastAsia="仿宋_GB2312" w:cs="仿宋_GB2312"/>
          <w:spacing w:val="6"/>
          <w:szCs w:val="30"/>
        </w:rPr>
        <w:t>根据《富民县现代农业示范园建设项目专项债券财务评价报告》，该项目将在2025年正式运营并产生运营收益。截至2023年7月31日，该项目一期建设内容已基本完成，尚未竣工验收，部分平整完成的土地已种植农作物</w:t>
      </w:r>
      <w:r>
        <w:rPr>
          <w:rFonts w:hint="eastAsia" w:ascii="仿宋_GB2312" w:hAnsi="仿宋_GB2312" w:eastAsia="仿宋_GB2312" w:cs="仿宋_GB2312"/>
          <w:spacing w:val="6"/>
          <w:szCs w:val="30"/>
          <w:lang w:eastAsia="zh-CN"/>
        </w:rPr>
        <w:t>，</w:t>
      </w:r>
      <w:r>
        <w:rPr>
          <w:rFonts w:hint="eastAsia" w:ascii="仿宋_GB2312" w:hAnsi="仿宋_GB2312" w:eastAsia="仿宋_GB2312" w:cs="仿宋_GB2312"/>
          <w:spacing w:val="6"/>
          <w:szCs w:val="30"/>
        </w:rPr>
        <w:t>但该项目暂未编制运营服务方案，未对项目运营模式、服务内容、合作对象等事项进行提前规划。运营服务方案</w:t>
      </w:r>
      <w:r>
        <w:rPr>
          <w:rFonts w:hint="eastAsia" w:ascii="仿宋_GB2312" w:hAnsi="仿宋_GB2312" w:eastAsia="仿宋_GB2312" w:cs="仿宋_GB2312"/>
          <w:spacing w:val="6"/>
          <w:szCs w:val="30"/>
          <w:lang w:val="en-US" w:eastAsia="zh-CN"/>
        </w:rPr>
        <w:t>的缺失会导致项目运作模式及收益来源不确定，影响后续项目有序开展。</w:t>
      </w:r>
    </w:p>
    <w:p>
      <w:pPr>
        <w:spacing w:line="590" w:lineRule="exact"/>
        <w:ind w:firstLine="654" w:firstLineChars="200"/>
        <w:rPr>
          <w:rFonts w:ascii="楷体_GB2312" w:hAnsi="楷体_GB2312" w:eastAsia="楷体_GB2312" w:cs="楷体_GB2312"/>
          <w:spacing w:val="6"/>
          <w:szCs w:val="30"/>
        </w:rPr>
      </w:pPr>
      <w:r>
        <w:rPr>
          <w:rFonts w:hint="eastAsia" w:ascii="楷体_GB2312" w:hAnsi="楷体_GB2312" w:eastAsia="楷体_GB2312" w:cs="楷体_GB2312"/>
          <w:spacing w:val="6"/>
          <w:szCs w:val="30"/>
        </w:rPr>
        <w:t>（四）支付进度较为缓慢</w:t>
      </w:r>
      <w:r>
        <w:rPr>
          <w:rFonts w:hint="eastAsia" w:ascii="楷体_GB2312" w:hAnsi="楷体_GB2312" w:eastAsia="楷体_GB2312" w:cs="楷体_GB2312"/>
          <w:spacing w:val="6"/>
          <w:szCs w:val="30"/>
          <w:lang w:eastAsia="zh-CN"/>
        </w:rPr>
        <w:t>，</w:t>
      </w:r>
      <w:r>
        <w:rPr>
          <w:rFonts w:hint="eastAsia" w:ascii="楷体_GB2312" w:hAnsi="楷体_GB2312" w:eastAsia="楷体_GB2312" w:cs="楷体_GB2312"/>
          <w:spacing w:val="6"/>
          <w:szCs w:val="30"/>
        </w:rPr>
        <w:t>资金使用不规范</w:t>
      </w:r>
    </w:p>
    <w:p>
      <w:pPr>
        <w:spacing w:line="590" w:lineRule="exact"/>
        <w:ind w:firstLine="654" w:firstLineChars="200"/>
        <w:rPr>
          <w:rFonts w:hint="eastAsia" w:ascii="仿宋_GB2312" w:hAnsi="仿宋_GB2312" w:eastAsia="仿宋_GB2312" w:cs="仿宋_GB2312"/>
          <w:spacing w:val="6"/>
          <w:szCs w:val="30"/>
        </w:rPr>
      </w:pPr>
      <w:r>
        <w:rPr>
          <w:rFonts w:hint="eastAsia" w:ascii="仿宋_GB2312" w:hAnsi="仿宋_GB2312" w:eastAsia="仿宋_GB2312" w:cs="仿宋_GB2312"/>
          <w:spacing w:val="6"/>
          <w:szCs w:val="30"/>
        </w:rPr>
        <w:t>一是资金拨付和支出进度与项目建设进度不匹配。项目相关的可研编制费、设计费、监理费、造价咨询费等费用集中于2023年1月支付，未按合同约定的方式付款。如黎乾实业公司与云南科帕工程技术咨询有限公司签订的《工程咨询合同》约定“项目可行性研究报告编制工作完成提交发包方后3个工作日，发包方向咨询方支付可行性研究报告编制费用的70%……可行性研究报告通过专家评审后并通过相关主管部门审批后3个工作日内，发包方向咨询方支付可行性研究报告编制费用的30%</w:t>
      </w:r>
      <w:r>
        <w:rPr>
          <w:rFonts w:hint="eastAsia" w:ascii="仿宋_GB2312" w:hAnsi="仿宋_GB2312" w:eastAsia="仿宋_GB2312" w:cs="仿宋_GB2312"/>
          <w:spacing w:val="6"/>
          <w:szCs w:val="30"/>
          <w:lang w:eastAsia="zh-CN"/>
        </w:rPr>
        <w:t>……</w:t>
      </w:r>
      <w:r>
        <w:rPr>
          <w:rFonts w:hint="eastAsia" w:ascii="仿宋_GB2312" w:hAnsi="仿宋_GB2312" w:eastAsia="仿宋_GB2312" w:cs="仿宋_GB2312"/>
          <w:spacing w:val="6"/>
          <w:szCs w:val="30"/>
        </w:rPr>
        <w:t>”，合同总价为32.67万元，均于2023年1月31日完成支付。</w:t>
      </w:r>
    </w:p>
    <w:p>
      <w:pPr>
        <w:spacing w:line="590" w:lineRule="exact"/>
        <w:ind w:firstLine="654" w:firstLineChars="200"/>
        <w:rPr>
          <w:rFonts w:hint="eastAsia" w:ascii="仿宋_GB2312" w:hAnsi="仿宋_GB2312" w:eastAsia="仿宋_GB2312" w:cs="仿宋_GB2312"/>
          <w:spacing w:val="6"/>
          <w:szCs w:val="30"/>
        </w:rPr>
      </w:pPr>
      <w:r>
        <w:rPr>
          <w:rFonts w:hint="eastAsia" w:ascii="仿宋_GB2312" w:hAnsi="仿宋_GB2312" w:eastAsia="仿宋_GB2312" w:cs="仿宋_GB2312"/>
          <w:spacing w:val="6"/>
          <w:szCs w:val="30"/>
        </w:rPr>
        <w:t>二是项目存在“以拨代支”的情形。为提高项目资金的拨付率，项目实施单位黎乾实业公司采用“以拨代支”的方式，于2023年1月31日预付富民产投黎宏商贸有限公司材料款1,400万元。评价</w:t>
      </w:r>
      <w:r>
        <w:rPr>
          <w:rFonts w:hint="eastAsia" w:ascii="仿宋_GB2312" w:hAnsi="仿宋_GB2312" w:eastAsia="仿宋_GB2312" w:cs="仿宋_GB2312"/>
          <w:spacing w:val="6"/>
          <w:szCs w:val="30"/>
          <w:lang w:val="en-US" w:eastAsia="zh-CN"/>
        </w:rPr>
        <w:t>发现</w:t>
      </w:r>
      <w:r>
        <w:rPr>
          <w:rFonts w:hint="eastAsia" w:ascii="仿宋_GB2312" w:hAnsi="仿宋_GB2312" w:eastAsia="仿宋_GB2312" w:cs="仿宋_GB2312"/>
          <w:spacing w:val="6"/>
          <w:szCs w:val="30"/>
        </w:rPr>
        <w:t>，两家公司属于云南富民产业发展投资集团有限公司控股下的子公司，具有关联关系。根据《建材购销协议》，项目二期材料供应由富民产投黎宏商贸有限公司负责，但项目二期尚在进行施工方招标。在未确定项目施工单位、未签订正式</w:t>
      </w:r>
      <w:r>
        <w:rPr>
          <w:rFonts w:hint="eastAsia" w:ascii="仿宋_GB2312" w:hAnsi="仿宋_GB2312" w:eastAsia="仿宋_GB2312" w:cs="仿宋_GB2312"/>
          <w:spacing w:val="6"/>
          <w:szCs w:val="30"/>
          <w:lang w:val="en-US" w:eastAsia="zh-CN"/>
        </w:rPr>
        <w:t>书面</w:t>
      </w:r>
      <w:r>
        <w:rPr>
          <w:rFonts w:hint="eastAsia" w:ascii="仿宋_GB2312" w:hAnsi="仿宋_GB2312" w:eastAsia="仿宋_GB2312" w:cs="仿宋_GB2312"/>
          <w:spacing w:val="6"/>
          <w:szCs w:val="30"/>
        </w:rPr>
        <w:t>合同</w:t>
      </w:r>
      <w:r>
        <w:rPr>
          <w:rFonts w:hint="eastAsia" w:ascii="仿宋_GB2312" w:hAnsi="仿宋_GB2312" w:eastAsia="仿宋_GB2312" w:cs="仿宋_GB2312"/>
          <w:spacing w:val="6"/>
          <w:szCs w:val="30"/>
          <w:lang w:val="en-US" w:eastAsia="zh-CN"/>
        </w:rPr>
        <w:t>前</w:t>
      </w:r>
      <w:r>
        <w:rPr>
          <w:rFonts w:hint="eastAsia" w:ascii="仿宋_GB2312" w:hAnsi="仿宋_GB2312" w:eastAsia="仿宋_GB2312" w:cs="仿宋_GB2312"/>
          <w:spacing w:val="6"/>
          <w:szCs w:val="30"/>
        </w:rPr>
        <w:t>，单位</w:t>
      </w:r>
      <w:r>
        <w:rPr>
          <w:rFonts w:hint="eastAsia" w:ascii="仿宋_GB2312" w:hAnsi="仿宋_GB2312" w:eastAsia="仿宋_GB2312" w:cs="仿宋_GB2312"/>
          <w:spacing w:val="6"/>
          <w:szCs w:val="30"/>
          <w:lang w:val="en-US" w:eastAsia="zh-CN"/>
        </w:rPr>
        <w:t>就</w:t>
      </w:r>
      <w:r>
        <w:rPr>
          <w:rFonts w:hint="eastAsia" w:ascii="仿宋_GB2312" w:hAnsi="仿宋_GB2312" w:eastAsia="仿宋_GB2312" w:cs="仿宋_GB2312"/>
          <w:spacing w:val="6"/>
          <w:szCs w:val="30"/>
        </w:rPr>
        <w:t>先预付1,400万元的专项债券资金不符</w:t>
      </w:r>
      <w:r>
        <w:rPr>
          <w:rFonts w:hint="eastAsia" w:ascii="仿宋_GB2312" w:hAnsi="仿宋_GB2312" w:eastAsia="仿宋_GB2312" w:cs="仿宋_GB2312"/>
          <w:spacing w:val="6"/>
          <w:szCs w:val="30"/>
          <w:lang w:val="en-US" w:eastAsia="zh-CN"/>
        </w:rPr>
        <w:t>合相关</w:t>
      </w:r>
      <w:r>
        <w:rPr>
          <w:rFonts w:hint="eastAsia" w:ascii="仿宋_GB2312" w:hAnsi="仿宋_GB2312" w:eastAsia="仿宋_GB2312" w:cs="仿宋_GB2312"/>
          <w:spacing w:val="6"/>
          <w:szCs w:val="30"/>
        </w:rPr>
        <w:t>法规制度要求。</w:t>
      </w:r>
    </w:p>
    <w:p>
      <w:pPr>
        <w:overflowPunct w:val="0"/>
        <w:spacing w:line="590" w:lineRule="exact"/>
        <w:ind w:firstLine="629"/>
        <w:rPr>
          <w:rFonts w:ascii="黑体" w:hAnsi="黑体" w:eastAsia="黑体"/>
          <w:szCs w:val="30"/>
        </w:rPr>
      </w:pPr>
      <w:r>
        <w:rPr>
          <w:rFonts w:hint="eastAsia" w:ascii="黑体" w:hAnsi="黑体" w:eastAsia="黑体"/>
          <w:szCs w:val="30"/>
        </w:rPr>
        <w:t>四、建议</w:t>
      </w:r>
    </w:p>
    <w:bookmarkEnd w:id="1"/>
    <w:p>
      <w:pPr>
        <w:spacing w:line="590" w:lineRule="exact"/>
        <w:ind w:firstLine="654" w:firstLineChars="200"/>
        <w:rPr>
          <w:rFonts w:ascii="楷体_GB2312" w:hAnsi="楷体_GB2312" w:eastAsia="楷体_GB2312" w:cs="楷体_GB2312"/>
          <w:spacing w:val="6"/>
          <w:szCs w:val="30"/>
        </w:rPr>
      </w:pPr>
      <w:r>
        <w:rPr>
          <w:rFonts w:hint="eastAsia" w:ascii="楷体_GB2312" w:hAnsi="楷体_GB2312" w:eastAsia="楷体_GB2312" w:cs="楷体_GB2312"/>
          <w:spacing w:val="6"/>
          <w:szCs w:val="30"/>
        </w:rPr>
        <w:t>（一）加强项目前期统筹规划，确保实施方案合理可行</w:t>
      </w:r>
    </w:p>
    <w:p>
      <w:pPr>
        <w:spacing w:line="590" w:lineRule="exact"/>
        <w:ind w:firstLine="654" w:firstLineChars="200"/>
        <w:rPr>
          <w:rFonts w:hint="eastAsia" w:ascii="楷体_GB2312" w:hAnsi="楷体_GB2312" w:eastAsia="楷体_GB2312" w:cs="楷体_GB2312"/>
          <w:spacing w:val="6"/>
          <w:szCs w:val="30"/>
        </w:rPr>
      </w:pPr>
      <w:r>
        <w:rPr>
          <w:rFonts w:hint="eastAsia" w:ascii="仿宋_GB2312" w:hAnsi="仿宋_GB2312" w:eastAsia="仿宋_GB2312" w:cs="仿宋_GB2312"/>
          <w:spacing w:val="6"/>
          <w:szCs w:val="30"/>
          <w:lang w:eastAsia="zh-Hans"/>
        </w:rPr>
        <w:t>建立科学管理程序，深入项目前期考察，加强项目评审与监管工作，认真做好决策前的准备工作，全面保证项目实施方案的合理性与可行性</w:t>
      </w:r>
      <w:r>
        <w:rPr>
          <w:rFonts w:hint="eastAsia" w:ascii="仿宋_GB2312" w:hAnsi="仿宋_GB2312" w:eastAsia="仿宋_GB2312" w:cs="仿宋_GB2312"/>
          <w:spacing w:val="6"/>
          <w:szCs w:val="30"/>
        </w:rPr>
        <w:t>，符合相关政策要求</w:t>
      </w:r>
      <w:r>
        <w:rPr>
          <w:rFonts w:hint="eastAsia" w:ascii="仿宋_GB2312" w:hAnsi="仿宋_GB2312" w:eastAsia="仿宋_GB2312" w:cs="仿宋_GB2312"/>
          <w:spacing w:val="6"/>
          <w:szCs w:val="30"/>
          <w:lang w:eastAsia="zh-Hans"/>
        </w:rPr>
        <w:t>。</w:t>
      </w:r>
      <w:r>
        <w:rPr>
          <w:rFonts w:hint="eastAsia" w:ascii="仿宋_GB2312" w:hAnsi="仿宋_GB2312" w:eastAsia="仿宋_GB2312" w:cs="仿宋_GB2312"/>
          <w:spacing w:val="6"/>
          <w:kern w:val="0"/>
          <w:szCs w:val="30"/>
        </w:rPr>
        <w:t>根据预算安排开支，</w:t>
      </w:r>
      <w:r>
        <w:rPr>
          <w:rFonts w:hint="eastAsia" w:ascii="仿宋_GB2312" w:hAnsi="仿宋_GB2312" w:eastAsia="仿宋_GB2312" w:cs="仿宋_GB2312"/>
          <w:spacing w:val="6"/>
          <w:kern w:val="0"/>
          <w:szCs w:val="30"/>
          <w:lang w:val="zh-CN"/>
        </w:rPr>
        <w:t>强化预算支出执行责任，监督预算执行进度，</w:t>
      </w:r>
      <w:r>
        <w:rPr>
          <w:rFonts w:hint="eastAsia" w:ascii="仿宋_GB2312" w:hAnsi="仿宋_GB2312" w:eastAsia="仿宋_GB2312" w:cs="仿宋_GB2312"/>
          <w:spacing w:val="6"/>
          <w:kern w:val="0"/>
          <w:szCs w:val="30"/>
        </w:rPr>
        <w:t>做好项目实施的前期准备，制定详细的实施方案和措施，保证项目按计划进行。</w:t>
      </w:r>
    </w:p>
    <w:p>
      <w:pPr>
        <w:spacing w:line="590" w:lineRule="exact"/>
        <w:ind w:firstLine="654" w:firstLineChars="200"/>
        <w:rPr>
          <w:rFonts w:ascii="楷体_GB2312" w:hAnsi="楷体_GB2312" w:eastAsia="楷体_GB2312" w:cs="楷体_GB2312"/>
          <w:spacing w:val="6"/>
          <w:szCs w:val="30"/>
        </w:rPr>
      </w:pPr>
      <w:r>
        <w:rPr>
          <w:rFonts w:hint="eastAsia" w:ascii="楷体_GB2312" w:hAnsi="楷体_GB2312" w:eastAsia="楷体_GB2312" w:cs="楷体_GB2312"/>
          <w:spacing w:val="6"/>
          <w:szCs w:val="30"/>
        </w:rPr>
        <w:t>（二）签订合同补充协议，明确项目建设金额</w:t>
      </w:r>
    </w:p>
    <w:p>
      <w:pPr>
        <w:spacing w:line="590" w:lineRule="exact"/>
        <w:ind w:firstLine="654" w:firstLineChars="200"/>
      </w:pPr>
      <w:r>
        <w:rPr>
          <w:rFonts w:hint="eastAsia" w:ascii="仿宋_GB2312" w:hAnsi="仿宋_GB2312" w:eastAsia="仿宋_GB2312" w:cs="仿宋_GB2312"/>
          <w:spacing w:val="6"/>
          <w:szCs w:val="30"/>
        </w:rPr>
        <w:t>实施单位应加强项目管理，提供项目成本管控能力，应</w:t>
      </w:r>
      <w:r>
        <w:rPr>
          <w:rFonts w:hint="eastAsia" w:ascii="仿宋_GB2312" w:hAnsi="仿宋_GB2312" w:eastAsia="仿宋_GB2312" w:cs="仿宋_GB2312"/>
          <w:spacing w:val="6"/>
          <w:szCs w:val="30"/>
          <w:lang w:val="en-US" w:eastAsia="zh-CN"/>
        </w:rPr>
        <w:t>事先进行工程预算编审</w:t>
      </w:r>
      <w:r>
        <w:rPr>
          <w:rFonts w:hint="eastAsia" w:ascii="仿宋_GB2312" w:hAnsi="仿宋_GB2312" w:eastAsia="仿宋_GB2312" w:cs="仿宋_GB2312"/>
          <w:spacing w:val="6"/>
          <w:szCs w:val="30"/>
        </w:rPr>
        <w:t>，</w:t>
      </w:r>
      <w:r>
        <w:rPr>
          <w:rFonts w:hint="eastAsia" w:ascii="仿宋_GB2312" w:hAnsi="仿宋_GB2312" w:eastAsia="仿宋_GB2312" w:cs="仿宋_GB2312"/>
          <w:spacing w:val="6"/>
          <w:szCs w:val="30"/>
          <w:lang w:val="en-US" w:eastAsia="zh-CN"/>
        </w:rPr>
        <w:t>避免招标后再核实确定工程量，</w:t>
      </w:r>
      <w:r>
        <w:rPr>
          <w:rFonts w:hint="eastAsia" w:ascii="仿宋_GB2312" w:hAnsi="仿宋_GB2312" w:eastAsia="仿宋_GB2312" w:cs="仿宋_GB2312"/>
          <w:spacing w:val="6"/>
          <w:szCs w:val="30"/>
        </w:rPr>
        <w:t>确</w:t>
      </w:r>
      <w:r>
        <w:rPr>
          <w:rFonts w:hint="eastAsia" w:ascii="仿宋_GB2312" w:hAnsi="仿宋_GB2312" w:eastAsia="仿宋_GB2312" w:cs="仿宋_GB2312"/>
          <w:spacing w:val="6"/>
          <w:szCs w:val="30"/>
          <w:lang w:val="en-US" w:eastAsia="zh-CN"/>
        </w:rPr>
        <w:t>保</w:t>
      </w:r>
      <w:r>
        <w:rPr>
          <w:rFonts w:hint="eastAsia" w:ascii="仿宋_GB2312" w:hAnsi="仿宋_GB2312" w:eastAsia="仿宋_GB2312" w:cs="仿宋_GB2312"/>
          <w:spacing w:val="6"/>
          <w:szCs w:val="30"/>
        </w:rPr>
        <w:t>项目建设</w:t>
      </w:r>
      <w:r>
        <w:rPr>
          <w:rFonts w:hint="eastAsia" w:ascii="仿宋_GB2312" w:hAnsi="仿宋_GB2312" w:eastAsia="仿宋_GB2312" w:cs="仿宋_GB2312"/>
          <w:spacing w:val="6"/>
          <w:szCs w:val="30"/>
          <w:lang w:val="en-US" w:eastAsia="zh-CN"/>
        </w:rPr>
        <w:t>前确定</w:t>
      </w:r>
      <w:r>
        <w:rPr>
          <w:rFonts w:hint="eastAsia" w:ascii="仿宋_GB2312" w:hAnsi="仿宋_GB2312" w:eastAsia="仿宋_GB2312" w:cs="仿宋_GB2312"/>
          <w:spacing w:val="6"/>
          <w:szCs w:val="30"/>
        </w:rPr>
        <w:t>合同金额</w:t>
      </w:r>
      <w:r>
        <w:rPr>
          <w:rFonts w:hint="eastAsia" w:ascii="仿宋_GB2312" w:hAnsi="仿宋_GB2312" w:eastAsia="仿宋_GB2312" w:cs="仿宋_GB2312"/>
          <w:spacing w:val="6"/>
          <w:szCs w:val="30"/>
          <w:lang w:eastAsia="zh-CN"/>
        </w:rPr>
        <w:t>。</w:t>
      </w:r>
      <w:r>
        <w:rPr>
          <w:rFonts w:hint="eastAsia" w:ascii="仿宋_GB2312" w:hAnsi="仿宋_GB2312" w:eastAsia="仿宋_GB2312" w:cs="仿宋_GB2312"/>
          <w:spacing w:val="6"/>
          <w:szCs w:val="30"/>
        </w:rPr>
        <w:t>同时加强资金支付审核，无工程量或工程量不明确的支付申请，不予审批支付。</w:t>
      </w:r>
    </w:p>
    <w:p>
      <w:pPr>
        <w:spacing w:line="590" w:lineRule="exact"/>
        <w:ind w:firstLine="654" w:firstLineChars="200"/>
        <w:rPr>
          <w:rFonts w:ascii="楷体_GB2312" w:hAnsi="楷体_GB2312" w:eastAsia="楷体_GB2312" w:cs="楷体_GB2312"/>
          <w:spacing w:val="6"/>
          <w:szCs w:val="30"/>
        </w:rPr>
      </w:pPr>
      <w:r>
        <w:rPr>
          <w:rFonts w:hint="eastAsia" w:ascii="楷体_GB2312" w:hAnsi="楷体_GB2312" w:eastAsia="楷体_GB2312" w:cs="楷体_GB2312"/>
          <w:spacing w:val="6"/>
          <w:szCs w:val="30"/>
        </w:rPr>
        <w:t>（三）把控项目制度建设进度，完善项目制度体系</w:t>
      </w:r>
    </w:p>
    <w:p>
      <w:pPr>
        <w:spacing w:line="590" w:lineRule="exact"/>
        <w:ind w:firstLine="654" w:firstLineChars="200"/>
        <w:rPr>
          <w:rFonts w:ascii="仿宋_GB2312" w:hAnsi="仿宋_GB2312" w:eastAsia="仿宋_GB2312" w:cs="仿宋_GB2312"/>
          <w:spacing w:val="6"/>
          <w:szCs w:val="30"/>
        </w:rPr>
      </w:pPr>
      <w:r>
        <w:rPr>
          <w:rFonts w:ascii="仿宋_GB2312" w:hAnsi="仿宋_GB2312" w:eastAsia="仿宋_GB2312" w:cs="仿宋_GB2312"/>
          <w:spacing w:val="6"/>
          <w:szCs w:val="30"/>
        </w:rPr>
        <w:t>一是建议</w:t>
      </w:r>
      <w:r>
        <w:rPr>
          <w:rFonts w:hint="eastAsia" w:ascii="仿宋_GB2312" w:hAnsi="仿宋_GB2312" w:eastAsia="仿宋_GB2312" w:cs="仿宋_GB2312"/>
          <w:spacing w:val="6"/>
          <w:szCs w:val="30"/>
        </w:rPr>
        <w:t>黎乾实业公司</w:t>
      </w:r>
      <w:r>
        <w:rPr>
          <w:rFonts w:ascii="仿宋_GB2312" w:hAnsi="仿宋_GB2312" w:eastAsia="仿宋_GB2312" w:cs="仿宋_GB2312"/>
          <w:spacing w:val="6"/>
          <w:szCs w:val="30"/>
        </w:rPr>
        <w:t>尽快根据项目的运营计划，设计编制项目运营服务方案，对项目的</w:t>
      </w:r>
      <w:r>
        <w:rPr>
          <w:rFonts w:hint="eastAsia" w:ascii="仿宋_GB2312" w:hAnsi="仿宋_GB2312" w:eastAsia="仿宋_GB2312" w:cs="仿宋_GB2312"/>
          <w:spacing w:val="6"/>
          <w:szCs w:val="30"/>
        </w:rPr>
        <w:t>运营方式、</w:t>
      </w:r>
      <w:r>
        <w:rPr>
          <w:rFonts w:ascii="仿宋_GB2312" w:hAnsi="仿宋_GB2312" w:eastAsia="仿宋_GB2312" w:cs="仿宋_GB2312"/>
          <w:spacing w:val="6"/>
          <w:szCs w:val="30"/>
        </w:rPr>
        <w:t>推介渠道、</w:t>
      </w:r>
      <w:r>
        <w:rPr>
          <w:rFonts w:hint="eastAsia" w:ascii="仿宋_GB2312" w:hAnsi="仿宋_GB2312" w:eastAsia="仿宋_GB2312" w:cs="仿宋_GB2312"/>
          <w:spacing w:val="6"/>
          <w:szCs w:val="30"/>
        </w:rPr>
        <w:t>租赁</w:t>
      </w:r>
      <w:r>
        <w:rPr>
          <w:rFonts w:ascii="仿宋_GB2312" w:hAnsi="仿宋_GB2312" w:eastAsia="仿宋_GB2312" w:cs="仿宋_GB2312"/>
          <w:spacing w:val="6"/>
          <w:szCs w:val="30"/>
        </w:rPr>
        <w:t>标准</w:t>
      </w:r>
      <w:r>
        <w:rPr>
          <w:rFonts w:hint="eastAsia" w:ascii="仿宋_GB2312" w:hAnsi="仿宋_GB2312" w:eastAsia="仿宋_GB2312" w:cs="仿宋_GB2312"/>
          <w:spacing w:val="6"/>
          <w:szCs w:val="30"/>
        </w:rPr>
        <w:t>及管理细则</w:t>
      </w:r>
      <w:r>
        <w:rPr>
          <w:rFonts w:ascii="仿宋_GB2312" w:hAnsi="仿宋_GB2312" w:eastAsia="仿宋_GB2312" w:cs="仿宋_GB2312"/>
          <w:spacing w:val="6"/>
          <w:szCs w:val="30"/>
        </w:rPr>
        <w:t>进行设计和规定，做好运营前期准备，保障项目的顺利运营。二是</w:t>
      </w:r>
      <w:r>
        <w:rPr>
          <w:rFonts w:hint="eastAsia" w:ascii="仿宋_GB2312" w:hAnsi="仿宋_GB2312" w:eastAsia="仿宋_GB2312" w:cs="仿宋_GB2312"/>
          <w:spacing w:val="6"/>
          <w:szCs w:val="30"/>
        </w:rPr>
        <w:t>建议项目主管部门</w:t>
      </w:r>
      <w:r>
        <w:rPr>
          <w:rFonts w:ascii="仿宋_GB2312" w:hAnsi="仿宋_GB2312" w:eastAsia="仿宋_GB2312" w:cs="仿宋_GB2312"/>
          <w:spacing w:val="6"/>
          <w:szCs w:val="30"/>
        </w:rPr>
        <w:t>根据</w:t>
      </w:r>
      <w:r>
        <w:rPr>
          <w:rFonts w:hint="eastAsia" w:ascii="仿宋_GB2312" w:hAnsi="仿宋_GB2312" w:eastAsia="仿宋_GB2312" w:cs="仿宋_GB2312"/>
          <w:spacing w:val="6"/>
          <w:szCs w:val="30"/>
        </w:rPr>
        <w:t>现代农业示范园建设</w:t>
      </w:r>
      <w:r>
        <w:rPr>
          <w:rFonts w:ascii="仿宋_GB2312" w:hAnsi="仿宋_GB2312" w:eastAsia="仿宋_GB2312" w:cs="仿宋_GB2312"/>
          <w:spacing w:val="6"/>
          <w:szCs w:val="30"/>
        </w:rPr>
        <w:t>的相关规定，结合</w:t>
      </w:r>
      <w:r>
        <w:rPr>
          <w:rFonts w:hint="eastAsia" w:ascii="仿宋_GB2312" w:hAnsi="仿宋_GB2312" w:eastAsia="仿宋_GB2312" w:cs="仿宋_GB2312"/>
          <w:spacing w:val="6"/>
          <w:szCs w:val="30"/>
        </w:rPr>
        <w:t>富民县</w:t>
      </w:r>
      <w:r>
        <w:rPr>
          <w:rFonts w:ascii="仿宋_GB2312" w:hAnsi="仿宋_GB2312" w:eastAsia="仿宋_GB2312" w:cs="仿宋_GB2312"/>
          <w:spacing w:val="6"/>
          <w:szCs w:val="30"/>
        </w:rPr>
        <w:t>的实际情况，尽快制定出符合项目情况的</w:t>
      </w:r>
      <w:r>
        <w:rPr>
          <w:rFonts w:hint="eastAsia" w:ascii="仿宋_GB2312" w:hAnsi="仿宋_GB2312" w:eastAsia="仿宋_GB2312" w:cs="仿宋_GB2312"/>
          <w:spacing w:val="6"/>
          <w:szCs w:val="30"/>
        </w:rPr>
        <w:t>招商引资优惠政策</w:t>
      </w:r>
      <w:r>
        <w:rPr>
          <w:rFonts w:ascii="仿宋_GB2312" w:hAnsi="仿宋_GB2312" w:eastAsia="仿宋_GB2312" w:cs="仿宋_GB2312"/>
          <w:spacing w:val="6"/>
          <w:szCs w:val="30"/>
        </w:rPr>
        <w:t>，明确项目</w:t>
      </w:r>
      <w:r>
        <w:rPr>
          <w:rFonts w:hint="eastAsia" w:ascii="仿宋_GB2312" w:hAnsi="仿宋_GB2312" w:eastAsia="仿宋_GB2312" w:cs="仿宋_GB2312"/>
          <w:spacing w:val="6"/>
          <w:szCs w:val="30"/>
        </w:rPr>
        <w:t>扶持</w:t>
      </w:r>
      <w:r>
        <w:rPr>
          <w:rFonts w:ascii="仿宋_GB2312" w:hAnsi="仿宋_GB2312" w:eastAsia="仿宋_GB2312" w:cs="仿宋_GB2312"/>
          <w:spacing w:val="6"/>
          <w:szCs w:val="30"/>
        </w:rPr>
        <w:t>对象、租金标准及准入退出机制等事项。</w:t>
      </w:r>
    </w:p>
    <w:p>
      <w:pPr>
        <w:spacing w:line="590" w:lineRule="exact"/>
        <w:ind w:firstLine="654" w:firstLineChars="200"/>
        <w:rPr>
          <w:rFonts w:ascii="楷体_GB2312" w:hAnsi="楷体_GB2312" w:eastAsia="楷体_GB2312" w:cs="楷体_GB2312"/>
          <w:spacing w:val="6"/>
          <w:szCs w:val="30"/>
        </w:rPr>
      </w:pPr>
      <w:r>
        <w:rPr>
          <w:rFonts w:hint="eastAsia" w:ascii="楷体_GB2312" w:hAnsi="楷体_GB2312" w:eastAsia="楷体_GB2312" w:cs="楷体_GB2312"/>
          <w:spacing w:val="6"/>
          <w:szCs w:val="30"/>
        </w:rPr>
        <w:t>（四）加强专项债券资金管理，压实各环节管理责任</w:t>
      </w:r>
    </w:p>
    <w:p>
      <w:pPr>
        <w:spacing w:line="590" w:lineRule="exact"/>
        <w:ind w:firstLine="654" w:firstLineChars="200"/>
        <w:rPr>
          <w:rFonts w:ascii="仿宋_GB2312" w:hAnsi="仿宋_GB2312" w:eastAsia="仿宋_GB2312" w:cs="仿宋_GB2312"/>
          <w:spacing w:val="6"/>
          <w:kern w:val="0"/>
          <w:szCs w:val="30"/>
        </w:rPr>
      </w:pPr>
      <w:r>
        <w:rPr>
          <w:rFonts w:hint="eastAsia" w:ascii="仿宋_GB2312" w:hAnsi="仿宋_GB2312" w:eastAsia="仿宋_GB2312" w:cs="仿宋_GB2312"/>
          <w:spacing w:val="6"/>
          <w:szCs w:val="30"/>
        </w:rPr>
        <w:t>建议加强专项债券资金使用全过程管理，按照合同约定的支付方式、支付比例及时支付合同款，避免延期付款、集中付款的现象发生。对已发生的专项债券超前支付问题，从资金下达、工程进度管理、资金使用规范性等方面进行原因分析。对问题产生的原因进行责任划分，</w:t>
      </w:r>
      <w:r>
        <w:rPr>
          <w:rFonts w:hint="eastAsia" w:ascii="仿宋_GB2312" w:hAnsi="仿宋_GB2312" w:eastAsia="仿宋_GB2312" w:cs="仿宋_GB2312"/>
          <w:spacing w:val="6"/>
          <w:szCs w:val="30"/>
          <w:lang w:val="en-US" w:eastAsia="zh-CN"/>
        </w:rPr>
        <w:t>压实</w:t>
      </w:r>
      <w:r>
        <w:rPr>
          <w:rFonts w:hint="eastAsia" w:ascii="仿宋_GB2312" w:hAnsi="仿宋_GB2312" w:eastAsia="仿宋_GB2312" w:cs="仿宋_GB2312"/>
          <w:spacing w:val="6"/>
          <w:szCs w:val="30"/>
        </w:rPr>
        <w:t>管理责任，避免再次出现专项债券资金使用不规范的问题。</w:t>
      </w:r>
    </w:p>
    <w:p>
      <w:pPr>
        <w:spacing w:line="579" w:lineRule="exact"/>
        <w:jc w:val="center"/>
        <w:rPr>
          <w:rFonts w:ascii="方正小标宋简体" w:eastAsia="方正小标宋简体"/>
          <w:sz w:val="44"/>
          <w:szCs w:val="44"/>
        </w:rPr>
        <w:sectPr>
          <w:footerReference r:id="rId4" w:type="default"/>
          <w:footerReference r:id="rId5" w:type="even"/>
          <w:type w:val="oddPage"/>
          <w:pgSz w:w="11906" w:h="16838"/>
          <w:pgMar w:top="2098" w:right="1474" w:bottom="1985" w:left="1588" w:header="851" w:footer="1474" w:gutter="0"/>
          <w:pgNumType w:fmt="lowerRoman" w:start="1"/>
          <w:cols w:space="425" w:num="1"/>
          <w:docGrid w:type="linesAndChars" w:linePitch="579" w:charSpace="3247"/>
        </w:sectPr>
      </w:pPr>
    </w:p>
    <w:p>
      <w:pPr>
        <w:spacing w:line="579" w:lineRule="exact"/>
        <w:jc w:val="center"/>
        <w:rPr>
          <w:rFonts w:ascii="方正小标宋简体" w:eastAsia="方正小标宋简体"/>
          <w:sz w:val="44"/>
          <w:szCs w:val="44"/>
        </w:rPr>
      </w:pPr>
      <w:r>
        <w:rPr>
          <w:rFonts w:hint="eastAsia" w:ascii="方正小标宋简体" w:eastAsia="方正小标宋简体"/>
          <w:sz w:val="44"/>
          <w:szCs w:val="44"/>
        </w:rPr>
        <w:t>富民县现代农业示范园建设项目</w:t>
      </w:r>
    </w:p>
    <w:p>
      <w:pPr>
        <w:spacing w:line="579" w:lineRule="exact"/>
        <w:jc w:val="center"/>
        <w:rPr>
          <w:rFonts w:hint="default" w:ascii="方正小标宋简体" w:eastAsia="方正小标宋简体"/>
          <w:sz w:val="44"/>
          <w:szCs w:val="44"/>
          <w:lang w:val="en-US" w:eastAsia="zh-CN"/>
        </w:rPr>
      </w:pPr>
      <w:r>
        <w:rPr>
          <w:rFonts w:hint="eastAsia" w:ascii="方正小标宋简体" w:eastAsia="方正小标宋简体"/>
          <w:sz w:val="44"/>
          <w:szCs w:val="44"/>
        </w:rPr>
        <w:t>绩效评价报告</w:t>
      </w:r>
    </w:p>
    <w:p>
      <w:pPr>
        <w:spacing w:line="579" w:lineRule="exact"/>
        <w:rPr>
          <w:rFonts w:hAnsi="仿宋"/>
          <w:sz w:val="36"/>
          <w:szCs w:val="36"/>
        </w:rPr>
      </w:pPr>
    </w:p>
    <w:p>
      <w:pPr>
        <w:spacing w:line="590" w:lineRule="exact"/>
        <w:ind w:firstLine="654" w:firstLineChars="200"/>
        <w:rPr>
          <w:rFonts w:hint="eastAsia" w:ascii="仿宋_GB2312" w:hAnsi="仿宋_GB2312" w:eastAsia="仿宋_GB2312" w:cs="仿宋_GB2312"/>
          <w:spacing w:val="6"/>
          <w:szCs w:val="30"/>
        </w:rPr>
      </w:pPr>
      <w:r>
        <w:rPr>
          <w:rFonts w:hint="eastAsia" w:ascii="仿宋_GB2312" w:hAnsi="仿宋_GB2312" w:eastAsia="仿宋_GB2312" w:cs="仿宋_GB2312"/>
          <w:spacing w:val="6"/>
          <w:szCs w:val="30"/>
        </w:rPr>
        <w:t>根据《云南省财政厅关于印发&lt;云南省项目支出绩效评价管理办法&gt;的通知》（云财绩〔2020〕11号）、《中共云南省委 云南省政府关于全面实施预算绩效管理的实施意见》（云发〔2019〕11号）、《云南省地方政府专项债券项目资金绩效管理办法》（云财债〔2021〕105号）和《中共富民县委 富民县人民政府关于全面实施预算绩效管理的实施意见》（富发〔2019〕16号）的要求，云南明博会计师事务所（普通合伙）接受富民县财政局（以下简称“县财政局）委托，于2023年7月至2023年10月对富民县现代农业示范园建设项目开展绩效评价。现将评价情况报告如下：</w:t>
      </w:r>
    </w:p>
    <w:p>
      <w:pPr>
        <w:spacing w:line="590" w:lineRule="exact"/>
        <w:ind w:firstLine="630" w:firstLineChars="200"/>
        <w:outlineLvl w:val="0"/>
        <w:rPr>
          <w:rFonts w:ascii="黑体" w:hAnsi="黑体" w:eastAsia="黑体" w:cs="宋体"/>
          <w:szCs w:val="30"/>
        </w:rPr>
      </w:pPr>
      <w:bookmarkStart w:id="2" w:name="_Toc23394"/>
      <w:r>
        <w:rPr>
          <w:rFonts w:hint="eastAsia" w:ascii="黑体" w:hAnsi="黑体" w:eastAsia="黑体" w:cs="宋体"/>
          <w:szCs w:val="30"/>
        </w:rPr>
        <w:t>一、基本情况</w:t>
      </w:r>
      <w:bookmarkEnd w:id="2"/>
    </w:p>
    <w:p>
      <w:pPr>
        <w:spacing w:line="590" w:lineRule="exact"/>
        <w:ind w:firstLine="654" w:firstLineChars="200"/>
        <w:outlineLvl w:val="1"/>
        <w:rPr>
          <w:rFonts w:ascii="楷体_GB2312" w:hAnsi="楷体_GB2312" w:eastAsia="楷体_GB2312" w:cs="楷体_GB2312"/>
          <w:spacing w:val="6"/>
          <w:szCs w:val="30"/>
        </w:rPr>
      </w:pPr>
      <w:bookmarkStart w:id="3" w:name="_Toc4079"/>
      <w:r>
        <w:rPr>
          <w:rFonts w:hint="eastAsia" w:ascii="楷体_GB2312" w:hAnsi="楷体_GB2312" w:eastAsia="楷体_GB2312" w:cs="楷体_GB2312"/>
          <w:spacing w:val="6"/>
          <w:szCs w:val="30"/>
        </w:rPr>
        <w:t>（一）项目概况</w:t>
      </w:r>
      <w:bookmarkEnd w:id="3"/>
    </w:p>
    <w:p>
      <w:pPr>
        <w:spacing w:line="590" w:lineRule="exact"/>
        <w:ind w:firstLine="654" w:firstLineChars="200"/>
        <w:rPr>
          <w:rFonts w:hint="eastAsia" w:ascii="仿宋_GB2312" w:hAnsi="仿宋_GB2312" w:eastAsia="仿宋_GB2312" w:cs="仿宋_GB2312"/>
          <w:spacing w:val="6"/>
          <w:szCs w:val="30"/>
        </w:rPr>
      </w:pPr>
      <w:r>
        <w:rPr>
          <w:rFonts w:hint="eastAsia" w:ascii="仿宋_GB2312" w:hAnsi="仿宋_GB2312" w:eastAsia="仿宋_GB2312" w:cs="仿宋_GB2312"/>
          <w:spacing w:val="6"/>
          <w:szCs w:val="30"/>
        </w:rPr>
        <w:t>为深入推进农业供给侧结构性改革，大力发展乡村产业，依托富民县独特的资源优势，发展特色农业，提高当地农民收入，富民县农业农村局（以下简称“县农业农村局”）根据《国务院办公厅关于加快转变农业发展方式的意见》（国办发〔2015〕59号）、《中共云南省委、云南省人民政府关于贯彻乡村振兴战略的实施意见》等政策要求，通过发行地方政府专项债券的方式支持富民产投黎乾实业有限公司（以下简称“黎乾实业公司”）开展富民县现代农业示范园建设。</w:t>
      </w:r>
    </w:p>
    <w:p>
      <w:pPr>
        <w:spacing w:line="590" w:lineRule="exact"/>
        <w:ind w:firstLine="654" w:firstLineChars="200"/>
        <w:rPr>
          <w:rFonts w:ascii="Times New Roman" w:eastAsia="仿宋_GB2312"/>
          <w:bCs/>
          <w:spacing w:val="1"/>
          <w:szCs w:val="32"/>
        </w:rPr>
      </w:pPr>
      <w:r>
        <w:rPr>
          <w:rFonts w:hint="eastAsia" w:ascii="仿宋_GB2312" w:hAnsi="仿宋_GB2312" w:eastAsia="仿宋_GB2312" w:cs="仿宋_GB2312"/>
          <w:spacing w:val="6"/>
          <w:szCs w:val="30"/>
        </w:rPr>
        <w:t>项目分为三期实施，一期项目主要是对当地3,800亩农民土地进行流转，进而打造集土地修整、灌溉排水管理、农田防护、耕地病虫害监测为一体的农业示范园；项目二期将在一期项目基础上完善生产配套设施、服务管理设施，落地冷链物流和农产品初加工，在农业产业发展的基础上，创造投资条件，加大对乡村旅游的投资，建设旅游服务设施、配套设施，完善产业结构；项目三期项目依托温泉资源及二期项目完备的文旅基础设施，打造温泉康养旅游。项目总投资35,820.81万元，资金来源</w:t>
      </w:r>
      <w:r>
        <w:rPr>
          <w:rFonts w:hint="eastAsia" w:ascii="仿宋_GB2312" w:hAnsi="仿宋_GB2312" w:eastAsia="仿宋_GB2312" w:cs="仿宋_GB2312"/>
          <w:spacing w:val="6"/>
          <w:szCs w:val="30"/>
          <w:lang w:val="en-US" w:eastAsia="zh-CN"/>
        </w:rPr>
        <w:t>为</w:t>
      </w:r>
      <w:r>
        <w:rPr>
          <w:rFonts w:hint="eastAsia" w:ascii="仿宋_GB2312" w:hAnsi="仿宋_GB2312" w:eastAsia="仿宋_GB2312" w:cs="仿宋_GB2312"/>
          <w:spacing w:val="6"/>
          <w:szCs w:val="30"/>
        </w:rPr>
        <w:t>自筹资金17,820.81万元，剩余不足部分拟申请2022年地方政府专项债券18,000万元，其中：2022年发行6,000万元；2023年发行6,000万元；2024年发行6,000万元，建设工期36个月。</w:t>
      </w:r>
    </w:p>
    <w:p>
      <w:pPr>
        <w:spacing w:line="590" w:lineRule="exact"/>
        <w:ind w:firstLine="634" w:firstLineChars="200"/>
        <w:outlineLvl w:val="1"/>
        <w:rPr>
          <w:rFonts w:ascii="楷体_GB2312" w:hAnsi="楷体_GB2312" w:eastAsia="楷体_GB2312" w:cs="楷体_GB2312"/>
          <w:spacing w:val="1"/>
          <w:szCs w:val="30"/>
        </w:rPr>
      </w:pPr>
      <w:bookmarkStart w:id="4" w:name="_Toc12669"/>
      <w:r>
        <w:rPr>
          <w:rFonts w:hint="eastAsia" w:ascii="楷体_GB2312" w:hAnsi="楷体_GB2312" w:eastAsia="楷体_GB2312" w:cs="楷体_GB2312"/>
          <w:spacing w:val="1"/>
          <w:szCs w:val="30"/>
        </w:rPr>
        <w:t>（二）项目资金安排情况</w:t>
      </w:r>
      <w:bookmarkEnd w:id="4"/>
    </w:p>
    <w:p>
      <w:pPr>
        <w:spacing w:line="590" w:lineRule="exact"/>
        <w:ind w:firstLine="654" w:firstLineChars="200"/>
        <w:rPr>
          <w:rFonts w:hint="eastAsia" w:ascii="仿宋_GB2312" w:hAnsi="仿宋_GB2312" w:eastAsia="仿宋_GB2312" w:cs="仿宋_GB2312"/>
          <w:spacing w:val="6"/>
          <w:szCs w:val="30"/>
        </w:rPr>
      </w:pPr>
      <w:r>
        <w:rPr>
          <w:rFonts w:hint="eastAsia" w:ascii="仿宋_GB2312" w:hAnsi="仿宋_GB2312" w:eastAsia="仿宋_GB2312" w:cs="仿宋_GB2312"/>
          <w:spacing w:val="6"/>
          <w:szCs w:val="30"/>
        </w:rPr>
        <w:t>1.资金下达</w:t>
      </w:r>
    </w:p>
    <w:p>
      <w:pPr>
        <w:spacing w:line="590" w:lineRule="exact"/>
        <w:ind w:firstLine="654" w:firstLineChars="200"/>
        <w:rPr>
          <w:rFonts w:hint="eastAsia" w:ascii="仿宋_GB2312" w:hAnsi="仿宋_GB2312" w:eastAsia="仿宋_GB2312" w:cs="仿宋_GB2312"/>
          <w:spacing w:val="6"/>
          <w:szCs w:val="30"/>
        </w:rPr>
      </w:pPr>
      <w:r>
        <w:rPr>
          <w:rFonts w:hint="eastAsia" w:ascii="仿宋_GB2312" w:hAnsi="仿宋_GB2312" w:eastAsia="仿宋_GB2312" w:cs="仿宋_GB2312"/>
          <w:spacing w:val="6"/>
          <w:szCs w:val="30"/>
        </w:rPr>
        <w:t>2022年11月1日，昆明市财政局下发《昆明市财政局关于下达2022年第三批专项债券额度的通知》（昆财债〔2022〕60号），下达富民县现代农业示范园建设项目专项债券资金6,000万元。</w:t>
      </w:r>
    </w:p>
    <w:p>
      <w:pPr>
        <w:spacing w:line="590" w:lineRule="exact"/>
        <w:ind w:firstLine="654" w:firstLineChars="200"/>
        <w:rPr>
          <w:rFonts w:hint="eastAsia" w:ascii="仿宋_GB2312" w:hAnsi="仿宋_GB2312" w:eastAsia="仿宋_GB2312" w:cs="仿宋_GB2312"/>
          <w:spacing w:val="6"/>
          <w:szCs w:val="30"/>
          <w:lang w:eastAsia="zh-Hans"/>
        </w:rPr>
      </w:pPr>
      <w:r>
        <w:rPr>
          <w:rFonts w:hint="eastAsia" w:ascii="仿宋_GB2312" w:hAnsi="仿宋_GB2312" w:eastAsia="仿宋_GB2312" w:cs="仿宋_GB2312"/>
          <w:spacing w:val="6"/>
          <w:szCs w:val="30"/>
        </w:rPr>
        <w:t>2.资金</w:t>
      </w:r>
      <w:r>
        <w:rPr>
          <w:rFonts w:hint="eastAsia" w:ascii="仿宋_GB2312" w:hAnsi="仿宋_GB2312" w:eastAsia="仿宋_GB2312" w:cs="仿宋_GB2312"/>
          <w:spacing w:val="6"/>
          <w:szCs w:val="30"/>
          <w:lang w:eastAsia="zh-Hans"/>
        </w:rPr>
        <w:t>构成</w:t>
      </w:r>
    </w:p>
    <w:p>
      <w:pPr>
        <w:spacing w:line="590" w:lineRule="exact"/>
        <w:ind w:firstLine="654" w:firstLineChars="200"/>
        <w:rPr>
          <w:rFonts w:hint="eastAsia" w:ascii="仿宋_GB2312" w:hAnsi="仿宋_GB2312" w:eastAsia="仿宋_GB2312" w:cs="仿宋_GB2312"/>
          <w:spacing w:val="6"/>
          <w:szCs w:val="30"/>
        </w:rPr>
      </w:pPr>
      <w:r>
        <w:rPr>
          <w:rFonts w:hint="eastAsia" w:ascii="仿宋_GB2312" w:hAnsi="仿宋_GB2312" w:eastAsia="仿宋_GB2312" w:cs="仿宋_GB2312"/>
          <w:spacing w:val="6"/>
          <w:szCs w:val="30"/>
        </w:rPr>
        <w:t>项目总投资35,820.81万元，资金来源</w:t>
      </w:r>
      <w:r>
        <w:rPr>
          <w:rFonts w:hint="eastAsia" w:ascii="仿宋_GB2312" w:hAnsi="仿宋_GB2312" w:eastAsia="仿宋_GB2312" w:cs="仿宋_GB2312"/>
          <w:spacing w:val="6"/>
          <w:szCs w:val="30"/>
          <w:lang w:val="en-US" w:eastAsia="zh-CN"/>
        </w:rPr>
        <w:t>为</w:t>
      </w:r>
      <w:r>
        <w:rPr>
          <w:rFonts w:hint="eastAsia" w:ascii="仿宋_GB2312" w:hAnsi="仿宋_GB2312" w:eastAsia="仿宋_GB2312" w:cs="仿宋_GB2312"/>
          <w:spacing w:val="6"/>
          <w:szCs w:val="30"/>
        </w:rPr>
        <w:t>自筹资金 17,820.81万元，剩余不足部分拟申请2022年地方政府专项债券18,000万元</w:t>
      </w:r>
      <w:r>
        <w:rPr>
          <w:rFonts w:hint="eastAsia" w:ascii="仿宋_GB2312" w:hAnsi="仿宋_GB2312" w:eastAsia="仿宋_GB2312" w:cs="仿宋_GB2312"/>
          <w:spacing w:val="6"/>
          <w:szCs w:val="30"/>
          <w:lang w:eastAsia="zh-CN"/>
        </w:rPr>
        <w:t>，</w:t>
      </w:r>
      <w:r>
        <w:rPr>
          <w:rFonts w:hint="eastAsia" w:ascii="仿宋_GB2312" w:hAnsi="仿宋_GB2312" w:eastAsia="仿宋_GB2312" w:cs="仿宋_GB2312"/>
          <w:spacing w:val="6"/>
          <w:szCs w:val="30"/>
        </w:rPr>
        <w:t>其中：2022年发行6,000万元；2023年发行6,000万元；2024年发行6,000万元。</w:t>
      </w:r>
    </w:p>
    <w:p>
      <w:pPr>
        <w:spacing w:line="590" w:lineRule="exact"/>
        <w:ind w:firstLine="654" w:firstLineChars="200"/>
        <w:rPr>
          <w:rFonts w:hint="eastAsia" w:ascii="仿宋_GB2312" w:hAnsi="仿宋_GB2312" w:eastAsia="仿宋_GB2312" w:cs="仿宋_GB2312"/>
          <w:spacing w:val="6"/>
          <w:szCs w:val="30"/>
        </w:rPr>
      </w:pPr>
      <w:r>
        <w:rPr>
          <w:rFonts w:hint="eastAsia" w:ascii="仿宋_GB2312" w:hAnsi="仿宋_GB2312" w:eastAsia="仿宋_GB2312" w:cs="仿宋_GB2312"/>
          <w:spacing w:val="6"/>
          <w:szCs w:val="30"/>
        </w:rPr>
        <w:t>3.资金使用情况</w:t>
      </w:r>
    </w:p>
    <w:p>
      <w:pPr>
        <w:spacing w:line="590" w:lineRule="exact"/>
        <w:ind w:firstLine="654" w:firstLineChars="200"/>
        <w:rPr>
          <w:rFonts w:hint="eastAsia" w:ascii="仿宋_GB2312" w:hAnsi="仿宋_GB2312" w:eastAsia="仿宋_GB2312" w:cs="仿宋_GB2312"/>
          <w:spacing w:val="6"/>
          <w:szCs w:val="30"/>
        </w:rPr>
      </w:pPr>
      <w:r>
        <w:rPr>
          <w:rFonts w:hint="eastAsia" w:ascii="仿宋_GB2312" w:hAnsi="仿宋_GB2312" w:eastAsia="仿宋_GB2312" w:cs="仿宋_GB2312"/>
          <w:spacing w:val="6"/>
          <w:szCs w:val="30"/>
        </w:rPr>
        <w:t>截至2022年12月31日，应到位专项债券资金6,000万元，实际到位6,000万元，资金到位率100%；累计支付专项债券资金3,349.84万元，资金使用率55.83%。资金使用情况详见下表1：</w:t>
      </w:r>
    </w:p>
    <w:p>
      <w:pPr>
        <w:pStyle w:val="9"/>
        <w:spacing w:line="590" w:lineRule="exact"/>
        <w:ind w:left="0"/>
        <w:jc w:val="center"/>
        <w:rPr>
          <w:sz w:val="32"/>
          <w:szCs w:val="32"/>
          <w:lang w:eastAsia="zh-CN"/>
        </w:rPr>
      </w:pPr>
      <w:r>
        <w:rPr>
          <w:rFonts w:hint="eastAsia" w:ascii="黑体" w:hAnsi="黑体" w:eastAsia="黑体" w:cs="黑体"/>
          <w:spacing w:val="6"/>
          <w:sz w:val="24"/>
          <w:szCs w:val="24"/>
          <w:lang w:eastAsia="zh-CN"/>
        </w:rPr>
        <w:t xml:space="preserve">      表1：</w:t>
      </w:r>
      <w:r>
        <w:rPr>
          <w:rFonts w:hint="eastAsia" w:ascii="黑体" w:hAnsi="黑体" w:eastAsia="黑体" w:cs="黑体"/>
          <w:color w:val="000000"/>
          <w:spacing w:val="6"/>
          <w:kern w:val="30"/>
          <w:sz w:val="24"/>
          <w:szCs w:val="24"/>
          <w:lang w:eastAsia="zh-CN" w:bidi="ar"/>
        </w:rPr>
        <w:t>截至2023年6月30日</w:t>
      </w:r>
      <w:r>
        <w:rPr>
          <w:rFonts w:hint="eastAsia" w:ascii="黑体" w:hAnsi="黑体" w:eastAsia="黑体" w:cs="黑体"/>
          <w:spacing w:val="6"/>
          <w:sz w:val="24"/>
          <w:szCs w:val="24"/>
          <w:lang w:eastAsia="zh-CN"/>
        </w:rPr>
        <w:t>项目资金使用情况表      单位：万元</w:t>
      </w:r>
    </w:p>
    <w:tbl>
      <w:tblPr>
        <w:tblStyle w:val="20"/>
        <w:tblW w:w="8844" w:type="dxa"/>
        <w:jc w:val="center"/>
        <w:tblLayout w:type="autofit"/>
        <w:tblCellMar>
          <w:top w:w="0" w:type="dxa"/>
          <w:left w:w="108" w:type="dxa"/>
          <w:bottom w:w="0" w:type="dxa"/>
          <w:right w:w="108" w:type="dxa"/>
        </w:tblCellMar>
      </w:tblPr>
      <w:tblGrid>
        <w:gridCol w:w="1971"/>
        <w:gridCol w:w="5400"/>
        <w:gridCol w:w="1473"/>
      </w:tblGrid>
      <w:tr>
        <w:trPr>
          <w:trHeight w:val="629" w:hRule="atLeast"/>
          <w:jc w:val="center"/>
        </w:trPr>
        <w:tc>
          <w:tcPr>
            <w:tcW w:w="19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Ansi="仿宋" w:cs="仿宋"/>
                <w:b/>
                <w:bCs/>
                <w:color w:val="000000"/>
                <w:kern w:val="0"/>
                <w:sz w:val="20"/>
                <w:szCs w:val="20"/>
                <w:lang w:bidi="ar"/>
              </w:rPr>
            </w:pPr>
            <w:r>
              <w:rPr>
                <w:rFonts w:hint="eastAsia" w:hAnsi="仿宋" w:cs="仿宋"/>
                <w:b/>
                <w:bCs/>
                <w:color w:val="000000"/>
                <w:kern w:val="0"/>
                <w:sz w:val="20"/>
                <w:szCs w:val="20"/>
                <w:lang w:bidi="ar"/>
              </w:rPr>
              <w:t>日期</w:t>
            </w:r>
          </w:p>
        </w:tc>
        <w:tc>
          <w:tcPr>
            <w:tcW w:w="54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Ansi="仿宋" w:cs="仿宋"/>
                <w:b/>
                <w:bCs/>
                <w:color w:val="000000"/>
                <w:kern w:val="0"/>
                <w:sz w:val="20"/>
                <w:szCs w:val="20"/>
                <w:lang w:bidi="ar"/>
              </w:rPr>
            </w:pPr>
            <w:r>
              <w:rPr>
                <w:rFonts w:hint="eastAsia" w:hAnsi="仿宋" w:cs="仿宋"/>
                <w:b/>
                <w:bCs/>
                <w:color w:val="000000"/>
                <w:kern w:val="0"/>
                <w:sz w:val="20"/>
                <w:szCs w:val="20"/>
                <w:lang w:bidi="ar"/>
              </w:rPr>
              <w:t>用途</w:t>
            </w:r>
          </w:p>
        </w:tc>
        <w:tc>
          <w:tcPr>
            <w:tcW w:w="147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Ansi="仿宋" w:cs="仿宋"/>
                <w:b/>
                <w:bCs/>
                <w:color w:val="000000"/>
                <w:kern w:val="0"/>
                <w:sz w:val="20"/>
                <w:szCs w:val="20"/>
                <w:lang w:bidi="ar"/>
              </w:rPr>
            </w:pPr>
            <w:r>
              <w:rPr>
                <w:rFonts w:hint="eastAsia" w:hAnsi="仿宋" w:cs="仿宋"/>
                <w:b/>
                <w:bCs/>
                <w:color w:val="000000"/>
                <w:kern w:val="0"/>
                <w:sz w:val="20"/>
                <w:szCs w:val="20"/>
                <w:lang w:bidi="ar"/>
              </w:rPr>
              <w:t>金额</w:t>
            </w:r>
          </w:p>
        </w:tc>
      </w:tr>
      <w:tr>
        <w:tblPrEx>
          <w:tblCellMar>
            <w:top w:w="0" w:type="dxa"/>
            <w:left w:w="108" w:type="dxa"/>
            <w:bottom w:w="0" w:type="dxa"/>
            <w:right w:w="108" w:type="dxa"/>
          </w:tblCellMar>
        </w:tblPrEx>
        <w:trPr>
          <w:trHeight w:val="567" w:hRule="atLeast"/>
          <w:jc w:val="center"/>
        </w:trPr>
        <w:tc>
          <w:tcPr>
            <w:tcW w:w="197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Ansi="仿宋" w:cs="仿宋"/>
                <w:color w:val="000000"/>
                <w:kern w:val="0"/>
                <w:sz w:val="20"/>
                <w:szCs w:val="20"/>
                <w:lang w:bidi="ar"/>
              </w:rPr>
            </w:pPr>
            <w:r>
              <w:rPr>
                <w:rFonts w:hint="eastAsia" w:hAnsi="仿宋" w:cs="仿宋"/>
                <w:color w:val="000000"/>
                <w:kern w:val="0"/>
                <w:sz w:val="20"/>
                <w:szCs w:val="20"/>
                <w:lang w:bidi="ar"/>
              </w:rPr>
              <w:t>2022年11月30日</w:t>
            </w:r>
          </w:p>
        </w:tc>
        <w:tc>
          <w:tcPr>
            <w:tcW w:w="540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Ansi="仿宋" w:cs="仿宋"/>
                <w:color w:val="000000"/>
                <w:kern w:val="0"/>
                <w:sz w:val="20"/>
                <w:szCs w:val="20"/>
                <w:lang w:bidi="ar"/>
              </w:rPr>
            </w:pPr>
            <w:r>
              <w:rPr>
                <w:rFonts w:hint="eastAsia" w:hAnsi="仿宋" w:cs="仿宋"/>
                <w:color w:val="000000"/>
                <w:kern w:val="0"/>
                <w:sz w:val="20"/>
                <w:szCs w:val="20"/>
                <w:lang w:bidi="ar"/>
              </w:rPr>
              <w:t>支付富民兴达建筑公司农业示范园建设项目工程款</w:t>
            </w:r>
          </w:p>
        </w:tc>
        <w:tc>
          <w:tcPr>
            <w:tcW w:w="1473"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Ansi="仿宋" w:cs="仿宋"/>
                <w:color w:val="000000"/>
                <w:kern w:val="0"/>
                <w:sz w:val="20"/>
                <w:szCs w:val="20"/>
                <w:lang w:bidi="ar"/>
              </w:rPr>
            </w:pPr>
            <w:r>
              <w:rPr>
                <w:rFonts w:hint="eastAsia" w:hAnsi="仿宋" w:cs="仿宋"/>
                <w:color w:val="000000"/>
                <w:kern w:val="0"/>
                <w:sz w:val="20"/>
                <w:szCs w:val="20"/>
                <w:lang w:bidi="ar"/>
              </w:rPr>
              <w:t>1,526.57</w:t>
            </w:r>
          </w:p>
        </w:tc>
      </w:tr>
      <w:tr>
        <w:tblPrEx>
          <w:tblCellMar>
            <w:top w:w="0" w:type="dxa"/>
            <w:left w:w="108" w:type="dxa"/>
            <w:bottom w:w="0" w:type="dxa"/>
            <w:right w:w="108" w:type="dxa"/>
          </w:tblCellMar>
        </w:tblPrEx>
        <w:trPr>
          <w:trHeight w:val="567" w:hRule="atLeast"/>
          <w:jc w:val="center"/>
        </w:trPr>
        <w:tc>
          <w:tcPr>
            <w:tcW w:w="197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Ansi="仿宋" w:cs="仿宋"/>
                <w:color w:val="000000"/>
                <w:kern w:val="0"/>
                <w:sz w:val="20"/>
                <w:szCs w:val="20"/>
                <w:lang w:bidi="ar"/>
              </w:rPr>
            </w:pPr>
            <w:r>
              <w:rPr>
                <w:rFonts w:hint="eastAsia" w:hAnsi="仿宋" w:cs="仿宋"/>
                <w:color w:val="000000"/>
                <w:kern w:val="0"/>
                <w:sz w:val="20"/>
                <w:szCs w:val="20"/>
                <w:lang w:bidi="ar"/>
              </w:rPr>
              <w:t>2022年12月31日</w:t>
            </w:r>
          </w:p>
        </w:tc>
        <w:tc>
          <w:tcPr>
            <w:tcW w:w="540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Ansi="仿宋" w:cs="仿宋"/>
                <w:color w:val="000000"/>
                <w:kern w:val="0"/>
                <w:sz w:val="20"/>
                <w:szCs w:val="20"/>
                <w:lang w:bidi="ar"/>
              </w:rPr>
            </w:pPr>
            <w:r>
              <w:rPr>
                <w:rFonts w:hint="eastAsia" w:hAnsi="仿宋" w:cs="仿宋"/>
                <w:color w:val="000000"/>
                <w:kern w:val="0"/>
                <w:sz w:val="20"/>
                <w:szCs w:val="20"/>
                <w:lang w:bidi="ar"/>
              </w:rPr>
              <w:t>支付富民兴达建筑公司农业示范园建设项目工程款</w:t>
            </w:r>
          </w:p>
        </w:tc>
        <w:tc>
          <w:tcPr>
            <w:tcW w:w="1473"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Ansi="仿宋" w:cs="仿宋"/>
                <w:color w:val="000000"/>
                <w:kern w:val="0"/>
                <w:sz w:val="20"/>
                <w:szCs w:val="20"/>
                <w:lang w:bidi="ar"/>
              </w:rPr>
            </w:pPr>
            <w:r>
              <w:rPr>
                <w:rFonts w:hint="eastAsia" w:hAnsi="仿宋" w:cs="仿宋"/>
                <w:color w:val="000000"/>
                <w:kern w:val="0"/>
                <w:sz w:val="20"/>
                <w:szCs w:val="20"/>
                <w:lang w:bidi="ar"/>
              </w:rPr>
              <w:t>1,823.27</w:t>
            </w:r>
          </w:p>
        </w:tc>
      </w:tr>
      <w:tr>
        <w:tblPrEx>
          <w:tblCellMar>
            <w:top w:w="0" w:type="dxa"/>
            <w:left w:w="108" w:type="dxa"/>
            <w:bottom w:w="0" w:type="dxa"/>
            <w:right w:w="108" w:type="dxa"/>
          </w:tblCellMar>
        </w:tblPrEx>
        <w:trPr>
          <w:trHeight w:val="567" w:hRule="atLeast"/>
          <w:jc w:val="center"/>
        </w:trPr>
        <w:tc>
          <w:tcPr>
            <w:tcW w:w="19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Ansi="仿宋" w:cs="仿宋"/>
                <w:color w:val="000000"/>
                <w:kern w:val="0"/>
                <w:sz w:val="20"/>
                <w:szCs w:val="20"/>
                <w:lang w:bidi="ar"/>
              </w:rPr>
            </w:pPr>
            <w:r>
              <w:rPr>
                <w:rFonts w:hint="eastAsia" w:hAnsi="仿宋" w:cs="仿宋"/>
                <w:color w:val="000000"/>
                <w:kern w:val="0"/>
                <w:sz w:val="20"/>
                <w:szCs w:val="20"/>
                <w:lang w:bidi="ar"/>
              </w:rPr>
              <w:t>2022年支出合计</w:t>
            </w:r>
          </w:p>
        </w:tc>
        <w:tc>
          <w:tcPr>
            <w:tcW w:w="540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Ansi="仿宋" w:cs="仿宋"/>
                <w:color w:val="000000"/>
                <w:kern w:val="0"/>
                <w:sz w:val="20"/>
                <w:szCs w:val="20"/>
                <w:lang w:bidi="ar"/>
              </w:rPr>
            </w:pPr>
          </w:p>
        </w:tc>
        <w:tc>
          <w:tcPr>
            <w:tcW w:w="1473"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Ansi="仿宋" w:cs="仿宋"/>
                <w:color w:val="000000"/>
                <w:kern w:val="0"/>
                <w:sz w:val="20"/>
                <w:szCs w:val="20"/>
                <w:lang w:bidi="ar"/>
              </w:rPr>
            </w:pPr>
            <w:r>
              <w:rPr>
                <w:rFonts w:hint="eastAsia" w:hAnsi="仿宋" w:cs="仿宋"/>
                <w:color w:val="000000"/>
                <w:kern w:val="0"/>
                <w:sz w:val="20"/>
                <w:szCs w:val="20"/>
                <w:lang w:bidi="ar"/>
              </w:rPr>
              <w:t>3,349.84</w:t>
            </w:r>
          </w:p>
        </w:tc>
      </w:tr>
      <w:tr>
        <w:tblPrEx>
          <w:tblCellMar>
            <w:top w:w="0" w:type="dxa"/>
            <w:left w:w="108" w:type="dxa"/>
            <w:bottom w:w="0" w:type="dxa"/>
            <w:right w:w="108" w:type="dxa"/>
          </w:tblCellMar>
        </w:tblPrEx>
        <w:trPr>
          <w:trHeight w:val="567" w:hRule="atLeast"/>
          <w:jc w:val="center"/>
        </w:trPr>
        <w:tc>
          <w:tcPr>
            <w:tcW w:w="197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Ansi="仿宋" w:cs="仿宋"/>
                <w:color w:val="000000"/>
                <w:kern w:val="0"/>
                <w:sz w:val="20"/>
                <w:szCs w:val="20"/>
                <w:lang w:bidi="ar"/>
              </w:rPr>
            </w:pPr>
            <w:r>
              <w:rPr>
                <w:rFonts w:hint="eastAsia" w:hAnsi="仿宋" w:cs="仿宋"/>
                <w:color w:val="000000"/>
                <w:kern w:val="0"/>
                <w:sz w:val="20"/>
                <w:szCs w:val="20"/>
                <w:lang w:bidi="ar"/>
              </w:rPr>
              <w:t>2023年1月31日</w:t>
            </w:r>
          </w:p>
        </w:tc>
        <w:tc>
          <w:tcPr>
            <w:tcW w:w="540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Ansi="仿宋" w:cs="仿宋"/>
                <w:color w:val="000000"/>
                <w:kern w:val="0"/>
                <w:sz w:val="20"/>
                <w:szCs w:val="20"/>
                <w:lang w:bidi="ar"/>
              </w:rPr>
            </w:pPr>
            <w:r>
              <w:rPr>
                <w:rFonts w:hint="eastAsia" w:hAnsi="仿宋" w:cs="仿宋"/>
                <w:color w:val="000000"/>
                <w:kern w:val="0"/>
                <w:sz w:val="20"/>
                <w:szCs w:val="20"/>
                <w:lang w:bidi="ar"/>
              </w:rPr>
              <w:t>支付云南科帕工程科技咨询公司示范园项目可研编制费</w:t>
            </w:r>
          </w:p>
        </w:tc>
        <w:tc>
          <w:tcPr>
            <w:tcW w:w="1473"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Ansi="仿宋" w:cs="仿宋"/>
                <w:color w:val="000000"/>
                <w:kern w:val="0"/>
                <w:sz w:val="20"/>
                <w:szCs w:val="20"/>
                <w:lang w:bidi="ar"/>
              </w:rPr>
            </w:pPr>
            <w:r>
              <w:rPr>
                <w:rFonts w:hint="eastAsia" w:hAnsi="仿宋" w:cs="仿宋"/>
                <w:color w:val="000000"/>
                <w:kern w:val="0"/>
                <w:sz w:val="20"/>
                <w:szCs w:val="20"/>
                <w:lang w:bidi="ar"/>
              </w:rPr>
              <w:t>32.67</w:t>
            </w:r>
          </w:p>
        </w:tc>
      </w:tr>
      <w:tr>
        <w:tblPrEx>
          <w:tblCellMar>
            <w:top w:w="0" w:type="dxa"/>
            <w:left w:w="108" w:type="dxa"/>
            <w:bottom w:w="0" w:type="dxa"/>
            <w:right w:w="108" w:type="dxa"/>
          </w:tblCellMar>
        </w:tblPrEx>
        <w:trPr>
          <w:trHeight w:val="567" w:hRule="atLeast"/>
          <w:jc w:val="center"/>
        </w:trPr>
        <w:tc>
          <w:tcPr>
            <w:tcW w:w="197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Ansi="仿宋" w:cs="仿宋"/>
                <w:color w:val="000000"/>
                <w:kern w:val="0"/>
                <w:sz w:val="20"/>
                <w:szCs w:val="20"/>
                <w:lang w:bidi="ar"/>
              </w:rPr>
            </w:pPr>
            <w:r>
              <w:rPr>
                <w:rFonts w:hint="eastAsia" w:hAnsi="仿宋" w:cs="仿宋"/>
                <w:color w:val="000000"/>
                <w:kern w:val="0"/>
                <w:sz w:val="20"/>
                <w:szCs w:val="20"/>
                <w:lang w:bidi="ar"/>
              </w:rPr>
              <w:t>2023年1月31日</w:t>
            </w:r>
          </w:p>
        </w:tc>
        <w:tc>
          <w:tcPr>
            <w:tcW w:w="540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Ansi="仿宋" w:cs="仿宋"/>
                <w:color w:val="000000"/>
                <w:kern w:val="0"/>
                <w:sz w:val="20"/>
                <w:szCs w:val="20"/>
                <w:lang w:bidi="ar"/>
              </w:rPr>
            </w:pPr>
            <w:r>
              <w:rPr>
                <w:rFonts w:hint="eastAsia" w:hAnsi="仿宋" w:cs="仿宋"/>
                <w:color w:val="000000"/>
                <w:kern w:val="0"/>
                <w:sz w:val="20"/>
                <w:szCs w:val="20"/>
                <w:lang w:bidi="ar"/>
              </w:rPr>
              <w:t>支付云南联硕工程管理公司示范园项目造价咨询费</w:t>
            </w:r>
          </w:p>
        </w:tc>
        <w:tc>
          <w:tcPr>
            <w:tcW w:w="1473"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Ansi="仿宋" w:cs="仿宋"/>
                <w:color w:val="000000"/>
                <w:kern w:val="0"/>
                <w:sz w:val="20"/>
                <w:szCs w:val="20"/>
                <w:lang w:bidi="ar"/>
              </w:rPr>
            </w:pPr>
            <w:r>
              <w:rPr>
                <w:rFonts w:hint="eastAsia" w:hAnsi="仿宋" w:cs="仿宋"/>
                <w:color w:val="000000"/>
                <w:kern w:val="0"/>
                <w:sz w:val="20"/>
                <w:szCs w:val="20"/>
                <w:lang w:bidi="ar"/>
              </w:rPr>
              <w:t>3.20</w:t>
            </w:r>
          </w:p>
        </w:tc>
      </w:tr>
      <w:tr>
        <w:tblPrEx>
          <w:tblCellMar>
            <w:top w:w="0" w:type="dxa"/>
            <w:left w:w="108" w:type="dxa"/>
            <w:bottom w:w="0" w:type="dxa"/>
            <w:right w:w="108" w:type="dxa"/>
          </w:tblCellMar>
        </w:tblPrEx>
        <w:trPr>
          <w:trHeight w:val="567" w:hRule="atLeast"/>
          <w:jc w:val="center"/>
        </w:trPr>
        <w:tc>
          <w:tcPr>
            <w:tcW w:w="197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Ansi="仿宋" w:cs="仿宋"/>
                <w:color w:val="000000"/>
                <w:kern w:val="0"/>
                <w:sz w:val="20"/>
                <w:szCs w:val="20"/>
                <w:lang w:bidi="ar"/>
              </w:rPr>
            </w:pPr>
            <w:r>
              <w:rPr>
                <w:rFonts w:hint="eastAsia" w:hAnsi="仿宋" w:cs="仿宋"/>
                <w:color w:val="000000"/>
                <w:kern w:val="0"/>
                <w:sz w:val="20"/>
                <w:szCs w:val="20"/>
                <w:lang w:bidi="ar"/>
              </w:rPr>
              <w:t>2023年1月31日</w:t>
            </w:r>
          </w:p>
        </w:tc>
        <w:tc>
          <w:tcPr>
            <w:tcW w:w="540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Ansi="仿宋" w:cs="仿宋"/>
                <w:color w:val="000000"/>
                <w:kern w:val="0"/>
                <w:sz w:val="20"/>
                <w:szCs w:val="20"/>
                <w:lang w:bidi="ar"/>
              </w:rPr>
            </w:pPr>
            <w:r>
              <w:rPr>
                <w:rFonts w:hint="eastAsia" w:hAnsi="仿宋" w:cs="仿宋"/>
                <w:color w:val="000000"/>
                <w:kern w:val="0"/>
                <w:sz w:val="20"/>
                <w:szCs w:val="20"/>
                <w:lang w:bidi="ar"/>
              </w:rPr>
              <w:t>支付云坤设计集团有限公司示范园设计费</w:t>
            </w:r>
          </w:p>
        </w:tc>
        <w:tc>
          <w:tcPr>
            <w:tcW w:w="1473"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Ansi="仿宋" w:cs="仿宋"/>
                <w:color w:val="000000"/>
                <w:kern w:val="0"/>
                <w:sz w:val="20"/>
                <w:szCs w:val="20"/>
                <w:lang w:bidi="ar"/>
              </w:rPr>
            </w:pPr>
            <w:r>
              <w:rPr>
                <w:rFonts w:hint="eastAsia" w:hAnsi="仿宋" w:cs="仿宋"/>
                <w:color w:val="000000"/>
                <w:kern w:val="0"/>
                <w:sz w:val="20"/>
                <w:szCs w:val="20"/>
                <w:lang w:bidi="ar"/>
              </w:rPr>
              <w:t>57.47</w:t>
            </w:r>
          </w:p>
        </w:tc>
      </w:tr>
      <w:tr>
        <w:tblPrEx>
          <w:tblCellMar>
            <w:top w:w="0" w:type="dxa"/>
            <w:left w:w="108" w:type="dxa"/>
            <w:bottom w:w="0" w:type="dxa"/>
            <w:right w:w="108" w:type="dxa"/>
          </w:tblCellMar>
        </w:tblPrEx>
        <w:trPr>
          <w:trHeight w:val="567" w:hRule="atLeast"/>
          <w:jc w:val="center"/>
        </w:trPr>
        <w:tc>
          <w:tcPr>
            <w:tcW w:w="197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Ansi="仿宋" w:cs="仿宋"/>
                <w:color w:val="000000"/>
                <w:kern w:val="0"/>
                <w:sz w:val="20"/>
                <w:szCs w:val="20"/>
                <w:lang w:bidi="ar"/>
              </w:rPr>
            </w:pPr>
            <w:r>
              <w:rPr>
                <w:rFonts w:hint="eastAsia" w:hAnsi="仿宋" w:cs="仿宋"/>
                <w:color w:val="000000"/>
                <w:kern w:val="0"/>
                <w:sz w:val="20"/>
                <w:szCs w:val="20"/>
                <w:lang w:bidi="ar"/>
              </w:rPr>
              <w:t>2023年1月31日</w:t>
            </w:r>
          </w:p>
        </w:tc>
        <w:tc>
          <w:tcPr>
            <w:tcW w:w="540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Ansi="仿宋" w:cs="仿宋"/>
                <w:color w:val="000000"/>
                <w:kern w:val="0"/>
                <w:sz w:val="20"/>
                <w:szCs w:val="20"/>
                <w:lang w:bidi="ar"/>
              </w:rPr>
            </w:pPr>
            <w:r>
              <w:rPr>
                <w:rFonts w:hint="eastAsia" w:hAnsi="仿宋" w:cs="仿宋"/>
                <w:color w:val="000000"/>
                <w:kern w:val="0"/>
                <w:sz w:val="20"/>
                <w:szCs w:val="20"/>
                <w:lang w:bidi="ar"/>
              </w:rPr>
              <w:t>支付云南世博建设监理公司示范园监理费</w:t>
            </w:r>
          </w:p>
        </w:tc>
        <w:tc>
          <w:tcPr>
            <w:tcW w:w="1473"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Ansi="仿宋" w:cs="仿宋"/>
                <w:color w:val="000000"/>
                <w:kern w:val="0"/>
                <w:sz w:val="20"/>
                <w:szCs w:val="20"/>
                <w:lang w:bidi="ar"/>
              </w:rPr>
            </w:pPr>
            <w:r>
              <w:rPr>
                <w:rFonts w:hint="eastAsia" w:hAnsi="仿宋" w:cs="仿宋"/>
                <w:color w:val="000000"/>
                <w:kern w:val="0"/>
                <w:sz w:val="20"/>
                <w:szCs w:val="20"/>
                <w:lang w:bidi="ar"/>
              </w:rPr>
              <w:t>4.98</w:t>
            </w:r>
          </w:p>
        </w:tc>
      </w:tr>
      <w:tr>
        <w:tblPrEx>
          <w:tblCellMar>
            <w:top w:w="0" w:type="dxa"/>
            <w:left w:w="108" w:type="dxa"/>
            <w:bottom w:w="0" w:type="dxa"/>
            <w:right w:w="108" w:type="dxa"/>
          </w:tblCellMar>
        </w:tblPrEx>
        <w:trPr>
          <w:trHeight w:val="567" w:hRule="atLeast"/>
          <w:jc w:val="center"/>
        </w:trPr>
        <w:tc>
          <w:tcPr>
            <w:tcW w:w="197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Ansi="仿宋" w:cs="仿宋"/>
                <w:color w:val="000000"/>
                <w:kern w:val="0"/>
                <w:sz w:val="20"/>
                <w:szCs w:val="20"/>
                <w:lang w:bidi="ar"/>
              </w:rPr>
            </w:pPr>
            <w:r>
              <w:rPr>
                <w:rFonts w:hint="eastAsia" w:hAnsi="仿宋" w:cs="仿宋"/>
                <w:color w:val="000000"/>
                <w:kern w:val="0"/>
                <w:sz w:val="20"/>
                <w:szCs w:val="20"/>
                <w:lang w:bidi="ar"/>
              </w:rPr>
              <w:t>2023年1月31日</w:t>
            </w:r>
          </w:p>
        </w:tc>
        <w:tc>
          <w:tcPr>
            <w:tcW w:w="540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Ansi="仿宋" w:cs="仿宋"/>
                <w:color w:val="000000"/>
                <w:kern w:val="0"/>
                <w:sz w:val="20"/>
                <w:szCs w:val="20"/>
                <w:lang w:bidi="ar"/>
              </w:rPr>
            </w:pPr>
            <w:r>
              <w:rPr>
                <w:rFonts w:hint="eastAsia" w:hAnsi="仿宋" w:cs="仿宋"/>
                <w:color w:val="000000"/>
                <w:kern w:val="0"/>
                <w:sz w:val="20"/>
                <w:szCs w:val="20"/>
                <w:lang w:bidi="ar"/>
              </w:rPr>
              <w:t>预付黎宏商贸公司材料款</w:t>
            </w:r>
          </w:p>
        </w:tc>
        <w:tc>
          <w:tcPr>
            <w:tcW w:w="1473"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Ansi="仿宋" w:cs="仿宋"/>
                <w:color w:val="000000"/>
                <w:kern w:val="0"/>
                <w:sz w:val="20"/>
                <w:szCs w:val="20"/>
                <w:lang w:bidi="ar"/>
              </w:rPr>
            </w:pPr>
            <w:r>
              <w:rPr>
                <w:rFonts w:hint="eastAsia" w:hAnsi="仿宋" w:cs="仿宋"/>
                <w:color w:val="000000"/>
                <w:kern w:val="0"/>
                <w:sz w:val="20"/>
                <w:szCs w:val="20"/>
                <w:lang w:bidi="ar"/>
              </w:rPr>
              <w:t>1,400.00</w:t>
            </w:r>
          </w:p>
        </w:tc>
      </w:tr>
      <w:tr>
        <w:tblPrEx>
          <w:tblCellMar>
            <w:top w:w="0" w:type="dxa"/>
            <w:left w:w="108" w:type="dxa"/>
            <w:bottom w:w="0" w:type="dxa"/>
            <w:right w:w="108" w:type="dxa"/>
          </w:tblCellMar>
        </w:tblPrEx>
        <w:trPr>
          <w:trHeight w:val="567" w:hRule="atLeast"/>
          <w:jc w:val="center"/>
        </w:trPr>
        <w:tc>
          <w:tcPr>
            <w:tcW w:w="197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Ansi="仿宋" w:cs="仿宋"/>
                <w:color w:val="000000"/>
                <w:kern w:val="0"/>
                <w:sz w:val="20"/>
                <w:szCs w:val="20"/>
                <w:lang w:bidi="ar"/>
              </w:rPr>
            </w:pPr>
            <w:r>
              <w:rPr>
                <w:rFonts w:hint="eastAsia" w:hAnsi="仿宋" w:cs="仿宋"/>
                <w:color w:val="000000"/>
                <w:kern w:val="0"/>
                <w:sz w:val="20"/>
                <w:szCs w:val="20"/>
                <w:lang w:bidi="ar"/>
              </w:rPr>
              <w:t>2023年2月28日</w:t>
            </w:r>
          </w:p>
        </w:tc>
        <w:tc>
          <w:tcPr>
            <w:tcW w:w="540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Ansi="仿宋" w:cs="仿宋"/>
                <w:color w:val="000000"/>
                <w:kern w:val="0"/>
                <w:sz w:val="20"/>
                <w:szCs w:val="20"/>
                <w:lang w:bidi="ar"/>
              </w:rPr>
            </w:pPr>
            <w:r>
              <w:rPr>
                <w:rFonts w:hint="eastAsia" w:hAnsi="仿宋" w:cs="仿宋"/>
                <w:color w:val="000000"/>
                <w:kern w:val="0"/>
                <w:sz w:val="20"/>
                <w:szCs w:val="20"/>
                <w:lang w:bidi="ar"/>
              </w:rPr>
              <w:t>付昆明润兴建筑公司农业示范园预付工程款</w:t>
            </w:r>
          </w:p>
        </w:tc>
        <w:tc>
          <w:tcPr>
            <w:tcW w:w="1473"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Ansi="仿宋" w:cs="仿宋"/>
                <w:color w:val="000000"/>
                <w:kern w:val="0"/>
                <w:sz w:val="20"/>
                <w:szCs w:val="20"/>
                <w:lang w:bidi="ar"/>
              </w:rPr>
            </w:pPr>
            <w:r>
              <w:rPr>
                <w:rFonts w:hint="eastAsia" w:hAnsi="仿宋" w:cs="仿宋"/>
                <w:color w:val="000000"/>
                <w:kern w:val="0"/>
                <w:sz w:val="20"/>
                <w:szCs w:val="20"/>
                <w:lang w:bidi="ar"/>
              </w:rPr>
              <w:t>1,151.84</w:t>
            </w:r>
          </w:p>
        </w:tc>
      </w:tr>
      <w:tr>
        <w:tblPrEx>
          <w:tblCellMar>
            <w:top w:w="0" w:type="dxa"/>
            <w:left w:w="108" w:type="dxa"/>
            <w:bottom w:w="0" w:type="dxa"/>
            <w:right w:w="108" w:type="dxa"/>
          </w:tblCellMar>
        </w:tblPrEx>
        <w:trPr>
          <w:trHeight w:val="567" w:hRule="atLeast"/>
          <w:jc w:val="center"/>
        </w:trPr>
        <w:tc>
          <w:tcPr>
            <w:tcW w:w="19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Ansi="仿宋" w:cs="仿宋"/>
                <w:color w:val="000000"/>
                <w:kern w:val="0"/>
                <w:sz w:val="20"/>
                <w:szCs w:val="20"/>
                <w:lang w:bidi="ar"/>
              </w:rPr>
            </w:pPr>
            <w:r>
              <w:rPr>
                <w:rFonts w:hint="eastAsia" w:hAnsi="仿宋" w:cs="仿宋"/>
                <w:color w:val="000000"/>
                <w:kern w:val="0"/>
                <w:sz w:val="20"/>
                <w:szCs w:val="20"/>
                <w:lang w:bidi="ar"/>
              </w:rPr>
              <w:t>合计</w:t>
            </w:r>
          </w:p>
        </w:tc>
        <w:tc>
          <w:tcPr>
            <w:tcW w:w="540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Ansi="仿宋" w:cs="仿宋"/>
                <w:color w:val="000000"/>
                <w:kern w:val="0"/>
                <w:sz w:val="20"/>
                <w:szCs w:val="20"/>
                <w:lang w:bidi="ar"/>
              </w:rPr>
            </w:pPr>
          </w:p>
        </w:tc>
        <w:tc>
          <w:tcPr>
            <w:tcW w:w="1473"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Ansi="仿宋" w:cs="仿宋"/>
                <w:color w:val="000000"/>
                <w:kern w:val="0"/>
                <w:sz w:val="20"/>
                <w:szCs w:val="20"/>
                <w:lang w:bidi="ar"/>
              </w:rPr>
            </w:pPr>
            <w:r>
              <w:rPr>
                <w:rFonts w:hint="eastAsia" w:hAnsi="仿宋" w:cs="仿宋"/>
                <w:color w:val="000000"/>
                <w:kern w:val="0"/>
                <w:sz w:val="20"/>
                <w:szCs w:val="20"/>
                <w:lang w:bidi="ar"/>
              </w:rPr>
              <w:t>2,650.16</w:t>
            </w:r>
          </w:p>
        </w:tc>
      </w:tr>
      <w:tr>
        <w:tblPrEx>
          <w:tblCellMar>
            <w:top w:w="0" w:type="dxa"/>
            <w:left w:w="108" w:type="dxa"/>
            <w:bottom w:w="0" w:type="dxa"/>
            <w:right w:w="108" w:type="dxa"/>
          </w:tblCellMar>
        </w:tblPrEx>
        <w:trPr>
          <w:trHeight w:val="567" w:hRule="atLeast"/>
          <w:jc w:val="center"/>
        </w:trPr>
        <w:tc>
          <w:tcPr>
            <w:tcW w:w="19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Ansi="仿宋" w:cs="仿宋"/>
                <w:color w:val="000000"/>
                <w:kern w:val="0"/>
                <w:sz w:val="20"/>
                <w:szCs w:val="20"/>
                <w:lang w:bidi="ar"/>
              </w:rPr>
            </w:pPr>
            <w:r>
              <w:rPr>
                <w:rFonts w:hint="eastAsia" w:hAnsi="仿宋" w:cs="仿宋"/>
                <w:color w:val="000000"/>
                <w:kern w:val="0"/>
                <w:sz w:val="20"/>
                <w:szCs w:val="20"/>
                <w:lang w:bidi="ar"/>
              </w:rPr>
              <w:t>累计支出合计</w:t>
            </w:r>
          </w:p>
        </w:tc>
        <w:tc>
          <w:tcPr>
            <w:tcW w:w="540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Ansi="仿宋" w:cs="仿宋"/>
                <w:color w:val="000000"/>
                <w:kern w:val="0"/>
                <w:sz w:val="20"/>
                <w:szCs w:val="20"/>
                <w:lang w:bidi="ar"/>
              </w:rPr>
            </w:pPr>
          </w:p>
        </w:tc>
        <w:tc>
          <w:tcPr>
            <w:tcW w:w="1473"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Ansi="仿宋" w:cs="仿宋"/>
                <w:color w:val="000000"/>
                <w:kern w:val="0"/>
                <w:sz w:val="20"/>
                <w:szCs w:val="20"/>
                <w:lang w:bidi="ar"/>
              </w:rPr>
            </w:pPr>
            <w:r>
              <w:rPr>
                <w:rFonts w:hint="eastAsia" w:hAnsi="仿宋" w:cs="仿宋"/>
                <w:color w:val="000000"/>
                <w:kern w:val="0"/>
                <w:sz w:val="20"/>
                <w:szCs w:val="20"/>
                <w:lang w:bidi="ar"/>
              </w:rPr>
              <w:t>6,000.00</w:t>
            </w:r>
          </w:p>
        </w:tc>
      </w:tr>
    </w:tbl>
    <w:p>
      <w:pPr>
        <w:spacing w:line="590" w:lineRule="exact"/>
        <w:ind w:firstLine="654" w:firstLineChars="200"/>
        <w:outlineLvl w:val="1"/>
        <w:rPr>
          <w:rFonts w:ascii="楷体_GB2312" w:hAnsi="楷体_GB2312" w:eastAsia="楷体_GB2312" w:cs="楷体_GB2312"/>
          <w:spacing w:val="6"/>
          <w:szCs w:val="30"/>
        </w:rPr>
      </w:pPr>
      <w:bookmarkStart w:id="5" w:name="_Toc22374"/>
      <w:r>
        <w:rPr>
          <w:rFonts w:hint="eastAsia" w:ascii="楷体_GB2312" w:hAnsi="楷体_GB2312" w:eastAsia="楷体_GB2312" w:cs="楷体_GB2312"/>
          <w:spacing w:val="6"/>
          <w:szCs w:val="30"/>
        </w:rPr>
        <w:t>（三）项目实施内容</w:t>
      </w:r>
      <w:bookmarkEnd w:id="5"/>
    </w:p>
    <w:p>
      <w:pPr>
        <w:spacing w:line="590" w:lineRule="exact"/>
        <w:ind w:firstLine="654" w:firstLineChars="200"/>
        <w:rPr>
          <w:rFonts w:hint="eastAsia" w:ascii="仿宋_GB2312" w:hAnsi="仿宋_GB2312" w:eastAsia="仿宋_GB2312" w:cs="仿宋_GB2312"/>
          <w:spacing w:val="6"/>
          <w:szCs w:val="30"/>
        </w:rPr>
      </w:pPr>
      <w:r>
        <w:rPr>
          <w:rFonts w:hint="eastAsia" w:ascii="仿宋_GB2312" w:hAnsi="仿宋_GB2312" w:eastAsia="仿宋_GB2312" w:cs="仿宋_GB2312"/>
          <w:spacing w:val="6"/>
          <w:szCs w:val="30"/>
        </w:rPr>
        <w:t>项目建设内容为打造3800亩农业示范园,主要涉及的村落包括新庄村、西村、东村、乐在村、小松园村、还记得村及村落周边区域,建设内容为土地修整、修建灌溉排水管道、农田防护网、田间道路、旅游配套设施建设、智能温控大棚建设、看护房、育苗房、亲子田园教室、游客接待中心、农产品初加工基地、冷链物流基地及相关道路等附属工程,并配套农田输配电工程和耕地病虫害质量监测等配套基础设施建设。</w:t>
      </w:r>
    </w:p>
    <w:p>
      <w:pPr>
        <w:spacing w:line="590" w:lineRule="exact"/>
        <w:ind w:firstLine="654" w:firstLineChars="200"/>
        <w:outlineLvl w:val="1"/>
        <w:rPr>
          <w:rFonts w:ascii="楷体_GB2312" w:hAnsi="楷体_GB2312" w:eastAsia="楷体_GB2312" w:cs="楷体_GB2312"/>
          <w:spacing w:val="6"/>
          <w:szCs w:val="30"/>
        </w:rPr>
      </w:pPr>
      <w:bookmarkStart w:id="6" w:name="_Toc11617"/>
      <w:r>
        <w:rPr>
          <w:rFonts w:hint="eastAsia" w:ascii="楷体_GB2312" w:hAnsi="楷体_GB2312" w:eastAsia="楷体_GB2312" w:cs="楷体_GB2312"/>
          <w:spacing w:val="6"/>
          <w:szCs w:val="30"/>
        </w:rPr>
        <w:t>（四）项目绩效目标设立情况</w:t>
      </w:r>
      <w:bookmarkEnd w:id="6"/>
    </w:p>
    <w:p>
      <w:pPr>
        <w:spacing w:line="590" w:lineRule="exact"/>
        <w:ind w:firstLine="630" w:firstLineChars="200"/>
        <w:rPr>
          <w:rFonts w:ascii="Times New Roman" w:eastAsia="仿宋_GB2312"/>
          <w:szCs w:val="32"/>
        </w:rPr>
      </w:pPr>
      <w:bookmarkStart w:id="7" w:name="_Hlk525314309"/>
      <w:r>
        <w:rPr>
          <w:rFonts w:hint="eastAsia" w:ascii="Times New Roman" w:eastAsia="仿宋_GB2312"/>
          <w:szCs w:val="32"/>
        </w:rPr>
        <w:t>1.预算批复（申报）绩效目标和绩效指标情况</w:t>
      </w:r>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（1）预算批复（申报）绩效目标</w:t>
      </w:r>
    </w:p>
    <w:p>
      <w:pPr>
        <w:spacing w:line="590" w:lineRule="exact"/>
        <w:ind w:firstLine="654" w:firstLineChars="200"/>
        <w:rPr>
          <w:rFonts w:hint="eastAsia" w:ascii="仿宋_GB2312" w:hAnsi="仿宋_GB2312" w:eastAsia="仿宋_GB2312" w:cs="仿宋_GB2312"/>
          <w:spacing w:val="6"/>
          <w:szCs w:val="30"/>
        </w:rPr>
      </w:pPr>
      <w:r>
        <w:rPr>
          <w:rFonts w:hint="eastAsia" w:ascii="仿宋_GB2312" w:hAnsi="仿宋_GB2312" w:eastAsia="仿宋_GB2312" w:cs="仿宋_GB2312"/>
          <w:spacing w:val="6"/>
          <w:szCs w:val="30"/>
        </w:rPr>
        <w:t>总体目标（2022年-2024年）：1.本项目建设内容为土地修整、修建灌溉排水管道、农田防护网、田间道路、旅游配套设施建设、智能温控大棚建设、看护房、育苗房、亲子田园教室、游客接待中心、农产品初加工基地、冷链物流基地及相关道路等附属工程,并配套农田输配电工程和耕地病虫害质量监测等配套基础设施建设，面积约为3</w:t>
      </w:r>
      <w:r>
        <w:rPr>
          <w:rFonts w:hint="eastAsia" w:ascii="仿宋_GB2312" w:hAnsi="仿宋_GB2312" w:eastAsia="仿宋_GB2312" w:cs="仿宋_GB2312"/>
          <w:spacing w:val="6"/>
          <w:szCs w:val="30"/>
          <w:lang w:val="en-US" w:eastAsia="zh-CN"/>
        </w:rPr>
        <w:t>,</w:t>
      </w:r>
      <w:r>
        <w:rPr>
          <w:rFonts w:hint="eastAsia" w:ascii="仿宋_GB2312" w:hAnsi="仿宋_GB2312" w:eastAsia="仿宋_GB2312" w:cs="仿宋_GB2312"/>
          <w:spacing w:val="6"/>
          <w:szCs w:val="30"/>
        </w:rPr>
        <w:t>800亩。2.符合工程施工质量验收相关要求，按时投入使用。3.达到预期社会效益。</w:t>
      </w:r>
    </w:p>
    <w:p>
      <w:pPr>
        <w:spacing w:line="590" w:lineRule="exact"/>
        <w:ind w:firstLine="654" w:firstLineChars="200"/>
        <w:rPr>
          <w:rFonts w:hint="eastAsia" w:ascii="仿宋_GB2312" w:hAnsi="仿宋_GB2312" w:eastAsia="仿宋_GB2312" w:cs="仿宋_GB2312"/>
          <w:spacing w:val="6"/>
          <w:szCs w:val="30"/>
        </w:rPr>
      </w:pPr>
      <w:r>
        <w:rPr>
          <w:rFonts w:hint="eastAsia" w:ascii="仿宋_GB2312" w:hAnsi="仿宋_GB2312" w:eastAsia="仿宋_GB2312" w:cs="仿宋_GB2312"/>
          <w:spacing w:val="6"/>
          <w:szCs w:val="30"/>
        </w:rPr>
        <w:t>预算年度(2022年)目标：3</w:t>
      </w:r>
      <w:r>
        <w:rPr>
          <w:rFonts w:hint="eastAsia" w:ascii="仿宋_GB2312" w:hAnsi="仿宋_GB2312" w:eastAsia="仿宋_GB2312" w:cs="仿宋_GB2312"/>
          <w:spacing w:val="6"/>
          <w:szCs w:val="30"/>
          <w:lang w:val="en-US" w:eastAsia="zh-CN"/>
        </w:rPr>
        <w:t>,</w:t>
      </w:r>
      <w:r>
        <w:rPr>
          <w:rFonts w:hint="eastAsia" w:ascii="仿宋_GB2312" w:hAnsi="仿宋_GB2312" w:eastAsia="仿宋_GB2312" w:cs="仿宋_GB2312"/>
          <w:spacing w:val="6"/>
          <w:szCs w:val="30"/>
        </w:rPr>
        <w:t>800亩农业示范园高标准农田土壤改良，农田防护网、田间道路、旅游配套设施建设。计划总投资18,000万元。</w:t>
      </w:r>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（2）批复（下达）的绩效指标</w:t>
      </w:r>
    </w:p>
    <w:p>
      <w:pPr>
        <w:spacing w:line="590" w:lineRule="exact"/>
        <w:ind w:firstLine="654" w:firstLineChars="200"/>
        <w:rPr>
          <w:rFonts w:hint="eastAsia" w:ascii="仿宋_GB2312" w:hAnsi="仿宋_GB2312" w:eastAsia="仿宋_GB2312" w:cs="仿宋_GB2312"/>
          <w:spacing w:val="6"/>
          <w:szCs w:val="30"/>
        </w:rPr>
      </w:pPr>
      <w:r>
        <w:rPr>
          <w:rFonts w:hint="eastAsia" w:ascii="仿宋_GB2312" w:hAnsi="仿宋_GB2312" w:eastAsia="仿宋_GB2312" w:cs="仿宋_GB2312"/>
          <w:spacing w:val="6"/>
          <w:szCs w:val="30"/>
        </w:rPr>
        <w:t>根据县农业农村局2022年度项目绩效目标表，该项目绩效目标有产出指标，效益指标，满意度指标3个一级指标，细化分解成9个绩效指标：数量指标、质量指标、时效指标、成本指标、经济效益指标、社会效益指标、生态效益指标、可持续影响指标和服务对象满意度指标。</w:t>
      </w:r>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详见附件1-1《预算申报绩效目标表》。</w:t>
      </w:r>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2.绩效评价调整后的绩效目标和绩效指标情况</w:t>
      </w:r>
    </w:p>
    <w:p>
      <w:pPr>
        <w:spacing w:line="590" w:lineRule="exact"/>
        <w:ind w:firstLine="630" w:firstLineChars="200"/>
        <w:rPr>
          <w:rFonts w:ascii="仿宋_GB2312" w:hAnsi="仿宋_GB2312" w:eastAsia="仿宋_GB2312" w:cs="仿宋_GB2312"/>
          <w:spacing w:val="6"/>
          <w:szCs w:val="30"/>
        </w:rPr>
      </w:pPr>
      <w:r>
        <w:rPr>
          <w:rFonts w:hint="eastAsia" w:ascii="Times New Roman" w:eastAsia="仿宋_GB2312"/>
          <w:bCs/>
          <w:szCs w:val="32"/>
        </w:rPr>
        <w:t>富民县现代农业示范园建设</w:t>
      </w:r>
      <w:r>
        <w:rPr>
          <w:rFonts w:hint="eastAsia" w:ascii="仿宋_GB2312" w:hAnsi="仿宋_GB2312" w:eastAsia="仿宋_GB2312" w:cs="仿宋_GB2312"/>
          <w:spacing w:val="6"/>
          <w:szCs w:val="30"/>
        </w:rPr>
        <w:t>项目预算申报的绩效总体目标基本符合项目实际情况，但年度目标未明确年度内计划完成的内容和预期达到的效益。绩效指标的设置与项目实施方案规划的内容相符，但绩效目标分解的细化、量化不足，未能全面、清晰反映项目产出和效益情况。通过前期实地调研，调查组与被评价单位进行有效沟通，依据项目的实施进度、功能特性，明确项目在一定时期内的总体产出和效益，以定性和定量相结合的方式确定项目所需实现的目标，在县农业农村局项目绩效目标表的基础上对部分绩效指标进行了补充，调整后的绩效指标如下：</w:t>
      </w:r>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产出指标：数量指标更改为“土地流转完成率”和“建设任务完成量”；质量指标更改为“质量控制”；时效指标为“工程建设及时性”；成本指标更改为“项目建设成本控制”。</w:t>
      </w:r>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效益指标：经济效益指标更改为“项目运营预期总收入”；社会效益指标更改为“增加当地就业”和生态效益指标更改为“环保处罚事件”，满意度指标更改为“综合满意度”。</w:t>
      </w:r>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详见附件1-2《绩效评价绩效目标表》。</w:t>
      </w:r>
    </w:p>
    <w:bookmarkEnd w:id="7"/>
    <w:p>
      <w:pPr>
        <w:spacing w:line="590" w:lineRule="exact"/>
        <w:ind w:firstLine="654" w:firstLineChars="200"/>
        <w:outlineLvl w:val="1"/>
        <w:rPr>
          <w:rFonts w:ascii="楷体_GB2312" w:eastAsia="楷体_GB2312"/>
          <w:spacing w:val="6"/>
          <w:szCs w:val="30"/>
        </w:rPr>
      </w:pPr>
      <w:bookmarkStart w:id="8" w:name="_Toc24060"/>
      <w:r>
        <w:rPr>
          <w:rFonts w:hint="eastAsia" w:ascii="楷体_GB2312" w:hAnsi="楷体_GB2312" w:eastAsia="楷体_GB2312" w:cs="楷体_GB2312"/>
          <w:spacing w:val="6"/>
          <w:szCs w:val="30"/>
        </w:rPr>
        <w:fldChar w:fldCharType="begin"/>
      </w:r>
      <w:r>
        <w:rPr>
          <w:rFonts w:hint="eastAsia" w:ascii="楷体_GB2312" w:hAnsi="楷体_GB2312" w:eastAsia="楷体_GB2312" w:cs="楷体_GB2312"/>
          <w:spacing w:val="6"/>
          <w:szCs w:val="30"/>
        </w:rPr>
        <w:instrText xml:space="preserve"> HYPERLINK \l "_Toc434746189" </w:instrText>
      </w:r>
      <w:r>
        <w:rPr>
          <w:rFonts w:hint="eastAsia" w:ascii="楷体_GB2312" w:hAnsi="楷体_GB2312" w:eastAsia="楷体_GB2312" w:cs="楷体_GB2312"/>
          <w:spacing w:val="6"/>
          <w:szCs w:val="30"/>
        </w:rPr>
        <w:fldChar w:fldCharType="separate"/>
      </w:r>
      <w:r>
        <w:rPr>
          <w:rFonts w:hint="eastAsia" w:ascii="楷体_GB2312" w:hAnsi="楷体_GB2312" w:eastAsia="楷体_GB2312" w:cs="楷体_GB2312"/>
          <w:spacing w:val="6"/>
          <w:szCs w:val="30"/>
        </w:rPr>
        <w:t>（五）</w:t>
      </w:r>
      <w:r>
        <w:rPr>
          <w:rFonts w:hint="eastAsia" w:ascii="楷体_GB2312" w:hAnsi="楷体_GB2312" w:eastAsia="楷体_GB2312" w:cs="楷体_GB2312"/>
          <w:spacing w:val="6"/>
          <w:szCs w:val="30"/>
        </w:rPr>
        <w:fldChar w:fldCharType="end"/>
      </w:r>
      <w:r>
        <w:rPr>
          <w:rFonts w:hint="eastAsia" w:ascii="楷体_GB2312" w:hAnsi="楷体_GB2312" w:eastAsia="楷体_GB2312" w:cs="楷体_GB2312"/>
          <w:spacing w:val="6"/>
          <w:szCs w:val="30"/>
        </w:rPr>
        <w:t>组织管理情况</w:t>
      </w:r>
      <w:bookmarkEnd w:id="8"/>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1.职责分工</w:t>
      </w:r>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富民县现代农业示范园建设项目主要</w:t>
      </w:r>
      <w:r>
        <w:rPr>
          <w:rFonts w:ascii="仿宋_GB2312" w:hAnsi="仿宋_GB2312" w:eastAsia="仿宋_GB2312" w:cs="仿宋_GB2312"/>
          <w:spacing w:val="6"/>
          <w:szCs w:val="30"/>
        </w:rPr>
        <w:t>涉及</w:t>
      </w:r>
      <w:r>
        <w:rPr>
          <w:rFonts w:hint="eastAsia" w:ascii="仿宋_GB2312" w:hAnsi="仿宋_GB2312" w:eastAsia="仿宋_GB2312" w:cs="仿宋_GB2312"/>
          <w:spacing w:val="6"/>
          <w:szCs w:val="30"/>
        </w:rPr>
        <w:t>项目主管单位、实施单位和其他相关部门</w:t>
      </w:r>
      <w:r>
        <w:rPr>
          <w:rFonts w:ascii="仿宋_GB2312" w:hAnsi="仿宋_GB2312" w:eastAsia="仿宋_GB2312" w:cs="仿宋_GB2312"/>
          <w:spacing w:val="6"/>
          <w:szCs w:val="30"/>
        </w:rPr>
        <w:t>，其主要职责分工如下：</w:t>
      </w:r>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县农业农村局：作为主管部门，负责指导、协调黎乾实业有限公司开展相关工作，协调专项债券各职能部门有效开展工作，保障专项债券及时使用、合法合规使用。建立联席会议制度，根据工作需要召开会议，研究建设和专项债券使用等重大工作。</w:t>
      </w:r>
    </w:p>
    <w:p>
      <w:pPr>
        <w:spacing w:line="590" w:lineRule="exact"/>
        <w:ind w:firstLine="654" w:firstLineChars="200"/>
      </w:pPr>
      <w:r>
        <w:rPr>
          <w:rFonts w:hint="eastAsia" w:ascii="仿宋_GB2312" w:hAnsi="仿宋_GB2312" w:eastAsia="仿宋_GB2312" w:cs="仿宋_GB2312"/>
          <w:spacing w:val="6"/>
          <w:szCs w:val="30"/>
        </w:rPr>
        <w:t>项目实施单位：黎乾实业公司负责对现代农业示范园建设项目专账核算，防止挤占挪用，对所需资金发起审批流程，提出用款申请，确保建设的持续推进，每年形成专项债券资金使 用报告，并对专项债券资金使用过程中的专项债券资金使用报告及所有相关凭证、附件（原件）做好存档、归档。</w:t>
      </w:r>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其他相关部门：县发展改革局、县财政局负责立项申报审批，指导专项债券合理使用。县审计局负责对项目建设进行审计，强化程序、造价、资金、质量和绩效等方面的审计监督，并结合专项债券相关规定做好审计工作。</w:t>
      </w:r>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2.管理制度</w:t>
      </w:r>
    </w:p>
    <w:p>
      <w:pPr>
        <w:spacing w:line="590" w:lineRule="exact"/>
        <w:ind w:firstLine="654" w:firstLineChars="200"/>
        <w:rPr>
          <w:rFonts w:hint="eastAsia" w:ascii="仿宋_GB2312" w:hAnsi="仿宋_GB2312" w:eastAsia="仿宋_GB2312" w:cs="仿宋_GB2312"/>
          <w:spacing w:val="6"/>
          <w:szCs w:val="30"/>
        </w:rPr>
      </w:pPr>
      <w:r>
        <w:rPr>
          <w:rFonts w:hint="eastAsia" w:ascii="仿宋_GB2312" w:hAnsi="仿宋_GB2312" w:eastAsia="仿宋_GB2312" w:cs="仿宋_GB2312"/>
          <w:spacing w:val="6"/>
          <w:szCs w:val="30"/>
        </w:rPr>
        <w:t>富民县现代农业示范园建设项目按照《富民县人民政府办公室 关于印发&lt;富民县现代农业示范园建设项目专项债券资金使用管理办法（试行）&gt;的通知》（富政办通〔2023〕35号）对项目资金和实施过程进行管理，明确项目实施主体、监管责任，规范项目实施和专项债券管理及质量监督等环节。</w:t>
      </w:r>
    </w:p>
    <w:p>
      <w:pPr>
        <w:spacing w:line="579" w:lineRule="exact"/>
        <w:ind w:firstLine="630" w:firstLineChars="200"/>
        <w:outlineLvl w:val="0"/>
        <w:rPr>
          <w:rFonts w:ascii="黑体" w:hAnsi="宋体" w:eastAsia="黑体" w:cs="宋体"/>
          <w:szCs w:val="30"/>
        </w:rPr>
      </w:pPr>
      <w:bookmarkStart w:id="9" w:name="_Toc22390"/>
      <w:r>
        <w:rPr>
          <w:rFonts w:hint="eastAsia" w:ascii="黑体" w:hAnsi="宋体" w:eastAsia="黑体" w:cs="宋体"/>
          <w:szCs w:val="30"/>
        </w:rPr>
        <w:t>二、绩效评价工作开展情况</w:t>
      </w:r>
      <w:bookmarkEnd w:id="9"/>
    </w:p>
    <w:p>
      <w:pPr>
        <w:spacing w:line="590" w:lineRule="exact"/>
        <w:ind w:firstLine="654" w:firstLineChars="200"/>
        <w:outlineLvl w:val="1"/>
        <w:rPr>
          <w:rFonts w:ascii="楷体_GB2312" w:hAnsi="楷体_GB2312" w:eastAsia="楷体_GB2312" w:cs="楷体_GB2312"/>
          <w:spacing w:val="6"/>
          <w:szCs w:val="30"/>
        </w:rPr>
      </w:pPr>
      <w:bookmarkStart w:id="10" w:name="_Toc8277"/>
      <w:r>
        <w:rPr>
          <w:rFonts w:hint="eastAsia" w:ascii="楷体_GB2312" w:hAnsi="楷体_GB2312" w:eastAsia="楷体_GB2312" w:cs="楷体_GB2312"/>
          <w:spacing w:val="6"/>
          <w:szCs w:val="30"/>
        </w:rPr>
        <w:t>（一）绩效评价目的、对象和范围</w:t>
      </w:r>
      <w:bookmarkEnd w:id="10"/>
    </w:p>
    <w:p>
      <w:pPr>
        <w:spacing w:line="590" w:lineRule="exact"/>
        <w:ind w:firstLine="654" w:firstLineChars="200"/>
        <w:rPr>
          <w:rFonts w:hint="eastAsia" w:ascii="仿宋_GB2312" w:hAnsi="仿宋_GB2312" w:eastAsia="仿宋_GB2312" w:cs="仿宋_GB2312"/>
          <w:spacing w:val="6"/>
          <w:szCs w:val="30"/>
        </w:rPr>
      </w:pPr>
      <w:r>
        <w:rPr>
          <w:rFonts w:hint="eastAsia" w:ascii="仿宋_GB2312" w:hAnsi="仿宋_GB2312" w:eastAsia="仿宋_GB2312" w:cs="仿宋_GB2312"/>
          <w:spacing w:val="6"/>
          <w:szCs w:val="30"/>
        </w:rPr>
        <w:t>1.绩效评价的目的</w:t>
      </w:r>
    </w:p>
    <w:p>
      <w:pPr>
        <w:spacing w:line="590" w:lineRule="exact"/>
        <w:ind w:firstLine="654" w:firstLineChars="200"/>
        <w:rPr>
          <w:rFonts w:hint="eastAsia" w:ascii="仿宋_GB2312" w:hAnsi="仿宋_GB2312" w:eastAsia="仿宋_GB2312" w:cs="仿宋_GB2312"/>
          <w:spacing w:val="6"/>
          <w:szCs w:val="30"/>
        </w:rPr>
      </w:pPr>
      <w:r>
        <w:rPr>
          <w:rFonts w:hint="eastAsia" w:ascii="仿宋_GB2312" w:hAnsi="仿宋_GB2312" w:eastAsia="仿宋_GB2312" w:cs="仿宋_GB2312"/>
          <w:spacing w:val="6"/>
          <w:szCs w:val="30"/>
        </w:rPr>
        <w:t>根据富民县现代农业示范园建设项目设定的预期目标、评价指标及标准，运用科学的评价方法，对富民县现代农业示范园建设项目涉及的专债资金与项目预期收入的周期匹配性及规模匹配性，专债资金使用全过程及其支出的经济性、效率性和效益性进行客观公正的综合评价，以便衡量资金的使用绩效，分析检验项目支出是否达到预期目标。同时，及时总结经验，分析存在问题，进一步改进和加强专债资金的支出管理，提高资金的使用效益。</w:t>
      </w:r>
    </w:p>
    <w:p>
      <w:pPr>
        <w:spacing w:line="590" w:lineRule="exact"/>
        <w:ind w:firstLine="654" w:firstLineChars="200"/>
        <w:rPr>
          <w:rFonts w:hint="eastAsia" w:ascii="仿宋_GB2312" w:hAnsi="仿宋_GB2312" w:eastAsia="仿宋_GB2312" w:cs="仿宋_GB2312"/>
          <w:spacing w:val="6"/>
          <w:szCs w:val="30"/>
        </w:rPr>
      </w:pPr>
      <w:r>
        <w:rPr>
          <w:rFonts w:hint="eastAsia" w:ascii="仿宋_GB2312" w:hAnsi="仿宋_GB2312" w:eastAsia="仿宋_GB2312" w:cs="仿宋_GB2312"/>
          <w:spacing w:val="6"/>
          <w:szCs w:val="30"/>
        </w:rPr>
        <w:t>2.绩效评价的对象和范围</w:t>
      </w:r>
    </w:p>
    <w:p>
      <w:pPr>
        <w:spacing w:line="590" w:lineRule="exact"/>
        <w:ind w:firstLine="654" w:firstLineChars="200"/>
        <w:rPr>
          <w:rFonts w:hint="eastAsia" w:ascii="仿宋_GB2312" w:hAnsi="仿宋_GB2312" w:eastAsia="仿宋_GB2312" w:cs="仿宋_GB2312"/>
          <w:spacing w:val="6"/>
          <w:szCs w:val="30"/>
        </w:rPr>
      </w:pPr>
      <w:r>
        <w:rPr>
          <w:rFonts w:hint="eastAsia" w:ascii="仿宋_GB2312" w:hAnsi="仿宋_GB2312" w:eastAsia="仿宋_GB2312" w:cs="仿宋_GB2312"/>
          <w:spacing w:val="6"/>
          <w:szCs w:val="30"/>
        </w:rPr>
        <w:t>本次绩效评价的对象为富民县现代农业示范园建设项目。评价范围涉及现代农业示范园建设项目设立程序的规范性，专债资金管理及使用的规范性，资金制度及项目制度健全性，工程建设进展、项目成本控制，项目实施效益等内容。</w:t>
      </w:r>
    </w:p>
    <w:p>
      <w:pPr>
        <w:spacing w:line="590" w:lineRule="exact"/>
        <w:ind w:firstLine="654" w:firstLineChars="200"/>
        <w:outlineLvl w:val="1"/>
        <w:rPr>
          <w:rFonts w:ascii="楷体_GB2312" w:hAnsi="楷体_GB2312" w:eastAsia="楷体_GB2312" w:cs="楷体_GB2312"/>
          <w:spacing w:val="6"/>
          <w:szCs w:val="30"/>
        </w:rPr>
      </w:pPr>
      <w:bookmarkStart w:id="11" w:name="_Toc24645"/>
      <w:r>
        <w:rPr>
          <w:rFonts w:hint="eastAsia" w:ascii="楷体_GB2312" w:hAnsi="楷体_GB2312" w:eastAsia="楷体_GB2312" w:cs="楷体_GB2312"/>
          <w:spacing w:val="6"/>
          <w:szCs w:val="30"/>
        </w:rPr>
        <w:t>（二）绩效评价原则、指标体系、方法、标准和抽样</w:t>
      </w:r>
      <w:bookmarkEnd w:id="11"/>
    </w:p>
    <w:p>
      <w:pPr>
        <w:spacing w:line="590" w:lineRule="exact"/>
        <w:ind w:firstLine="654" w:firstLineChars="200"/>
        <w:rPr>
          <w:rFonts w:hint="eastAsia" w:ascii="仿宋_GB2312" w:hAnsi="仿宋_GB2312" w:eastAsia="仿宋_GB2312" w:cs="仿宋_GB2312"/>
          <w:spacing w:val="6"/>
          <w:szCs w:val="30"/>
        </w:rPr>
      </w:pPr>
      <w:r>
        <w:rPr>
          <w:rFonts w:hint="eastAsia" w:ascii="仿宋_GB2312" w:hAnsi="仿宋_GB2312" w:eastAsia="仿宋_GB2312" w:cs="仿宋_GB2312"/>
          <w:spacing w:val="6"/>
          <w:szCs w:val="30"/>
        </w:rPr>
        <w:t>1.绩效评价原则</w:t>
      </w:r>
    </w:p>
    <w:p>
      <w:pPr>
        <w:spacing w:line="590" w:lineRule="exact"/>
        <w:ind w:firstLine="654" w:firstLineChars="200"/>
        <w:rPr>
          <w:rFonts w:hint="eastAsia" w:ascii="仿宋_GB2312" w:hAnsi="仿宋_GB2312" w:eastAsia="仿宋_GB2312" w:cs="仿宋_GB2312"/>
          <w:spacing w:val="6"/>
          <w:szCs w:val="30"/>
        </w:rPr>
      </w:pPr>
      <w:r>
        <w:rPr>
          <w:rFonts w:hint="eastAsia" w:ascii="仿宋_GB2312" w:hAnsi="仿宋_GB2312" w:eastAsia="仿宋_GB2312" w:cs="仿宋_GB2312"/>
          <w:spacing w:val="6"/>
          <w:szCs w:val="30"/>
        </w:rPr>
        <w:t>本次绩效评价遵循科学公正、统筹兼顾、激励约束、公开透明的基本原则：</w:t>
      </w:r>
    </w:p>
    <w:p>
      <w:pPr>
        <w:spacing w:line="590" w:lineRule="exact"/>
        <w:ind w:firstLine="654" w:firstLineChars="200"/>
        <w:rPr>
          <w:rFonts w:hint="eastAsia" w:ascii="仿宋_GB2312" w:hAnsi="仿宋_GB2312" w:eastAsia="仿宋_GB2312" w:cs="仿宋_GB2312"/>
          <w:spacing w:val="6"/>
          <w:szCs w:val="30"/>
        </w:rPr>
      </w:pPr>
      <w:r>
        <w:rPr>
          <w:rFonts w:hint="eastAsia" w:ascii="仿宋_GB2312" w:hAnsi="仿宋_GB2312" w:eastAsia="仿宋_GB2312" w:cs="仿宋_GB2312"/>
          <w:spacing w:val="6"/>
          <w:szCs w:val="30"/>
        </w:rPr>
        <w:t>（1）科学公正。绩效评价应当运用科学合理的方法，按照规范的程序，对项目绩效进行客观、公正的反映。</w:t>
      </w:r>
    </w:p>
    <w:p>
      <w:pPr>
        <w:spacing w:line="590" w:lineRule="exact"/>
        <w:ind w:firstLine="654" w:firstLineChars="200"/>
        <w:rPr>
          <w:rFonts w:hint="eastAsia" w:ascii="仿宋_GB2312" w:hAnsi="仿宋_GB2312" w:eastAsia="仿宋_GB2312" w:cs="仿宋_GB2312"/>
          <w:spacing w:val="6"/>
          <w:szCs w:val="30"/>
        </w:rPr>
      </w:pPr>
      <w:r>
        <w:rPr>
          <w:rFonts w:hint="eastAsia" w:ascii="仿宋_GB2312" w:hAnsi="仿宋_GB2312" w:eastAsia="仿宋_GB2312" w:cs="仿宋_GB2312"/>
          <w:spacing w:val="6"/>
          <w:szCs w:val="30"/>
        </w:rPr>
        <w:t>（2）统筹兼顾。单位自评、部门评价和财政评价应职责明确，各有侧重，相互衔接。</w:t>
      </w:r>
    </w:p>
    <w:p>
      <w:pPr>
        <w:spacing w:line="590" w:lineRule="exact"/>
        <w:ind w:firstLine="654" w:firstLineChars="200"/>
        <w:rPr>
          <w:rFonts w:hint="eastAsia" w:ascii="仿宋_GB2312" w:hAnsi="仿宋_GB2312" w:eastAsia="仿宋_GB2312" w:cs="仿宋_GB2312"/>
          <w:spacing w:val="6"/>
          <w:szCs w:val="30"/>
        </w:rPr>
      </w:pPr>
      <w:r>
        <w:rPr>
          <w:rFonts w:hint="eastAsia" w:ascii="仿宋_GB2312" w:hAnsi="仿宋_GB2312" w:eastAsia="仿宋_GB2312" w:cs="仿宋_GB2312"/>
          <w:spacing w:val="6"/>
          <w:szCs w:val="30"/>
        </w:rPr>
        <w:t>（3）激励约束。绩效评价结果应与预算安排、政策调整、改进管理实质性挂钩，体现奖优罚劣和激励相容导向，有效要安排、低效要压减、无效要问责。</w:t>
      </w:r>
    </w:p>
    <w:p>
      <w:pPr>
        <w:spacing w:line="590" w:lineRule="exact"/>
        <w:ind w:firstLine="654" w:firstLineChars="200"/>
        <w:rPr>
          <w:rFonts w:hint="eastAsia" w:ascii="仿宋_GB2312" w:hAnsi="仿宋_GB2312" w:eastAsia="仿宋_GB2312" w:cs="仿宋_GB2312"/>
          <w:spacing w:val="6"/>
          <w:szCs w:val="30"/>
        </w:rPr>
      </w:pPr>
      <w:r>
        <w:rPr>
          <w:rFonts w:hint="eastAsia" w:ascii="仿宋_GB2312" w:hAnsi="仿宋_GB2312" w:eastAsia="仿宋_GB2312" w:cs="仿宋_GB2312"/>
          <w:spacing w:val="6"/>
          <w:szCs w:val="30"/>
        </w:rPr>
        <w:t>（4）公开透明。绩效评价结果应依法依规公开，并自觉接受社会监督。</w:t>
      </w:r>
    </w:p>
    <w:p>
      <w:pPr>
        <w:spacing w:line="590" w:lineRule="exact"/>
        <w:ind w:firstLine="654" w:firstLineChars="200"/>
        <w:rPr>
          <w:rFonts w:hint="eastAsia" w:ascii="仿宋_GB2312" w:hAnsi="仿宋_GB2312" w:eastAsia="仿宋_GB2312" w:cs="仿宋_GB2312"/>
          <w:spacing w:val="6"/>
          <w:szCs w:val="30"/>
        </w:rPr>
      </w:pPr>
      <w:r>
        <w:rPr>
          <w:rFonts w:hint="eastAsia" w:ascii="仿宋_GB2312" w:hAnsi="仿宋_GB2312" w:eastAsia="仿宋_GB2312" w:cs="仿宋_GB2312"/>
          <w:spacing w:val="6"/>
          <w:szCs w:val="30"/>
        </w:rPr>
        <w:t>2.绩效评价指标体系</w:t>
      </w:r>
    </w:p>
    <w:p>
      <w:pPr>
        <w:spacing w:line="590" w:lineRule="exact"/>
        <w:ind w:firstLine="654" w:firstLineChars="200"/>
        <w:rPr>
          <w:rFonts w:hint="eastAsia" w:ascii="仿宋_GB2312" w:hAnsi="仿宋_GB2312" w:eastAsia="仿宋_GB2312" w:cs="仿宋_GB2312"/>
          <w:spacing w:val="6"/>
          <w:szCs w:val="30"/>
        </w:rPr>
      </w:pPr>
      <w:r>
        <w:rPr>
          <w:rFonts w:hint="eastAsia" w:ascii="仿宋_GB2312" w:hAnsi="仿宋_GB2312" w:eastAsia="仿宋_GB2312" w:cs="仿宋_GB2312"/>
          <w:spacing w:val="6"/>
          <w:szCs w:val="30"/>
        </w:rPr>
        <w:t>（1）绩效评价指标</w:t>
      </w:r>
    </w:p>
    <w:p>
      <w:pPr>
        <w:spacing w:line="590" w:lineRule="exact"/>
        <w:ind w:firstLine="654" w:firstLineChars="200"/>
        <w:rPr>
          <w:rFonts w:hint="eastAsia" w:ascii="仿宋_GB2312" w:hAnsi="仿宋_GB2312" w:eastAsia="仿宋_GB2312" w:cs="仿宋_GB2312"/>
          <w:spacing w:val="6"/>
          <w:szCs w:val="30"/>
        </w:rPr>
      </w:pPr>
      <w:r>
        <w:rPr>
          <w:rFonts w:hint="eastAsia" w:ascii="仿宋_GB2312" w:hAnsi="仿宋_GB2312" w:eastAsia="仿宋_GB2312" w:cs="仿宋_GB2312"/>
          <w:spacing w:val="6"/>
          <w:szCs w:val="30"/>
        </w:rPr>
        <w:t>根据项目相关性、重要性、可比性、经济性、系统性原则，结合《中共富民县委 富民县人民政府关于全面实施预算绩效管理的实施意见》（富发〔2019〕16号）及《昆明市财政局关于下达2022年第三批专项债券额度的通知》（昆财债〔2022〕60号）等相关规定设立指标，本项目设置4个一级指标（决策、过程、产出、效果）；15个二级指标（项目立项、前期工作、专项债券安排、绩效目标、专项债券管理、资金使用管理情况、项目管理、产出数量、产出质量、产出时效、产出成本、经济效益、社会效益、生态效益、满意度）；三级指标29个。</w:t>
      </w:r>
    </w:p>
    <w:p>
      <w:pPr>
        <w:spacing w:line="590" w:lineRule="exact"/>
        <w:ind w:firstLine="654" w:firstLineChars="200"/>
        <w:rPr>
          <w:rFonts w:hint="eastAsia" w:ascii="仿宋_GB2312" w:hAnsi="仿宋_GB2312" w:eastAsia="仿宋_GB2312" w:cs="仿宋_GB2312"/>
          <w:spacing w:val="6"/>
          <w:szCs w:val="30"/>
        </w:rPr>
      </w:pPr>
      <w:r>
        <w:rPr>
          <w:rFonts w:hint="eastAsia" w:ascii="仿宋_GB2312" w:hAnsi="仿宋_GB2312" w:eastAsia="仿宋_GB2312" w:cs="仿宋_GB2312"/>
          <w:spacing w:val="6"/>
          <w:szCs w:val="30"/>
        </w:rPr>
        <w:t>详见附件2《绩效评价指标体系及评分表》。</w:t>
      </w:r>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（2）绩效评价指标分值权重</w:t>
      </w:r>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绩效评价指标体系从决策、过程、产出、效益四个方面进行构建。结合前期调研所获取的信息可知，富民县现代农业示范园建设项目处于建设中，部分建设细节进行变更，经综合判断各评价指标对实现绩效目标的关键程度，着重考核项目专债资金管理及使用、制度健全性、过程管理和工程管理，确定本次绩效评价的一级指标权重分别为：决策15%、过程30%、产出30%、效益25%。</w:t>
      </w:r>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（3）指标解释</w:t>
      </w:r>
    </w:p>
    <w:p>
      <w:pPr>
        <w:spacing w:line="590" w:lineRule="exact"/>
        <w:ind w:firstLine="654" w:firstLineChars="200"/>
      </w:pPr>
      <w:r>
        <w:rPr>
          <w:rFonts w:hint="eastAsia" w:ascii="仿宋_GB2312" w:hAnsi="仿宋_GB2312" w:eastAsia="仿宋_GB2312" w:cs="仿宋_GB2312"/>
          <w:spacing w:val="6"/>
          <w:szCs w:val="30"/>
        </w:rPr>
        <w:t>绩效评价指标从“决策、过程、产出、效益”四个方面，对项目执行效益及各项绩效目标的实现程度进行全面绩效评价。</w:t>
      </w:r>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决策”：主要考核项目立项依据充分性、立项程序规范性、前期工作准备充分性、前期工作开展规范性、项目与专项债券支持领域及方向匹配性、项目申报专项债券额度与实际需要匹配性、绩效目标合理性、绩效指标明确性，评价项目立项是否充分，专债资金申报是否科学合理。</w:t>
      </w:r>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过程”：主要围绕专项债券管理、资金使用管理情况和项目管理为主线展开，依据专债资金管理、专债使用合规性和项目管理设计考核点，评价项目专项债券预算管理规范性、专项债券资金实际成本、专项债券本息偿还计划执行情况、项目收入、成本及预期收益合理性、专项债券期限结构合理性、资金到位率、资金使用率、资金拨付和支出进度与项目建设进度匹配性、资金使用合规性、管理制度健全性、项目运营制度健全性、专项债券项目信息管理规范性等。</w:t>
      </w:r>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产出”：指标是根据项目特点和立项背景、目的、项目实施内容、预期产出设计的个性指标。“产出”指标从“产出数量、产出质量、产出时效、产出成本”四个方面考核是否达到项目实施的相关产出要求，设置“土地流转完成率”和“建设任务完成量”，考核项目完成年度工程建设任务情况，工程建设任务完成情况是否按批复的建设任务要求落实，是否与批复的可行性研究报告建设任务相一致；设置“质量控制”指标，考核工程是否符合设计及相关工程质量管理行业要求，各阶段工程验收是否符合工程建设程序规定；设置“工程建设及时性”指标，考核项目是否按组织施工计划工期开展工作，考核项目建设进度与计划进度匹配性；设置“项目建设成本控制”指标，考核项目计划工作目标的实际节约成本与计划成本的比率，考核工程采购的主要材料单价是否大幅高于招标控制价，是否大额增加工程量的签证变更单等情况。</w:t>
      </w:r>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效益”：指标综合反映项目实施后项目效益的实现程度，分别从经济效益、社会效益、生态效益、满意度四个方面，设置“项目运营预期总收入”指标，考核项目建成投入运营后项目的预期总收入，分析项目预期总收入是否可实现；设置“增加当地就业”指标，考核现代农业示范园建设项目投入运营后，是否能够带动当地居民增加就业；设置“环保处罚事件”指标，考核项目建设过程是否因固体、粉尘及声噪等污染事项受到环保部门的处罚；设置“综合满意度”指标，反映行业主管部门、项目运营单位及受益对象等对现代农业示范园项目建设项目的综合满意程度。</w:t>
      </w:r>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3.绩效评价方法</w:t>
      </w:r>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本次绩效评价采用比较法、资金审核法、公众评判法及综合评价法等评价方法进行评价。</w:t>
      </w:r>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（1）比较法</w:t>
      </w:r>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依据项目设立时的预算申报文件、预算批复下达文件，批复的可行性研究报告、实际工程建设等资料进行纵向对比，通过对比项目预期目标和实际产出与效益，分析项目产出数量、质量的完成情况，分析项目实施产生的社会效益、经济效益、生态效益、满意度等效益指标，并对相关佐证资料进行逐一分析、对比分析项目预期目标的实现情况。</w:t>
      </w:r>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（2）资金审核法</w:t>
      </w:r>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通过对财务原始凭证的核查，对资金拨付及使用情况进行梳理和检查，对未及时拨付、资金沉淀闲置的原因进行追溯分析，结合各种统计报表对相关数据勾稽关系进行对比分析，发现疑点时应延伸检查，通过对资金流向的追溯，判断资金使用的合规性、合理性和相关性。</w:t>
      </w:r>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（3）公众评判法</w:t>
      </w:r>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通过现场调查、座（访）谈及二维码发放电子调查问卷等方式，了解现代农业示范园项目在项目建设、工程管理、专债管理及使用等环节中存在问题，以及项目完工后对当地社会、经济、生态、群众生产生活等各方面的正（负）面影响，同时获取主管部门、建设单位、受益群众等对富民县现代农业示范园建设项目的满意度评价、项目改进意见建议。评价组也将调查、座（访）谈及调查问卷获取的数据作为项目建设成效、综合满意度提供定性与定量评价的依据。</w:t>
      </w:r>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（4）综合评价法</w:t>
      </w:r>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从县农业农村局、黎乾实业公司获取项目立项政策文件、预算批复、项目管理和资金管理办法、自评报告、项目规划方案、可行性研究、招标采购及合同、工程管理及资金收支会计账簿等资料，通过查阅资料了解工程建设情况和绩效目标的实现情况，为评价工作收集充分、有效的证据。综合从决策、过程、产出、效益四个维度出发，结合项目特点与重点设置评价指标体系，并设置相应的指标权重与评分标准，评价时根据评价标准对每一指标分别打分，最后累计算出总分。</w:t>
      </w:r>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4.评价标准</w:t>
      </w:r>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绩效评价标准通常包括计划标准、其它标准等，用于对绩效指标完成情况进行比较。本次绩效评价中主要使用两类标准进行评价：</w:t>
      </w:r>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lang w:eastAsia="zh-CN"/>
        </w:rPr>
        <w:t>（</w:t>
      </w:r>
      <w:r>
        <w:rPr>
          <w:rFonts w:hint="eastAsia" w:ascii="仿宋_GB2312" w:hAnsi="仿宋_GB2312" w:eastAsia="仿宋_GB2312" w:cs="仿宋_GB2312"/>
          <w:spacing w:val="6"/>
          <w:szCs w:val="30"/>
        </w:rPr>
        <w:t>1</w:t>
      </w:r>
      <w:r>
        <w:rPr>
          <w:rFonts w:hint="eastAsia" w:ascii="仿宋_GB2312" w:hAnsi="仿宋_GB2312" w:eastAsia="仿宋_GB2312" w:cs="仿宋_GB2312"/>
          <w:spacing w:val="6"/>
          <w:szCs w:val="30"/>
          <w:lang w:eastAsia="zh-CN"/>
        </w:rPr>
        <w:t>）</w:t>
      </w:r>
      <w:r>
        <w:rPr>
          <w:rFonts w:hint="eastAsia" w:ascii="仿宋_GB2312" w:hAnsi="仿宋_GB2312" w:eastAsia="仿宋_GB2312" w:cs="仿宋_GB2312"/>
          <w:spacing w:val="6"/>
          <w:szCs w:val="30"/>
        </w:rPr>
        <w:t>计划标准：根据项目可行性研究批复、初步设计批复、实施方案等对项目申报时设置的绩效目标及绩效指标进行调整，并以调整后的绩效目标、绩效指标作为绩效评价的计划标准；</w:t>
      </w:r>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lang w:eastAsia="zh-CN"/>
        </w:rPr>
        <w:t>（</w:t>
      </w:r>
      <w:r>
        <w:rPr>
          <w:rFonts w:hint="eastAsia" w:ascii="仿宋_GB2312" w:hAnsi="仿宋_GB2312" w:eastAsia="仿宋_GB2312" w:cs="仿宋_GB2312"/>
          <w:spacing w:val="6"/>
          <w:szCs w:val="30"/>
        </w:rPr>
        <w:t>2</w:t>
      </w:r>
      <w:r>
        <w:rPr>
          <w:rFonts w:hint="eastAsia" w:ascii="仿宋_GB2312" w:hAnsi="仿宋_GB2312" w:eastAsia="仿宋_GB2312" w:cs="仿宋_GB2312"/>
          <w:spacing w:val="6"/>
          <w:szCs w:val="30"/>
          <w:lang w:eastAsia="zh-CN"/>
        </w:rPr>
        <w:t>）</w:t>
      </w:r>
      <w:r>
        <w:rPr>
          <w:rFonts w:hint="eastAsia" w:ascii="仿宋_GB2312" w:hAnsi="仿宋_GB2312" w:eastAsia="仿宋_GB2312" w:cs="仿宋_GB2312"/>
          <w:spacing w:val="6"/>
          <w:szCs w:val="30"/>
        </w:rPr>
        <w:t>其它标准：对部分没有申报参考依据的指标，主要用县农业农村局等部门认可的其他标准进行评价，例如：《建设工程质量管理条例》《建设工程质量验收统一标准》等。</w:t>
      </w:r>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本次评价采用百分制，各级指标依据其指标权重确定分值，评价人员根据评价情况对各级指标进行打分，最终得分由各级评价指标得分加总得到。根据最终得分情况将评价标准分为四个等级：优（得分≥90分）；良（80分≤得分＜90分）；中（60分≤得分＜80分）；差（得分＜60分）。</w:t>
      </w:r>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 xml:space="preserve"> 5.绩效评价抽样 </w:t>
      </w:r>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 xml:space="preserve"> 本次评价对项目采用项目资料及项目资金100%全覆盖的方式开展抽样工作。富民县现代农业示范园建设项目2022年资金总量6,000万元，抽样资金6,000万元，抽样比例为100%。同时，评价组对黎乾实业公司收到的其他补助资金及自行筹集的资金，进行了延伸评价。</w:t>
      </w:r>
    </w:p>
    <w:p>
      <w:pPr>
        <w:spacing w:line="590" w:lineRule="exact"/>
        <w:ind w:firstLine="654" w:firstLineChars="200"/>
        <w:outlineLvl w:val="1"/>
        <w:rPr>
          <w:rFonts w:ascii="楷体_GB2312" w:hAnsi="楷体_GB2312" w:eastAsia="楷体_GB2312" w:cs="楷体_GB2312"/>
          <w:spacing w:val="6"/>
          <w:szCs w:val="30"/>
        </w:rPr>
      </w:pPr>
      <w:bookmarkStart w:id="12" w:name="_Toc24957"/>
      <w:r>
        <w:rPr>
          <w:rFonts w:hint="eastAsia" w:ascii="楷体_GB2312" w:hAnsi="楷体_GB2312" w:eastAsia="楷体_GB2312" w:cs="楷体_GB2312"/>
          <w:spacing w:val="6"/>
          <w:szCs w:val="30"/>
        </w:rPr>
        <w:t>（三）绩效评价工作过程</w:t>
      </w:r>
      <w:bookmarkEnd w:id="12"/>
    </w:p>
    <w:p>
      <w:pPr>
        <w:spacing w:line="590" w:lineRule="exact"/>
        <w:ind w:firstLine="630" w:firstLineChars="200"/>
        <w:rPr>
          <w:rFonts w:ascii="仿宋_GB2312" w:hAnsi="仿宋_GB2312" w:eastAsia="仿宋_GB2312" w:cs="仿宋_GB2312"/>
          <w:spacing w:val="6"/>
          <w:szCs w:val="30"/>
        </w:rPr>
      </w:pPr>
      <w:r>
        <w:rPr>
          <w:rFonts w:hint="eastAsia" w:hAnsi="仿宋"/>
          <w:szCs w:val="30"/>
        </w:rPr>
        <w:t>1.</w:t>
      </w:r>
      <w:r>
        <w:rPr>
          <w:rFonts w:hint="eastAsia" w:ascii="仿宋_GB2312" w:hAnsi="仿宋_GB2312" w:eastAsia="仿宋_GB2312" w:cs="仿宋_GB2312"/>
          <w:spacing w:val="6"/>
          <w:szCs w:val="30"/>
        </w:rPr>
        <w:t>开展前期调研</w:t>
      </w:r>
    </w:p>
    <w:p>
      <w:pPr>
        <w:spacing w:line="579" w:lineRule="exact"/>
        <w:ind w:firstLine="654" w:firstLineChars="200"/>
        <w:rPr>
          <w:rFonts w:hAnsi="仿宋"/>
          <w:szCs w:val="30"/>
        </w:rPr>
      </w:pPr>
      <w:r>
        <w:rPr>
          <w:rFonts w:hint="eastAsia" w:ascii="仿宋_GB2312" w:hAnsi="仿宋_GB2312" w:eastAsia="仿宋_GB2312" w:cs="仿宋_GB2312"/>
          <w:spacing w:val="6"/>
          <w:szCs w:val="30"/>
        </w:rPr>
        <w:t>在接受委托对项目开展绩效评价后，评价工作组及时与县农业农村局沟通，了解项目的基本情况，包括项目实施背景、实施内容、预算安排情况、组织实施流程、资金拨付情况、项目进度情况、绩效自评情况等，并收集相关文件资料。组织组员对收集到的与项目相关的文件资料进行研读，并查阅与项目实施密切相关的规章制度、文件规定，力求对项目全方位了解。</w:t>
      </w:r>
    </w:p>
    <w:p>
      <w:pPr>
        <w:spacing w:line="579"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2.数据填报和采集</w:t>
      </w:r>
    </w:p>
    <w:p>
      <w:pPr>
        <w:spacing w:line="579"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评价工作组就所需采集的数据与实地评价的抽样单位进行沟通，并赴现场收集项目资金使用情况、目标完成情况、项目管理制度与执行情况及效果实现情况等相关资料，所有数据经核查后汇总。</w:t>
      </w:r>
    </w:p>
    <w:p>
      <w:pPr>
        <w:spacing w:line="579"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3.社会调查</w:t>
      </w:r>
    </w:p>
    <w:p>
      <w:pPr>
        <w:spacing w:line="590" w:lineRule="exact"/>
        <w:ind w:firstLine="654" w:firstLineChars="200"/>
        <w:rPr>
          <w:rFonts w:hint="eastAsia" w:ascii="仿宋_GB2312" w:hAnsi="仿宋_GB2312" w:eastAsia="仿宋_GB2312" w:cs="仿宋_GB2312"/>
          <w:spacing w:val="6"/>
          <w:szCs w:val="30"/>
        </w:rPr>
      </w:pPr>
      <w:r>
        <w:rPr>
          <w:rFonts w:hint="eastAsia" w:ascii="仿宋_GB2312" w:hAnsi="仿宋_GB2312" w:eastAsia="仿宋_GB2312" w:cs="仿宋_GB2312"/>
          <w:spacing w:val="6"/>
          <w:szCs w:val="30"/>
        </w:rPr>
        <w:t>根据确定的调查对象、调查内容和抽样方式，评价工作组以问卷调查的形式对富民县现代农业示范园建设项目开展满意度调查，共发放问卷122份，回收有效问卷122份，问卷有效回收率100%。</w:t>
      </w:r>
    </w:p>
    <w:p>
      <w:pPr>
        <w:spacing w:line="579"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4.综合分析评价及报告撰写</w:t>
      </w:r>
    </w:p>
    <w:p>
      <w:pPr>
        <w:spacing w:line="579"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（1）数据整理</w:t>
      </w:r>
    </w:p>
    <w:p>
      <w:pPr>
        <w:spacing w:line="579"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评价工作组在评价实施过程中，采用合理方法对收集的基础资料进行分类整理、核实和全面分析，要求被评价单位对资料及时补充，对存在疑问的重要基础数据资料进行解释说明。通过充分收集、分析和加工数据信息，形成对绩效评价宏观与微观层面的数据信息支撑。</w:t>
      </w:r>
    </w:p>
    <w:p>
      <w:pPr>
        <w:spacing w:line="579"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（2）绩效分析与评分</w:t>
      </w:r>
    </w:p>
    <w:p>
      <w:pPr>
        <w:spacing w:line="579"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按照评价确定的评价指标、评价标准和评价方法，根据评价基础数据，对评价对象的绩效情况进行全面的定量、定性分析和量化评分。一是绩效评价指标分析，结合评价指标体系中决策、过程、产出、效益四个方面分别分析各指标的评价情况；二是对绩效目标实际完成情况进行量化、具体分析。完成绩效分析后运用既定的评价标准和评价方法，根据收集整理的数据和分析结果，对各项指标进行打分。根据各项指标权重，算出综合绩效分值，根据绩效得分，确定绩效等级。</w:t>
      </w:r>
    </w:p>
    <w:p>
      <w:pPr>
        <w:spacing w:line="579"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（3）综合评价</w:t>
      </w:r>
    </w:p>
    <w:p>
      <w:pPr>
        <w:spacing w:line="579"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在对评价对象的绩效情况进行全面的定量、定性分析、量化评分的基础上，总结分析评价对象总体的绩效情况及相关经验与做法，形成初步评价结论。并以事实为依据，认真梳理评价过程中发现的问题，剖析影响绩效的主要问题，分析产生问题的原因。针对存在的问题，总结教训，提出对策建议。</w:t>
      </w:r>
    </w:p>
    <w:p>
      <w:pPr>
        <w:spacing w:line="579"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（4）撰写报告</w:t>
      </w:r>
    </w:p>
    <w:p>
      <w:pPr>
        <w:spacing w:line="579" w:lineRule="exact"/>
        <w:ind w:firstLine="654" w:firstLineChars="200"/>
        <w:rPr>
          <w:rFonts w:ascii="仿宋_GB2312" w:hAnsi="仿宋_GB2312" w:eastAsia="仿宋_GB2312" w:cs="仿宋_GB2312"/>
          <w:spacing w:val="6"/>
          <w:sz w:val="32"/>
          <w:szCs w:val="32"/>
        </w:rPr>
      </w:pPr>
      <w:r>
        <w:rPr>
          <w:rFonts w:hint="eastAsia" w:ascii="仿宋_GB2312" w:hAnsi="仿宋_GB2312" w:eastAsia="仿宋_GB2312" w:cs="仿宋_GB2312"/>
          <w:spacing w:val="6"/>
          <w:szCs w:val="30"/>
        </w:rPr>
        <w:t>项目组根据绩效评价的原理和县财政局的要求，提炼结论、撰写报告，并与被评审单位保持充分的沟通，确保每个观点均有理有据后，形成最终的绩效评价报告。</w:t>
      </w:r>
    </w:p>
    <w:p>
      <w:pPr>
        <w:spacing w:line="579" w:lineRule="exact"/>
        <w:ind w:firstLine="630" w:firstLineChars="200"/>
        <w:outlineLvl w:val="0"/>
        <w:rPr>
          <w:rFonts w:ascii="黑体" w:hAnsi="宋体" w:eastAsia="黑体" w:cs="宋体"/>
          <w:szCs w:val="30"/>
        </w:rPr>
      </w:pPr>
      <w:bookmarkStart w:id="13" w:name="_Toc10405"/>
      <w:r>
        <w:rPr>
          <w:rFonts w:hint="eastAsia" w:ascii="黑体" w:hAnsi="宋体" w:eastAsia="黑体" w:cs="宋体"/>
          <w:szCs w:val="30"/>
        </w:rPr>
        <w:t>三、绩效评价结论</w:t>
      </w:r>
      <w:bookmarkEnd w:id="13"/>
    </w:p>
    <w:p>
      <w:pPr>
        <w:spacing w:line="590" w:lineRule="exact"/>
        <w:ind w:firstLine="654" w:firstLineChars="200"/>
        <w:outlineLvl w:val="1"/>
        <w:rPr>
          <w:rFonts w:ascii="楷体_GB2312" w:hAnsi="楷体_GB2312" w:eastAsia="楷体_GB2312" w:cs="楷体_GB2312"/>
          <w:spacing w:val="6"/>
          <w:szCs w:val="30"/>
        </w:rPr>
      </w:pPr>
      <w:bookmarkStart w:id="14" w:name="_Toc2286"/>
      <w:r>
        <w:rPr>
          <w:rFonts w:hint="eastAsia" w:ascii="楷体_GB2312" w:hAnsi="楷体_GB2312" w:eastAsia="楷体_GB2312" w:cs="楷体_GB2312"/>
          <w:spacing w:val="6"/>
          <w:szCs w:val="30"/>
        </w:rPr>
        <w:t>（一）绩效评价综合结论</w:t>
      </w:r>
      <w:bookmarkEnd w:id="14"/>
    </w:p>
    <w:p>
      <w:pPr>
        <w:spacing w:line="590" w:lineRule="exact"/>
        <w:ind w:firstLine="654" w:firstLineChars="200"/>
        <w:rPr>
          <w:rFonts w:ascii="仿宋_GB2312" w:hAnsi="仿宋_GB2312" w:eastAsia="仿宋_GB2312" w:cs="仿宋_GB2312"/>
          <w:spacing w:val="6"/>
          <w:szCs w:val="30"/>
        </w:rPr>
      </w:pPr>
      <w:bookmarkStart w:id="15" w:name="_Hlk525314439"/>
      <w:r>
        <w:rPr>
          <w:rFonts w:hint="eastAsia" w:ascii="仿宋_GB2312" w:hAnsi="仿宋_GB2312" w:eastAsia="仿宋_GB2312" w:cs="仿宋_GB2312"/>
          <w:spacing w:val="6"/>
          <w:szCs w:val="30"/>
        </w:rPr>
        <w:t>富民县现代农业示范园建设项目绩效评价得分83.90分，评价等级为“良”。一级指标具体得分情况详见下表：</w:t>
      </w:r>
    </w:p>
    <w:p>
      <w:pPr>
        <w:jc w:val="center"/>
        <w:rPr>
          <w:rFonts w:ascii="黑体" w:hAnsi="黑体" w:eastAsia="黑体" w:cs="宋体"/>
          <w:bCs/>
          <w:sz w:val="24"/>
          <w:szCs w:val="24"/>
        </w:rPr>
      </w:pPr>
      <w:r>
        <w:rPr>
          <w:rFonts w:hint="eastAsia" w:ascii="黑体" w:hAnsi="黑体" w:eastAsia="黑体" w:cs="宋体"/>
          <w:bCs/>
          <w:sz w:val="24"/>
          <w:szCs w:val="24"/>
        </w:rPr>
        <w:t>表2：绩效评价得分情况表</w:t>
      </w:r>
    </w:p>
    <w:tbl>
      <w:tblPr>
        <w:tblStyle w:val="20"/>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2212"/>
        <w:gridCol w:w="2439"/>
        <w:gridCol w:w="1983"/>
        <w:gridCol w:w="2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blHeader/>
          <w:jc w:val="center"/>
        </w:trPr>
        <w:tc>
          <w:tcPr>
            <w:tcW w:w="2212" w:type="dxa"/>
            <w:tcBorders>
              <w:top w:val="single" w:color="auto" w:sz="4" w:space="0"/>
            </w:tcBorders>
            <w:vAlign w:val="center"/>
          </w:tcPr>
          <w:p>
            <w:pPr>
              <w:snapToGrid w:val="0"/>
              <w:jc w:val="center"/>
              <w:rPr>
                <w:rFonts w:hAnsi="仿宋" w:cs="宋体"/>
                <w:b/>
                <w:bCs/>
                <w:spacing w:val="6"/>
                <w:sz w:val="21"/>
              </w:rPr>
            </w:pPr>
            <w:r>
              <w:rPr>
                <w:rFonts w:hint="eastAsia" w:hAnsi="仿宋" w:cs="宋体"/>
                <w:b/>
                <w:bCs/>
                <w:spacing w:val="6"/>
                <w:sz w:val="21"/>
              </w:rPr>
              <w:t>一级指标</w:t>
            </w:r>
          </w:p>
        </w:tc>
        <w:tc>
          <w:tcPr>
            <w:tcW w:w="2439" w:type="dxa"/>
            <w:tcBorders>
              <w:top w:val="single" w:color="auto" w:sz="4" w:space="0"/>
            </w:tcBorders>
            <w:vAlign w:val="center"/>
          </w:tcPr>
          <w:p>
            <w:pPr>
              <w:snapToGrid w:val="0"/>
              <w:jc w:val="center"/>
              <w:rPr>
                <w:rFonts w:hAnsi="仿宋" w:cs="宋体"/>
                <w:b/>
                <w:bCs/>
                <w:spacing w:val="6"/>
                <w:sz w:val="21"/>
              </w:rPr>
            </w:pPr>
            <w:r>
              <w:rPr>
                <w:rFonts w:hint="eastAsia" w:hAnsi="仿宋" w:cs="宋体"/>
                <w:b/>
                <w:bCs/>
                <w:spacing w:val="6"/>
                <w:sz w:val="21"/>
              </w:rPr>
              <w:t>指标分值</w:t>
            </w:r>
          </w:p>
        </w:tc>
        <w:tc>
          <w:tcPr>
            <w:tcW w:w="1983" w:type="dxa"/>
            <w:tcBorders>
              <w:top w:val="single" w:color="auto" w:sz="4" w:space="0"/>
            </w:tcBorders>
            <w:vAlign w:val="center"/>
          </w:tcPr>
          <w:p>
            <w:pPr>
              <w:snapToGrid w:val="0"/>
              <w:jc w:val="center"/>
              <w:rPr>
                <w:rFonts w:hAnsi="仿宋" w:cs="宋体"/>
                <w:b/>
                <w:bCs/>
                <w:spacing w:val="6"/>
                <w:sz w:val="21"/>
              </w:rPr>
            </w:pPr>
            <w:r>
              <w:rPr>
                <w:rFonts w:hint="eastAsia" w:hAnsi="仿宋" w:cs="宋体"/>
                <w:b/>
                <w:bCs/>
                <w:spacing w:val="6"/>
                <w:sz w:val="21"/>
              </w:rPr>
              <w:t>评价得分</w:t>
            </w:r>
          </w:p>
        </w:tc>
        <w:tc>
          <w:tcPr>
            <w:tcW w:w="2211" w:type="dxa"/>
            <w:tcBorders>
              <w:top w:val="single" w:color="auto" w:sz="4" w:space="0"/>
            </w:tcBorders>
            <w:vAlign w:val="center"/>
          </w:tcPr>
          <w:p>
            <w:pPr>
              <w:snapToGrid w:val="0"/>
              <w:jc w:val="center"/>
              <w:rPr>
                <w:rFonts w:hAnsi="仿宋" w:cs="宋体"/>
                <w:b/>
                <w:bCs/>
                <w:spacing w:val="6"/>
                <w:sz w:val="21"/>
              </w:rPr>
            </w:pPr>
            <w:r>
              <w:rPr>
                <w:rFonts w:hint="eastAsia" w:hAnsi="仿宋" w:cs="宋体"/>
                <w:b/>
                <w:bCs/>
                <w:spacing w:val="6"/>
                <w:sz w:val="21"/>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2212" w:type="dxa"/>
            <w:vAlign w:val="center"/>
          </w:tcPr>
          <w:p>
            <w:pPr>
              <w:snapToGrid w:val="0"/>
              <w:jc w:val="center"/>
              <w:rPr>
                <w:rFonts w:hAnsi="仿宋" w:cs="宋体"/>
                <w:bCs/>
                <w:spacing w:val="6"/>
                <w:sz w:val="21"/>
              </w:rPr>
            </w:pPr>
            <w:r>
              <w:rPr>
                <w:rFonts w:hAnsi="仿宋" w:cs="宋体"/>
                <w:bCs/>
                <w:spacing w:val="6"/>
                <w:sz w:val="21"/>
              </w:rPr>
              <w:t>投入</w:t>
            </w:r>
          </w:p>
        </w:tc>
        <w:tc>
          <w:tcPr>
            <w:tcW w:w="2439" w:type="dxa"/>
            <w:vAlign w:val="center"/>
          </w:tcPr>
          <w:p>
            <w:pPr>
              <w:snapToGrid w:val="0"/>
              <w:jc w:val="center"/>
              <w:rPr>
                <w:rFonts w:hAnsi="仿宋" w:cs="宋体"/>
                <w:bCs/>
                <w:spacing w:val="6"/>
                <w:sz w:val="21"/>
              </w:rPr>
            </w:pPr>
            <w:r>
              <w:rPr>
                <w:rFonts w:hAnsi="仿宋" w:cs="宋体"/>
                <w:bCs/>
                <w:spacing w:val="6"/>
                <w:sz w:val="21"/>
              </w:rPr>
              <w:t>15</w:t>
            </w:r>
          </w:p>
        </w:tc>
        <w:tc>
          <w:tcPr>
            <w:tcW w:w="1983" w:type="dxa"/>
            <w:vAlign w:val="center"/>
          </w:tcPr>
          <w:p>
            <w:pPr>
              <w:snapToGrid w:val="0"/>
              <w:jc w:val="center"/>
              <w:rPr>
                <w:rFonts w:hAnsi="仿宋" w:cs="宋体"/>
                <w:bCs/>
                <w:spacing w:val="6"/>
                <w:sz w:val="21"/>
              </w:rPr>
            </w:pPr>
            <w:r>
              <w:rPr>
                <w:rFonts w:hint="eastAsia" w:hAnsi="仿宋" w:cs="宋体"/>
                <w:bCs/>
                <w:spacing w:val="6"/>
                <w:sz w:val="21"/>
              </w:rPr>
              <w:t>12.00</w:t>
            </w:r>
          </w:p>
        </w:tc>
        <w:tc>
          <w:tcPr>
            <w:tcW w:w="2211" w:type="dxa"/>
            <w:vAlign w:val="center"/>
          </w:tcPr>
          <w:p>
            <w:pPr>
              <w:snapToGrid w:val="0"/>
              <w:jc w:val="center"/>
              <w:rPr>
                <w:rFonts w:hAnsi="仿宋" w:cs="宋体"/>
                <w:bCs/>
                <w:spacing w:val="6"/>
                <w:sz w:val="21"/>
              </w:rPr>
            </w:pPr>
            <w:r>
              <w:rPr>
                <w:rFonts w:hint="eastAsia" w:hAnsi="仿宋" w:cs="宋体"/>
                <w:bCs/>
                <w:spacing w:val="6"/>
                <w:sz w:val="21"/>
              </w:rPr>
              <w:t>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2212" w:type="dxa"/>
            <w:vAlign w:val="center"/>
          </w:tcPr>
          <w:p>
            <w:pPr>
              <w:snapToGrid w:val="0"/>
              <w:jc w:val="center"/>
              <w:rPr>
                <w:rFonts w:hAnsi="仿宋" w:cs="宋体"/>
                <w:bCs/>
                <w:spacing w:val="6"/>
                <w:sz w:val="21"/>
              </w:rPr>
            </w:pPr>
            <w:r>
              <w:rPr>
                <w:rFonts w:hAnsi="仿宋" w:cs="宋体"/>
                <w:bCs/>
                <w:spacing w:val="6"/>
                <w:sz w:val="21"/>
              </w:rPr>
              <w:t>过程</w:t>
            </w:r>
          </w:p>
        </w:tc>
        <w:tc>
          <w:tcPr>
            <w:tcW w:w="2439" w:type="dxa"/>
            <w:vAlign w:val="center"/>
          </w:tcPr>
          <w:p>
            <w:pPr>
              <w:snapToGrid w:val="0"/>
              <w:jc w:val="center"/>
              <w:rPr>
                <w:rFonts w:hAnsi="仿宋" w:cs="宋体"/>
                <w:bCs/>
                <w:spacing w:val="6"/>
                <w:sz w:val="21"/>
              </w:rPr>
            </w:pPr>
            <w:r>
              <w:rPr>
                <w:rFonts w:hint="eastAsia" w:hAnsi="仿宋" w:cs="宋体"/>
                <w:bCs/>
                <w:spacing w:val="6"/>
                <w:sz w:val="21"/>
              </w:rPr>
              <w:t>30</w:t>
            </w:r>
          </w:p>
        </w:tc>
        <w:tc>
          <w:tcPr>
            <w:tcW w:w="1983" w:type="dxa"/>
            <w:vAlign w:val="center"/>
          </w:tcPr>
          <w:p>
            <w:pPr>
              <w:snapToGrid w:val="0"/>
              <w:jc w:val="center"/>
              <w:rPr>
                <w:rFonts w:hAnsi="仿宋" w:cs="宋体"/>
                <w:bCs/>
                <w:spacing w:val="6"/>
                <w:sz w:val="21"/>
              </w:rPr>
            </w:pPr>
            <w:r>
              <w:rPr>
                <w:rFonts w:hint="eastAsia" w:hAnsi="仿宋" w:cs="宋体"/>
                <w:bCs/>
                <w:spacing w:val="6"/>
                <w:sz w:val="21"/>
              </w:rPr>
              <w:t>24.12</w:t>
            </w:r>
          </w:p>
        </w:tc>
        <w:tc>
          <w:tcPr>
            <w:tcW w:w="2211" w:type="dxa"/>
            <w:vAlign w:val="center"/>
          </w:tcPr>
          <w:p>
            <w:pPr>
              <w:snapToGrid w:val="0"/>
              <w:jc w:val="center"/>
              <w:rPr>
                <w:rFonts w:hAnsi="仿宋" w:cs="宋体"/>
                <w:bCs/>
                <w:spacing w:val="6"/>
                <w:sz w:val="21"/>
              </w:rPr>
            </w:pPr>
            <w:r>
              <w:rPr>
                <w:rFonts w:hint="eastAsia" w:hAnsi="仿宋" w:cs="宋体"/>
                <w:bCs/>
                <w:spacing w:val="6"/>
                <w:sz w:val="21"/>
              </w:rPr>
              <w:t>80.40%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2212" w:type="dxa"/>
            <w:vAlign w:val="center"/>
          </w:tcPr>
          <w:p>
            <w:pPr>
              <w:snapToGrid w:val="0"/>
              <w:jc w:val="center"/>
              <w:rPr>
                <w:rFonts w:hAnsi="仿宋" w:cs="宋体"/>
                <w:bCs/>
                <w:spacing w:val="6"/>
                <w:sz w:val="21"/>
              </w:rPr>
            </w:pPr>
            <w:r>
              <w:rPr>
                <w:rFonts w:hAnsi="仿宋" w:cs="宋体"/>
                <w:bCs/>
                <w:spacing w:val="6"/>
                <w:sz w:val="21"/>
              </w:rPr>
              <w:t>产出</w:t>
            </w:r>
          </w:p>
        </w:tc>
        <w:tc>
          <w:tcPr>
            <w:tcW w:w="2439" w:type="dxa"/>
            <w:vAlign w:val="center"/>
          </w:tcPr>
          <w:p>
            <w:pPr>
              <w:snapToGrid w:val="0"/>
              <w:jc w:val="center"/>
              <w:rPr>
                <w:rFonts w:hAnsi="仿宋" w:cs="宋体"/>
                <w:bCs/>
                <w:spacing w:val="6"/>
                <w:sz w:val="21"/>
              </w:rPr>
            </w:pPr>
            <w:r>
              <w:rPr>
                <w:rFonts w:hAnsi="仿宋" w:cs="宋体"/>
                <w:bCs/>
                <w:spacing w:val="6"/>
                <w:sz w:val="21"/>
              </w:rPr>
              <w:t>3</w:t>
            </w:r>
            <w:r>
              <w:rPr>
                <w:rFonts w:hint="eastAsia" w:hAnsi="仿宋" w:cs="宋体"/>
                <w:bCs/>
                <w:spacing w:val="6"/>
                <w:sz w:val="21"/>
              </w:rPr>
              <w:t>0</w:t>
            </w:r>
          </w:p>
        </w:tc>
        <w:tc>
          <w:tcPr>
            <w:tcW w:w="1983" w:type="dxa"/>
            <w:vAlign w:val="center"/>
          </w:tcPr>
          <w:p>
            <w:pPr>
              <w:snapToGrid w:val="0"/>
              <w:jc w:val="center"/>
              <w:rPr>
                <w:rFonts w:hAnsi="仿宋" w:cs="宋体"/>
                <w:bCs/>
                <w:spacing w:val="6"/>
                <w:sz w:val="21"/>
              </w:rPr>
            </w:pPr>
            <w:r>
              <w:rPr>
                <w:rFonts w:hint="eastAsia" w:hAnsi="仿宋" w:cs="宋体"/>
                <w:bCs/>
                <w:spacing w:val="6"/>
                <w:sz w:val="21"/>
              </w:rPr>
              <w:t>25.78</w:t>
            </w:r>
          </w:p>
        </w:tc>
        <w:tc>
          <w:tcPr>
            <w:tcW w:w="2211" w:type="dxa"/>
            <w:vAlign w:val="center"/>
          </w:tcPr>
          <w:p>
            <w:pPr>
              <w:snapToGrid w:val="0"/>
              <w:jc w:val="center"/>
              <w:rPr>
                <w:rFonts w:hAnsi="仿宋" w:cs="宋体"/>
                <w:bCs/>
                <w:spacing w:val="6"/>
                <w:sz w:val="21"/>
              </w:rPr>
            </w:pPr>
            <w:r>
              <w:rPr>
                <w:rFonts w:hint="eastAsia" w:hAnsi="仿宋" w:cs="宋体"/>
                <w:bCs/>
                <w:spacing w:val="6"/>
                <w:sz w:val="21"/>
              </w:rPr>
              <w:t>85.93%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2212" w:type="dxa"/>
            <w:vAlign w:val="center"/>
          </w:tcPr>
          <w:p>
            <w:pPr>
              <w:snapToGrid w:val="0"/>
              <w:jc w:val="center"/>
              <w:rPr>
                <w:rFonts w:hAnsi="仿宋" w:cs="宋体"/>
                <w:bCs/>
                <w:spacing w:val="6"/>
                <w:sz w:val="21"/>
              </w:rPr>
            </w:pPr>
            <w:r>
              <w:rPr>
                <w:rFonts w:hAnsi="仿宋" w:cs="宋体"/>
                <w:bCs/>
                <w:spacing w:val="6"/>
                <w:sz w:val="21"/>
              </w:rPr>
              <w:t>效果</w:t>
            </w:r>
          </w:p>
        </w:tc>
        <w:tc>
          <w:tcPr>
            <w:tcW w:w="2439" w:type="dxa"/>
            <w:vAlign w:val="center"/>
          </w:tcPr>
          <w:p>
            <w:pPr>
              <w:snapToGrid w:val="0"/>
              <w:jc w:val="center"/>
              <w:rPr>
                <w:rFonts w:hAnsi="仿宋" w:cs="宋体"/>
                <w:bCs/>
                <w:spacing w:val="6"/>
                <w:sz w:val="21"/>
              </w:rPr>
            </w:pPr>
            <w:r>
              <w:rPr>
                <w:rFonts w:hint="eastAsia" w:hAnsi="仿宋" w:cs="宋体"/>
                <w:bCs/>
                <w:spacing w:val="6"/>
                <w:sz w:val="21"/>
              </w:rPr>
              <w:t>25</w:t>
            </w:r>
          </w:p>
        </w:tc>
        <w:tc>
          <w:tcPr>
            <w:tcW w:w="1983" w:type="dxa"/>
            <w:vAlign w:val="center"/>
          </w:tcPr>
          <w:p>
            <w:pPr>
              <w:snapToGrid w:val="0"/>
              <w:jc w:val="center"/>
              <w:rPr>
                <w:rFonts w:hAnsi="仿宋" w:cs="宋体"/>
                <w:bCs/>
                <w:spacing w:val="6"/>
                <w:sz w:val="21"/>
              </w:rPr>
            </w:pPr>
            <w:r>
              <w:rPr>
                <w:rFonts w:hint="eastAsia" w:hAnsi="仿宋" w:cs="宋体"/>
                <w:bCs/>
                <w:spacing w:val="6"/>
                <w:sz w:val="21"/>
              </w:rPr>
              <w:t>22.00</w:t>
            </w:r>
          </w:p>
        </w:tc>
        <w:tc>
          <w:tcPr>
            <w:tcW w:w="2211" w:type="dxa"/>
            <w:vAlign w:val="center"/>
          </w:tcPr>
          <w:p>
            <w:pPr>
              <w:snapToGrid w:val="0"/>
              <w:jc w:val="center"/>
              <w:rPr>
                <w:rFonts w:hAnsi="仿宋" w:cs="宋体"/>
                <w:bCs/>
                <w:spacing w:val="6"/>
                <w:sz w:val="21"/>
              </w:rPr>
            </w:pPr>
            <w:r>
              <w:rPr>
                <w:rFonts w:hint="eastAsia" w:hAnsi="仿宋" w:cs="宋体"/>
                <w:bCs/>
                <w:spacing w:val="6"/>
                <w:sz w:val="21"/>
              </w:rPr>
              <w:t>88.00%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2212" w:type="dxa"/>
            <w:vAlign w:val="center"/>
          </w:tcPr>
          <w:p>
            <w:pPr>
              <w:snapToGrid w:val="0"/>
              <w:jc w:val="center"/>
              <w:rPr>
                <w:rFonts w:hAnsi="仿宋" w:cs="宋体"/>
                <w:b/>
                <w:bCs/>
                <w:spacing w:val="6"/>
                <w:sz w:val="21"/>
              </w:rPr>
            </w:pPr>
            <w:r>
              <w:rPr>
                <w:rFonts w:hAnsi="仿宋" w:cs="宋体"/>
                <w:b/>
                <w:bCs/>
                <w:spacing w:val="6"/>
                <w:sz w:val="21"/>
              </w:rPr>
              <w:t>合</w:t>
            </w:r>
            <w:r>
              <w:rPr>
                <w:rFonts w:hint="eastAsia" w:hAnsi="仿宋" w:cs="宋体"/>
                <w:b/>
                <w:bCs/>
                <w:spacing w:val="6"/>
                <w:sz w:val="21"/>
              </w:rPr>
              <w:t xml:space="preserve"> </w:t>
            </w:r>
            <w:r>
              <w:rPr>
                <w:rFonts w:hAnsi="仿宋" w:cs="宋体"/>
                <w:b/>
                <w:bCs/>
                <w:spacing w:val="6"/>
                <w:sz w:val="21"/>
              </w:rPr>
              <w:t>计</w:t>
            </w:r>
          </w:p>
        </w:tc>
        <w:tc>
          <w:tcPr>
            <w:tcW w:w="2439" w:type="dxa"/>
            <w:vAlign w:val="center"/>
          </w:tcPr>
          <w:p>
            <w:pPr>
              <w:snapToGrid w:val="0"/>
              <w:jc w:val="center"/>
              <w:rPr>
                <w:rFonts w:hAnsi="仿宋" w:cs="宋体"/>
                <w:b/>
                <w:bCs/>
                <w:spacing w:val="6"/>
                <w:sz w:val="21"/>
              </w:rPr>
            </w:pPr>
            <w:r>
              <w:rPr>
                <w:rFonts w:hint="eastAsia" w:hAnsi="仿宋" w:cs="宋体"/>
                <w:b/>
                <w:bCs/>
                <w:spacing w:val="6"/>
                <w:sz w:val="21"/>
              </w:rPr>
              <w:t>1</w:t>
            </w:r>
            <w:r>
              <w:rPr>
                <w:rFonts w:hAnsi="仿宋" w:cs="宋体"/>
                <w:b/>
                <w:bCs/>
                <w:spacing w:val="6"/>
                <w:sz w:val="21"/>
              </w:rPr>
              <w:t>00</w:t>
            </w:r>
          </w:p>
        </w:tc>
        <w:tc>
          <w:tcPr>
            <w:tcW w:w="1983" w:type="dxa"/>
            <w:vAlign w:val="center"/>
          </w:tcPr>
          <w:p>
            <w:pPr>
              <w:snapToGrid w:val="0"/>
              <w:jc w:val="center"/>
              <w:rPr>
                <w:rFonts w:hAnsi="仿宋" w:cs="宋体"/>
                <w:b/>
                <w:bCs/>
                <w:spacing w:val="6"/>
                <w:sz w:val="21"/>
              </w:rPr>
            </w:pPr>
            <w:r>
              <w:rPr>
                <w:rFonts w:hint="eastAsia" w:hAnsi="仿宋" w:cs="宋体"/>
                <w:b/>
                <w:bCs/>
                <w:spacing w:val="6"/>
                <w:sz w:val="21"/>
              </w:rPr>
              <w:t>83.90</w:t>
            </w:r>
          </w:p>
        </w:tc>
        <w:tc>
          <w:tcPr>
            <w:tcW w:w="2211" w:type="dxa"/>
            <w:vAlign w:val="center"/>
          </w:tcPr>
          <w:p>
            <w:pPr>
              <w:snapToGrid w:val="0"/>
              <w:jc w:val="center"/>
              <w:rPr>
                <w:rFonts w:hAnsi="仿宋" w:cs="宋体"/>
                <w:b/>
                <w:bCs/>
                <w:spacing w:val="6"/>
                <w:sz w:val="21"/>
              </w:rPr>
            </w:pPr>
            <w:r>
              <w:rPr>
                <w:rFonts w:hint="eastAsia" w:hAnsi="仿宋" w:cs="宋体"/>
                <w:b/>
                <w:bCs/>
                <w:spacing w:val="6"/>
                <w:sz w:val="21"/>
              </w:rPr>
              <w:t>83.90%</w:t>
            </w:r>
          </w:p>
        </w:tc>
      </w:tr>
      <w:bookmarkEnd w:id="15"/>
    </w:tbl>
    <w:p>
      <w:pPr>
        <w:pStyle w:val="40"/>
        <w:spacing w:line="590" w:lineRule="exact"/>
        <w:ind w:left="142" w:firstLine="656"/>
        <w:rPr>
          <w:rFonts w:ascii="仿宋_GB2312" w:hAnsi="仿宋_GB2312" w:eastAsia="仿宋_GB2312" w:cs="仿宋_GB2312"/>
          <w:spacing w:val="6"/>
          <w:szCs w:val="30"/>
          <w:highlight w:val="none"/>
        </w:rPr>
      </w:pPr>
      <w:r>
        <w:rPr>
          <w:rFonts w:hint="eastAsia" w:ascii="仿宋_GB2312" w:hAnsi="仿宋_GB2312" w:eastAsia="仿宋_GB2312" w:cs="仿宋_GB2312"/>
          <w:spacing w:val="6"/>
          <w:szCs w:val="30"/>
        </w:rPr>
        <w:t>经评价，2022年富民县现代农业示范园建设项目完成土地流转1,670.16亩，对核心区乐在村320亩示范园进行场地平整、田间道路、灌溉排水等建设工程，完成部分机耕道建设、老河道及藕田清淤、老河道回填、土方开挖转运工程量和便桥搭建等工作，为后续两期示范园建设作了积极铺垫。</w:t>
      </w:r>
      <w:r>
        <w:rPr>
          <w:rFonts w:hint="eastAsia" w:ascii="仿宋_GB2312" w:hAnsi="仿宋_GB2312" w:eastAsia="仿宋_GB2312" w:cs="仿宋_GB2312"/>
          <w:spacing w:val="6"/>
          <w:szCs w:val="30"/>
          <w:highlight w:val="none"/>
        </w:rPr>
        <w:t>但项目也存在项目前期规划不足，实施方案论证不充分</w:t>
      </w:r>
      <w:r>
        <w:rPr>
          <w:rFonts w:hint="eastAsia" w:ascii="仿宋_GB2312" w:hAnsi="仿宋_GB2312" w:eastAsia="仿宋_GB2312" w:cs="仿宋_GB2312"/>
          <w:spacing w:val="6"/>
          <w:szCs w:val="30"/>
          <w:highlight w:val="none"/>
          <w:lang w:eastAsia="zh-CN"/>
        </w:rPr>
        <w:t>、施工合同未明确金额，项目成本控制不到位、运营服务方案缺失，制度有待进一步完善、支付进度较为缓慢，资金使用不规范</w:t>
      </w:r>
      <w:r>
        <w:rPr>
          <w:rFonts w:hint="eastAsia" w:ascii="仿宋_GB2312" w:hAnsi="仿宋_GB2312" w:eastAsia="仿宋_GB2312" w:cs="仿宋_GB2312"/>
          <w:spacing w:val="6"/>
          <w:szCs w:val="30"/>
          <w:highlight w:val="none"/>
        </w:rPr>
        <w:t>等问题。</w:t>
      </w:r>
    </w:p>
    <w:p>
      <w:pPr>
        <w:spacing w:line="590" w:lineRule="exact"/>
        <w:ind w:firstLine="654" w:firstLineChars="200"/>
        <w:outlineLvl w:val="1"/>
        <w:rPr>
          <w:rFonts w:ascii="楷体_GB2312" w:hAnsi="楷体_GB2312" w:eastAsia="楷体_GB2312" w:cs="楷体_GB2312"/>
          <w:spacing w:val="6"/>
          <w:szCs w:val="30"/>
        </w:rPr>
      </w:pPr>
      <w:bookmarkStart w:id="16" w:name="_Toc17474"/>
      <w:r>
        <w:rPr>
          <w:rFonts w:hint="eastAsia" w:ascii="楷体_GB2312" w:hAnsi="楷体_GB2312" w:eastAsia="楷体_GB2312" w:cs="楷体_GB2312"/>
          <w:spacing w:val="6"/>
          <w:szCs w:val="30"/>
        </w:rPr>
        <w:t>（二）绩效目标实现情况</w:t>
      </w:r>
      <w:bookmarkEnd w:id="16"/>
    </w:p>
    <w:p>
      <w:pPr>
        <w:ind w:firstLine="654" w:firstLineChars="200"/>
        <w:jc w:val="left"/>
        <w:rPr>
          <w:rFonts w:ascii="仿宋_GB2312" w:hAnsi="仿宋_GB2312" w:eastAsia="仿宋_GB2312" w:cs="仿宋_GB2312"/>
          <w:spacing w:val="6"/>
          <w:sz w:val="32"/>
          <w:szCs w:val="32"/>
        </w:rPr>
      </w:pPr>
      <w:bookmarkStart w:id="17" w:name="_Hlk525314457"/>
      <w:r>
        <w:rPr>
          <w:rFonts w:hint="eastAsia" w:ascii="仿宋_GB2312" w:hAnsi="仿宋_GB2312" w:eastAsia="仿宋_GB2312" w:cs="仿宋_GB2312"/>
          <w:spacing w:val="6"/>
          <w:szCs w:val="30"/>
        </w:rPr>
        <w:t>根据评价情况，设置的9个绩效指标中，建设任务完成量、工程建设及时性、增加当地就业、环保处罚事件等4个绩效指标完成</w:t>
      </w:r>
      <w:r>
        <w:rPr>
          <w:rFonts w:hint="eastAsia" w:ascii="仿宋_GB2312" w:hAnsi="仿宋_GB2312" w:eastAsia="仿宋_GB2312" w:cs="仿宋_GB2312"/>
          <w:spacing w:val="6"/>
          <w:szCs w:val="30"/>
          <w:lang w:eastAsia="zh-CN"/>
        </w:rPr>
        <w:t>；</w:t>
      </w:r>
      <w:r>
        <w:rPr>
          <w:rFonts w:hint="eastAsia" w:ascii="仿宋_GB2312" w:hAnsi="仿宋_GB2312" w:eastAsia="仿宋_GB2312" w:cs="仿宋_GB2312"/>
          <w:spacing w:val="6"/>
          <w:szCs w:val="30"/>
        </w:rPr>
        <w:t>土地流转完成率、质量控制、项目建设成本控制、项目运营预期总收入、综合满意度等5个绩效指标部分完成，无未完成指标，具体详见下表3：</w:t>
      </w:r>
    </w:p>
    <w:p>
      <w:pPr>
        <w:jc w:val="center"/>
        <w:rPr>
          <w:rFonts w:ascii="黑体" w:hAnsi="黑体" w:eastAsia="黑体"/>
          <w:szCs w:val="30"/>
        </w:rPr>
      </w:pPr>
      <w:r>
        <w:rPr>
          <w:rFonts w:hint="eastAsia" w:ascii="黑体" w:hAnsi="黑体" w:eastAsia="黑体" w:cs="宋体"/>
          <w:bCs/>
          <w:sz w:val="24"/>
          <w:szCs w:val="24"/>
        </w:rPr>
        <w:t>表3：绩效指标完成情况表</w:t>
      </w:r>
    </w:p>
    <w:tbl>
      <w:tblPr>
        <w:tblStyle w:val="20"/>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759"/>
        <w:gridCol w:w="1333"/>
        <w:gridCol w:w="1824"/>
        <w:gridCol w:w="900"/>
        <w:gridCol w:w="900"/>
        <w:gridCol w:w="31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blHeader/>
          <w:jc w:val="center"/>
        </w:trPr>
        <w:tc>
          <w:tcPr>
            <w:tcW w:w="3916" w:type="dxa"/>
            <w:gridSpan w:val="3"/>
            <w:tcBorders>
              <w:top w:val="single" w:color="auto" w:sz="4" w:space="0"/>
            </w:tcBorders>
            <w:vAlign w:val="center"/>
          </w:tcPr>
          <w:p>
            <w:pPr>
              <w:snapToGrid w:val="0"/>
              <w:jc w:val="center"/>
              <w:rPr>
                <w:rFonts w:hAnsi="仿宋" w:cs="宋体"/>
                <w:b/>
                <w:bCs/>
                <w:spacing w:val="6"/>
                <w:sz w:val="21"/>
              </w:rPr>
            </w:pPr>
            <w:r>
              <w:rPr>
                <w:rFonts w:hint="eastAsia" w:hAnsi="仿宋" w:cs="宋体"/>
                <w:b/>
                <w:bCs/>
                <w:spacing w:val="6"/>
                <w:sz w:val="21"/>
              </w:rPr>
              <w:t>绩效指标名称</w:t>
            </w:r>
          </w:p>
        </w:tc>
        <w:tc>
          <w:tcPr>
            <w:tcW w:w="900" w:type="dxa"/>
            <w:vMerge w:val="restart"/>
            <w:tcBorders>
              <w:top w:val="single" w:color="auto" w:sz="4" w:space="0"/>
            </w:tcBorders>
            <w:vAlign w:val="center"/>
          </w:tcPr>
          <w:p>
            <w:pPr>
              <w:snapToGrid w:val="0"/>
              <w:jc w:val="center"/>
              <w:rPr>
                <w:rFonts w:hAnsi="仿宋" w:cs="宋体"/>
                <w:b/>
                <w:bCs/>
                <w:spacing w:val="6"/>
                <w:sz w:val="21"/>
              </w:rPr>
            </w:pPr>
            <w:r>
              <w:rPr>
                <w:rFonts w:hint="eastAsia" w:hAnsi="仿宋" w:cs="宋体"/>
                <w:b/>
                <w:bCs/>
                <w:spacing w:val="6"/>
                <w:sz w:val="21"/>
              </w:rPr>
              <w:t>指标值</w:t>
            </w:r>
          </w:p>
        </w:tc>
        <w:tc>
          <w:tcPr>
            <w:tcW w:w="900" w:type="dxa"/>
            <w:vMerge w:val="restart"/>
            <w:tcBorders>
              <w:top w:val="single" w:color="auto" w:sz="4" w:space="0"/>
            </w:tcBorders>
            <w:vAlign w:val="center"/>
          </w:tcPr>
          <w:p>
            <w:pPr>
              <w:snapToGrid w:val="0"/>
              <w:jc w:val="center"/>
              <w:rPr>
                <w:rFonts w:hAnsi="仿宋" w:cs="宋体"/>
                <w:b/>
                <w:bCs/>
                <w:spacing w:val="6"/>
                <w:sz w:val="21"/>
              </w:rPr>
            </w:pPr>
            <w:r>
              <w:rPr>
                <w:rFonts w:hint="eastAsia" w:hAnsi="仿宋" w:cs="宋体"/>
                <w:b/>
                <w:bCs/>
                <w:spacing w:val="6"/>
                <w:sz w:val="21"/>
              </w:rPr>
              <w:t>指标实现情况</w:t>
            </w:r>
          </w:p>
        </w:tc>
        <w:tc>
          <w:tcPr>
            <w:tcW w:w="3129" w:type="dxa"/>
            <w:vMerge w:val="restart"/>
            <w:tcBorders>
              <w:top w:val="single" w:color="auto" w:sz="4" w:space="0"/>
            </w:tcBorders>
            <w:vAlign w:val="center"/>
          </w:tcPr>
          <w:p>
            <w:pPr>
              <w:snapToGrid w:val="0"/>
              <w:jc w:val="center"/>
              <w:rPr>
                <w:rFonts w:hAnsi="仿宋" w:cs="宋体"/>
                <w:b/>
                <w:bCs/>
                <w:spacing w:val="6"/>
                <w:sz w:val="21"/>
              </w:rPr>
            </w:pPr>
            <w:r>
              <w:rPr>
                <w:rFonts w:hint="eastAsia" w:hAnsi="仿宋" w:cs="宋体"/>
                <w:b/>
                <w:bCs/>
                <w:spacing w:val="6"/>
                <w:sz w:val="21"/>
              </w:rPr>
              <w:t>完成情况说明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blHeader/>
          <w:jc w:val="center"/>
        </w:trPr>
        <w:tc>
          <w:tcPr>
            <w:tcW w:w="759" w:type="dxa"/>
            <w:tcBorders>
              <w:top w:val="single" w:color="auto" w:sz="4" w:space="0"/>
            </w:tcBorders>
            <w:vAlign w:val="center"/>
          </w:tcPr>
          <w:p>
            <w:pPr>
              <w:snapToGrid w:val="0"/>
              <w:jc w:val="center"/>
              <w:rPr>
                <w:rFonts w:hAnsi="仿宋" w:cs="宋体"/>
                <w:b/>
                <w:bCs/>
                <w:spacing w:val="6"/>
                <w:sz w:val="21"/>
              </w:rPr>
            </w:pPr>
            <w:r>
              <w:rPr>
                <w:rFonts w:hint="eastAsia" w:hAnsi="仿宋" w:cs="宋体"/>
                <w:b/>
                <w:bCs/>
                <w:spacing w:val="6"/>
                <w:sz w:val="21"/>
              </w:rPr>
              <w:t>一级指标</w:t>
            </w:r>
          </w:p>
        </w:tc>
        <w:tc>
          <w:tcPr>
            <w:tcW w:w="1333" w:type="dxa"/>
            <w:tcBorders>
              <w:top w:val="single" w:color="auto" w:sz="4" w:space="0"/>
            </w:tcBorders>
            <w:vAlign w:val="center"/>
          </w:tcPr>
          <w:p>
            <w:pPr>
              <w:snapToGrid w:val="0"/>
              <w:jc w:val="center"/>
              <w:rPr>
                <w:rFonts w:hAnsi="仿宋" w:cs="宋体"/>
                <w:b/>
                <w:bCs/>
                <w:spacing w:val="6"/>
                <w:sz w:val="21"/>
              </w:rPr>
            </w:pPr>
            <w:r>
              <w:rPr>
                <w:rFonts w:hint="eastAsia" w:hAnsi="仿宋" w:cs="宋体"/>
                <w:b/>
                <w:bCs/>
                <w:spacing w:val="6"/>
                <w:sz w:val="21"/>
              </w:rPr>
              <w:t>二级指标</w:t>
            </w:r>
          </w:p>
        </w:tc>
        <w:tc>
          <w:tcPr>
            <w:tcW w:w="1824" w:type="dxa"/>
            <w:tcBorders>
              <w:top w:val="single" w:color="auto" w:sz="4" w:space="0"/>
            </w:tcBorders>
            <w:vAlign w:val="center"/>
          </w:tcPr>
          <w:p>
            <w:pPr>
              <w:snapToGrid w:val="0"/>
              <w:jc w:val="center"/>
              <w:rPr>
                <w:rFonts w:hAnsi="仿宋" w:cs="宋体"/>
                <w:b/>
                <w:bCs/>
                <w:spacing w:val="6"/>
                <w:sz w:val="21"/>
              </w:rPr>
            </w:pPr>
            <w:r>
              <w:rPr>
                <w:rFonts w:hint="eastAsia" w:hAnsi="仿宋" w:cs="宋体"/>
                <w:b/>
                <w:bCs/>
                <w:spacing w:val="6"/>
                <w:sz w:val="21"/>
              </w:rPr>
              <w:t>三级指标</w:t>
            </w:r>
          </w:p>
        </w:tc>
        <w:tc>
          <w:tcPr>
            <w:tcW w:w="900" w:type="dxa"/>
            <w:vMerge w:val="continue"/>
            <w:vAlign w:val="center"/>
          </w:tcPr>
          <w:p>
            <w:pPr>
              <w:snapToGrid w:val="0"/>
              <w:jc w:val="center"/>
              <w:rPr>
                <w:rFonts w:hAnsi="仿宋" w:cs="宋体"/>
                <w:b/>
                <w:bCs/>
                <w:spacing w:val="6"/>
                <w:sz w:val="21"/>
              </w:rPr>
            </w:pPr>
          </w:p>
        </w:tc>
        <w:tc>
          <w:tcPr>
            <w:tcW w:w="900" w:type="dxa"/>
            <w:vMerge w:val="continue"/>
            <w:vAlign w:val="center"/>
          </w:tcPr>
          <w:p>
            <w:pPr>
              <w:snapToGrid w:val="0"/>
              <w:jc w:val="center"/>
              <w:rPr>
                <w:rFonts w:hAnsi="仿宋" w:cs="宋体"/>
                <w:b/>
                <w:bCs/>
                <w:spacing w:val="6"/>
                <w:sz w:val="21"/>
              </w:rPr>
            </w:pPr>
          </w:p>
        </w:tc>
        <w:tc>
          <w:tcPr>
            <w:tcW w:w="3129" w:type="dxa"/>
            <w:vMerge w:val="continue"/>
            <w:vAlign w:val="center"/>
          </w:tcPr>
          <w:p>
            <w:pPr>
              <w:snapToGrid w:val="0"/>
              <w:jc w:val="center"/>
              <w:rPr>
                <w:rFonts w:hAnsi="仿宋" w:cs="宋体"/>
                <w:b/>
                <w:bCs/>
                <w:spacing w:val="6"/>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759" w:type="dxa"/>
            <w:vMerge w:val="restart"/>
            <w:vAlign w:val="center"/>
          </w:tcPr>
          <w:p>
            <w:pPr>
              <w:snapToGrid w:val="0"/>
              <w:jc w:val="center"/>
              <w:rPr>
                <w:rFonts w:hAnsi="仿宋" w:cs="宋体"/>
                <w:bCs/>
                <w:spacing w:val="6"/>
                <w:sz w:val="21"/>
              </w:rPr>
            </w:pPr>
            <w:r>
              <w:rPr>
                <w:rFonts w:hint="eastAsia" w:hAnsi="仿宋" w:cs="宋体"/>
                <w:bCs/>
                <w:spacing w:val="6"/>
                <w:sz w:val="21"/>
              </w:rPr>
              <w:t>产出指标</w:t>
            </w:r>
          </w:p>
        </w:tc>
        <w:tc>
          <w:tcPr>
            <w:tcW w:w="1333" w:type="dxa"/>
            <w:vMerge w:val="restart"/>
            <w:vAlign w:val="center"/>
          </w:tcPr>
          <w:p>
            <w:pPr>
              <w:snapToGrid w:val="0"/>
              <w:jc w:val="left"/>
              <w:rPr>
                <w:rFonts w:hAnsi="仿宋" w:cs="宋体"/>
                <w:bCs/>
                <w:spacing w:val="6"/>
                <w:sz w:val="21"/>
              </w:rPr>
            </w:pPr>
            <w:r>
              <w:rPr>
                <w:rFonts w:hint="eastAsia" w:hAnsi="仿宋" w:cs="宋体"/>
                <w:bCs/>
                <w:spacing w:val="6"/>
                <w:sz w:val="21"/>
              </w:rPr>
              <w:t>数量指标</w:t>
            </w:r>
          </w:p>
        </w:tc>
        <w:tc>
          <w:tcPr>
            <w:tcW w:w="1824" w:type="dxa"/>
            <w:vAlign w:val="center"/>
          </w:tcPr>
          <w:p>
            <w:pPr>
              <w:widowControl/>
              <w:jc w:val="left"/>
              <w:textAlignment w:val="center"/>
              <w:rPr>
                <w:rFonts w:hAnsi="仿宋" w:cs="宋体"/>
                <w:bCs/>
                <w:spacing w:val="6"/>
                <w:sz w:val="21"/>
              </w:rPr>
            </w:pPr>
            <w:r>
              <w:rPr>
                <w:rFonts w:hint="eastAsia" w:hAnsi="仿宋" w:cs="仿宋"/>
                <w:color w:val="000000"/>
                <w:kern w:val="0"/>
                <w:sz w:val="20"/>
                <w:szCs w:val="20"/>
                <w:lang w:bidi="ar"/>
              </w:rPr>
              <w:t>土地流转完成率</w:t>
            </w:r>
          </w:p>
        </w:tc>
        <w:tc>
          <w:tcPr>
            <w:tcW w:w="900" w:type="dxa"/>
            <w:vAlign w:val="center"/>
          </w:tcPr>
          <w:p>
            <w:pPr>
              <w:snapToGrid w:val="0"/>
              <w:jc w:val="center"/>
              <w:rPr>
                <w:rFonts w:hAnsi="仿宋" w:cs="宋体"/>
                <w:spacing w:val="6"/>
                <w:sz w:val="21"/>
              </w:rPr>
            </w:pPr>
            <w:r>
              <w:rPr>
                <w:rFonts w:hint="eastAsia" w:hAnsi="仿宋" w:cs="宋体"/>
                <w:spacing w:val="6"/>
                <w:sz w:val="21"/>
              </w:rPr>
              <w:t>100%</w:t>
            </w:r>
          </w:p>
        </w:tc>
        <w:tc>
          <w:tcPr>
            <w:tcW w:w="900" w:type="dxa"/>
            <w:vAlign w:val="center"/>
          </w:tcPr>
          <w:p>
            <w:pPr>
              <w:snapToGrid w:val="0"/>
              <w:jc w:val="center"/>
              <w:rPr>
                <w:rFonts w:hAnsi="仿宋" w:cs="宋体"/>
                <w:bCs/>
                <w:spacing w:val="6"/>
                <w:sz w:val="21"/>
              </w:rPr>
            </w:pPr>
            <w:r>
              <w:rPr>
                <w:rFonts w:hint="eastAsia" w:hAnsi="仿宋" w:cs="宋体"/>
                <w:bCs/>
                <w:spacing w:val="6"/>
                <w:sz w:val="21"/>
              </w:rPr>
              <w:t>部分</w:t>
            </w:r>
          </w:p>
          <w:p>
            <w:pPr>
              <w:snapToGrid w:val="0"/>
              <w:jc w:val="center"/>
              <w:rPr>
                <w:rFonts w:hAnsi="仿宋" w:cs="宋体"/>
                <w:bCs/>
                <w:spacing w:val="6"/>
                <w:sz w:val="21"/>
              </w:rPr>
            </w:pPr>
            <w:r>
              <w:rPr>
                <w:rFonts w:hint="eastAsia" w:hAnsi="仿宋" w:cs="宋体"/>
                <w:bCs/>
                <w:spacing w:val="6"/>
                <w:sz w:val="21"/>
              </w:rPr>
              <w:t>完成</w:t>
            </w:r>
          </w:p>
        </w:tc>
        <w:tc>
          <w:tcPr>
            <w:tcW w:w="3129" w:type="dxa"/>
            <w:vAlign w:val="center"/>
          </w:tcPr>
          <w:p>
            <w:pPr>
              <w:snapToGrid w:val="0"/>
              <w:rPr>
                <w:rFonts w:hAnsi="仿宋" w:cs="宋体"/>
                <w:bCs/>
                <w:spacing w:val="6"/>
                <w:sz w:val="21"/>
              </w:rPr>
            </w:pPr>
            <w:r>
              <w:rPr>
                <w:rFonts w:hint="eastAsia" w:hAnsi="仿宋" w:cs="宋体"/>
                <w:bCs/>
                <w:spacing w:val="6"/>
                <w:sz w:val="21"/>
              </w:rPr>
              <w:t>2022年根据规划，预计为项目流转土地1800亩。目前已完成土地流转1670.156亩，占计划数的92.79%。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759" w:type="dxa"/>
            <w:vMerge w:val="continue"/>
            <w:vAlign w:val="center"/>
          </w:tcPr>
          <w:p>
            <w:pPr>
              <w:snapToGrid w:val="0"/>
              <w:jc w:val="center"/>
              <w:rPr>
                <w:rFonts w:hAnsi="仿宋" w:cs="宋体"/>
                <w:bCs/>
                <w:spacing w:val="6"/>
                <w:sz w:val="21"/>
              </w:rPr>
            </w:pPr>
          </w:p>
        </w:tc>
        <w:tc>
          <w:tcPr>
            <w:tcW w:w="1333" w:type="dxa"/>
            <w:vMerge w:val="continue"/>
            <w:vAlign w:val="center"/>
          </w:tcPr>
          <w:p>
            <w:pPr>
              <w:snapToGrid w:val="0"/>
              <w:jc w:val="left"/>
              <w:rPr>
                <w:rFonts w:hAnsi="仿宋" w:cs="宋体"/>
                <w:bCs/>
                <w:spacing w:val="6"/>
                <w:sz w:val="21"/>
              </w:rPr>
            </w:pPr>
          </w:p>
        </w:tc>
        <w:tc>
          <w:tcPr>
            <w:tcW w:w="1824" w:type="dxa"/>
            <w:vAlign w:val="center"/>
          </w:tcPr>
          <w:p>
            <w:pPr>
              <w:widowControl/>
              <w:jc w:val="left"/>
              <w:textAlignment w:val="center"/>
              <w:rPr>
                <w:rFonts w:hAnsi="仿宋" w:cs="宋体"/>
                <w:bCs/>
                <w:spacing w:val="6"/>
                <w:sz w:val="21"/>
              </w:rPr>
            </w:pPr>
            <w:r>
              <w:rPr>
                <w:rFonts w:hint="eastAsia" w:hAnsi="仿宋" w:cs="仿宋"/>
                <w:color w:val="000000"/>
                <w:kern w:val="0"/>
                <w:sz w:val="20"/>
                <w:szCs w:val="20"/>
                <w:lang w:bidi="ar"/>
              </w:rPr>
              <w:t>建设任务完成量</w:t>
            </w:r>
          </w:p>
        </w:tc>
        <w:tc>
          <w:tcPr>
            <w:tcW w:w="900" w:type="dxa"/>
            <w:vAlign w:val="center"/>
          </w:tcPr>
          <w:p>
            <w:pPr>
              <w:snapToGrid w:val="0"/>
              <w:jc w:val="center"/>
              <w:rPr>
                <w:rFonts w:hAnsi="仿宋" w:cs="宋体"/>
                <w:spacing w:val="6"/>
                <w:sz w:val="21"/>
              </w:rPr>
            </w:pPr>
            <w:r>
              <w:rPr>
                <w:rFonts w:hint="eastAsia" w:hAnsi="仿宋" w:cs="宋体"/>
                <w:spacing w:val="6"/>
                <w:sz w:val="21"/>
              </w:rPr>
              <w:t>100%</w:t>
            </w:r>
          </w:p>
        </w:tc>
        <w:tc>
          <w:tcPr>
            <w:tcW w:w="900" w:type="dxa"/>
            <w:vAlign w:val="center"/>
          </w:tcPr>
          <w:p>
            <w:pPr>
              <w:snapToGrid w:val="0"/>
              <w:jc w:val="center"/>
              <w:rPr>
                <w:rFonts w:hAnsi="仿宋" w:cs="宋体"/>
                <w:bCs/>
                <w:spacing w:val="6"/>
                <w:sz w:val="21"/>
              </w:rPr>
            </w:pPr>
            <w:r>
              <w:rPr>
                <w:rFonts w:hint="eastAsia" w:hAnsi="仿宋" w:cs="宋体"/>
                <w:bCs/>
                <w:spacing w:val="6"/>
                <w:sz w:val="21"/>
              </w:rPr>
              <w:t>已完成</w:t>
            </w:r>
          </w:p>
        </w:tc>
        <w:tc>
          <w:tcPr>
            <w:tcW w:w="3129" w:type="dxa"/>
            <w:vAlign w:val="center"/>
          </w:tcPr>
          <w:p>
            <w:pPr>
              <w:snapToGrid w:val="0"/>
              <w:rPr>
                <w:rFonts w:hAnsi="仿宋" w:cs="宋体"/>
                <w:bCs/>
                <w:spacing w:val="6"/>
                <w:sz w:val="21"/>
              </w:rPr>
            </w:pPr>
            <w:r>
              <w:rPr>
                <w:rFonts w:hint="eastAsia" w:hAnsi="仿宋" w:cs="宋体"/>
                <w:bCs/>
                <w:spacing w:val="6"/>
                <w:sz w:val="21"/>
              </w:rPr>
              <w:t>机耕道路建设完成了80%,排灌水沟渠完成90%，老河道及藕田清淤4,338.12m³，老河道回填100%，土方开挖转运工程量：100,000m³，完成便桥搭建。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759" w:type="dxa"/>
            <w:vMerge w:val="continue"/>
            <w:vAlign w:val="center"/>
          </w:tcPr>
          <w:p>
            <w:pPr>
              <w:snapToGrid w:val="0"/>
              <w:jc w:val="center"/>
              <w:rPr>
                <w:rFonts w:hAnsi="仿宋" w:cs="宋体"/>
                <w:bCs/>
                <w:spacing w:val="6"/>
                <w:sz w:val="21"/>
              </w:rPr>
            </w:pPr>
          </w:p>
        </w:tc>
        <w:tc>
          <w:tcPr>
            <w:tcW w:w="1333" w:type="dxa"/>
            <w:vAlign w:val="center"/>
          </w:tcPr>
          <w:p>
            <w:pPr>
              <w:snapToGrid w:val="0"/>
              <w:jc w:val="left"/>
              <w:rPr>
                <w:rFonts w:hAnsi="仿宋" w:cs="宋体"/>
                <w:bCs/>
                <w:spacing w:val="6"/>
                <w:sz w:val="21"/>
              </w:rPr>
            </w:pPr>
            <w:r>
              <w:rPr>
                <w:rFonts w:hint="eastAsia" w:hAnsi="仿宋" w:cs="宋体"/>
                <w:bCs/>
                <w:spacing w:val="6"/>
                <w:sz w:val="21"/>
              </w:rPr>
              <w:t>质量指标</w:t>
            </w:r>
          </w:p>
        </w:tc>
        <w:tc>
          <w:tcPr>
            <w:tcW w:w="1824" w:type="dxa"/>
            <w:vAlign w:val="center"/>
          </w:tcPr>
          <w:p>
            <w:pPr>
              <w:widowControl/>
              <w:jc w:val="left"/>
              <w:textAlignment w:val="center"/>
              <w:rPr>
                <w:rFonts w:hAnsi="仿宋" w:cs="宋体"/>
                <w:bCs/>
                <w:spacing w:val="6"/>
                <w:sz w:val="21"/>
              </w:rPr>
            </w:pPr>
            <w:r>
              <w:rPr>
                <w:rFonts w:hint="eastAsia" w:hAnsi="仿宋" w:cs="仿宋"/>
                <w:color w:val="000000"/>
                <w:kern w:val="0"/>
                <w:sz w:val="20"/>
                <w:szCs w:val="20"/>
                <w:lang w:bidi="ar"/>
              </w:rPr>
              <w:t>质量控制</w:t>
            </w:r>
          </w:p>
        </w:tc>
        <w:tc>
          <w:tcPr>
            <w:tcW w:w="900" w:type="dxa"/>
            <w:vAlign w:val="center"/>
          </w:tcPr>
          <w:p>
            <w:pPr>
              <w:snapToGrid w:val="0"/>
              <w:jc w:val="center"/>
              <w:rPr>
                <w:rFonts w:hAnsi="仿宋" w:cs="宋体"/>
                <w:bCs/>
                <w:spacing w:val="6"/>
                <w:sz w:val="21"/>
              </w:rPr>
            </w:pPr>
            <w:r>
              <w:rPr>
                <w:rFonts w:hint="eastAsia" w:hAnsi="仿宋" w:cs="宋体"/>
                <w:bCs/>
                <w:spacing w:val="6"/>
                <w:sz w:val="21"/>
              </w:rPr>
              <w:t>100%</w:t>
            </w:r>
          </w:p>
        </w:tc>
        <w:tc>
          <w:tcPr>
            <w:tcW w:w="900" w:type="dxa"/>
            <w:vAlign w:val="center"/>
          </w:tcPr>
          <w:p>
            <w:pPr>
              <w:snapToGrid w:val="0"/>
              <w:jc w:val="center"/>
              <w:rPr>
                <w:rFonts w:hAnsi="仿宋" w:cs="宋体"/>
                <w:bCs/>
                <w:spacing w:val="6"/>
                <w:sz w:val="21"/>
              </w:rPr>
            </w:pPr>
            <w:r>
              <w:rPr>
                <w:rFonts w:hint="eastAsia" w:hAnsi="仿宋" w:cs="宋体"/>
                <w:bCs/>
                <w:spacing w:val="6"/>
                <w:sz w:val="21"/>
              </w:rPr>
              <w:t>部分</w:t>
            </w:r>
          </w:p>
          <w:p>
            <w:pPr>
              <w:snapToGrid w:val="0"/>
              <w:jc w:val="center"/>
              <w:rPr>
                <w:rFonts w:hAnsi="仿宋" w:cs="宋体"/>
                <w:bCs/>
                <w:spacing w:val="6"/>
                <w:sz w:val="21"/>
              </w:rPr>
            </w:pPr>
            <w:r>
              <w:rPr>
                <w:rFonts w:hint="eastAsia" w:hAnsi="仿宋" w:cs="宋体"/>
                <w:bCs/>
                <w:spacing w:val="6"/>
                <w:sz w:val="21"/>
              </w:rPr>
              <w:t>完成</w:t>
            </w:r>
          </w:p>
        </w:tc>
        <w:tc>
          <w:tcPr>
            <w:tcW w:w="3129" w:type="dxa"/>
          </w:tcPr>
          <w:p>
            <w:pPr>
              <w:snapToGrid w:val="0"/>
              <w:rPr>
                <w:rFonts w:hAnsi="仿宋" w:cs="宋体"/>
                <w:bCs/>
                <w:spacing w:val="6"/>
                <w:sz w:val="21"/>
              </w:rPr>
            </w:pPr>
            <w:r>
              <w:rPr>
                <w:rFonts w:hint="eastAsia" w:hAnsi="仿宋" w:cs="宋体"/>
                <w:bCs/>
                <w:spacing w:val="6"/>
                <w:sz w:val="21"/>
              </w:rPr>
              <w:t>2022年</w:t>
            </w:r>
            <w:r>
              <w:rPr>
                <w:rFonts w:hAnsi="仿宋" w:cs="宋体"/>
                <w:bCs/>
                <w:spacing w:val="6"/>
                <w:sz w:val="21"/>
              </w:rPr>
              <w:t>项目建设期间未发生重大安全事故，未被相关部门处罚</w:t>
            </w:r>
            <w:r>
              <w:rPr>
                <w:rFonts w:hint="eastAsia" w:hAnsi="仿宋" w:cs="宋体"/>
                <w:bCs/>
                <w:spacing w:val="6"/>
                <w:sz w:val="21"/>
              </w:rPr>
              <w:t>，工程质量符合《建设工程质量管理条例》《建设工程质量验收统一标准》等相关文件要求，但经现场评价和问卷调查，部分已流转土地长时间大面积抛荒，利用率不高。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759" w:type="dxa"/>
            <w:vMerge w:val="continue"/>
            <w:vAlign w:val="center"/>
          </w:tcPr>
          <w:p>
            <w:pPr>
              <w:snapToGrid w:val="0"/>
              <w:jc w:val="center"/>
              <w:rPr>
                <w:rFonts w:hAnsi="仿宋" w:cs="宋体"/>
                <w:bCs/>
                <w:spacing w:val="6"/>
                <w:sz w:val="21"/>
              </w:rPr>
            </w:pPr>
          </w:p>
        </w:tc>
        <w:tc>
          <w:tcPr>
            <w:tcW w:w="1333" w:type="dxa"/>
            <w:vAlign w:val="center"/>
          </w:tcPr>
          <w:p>
            <w:pPr>
              <w:snapToGrid w:val="0"/>
              <w:jc w:val="left"/>
              <w:rPr>
                <w:rFonts w:hAnsi="仿宋" w:cs="宋体"/>
                <w:bCs/>
                <w:spacing w:val="6"/>
                <w:sz w:val="21"/>
              </w:rPr>
            </w:pPr>
            <w:r>
              <w:rPr>
                <w:rFonts w:hint="eastAsia" w:hAnsi="仿宋" w:cs="宋体"/>
                <w:bCs/>
                <w:spacing w:val="6"/>
                <w:sz w:val="21"/>
              </w:rPr>
              <w:t>时效指标</w:t>
            </w:r>
          </w:p>
        </w:tc>
        <w:tc>
          <w:tcPr>
            <w:tcW w:w="1824" w:type="dxa"/>
            <w:vAlign w:val="center"/>
          </w:tcPr>
          <w:p>
            <w:pPr>
              <w:widowControl/>
              <w:jc w:val="left"/>
              <w:textAlignment w:val="center"/>
              <w:rPr>
                <w:rFonts w:hAnsi="仿宋" w:cs="宋体"/>
                <w:bCs/>
                <w:spacing w:val="6"/>
                <w:sz w:val="21"/>
              </w:rPr>
            </w:pPr>
            <w:r>
              <w:rPr>
                <w:rFonts w:hint="eastAsia" w:hAnsi="仿宋" w:cs="仿宋"/>
                <w:color w:val="000000"/>
                <w:kern w:val="0"/>
                <w:sz w:val="20"/>
                <w:szCs w:val="20"/>
                <w:lang w:bidi="ar"/>
              </w:rPr>
              <w:t>工程建设及时性</w:t>
            </w:r>
          </w:p>
        </w:tc>
        <w:tc>
          <w:tcPr>
            <w:tcW w:w="900" w:type="dxa"/>
            <w:vAlign w:val="center"/>
          </w:tcPr>
          <w:p>
            <w:pPr>
              <w:snapToGrid w:val="0"/>
              <w:jc w:val="center"/>
              <w:rPr>
                <w:rFonts w:hAnsi="仿宋" w:cs="宋体"/>
                <w:bCs/>
                <w:spacing w:val="6"/>
                <w:sz w:val="21"/>
              </w:rPr>
            </w:pPr>
            <w:r>
              <w:rPr>
                <w:rFonts w:hint="eastAsia" w:hAnsi="仿宋" w:cs="宋体"/>
                <w:bCs/>
                <w:spacing w:val="6"/>
                <w:sz w:val="21"/>
              </w:rPr>
              <w:t>及时</w:t>
            </w:r>
          </w:p>
        </w:tc>
        <w:tc>
          <w:tcPr>
            <w:tcW w:w="900" w:type="dxa"/>
            <w:vAlign w:val="center"/>
          </w:tcPr>
          <w:p>
            <w:pPr>
              <w:snapToGrid w:val="0"/>
              <w:jc w:val="center"/>
              <w:rPr>
                <w:rFonts w:hAnsi="仿宋" w:cs="宋体"/>
                <w:bCs/>
                <w:spacing w:val="6"/>
                <w:sz w:val="21"/>
              </w:rPr>
            </w:pPr>
            <w:r>
              <w:rPr>
                <w:rFonts w:hint="eastAsia" w:hAnsi="仿宋" w:cs="宋体"/>
                <w:bCs/>
                <w:spacing w:val="6"/>
                <w:sz w:val="21"/>
              </w:rPr>
              <w:t>已完成</w:t>
            </w:r>
          </w:p>
        </w:tc>
        <w:tc>
          <w:tcPr>
            <w:tcW w:w="3129" w:type="dxa"/>
            <w:vAlign w:val="center"/>
          </w:tcPr>
          <w:p>
            <w:pPr>
              <w:snapToGrid w:val="0"/>
              <w:rPr>
                <w:rFonts w:hAnsi="仿宋" w:cs="仿宋"/>
                <w:color w:val="000000"/>
                <w:kern w:val="0"/>
                <w:sz w:val="22"/>
                <w:szCs w:val="22"/>
                <w:lang w:bidi="ar"/>
              </w:rPr>
            </w:pPr>
            <w:r>
              <w:rPr>
                <w:rFonts w:hint="eastAsia" w:hAnsi="仿宋" w:cs="宋体"/>
                <w:bCs/>
                <w:spacing w:val="6"/>
                <w:sz w:val="21"/>
              </w:rPr>
              <w:t>该项目开工及时，项目建设进度与计划进度匹配。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759" w:type="dxa"/>
            <w:vMerge w:val="continue"/>
            <w:vAlign w:val="center"/>
          </w:tcPr>
          <w:p>
            <w:pPr>
              <w:snapToGrid w:val="0"/>
              <w:jc w:val="center"/>
              <w:rPr>
                <w:rFonts w:hAnsi="仿宋" w:cs="宋体"/>
                <w:bCs/>
                <w:spacing w:val="6"/>
                <w:sz w:val="21"/>
              </w:rPr>
            </w:pPr>
          </w:p>
        </w:tc>
        <w:tc>
          <w:tcPr>
            <w:tcW w:w="1333" w:type="dxa"/>
            <w:vAlign w:val="center"/>
          </w:tcPr>
          <w:p>
            <w:pPr>
              <w:snapToGrid w:val="0"/>
              <w:jc w:val="left"/>
              <w:rPr>
                <w:rFonts w:hAnsi="仿宋" w:cs="宋体"/>
                <w:bCs/>
                <w:spacing w:val="6"/>
                <w:sz w:val="21"/>
              </w:rPr>
            </w:pPr>
            <w:r>
              <w:rPr>
                <w:rFonts w:hint="eastAsia" w:hAnsi="仿宋" w:cs="宋体"/>
                <w:bCs/>
                <w:spacing w:val="6"/>
                <w:sz w:val="21"/>
              </w:rPr>
              <w:t>成本指标</w:t>
            </w:r>
          </w:p>
        </w:tc>
        <w:tc>
          <w:tcPr>
            <w:tcW w:w="1824" w:type="dxa"/>
            <w:vAlign w:val="center"/>
          </w:tcPr>
          <w:p>
            <w:pPr>
              <w:snapToGrid w:val="0"/>
              <w:jc w:val="left"/>
              <w:rPr>
                <w:rFonts w:hAnsi="仿宋" w:cs="宋体"/>
                <w:bCs/>
                <w:spacing w:val="6"/>
                <w:sz w:val="21"/>
              </w:rPr>
            </w:pPr>
            <w:r>
              <w:rPr>
                <w:rFonts w:hint="eastAsia" w:hAnsi="仿宋" w:cs="宋体"/>
                <w:bCs/>
                <w:spacing w:val="6"/>
                <w:sz w:val="21"/>
              </w:rPr>
              <w:t>项目建设成本控制</w:t>
            </w:r>
          </w:p>
        </w:tc>
        <w:tc>
          <w:tcPr>
            <w:tcW w:w="900" w:type="dxa"/>
            <w:vAlign w:val="center"/>
          </w:tcPr>
          <w:p>
            <w:pPr>
              <w:snapToGrid w:val="0"/>
              <w:jc w:val="center"/>
              <w:rPr>
                <w:rFonts w:hAnsi="仿宋" w:cs="宋体"/>
                <w:bCs/>
                <w:spacing w:val="6"/>
                <w:sz w:val="21"/>
              </w:rPr>
            </w:pPr>
            <w:r>
              <w:rPr>
                <w:rFonts w:hint="eastAsia" w:hAnsi="仿宋" w:cs="宋体"/>
                <w:bCs/>
                <w:spacing w:val="6"/>
                <w:sz w:val="21"/>
              </w:rPr>
              <w:t>≤100%</w:t>
            </w:r>
          </w:p>
        </w:tc>
        <w:tc>
          <w:tcPr>
            <w:tcW w:w="900" w:type="dxa"/>
            <w:vAlign w:val="center"/>
          </w:tcPr>
          <w:p>
            <w:pPr>
              <w:snapToGrid w:val="0"/>
              <w:jc w:val="center"/>
              <w:rPr>
                <w:rFonts w:hAnsi="仿宋" w:cs="宋体"/>
                <w:bCs/>
                <w:spacing w:val="6"/>
                <w:sz w:val="21"/>
              </w:rPr>
            </w:pPr>
            <w:r>
              <w:rPr>
                <w:rFonts w:hint="eastAsia" w:hAnsi="仿宋" w:cs="宋体"/>
                <w:bCs/>
                <w:spacing w:val="6"/>
                <w:sz w:val="21"/>
              </w:rPr>
              <w:t>部分</w:t>
            </w:r>
          </w:p>
          <w:p>
            <w:pPr>
              <w:snapToGrid w:val="0"/>
              <w:jc w:val="center"/>
              <w:rPr>
                <w:rFonts w:hAnsi="仿宋" w:cs="宋体"/>
                <w:bCs/>
                <w:spacing w:val="6"/>
                <w:sz w:val="21"/>
              </w:rPr>
            </w:pPr>
            <w:r>
              <w:rPr>
                <w:rFonts w:hint="eastAsia" w:hAnsi="仿宋" w:cs="宋体"/>
                <w:bCs/>
                <w:spacing w:val="6"/>
                <w:sz w:val="21"/>
              </w:rPr>
              <w:t>完成</w:t>
            </w:r>
          </w:p>
        </w:tc>
        <w:tc>
          <w:tcPr>
            <w:tcW w:w="3129" w:type="dxa"/>
            <w:vAlign w:val="center"/>
          </w:tcPr>
          <w:p>
            <w:pPr>
              <w:snapToGrid w:val="0"/>
              <w:rPr>
                <w:rFonts w:hAnsi="仿宋" w:cs="宋体"/>
                <w:bCs/>
                <w:spacing w:val="6"/>
                <w:sz w:val="21"/>
              </w:rPr>
            </w:pPr>
            <w:r>
              <w:rPr>
                <w:rFonts w:hint="eastAsia" w:hAnsi="仿宋" w:cs="宋体"/>
                <w:bCs/>
                <w:spacing w:val="6"/>
                <w:sz w:val="21"/>
              </w:rPr>
              <w:t>目前该项目建设未超概算总投资，但富民县现代农业示范园建设项目（一期）中标通知书未明确中标金额，合同签订也未明确金额，故预期建设成本控制无法衡量。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759" w:type="dxa"/>
            <w:vMerge w:val="restart"/>
            <w:vAlign w:val="center"/>
          </w:tcPr>
          <w:p>
            <w:pPr>
              <w:snapToGrid w:val="0"/>
              <w:jc w:val="center"/>
              <w:rPr>
                <w:rFonts w:hAnsi="仿宋" w:cs="宋体"/>
                <w:bCs/>
                <w:spacing w:val="6"/>
                <w:sz w:val="21"/>
              </w:rPr>
            </w:pPr>
            <w:r>
              <w:rPr>
                <w:rFonts w:hint="eastAsia" w:hAnsi="仿宋" w:cs="宋体"/>
                <w:bCs/>
                <w:spacing w:val="6"/>
                <w:sz w:val="21"/>
              </w:rPr>
              <w:t>效益指标</w:t>
            </w:r>
          </w:p>
        </w:tc>
        <w:tc>
          <w:tcPr>
            <w:tcW w:w="1333" w:type="dxa"/>
            <w:vAlign w:val="center"/>
          </w:tcPr>
          <w:p>
            <w:pPr>
              <w:snapToGrid w:val="0"/>
              <w:jc w:val="left"/>
              <w:rPr>
                <w:rFonts w:hAnsi="仿宋" w:cs="宋体"/>
                <w:bCs/>
                <w:spacing w:val="6"/>
                <w:sz w:val="21"/>
              </w:rPr>
            </w:pPr>
            <w:r>
              <w:rPr>
                <w:rFonts w:hint="eastAsia" w:hAnsi="仿宋" w:cs="宋体"/>
                <w:bCs/>
                <w:spacing w:val="6"/>
                <w:sz w:val="21"/>
              </w:rPr>
              <w:t>经济效益指标</w:t>
            </w:r>
          </w:p>
        </w:tc>
        <w:tc>
          <w:tcPr>
            <w:tcW w:w="1824" w:type="dxa"/>
            <w:vAlign w:val="center"/>
          </w:tcPr>
          <w:p>
            <w:pPr>
              <w:snapToGrid w:val="0"/>
              <w:jc w:val="left"/>
              <w:rPr>
                <w:rFonts w:hAnsi="仿宋" w:cs="宋体"/>
                <w:bCs/>
                <w:spacing w:val="6"/>
                <w:sz w:val="21"/>
              </w:rPr>
            </w:pPr>
            <w:r>
              <w:rPr>
                <w:rFonts w:hint="eastAsia" w:hAnsi="仿宋" w:cs="宋体"/>
                <w:bCs/>
                <w:spacing w:val="6"/>
                <w:sz w:val="21"/>
              </w:rPr>
              <w:t>项目运营预期总收入</w:t>
            </w:r>
          </w:p>
        </w:tc>
        <w:tc>
          <w:tcPr>
            <w:tcW w:w="900" w:type="dxa"/>
            <w:vAlign w:val="center"/>
          </w:tcPr>
          <w:p>
            <w:pPr>
              <w:snapToGrid w:val="0"/>
              <w:jc w:val="center"/>
              <w:rPr>
                <w:rFonts w:hAnsi="仿宋" w:cs="宋体"/>
                <w:bCs/>
                <w:spacing w:val="6"/>
                <w:sz w:val="21"/>
              </w:rPr>
            </w:pPr>
            <w:r>
              <w:rPr>
                <w:rFonts w:hint="eastAsia" w:hAnsi="仿宋" w:cs="宋体"/>
                <w:bCs/>
                <w:spacing w:val="6"/>
                <w:sz w:val="21"/>
              </w:rPr>
              <w:t>实现</w:t>
            </w:r>
          </w:p>
        </w:tc>
        <w:tc>
          <w:tcPr>
            <w:tcW w:w="900" w:type="dxa"/>
            <w:vAlign w:val="center"/>
          </w:tcPr>
          <w:p>
            <w:pPr>
              <w:snapToGrid w:val="0"/>
              <w:jc w:val="center"/>
              <w:rPr>
                <w:rFonts w:hAnsi="仿宋" w:cs="宋体"/>
                <w:bCs/>
                <w:spacing w:val="6"/>
                <w:sz w:val="21"/>
              </w:rPr>
            </w:pPr>
            <w:r>
              <w:rPr>
                <w:rFonts w:hint="eastAsia" w:hAnsi="仿宋" w:cs="宋体"/>
                <w:bCs/>
                <w:spacing w:val="6"/>
                <w:sz w:val="21"/>
              </w:rPr>
              <w:t>部分</w:t>
            </w:r>
          </w:p>
          <w:p>
            <w:pPr>
              <w:snapToGrid w:val="0"/>
              <w:jc w:val="center"/>
              <w:rPr>
                <w:rFonts w:hAnsi="仿宋" w:cs="宋体"/>
                <w:bCs/>
                <w:spacing w:val="6"/>
                <w:sz w:val="21"/>
              </w:rPr>
            </w:pPr>
            <w:r>
              <w:rPr>
                <w:rFonts w:hint="eastAsia" w:hAnsi="仿宋" w:cs="宋体"/>
                <w:bCs/>
                <w:spacing w:val="6"/>
                <w:sz w:val="21"/>
              </w:rPr>
              <w:t>完成</w:t>
            </w:r>
          </w:p>
        </w:tc>
        <w:tc>
          <w:tcPr>
            <w:tcW w:w="3129" w:type="dxa"/>
            <w:vAlign w:val="center"/>
          </w:tcPr>
          <w:p>
            <w:pPr>
              <w:snapToGrid w:val="0"/>
              <w:rPr>
                <w:rFonts w:hAnsi="仿宋" w:cs="宋体"/>
                <w:bCs/>
                <w:spacing w:val="6"/>
                <w:sz w:val="21"/>
              </w:rPr>
            </w:pPr>
            <w:r>
              <w:rPr>
                <w:rFonts w:hint="eastAsia" w:hAnsi="仿宋" w:cs="宋体"/>
                <w:bCs/>
                <w:spacing w:val="6"/>
                <w:sz w:val="21"/>
              </w:rPr>
              <w:t>分析问卷第6题的结果可知，社会群众多为价格敏感型消费者，在面对不同租金标准时，大部分问卷对象选择更低租金标准的选项。结合耕地红线政策影响，在基本农田不允许建造大棚等设施的情况下，商户的租赁意愿会大幅下降，这将导致商业预期收益实现难度较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759" w:type="dxa"/>
            <w:vMerge w:val="continue"/>
            <w:vAlign w:val="center"/>
          </w:tcPr>
          <w:p>
            <w:pPr>
              <w:snapToGrid w:val="0"/>
              <w:jc w:val="center"/>
              <w:rPr>
                <w:rFonts w:hAnsi="仿宋" w:cs="宋体"/>
                <w:bCs/>
                <w:spacing w:val="6"/>
                <w:sz w:val="21"/>
              </w:rPr>
            </w:pPr>
          </w:p>
        </w:tc>
        <w:tc>
          <w:tcPr>
            <w:tcW w:w="1333" w:type="dxa"/>
            <w:vAlign w:val="center"/>
          </w:tcPr>
          <w:p>
            <w:pPr>
              <w:snapToGrid w:val="0"/>
              <w:jc w:val="left"/>
              <w:rPr>
                <w:rFonts w:hAnsi="仿宋" w:cs="宋体"/>
                <w:bCs/>
                <w:spacing w:val="6"/>
                <w:sz w:val="21"/>
              </w:rPr>
            </w:pPr>
            <w:r>
              <w:rPr>
                <w:rFonts w:hint="eastAsia" w:hAnsi="仿宋" w:cs="宋体"/>
                <w:bCs/>
                <w:spacing w:val="6"/>
                <w:sz w:val="21"/>
              </w:rPr>
              <w:t>社会效益指标</w:t>
            </w:r>
          </w:p>
        </w:tc>
        <w:tc>
          <w:tcPr>
            <w:tcW w:w="1824" w:type="dxa"/>
            <w:vAlign w:val="center"/>
          </w:tcPr>
          <w:p>
            <w:pPr>
              <w:widowControl/>
              <w:jc w:val="left"/>
              <w:textAlignment w:val="center"/>
              <w:rPr>
                <w:rFonts w:hAnsi="仿宋" w:cs="宋体"/>
                <w:bCs/>
                <w:spacing w:val="6"/>
                <w:sz w:val="21"/>
              </w:rPr>
            </w:pPr>
            <w:r>
              <w:rPr>
                <w:rFonts w:hint="eastAsia" w:hAnsi="仿宋" w:cs="仿宋"/>
                <w:color w:val="000000"/>
                <w:kern w:val="0"/>
                <w:sz w:val="20"/>
                <w:szCs w:val="20"/>
                <w:lang w:bidi="ar"/>
              </w:rPr>
              <w:t>增加当地就业</w:t>
            </w:r>
          </w:p>
        </w:tc>
        <w:tc>
          <w:tcPr>
            <w:tcW w:w="900" w:type="dxa"/>
            <w:vAlign w:val="center"/>
          </w:tcPr>
          <w:p>
            <w:pPr>
              <w:snapToGrid w:val="0"/>
              <w:jc w:val="center"/>
              <w:rPr>
                <w:rFonts w:hAnsi="仿宋" w:cs="宋体"/>
                <w:bCs/>
                <w:spacing w:val="6"/>
                <w:sz w:val="21"/>
              </w:rPr>
            </w:pPr>
            <w:r>
              <w:rPr>
                <w:rFonts w:hint="eastAsia" w:hAnsi="仿宋" w:cs="宋体"/>
                <w:bCs/>
                <w:spacing w:val="6"/>
                <w:sz w:val="21"/>
              </w:rPr>
              <w:t>增加</w:t>
            </w:r>
          </w:p>
        </w:tc>
        <w:tc>
          <w:tcPr>
            <w:tcW w:w="900" w:type="dxa"/>
            <w:vAlign w:val="center"/>
          </w:tcPr>
          <w:p>
            <w:pPr>
              <w:snapToGrid w:val="0"/>
              <w:jc w:val="center"/>
              <w:rPr>
                <w:rFonts w:hAnsi="仿宋" w:cs="宋体"/>
                <w:bCs/>
                <w:spacing w:val="6"/>
                <w:sz w:val="21"/>
              </w:rPr>
            </w:pPr>
            <w:r>
              <w:rPr>
                <w:rFonts w:hint="eastAsia" w:hAnsi="仿宋" w:cs="宋体"/>
                <w:bCs/>
                <w:spacing w:val="6"/>
                <w:sz w:val="21"/>
              </w:rPr>
              <w:t>已完成</w:t>
            </w:r>
          </w:p>
        </w:tc>
        <w:tc>
          <w:tcPr>
            <w:tcW w:w="3129" w:type="dxa"/>
            <w:vAlign w:val="center"/>
          </w:tcPr>
          <w:p>
            <w:pPr>
              <w:snapToGrid w:val="0"/>
              <w:rPr>
                <w:rFonts w:hAnsi="仿宋" w:cs="宋体"/>
                <w:bCs/>
                <w:spacing w:val="6"/>
                <w:sz w:val="21"/>
              </w:rPr>
            </w:pPr>
            <w:r>
              <w:rPr>
                <w:rFonts w:hint="eastAsia" w:hAnsi="仿宋" w:cs="宋体"/>
                <w:bCs/>
                <w:spacing w:val="6"/>
                <w:sz w:val="21"/>
              </w:rPr>
              <w:t>经现场询问和了解，该项目建设过程雇佣了当地居民进行土地耕种和瓜果采收，促进了当地居民就业。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759" w:type="dxa"/>
            <w:vMerge w:val="continue"/>
            <w:vAlign w:val="center"/>
          </w:tcPr>
          <w:p>
            <w:pPr>
              <w:snapToGrid w:val="0"/>
              <w:jc w:val="center"/>
              <w:rPr>
                <w:rFonts w:hAnsi="仿宋" w:cs="宋体"/>
                <w:bCs/>
                <w:spacing w:val="6"/>
                <w:sz w:val="21"/>
              </w:rPr>
            </w:pPr>
          </w:p>
        </w:tc>
        <w:tc>
          <w:tcPr>
            <w:tcW w:w="1333" w:type="dxa"/>
            <w:vAlign w:val="center"/>
          </w:tcPr>
          <w:p>
            <w:pPr>
              <w:snapToGrid w:val="0"/>
              <w:jc w:val="left"/>
              <w:rPr>
                <w:rFonts w:hAnsi="仿宋" w:cs="宋体"/>
                <w:bCs/>
                <w:spacing w:val="6"/>
                <w:sz w:val="21"/>
              </w:rPr>
            </w:pPr>
            <w:r>
              <w:rPr>
                <w:rFonts w:hint="eastAsia" w:hAnsi="仿宋" w:cs="宋体"/>
                <w:bCs/>
                <w:spacing w:val="6"/>
                <w:sz w:val="21"/>
              </w:rPr>
              <w:t>生态效益指标</w:t>
            </w:r>
          </w:p>
        </w:tc>
        <w:tc>
          <w:tcPr>
            <w:tcW w:w="1824" w:type="dxa"/>
            <w:vAlign w:val="center"/>
          </w:tcPr>
          <w:p>
            <w:pPr>
              <w:widowControl/>
              <w:jc w:val="left"/>
              <w:textAlignment w:val="center"/>
              <w:rPr>
                <w:rFonts w:hAnsi="仿宋" w:cs="宋体"/>
                <w:bCs/>
                <w:spacing w:val="6"/>
                <w:sz w:val="21"/>
              </w:rPr>
            </w:pPr>
            <w:r>
              <w:rPr>
                <w:rFonts w:hint="eastAsia" w:hAnsi="仿宋" w:cs="仿宋"/>
                <w:color w:val="000000"/>
                <w:kern w:val="0"/>
                <w:sz w:val="20"/>
                <w:szCs w:val="20"/>
                <w:lang w:bidi="ar"/>
              </w:rPr>
              <w:t>环保处罚事件</w:t>
            </w:r>
          </w:p>
        </w:tc>
        <w:tc>
          <w:tcPr>
            <w:tcW w:w="900" w:type="dxa"/>
            <w:vAlign w:val="center"/>
          </w:tcPr>
          <w:p>
            <w:pPr>
              <w:snapToGrid w:val="0"/>
              <w:jc w:val="center"/>
              <w:rPr>
                <w:rFonts w:hAnsi="仿宋" w:cs="宋体"/>
                <w:bCs/>
                <w:spacing w:val="6"/>
                <w:sz w:val="21"/>
              </w:rPr>
            </w:pPr>
            <w:r>
              <w:rPr>
                <w:rFonts w:hint="eastAsia" w:hAnsi="仿宋" w:cs="宋体"/>
                <w:bCs/>
                <w:spacing w:val="6"/>
                <w:sz w:val="21"/>
              </w:rPr>
              <w:t>未发生</w:t>
            </w:r>
          </w:p>
        </w:tc>
        <w:tc>
          <w:tcPr>
            <w:tcW w:w="900" w:type="dxa"/>
            <w:vAlign w:val="center"/>
          </w:tcPr>
          <w:p>
            <w:pPr>
              <w:snapToGrid w:val="0"/>
              <w:jc w:val="center"/>
              <w:rPr>
                <w:rFonts w:hAnsi="仿宋" w:cs="宋体"/>
                <w:bCs/>
                <w:spacing w:val="6"/>
                <w:sz w:val="21"/>
              </w:rPr>
            </w:pPr>
            <w:r>
              <w:rPr>
                <w:rFonts w:hint="eastAsia" w:hAnsi="仿宋" w:cs="宋体"/>
                <w:bCs/>
                <w:spacing w:val="6"/>
                <w:sz w:val="21"/>
              </w:rPr>
              <w:t>已完成</w:t>
            </w:r>
          </w:p>
        </w:tc>
        <w:tc>
          <w:tcPr>
            <w:tcW w:w="3129" w:type="dxa"/>
            <w:vAlign w:val="center"/>
          </w:tcPr>
          <w:p>
            <w:pPr>
              <w:snapToGrid w:val="0"/>
              <w:rPr>
                <w:rFonts w:hAnsi="仿宋" w:cs="宋体"/>
                <w:bCs/>
                <w:spacing w:val="6"/>
                <w:sz w:val="21"/>
              </w:rPr>
            </w:pPr>
            <w:r>
              <w:rPr>
                <w:rFonts w:hint="eastAsia" w:hAnsi="仿宋" w:cs="宋体"/>
                <w:bCs/>
                <w:spacing w:val="6"/>
                <w:sz w:val="21"/>
              </w:rPr>
              <w:t>通过检查项目台账，浏览当地环保部门官网，未发现该项目受到环保处罚。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759" w:type="dxa"/>
            <w:vMerge w:val="continue"/>
            <w:vAlign w:val="center"/>
          </w:tcPr>
          <w:p>
            <w:pPr>
              <w:snapToGrid w:val="0"/>
              <w:jc w:val="center"/>
              <w:rPr>
                <w:rFonts w:hAnsi="仿宋" w:cs="宋体"/>
                <w:bCs/>
                <w:spacing w:val="6"/>
                <w:sz w:val="21"/>
              </w:rPr>
            </w:pPr>
          </w:p>
        </w:tc>
        <w:tc>
          <w:tcPr>
            <w:tcW w:w="1333" w:type="dxa"/>
            <w:vAlign w:val="center"/>
          </w:tcPr>
          <w:p>
            <w:pPr>
              <w:snapToGrid w:val="0"/>
              <w:jc w:val="left"/>
              <w:rPr>
                <w:rFonts w:hAnsi="仿宋" w:cs="宋体"/>
                <w:bCs/>
                <w:spacing w:val="6"/>
                <w:sz w:val="21"/>
              </w:rPr>
            </w:pPr>
            <w:r>
              <w:rPr>
                <w:rFonts w:hint="eastAsia" w:hAnsi="仿宋" w:cs="宋体"/>
                <w:bCs/>
                <w:spacing w:val="6"/>
                <w:sz w:val="21"/>
              </w:rPr>
              <w:t>满意度指标</w:t>
            </w:r>
          </w:p>
        </w:tc>
        <w:tc>
          <w:tcPr>
            <w:tcW w:w="1824" w:type="dxa"/>
            <w:vAlign w:val="center"/>
          </w:tcPr>
          <w:p>
            <w:pPr>
              <w:widowControl/>
              <w:jc w:val="left"/>
              <w:textAlignment w:val="center"/>
              <w:rPr>
                <w:rFonts w:hAnsi="仿宋" w:cs="宋体"/>
                <w:bCs/>
                <w:spacing w:val="6"/>
                <w:sz w:val="21"/>
              </w:rPr>
            </w:pPr>
            <w:r>
              <w:rPr>
                <w:rFonts w:hint="eastAsia" w:hAnsi="仿宋" w:cs="仿宋"/>
                <w:color w:val="000000"/>
                <w:kern w:val="0"/>
                <w:sz w:val="20"/>
                <w:szCs w:val="20"/>
                <w:lang w:bidi="ar"/>
              </w:rPr>
              <w:t>综合满意度</w:t>
            </w:r>
          </w:p>
        </w:tc>
        <w:tc>
          <w:tcPr>
            <w:tcW w:w="900" w:type="dxa"/>
            <w:vAlign w:val="center"/>
          </w:tcPr>
          <w:p>
            <w:pPr>
              <w:snapToGrid w:val="0"/>
              <w:jc w:val="center"/>
              <w:rPr>
                <w:rFonts w:hAnsi="仿宋" w:cs="宋体"/>
                <w:bCs/>
                <w:spacing w:val="6"/>
                <w:sz w:val="21"/>
              </w:rPr>
            </w:pPr>
            <w:r>
              <w:rPr>
                <w:rFonts w:hint="eastAsia" w:hAnsi="仿宋" w:cs="宋体"/>
                <w:bCs/>
                <w:spacing w:val="6"/>
                <w:sz w:val="21"/>
              </w:rPr>
              <w:t>≥90%</w:t>
            </w:r>
          </w:p>
        </w:tc>
        <w:tc>
          <w:tcPr>
            <w:tcW w:w="900" w:type="dxa"/>
            <w:vAlign w:val="center"/>
          </w:tcPr>
          <w:p>
            <w:pPr>
              <w:snapToGrid w:val="0"/>
              <w:jc w:val="center"/>
              <w:rPr>
                <w:rFonts w:hAnsi="仿宋" w:cs="宋体"/>
                <w:bCs/>
                <w:spacing w:val="6"/>
                <w:sz w:val="21"/>
              </w:rPr>
            </w:pPr>
            <w:r>
              <w:rPr>
                <w:rFonts w:hint="eastAsia" w:hAnsi="仿宋" w:cs="宋体"/>
                <w:bCs/>
                <w:spacing w:val="6"/>
                <w:sz w:val="21"/>
              </w:rPr>
              <w:t>部分</w:t>
            </w:r>
          </w:p>
          <w:p>
            <w:pPr>
              <w:snapToGrid w:val="0"/>
              <w:jc w:val="center"/>
              <w:rPr>
                <w:rFonts w:hAnsi="仿宋" w:cs="宋体"/>
                <w:bCs/>
                <w:spacing w:val="6"/>
                <w:sz w:val="21"/>
              </w:rPr>
            </w:pPr>
            <w:r>
              <w:rPr>
                <w:rFonts w:hint="eastAsia" w:hAnsi="仿宋" w:cs="宋体"/>
                <w:bCs/>
                <w:spacing w:val="6"/>
                <w:sz w:val="21"/>
              </w:rPr>
              <w:t>完成</w:t>
            </w:r>
          </w:p>
        </w:tc>
        <w:tc>
          <w:tcPr>
            <w:tcW w:w="3129" w:type="dxa"/>
            <w:vAlign w:val="center"/>
          </w:tcPr>
          <w:p>
            <w:pPr>
              <w:snapToGrid w:val="0"/>
              <w:rPr>
                <w:rFonts w:hAnsi="仿宋" w:cs="宋体"/>
                <w:bCs/>
                <w:spacing w:val="6"/>
                <w:sz w:val="21"/>
              </w:rPr>
            </w:pPr>
            <w:r>
              <w:rPr>
                <w:rFonts w:hint="eastAsia" w:hAnsi="仿宋" w:cs="宋体"/>
                <w:bCs/>
                <w:spacing w:val="6"/>
                <w:sz w:val="21"/>
              </w:rPr>
              <w:t>该项目综合满意度为86.16%，其中：社会公众满意度为88.33%，富民产投黎乾实业公司满意度为83.33%，农业农村局工作人员满意度为85%。</w:t>
            </w:r>
          </w:p>
        </w:tc>
      </w:tr>
      <w:bookmarkEnd w:id="17"/>
    </w:tbl>
    <w:p>
      <w:pPr>
        <w:spacing w:line="579" w:lineRule="exact"/>
        <w:ind w:firstLine="630" w:firstLineChars="200"/>
        <w:outlineLvl w:val="0"/>
        <w:rPr>
          <w:rFonts w:ascii="黑体" w:hAnsi="宋体" w:eastAsia="黑体" w:cs="宋体"/>
          <w:szCs w:val="30"/>
        </w:rPr>
      </w:pPr>
      <w:bookmarkStart w:id="18" w:name="_Toc17773"/>
      <w:r>
        <w:rPr>
          <w:rFonts w:hint="eastAsia" w:ascii="黑体" w:hAnsi="宋体" w:eastAsia="黑体" w:cs="宋体"/>
          <w:szCs w:val="30"/>
        </w:rPr>
        <w:t>四、绩效评价情况分析</w:t>
      </w:r>
      <w:bookmarkEnd w:id="18"/>
    </w:p>
    <w:p>
      <w:pPr>
        <w:spacing w:line="590" w:lineRule="exact"/>
        <w:ind w:firstLine="654" w:firstLineChars="200"/>
        <w:outlineLvl w:val="1"/>
        <w:rPr>
          <w:rFonts w:ascii="楷体_GB2312" w:hAnsi="楷体_GB2312" w:eastAsia="楷体_GB2312" w:cs="楷体_GB2312"/>
          <w:spacing w:val="6"/>
          <w:szCs w:val="30"/>
        </w:rPr>
      </w:pPr>
      <w:bookmarkStart w:id="19" w:name="_Toc4457"/>
      <w:r>
        <w:rPr>
          <w:rFonts w:hint="eastAsia" w:ascii="楷体_GB2312" w:hAnsi="楷体_GB2312" w:eastAsia="楷体_GB2312" w:cs="楷体_GB2312"/>
          <w:spacing w:val="6"/>
          <w:szCs w:val="30"/>
        </w:rPr>
        <w:t>（一）投入情况分析</w:t>
      </w:r>
      <w:bookmarkEnd w:id="19"/>
    </w:p>
    <w:p>
      <w:pPr>
        <w:pStyle w:val="40"/>
        <w:spacing w:line="579" w:lineRule="exact"/>
        <w:ind w:left="142" w:firstLine="656"/>
        <w:rPr>
          <w:rFonts w:ascii="仿宋_GB2312" w:hAnsi="仿宋_GB2312" w:eastAsia="仿宋_GB2312" w:cs="仿宋_GB2312"/>
          <w:spacing w:val="6"/>
          <w:szCs w:val="30"/>
        </w:rPr>
      </w:pPr>
      <w:r>
        <w:rPr>
          <w:rFonts w:hint="eastAsia" w:ascii="仿宋_GB2312" w:hAnsi="仿宋_GB2312" w:eastAsia="仿宋_GB2312" w:cs="仿宋_GB2312"/>
          <w:spacing w:val="6"/>
          <w:szCs w:val="30"/>
        </w:rPr>
        <w:t>投入部分满分为15分，此次绩效评价得分12分，得分率为80%，具体分析如下：</w:t>
      </w:r>
    </w:p>
    <w:p>
      <w:pPr>
        <w:pStyle w:val="40"/>
        <w:spacing w:line="579" w:lineRule="exact"/>
        <w:ind w:left="142" w:firstLine="656"/>
        <w:rPr>
          <w:rFonts w:ascii="仿宋_GB2312" w:hAnsi="仿宋_GB2312" w:eastAsia="仿宋_GB2312" w:cs="仿宋_GB2312"/>
          <w:spacing w:val="6"/>
          <w:szCs w:val="30"/>
        </w:rPr>
      </w:pPr>
      <w:r>
        <w:rPr>
          <w:rFonts w:hint="eastAsia" w:ascii="仿宋_GB2312" w:hAnsi="仿宋_GB2312" w:eastAsia="仿宋_GB2312" w:cs="仿宋_GB2312"/>
          <w:spacing w:val="6"/>
          <w:szCs w:val="30"/>
        </w:rPr>
        <w:t>1.项目立项</w:t>
      </w:r>
    </w:p>
    <w:p>
      <w:pPr>
        <w:pStyle w:val="40"/>
        <w:spacing w:line="579" w:lineRule="exact"/>
        <w:ind w:left="142" w:firstLine="656"/>
        <w:rPr>
          <w:rFonts w:ascii="仿宋_GB2312" w:hAnsi="仿宋_GB2312" w:eastAsia="仿宋_GB2312" w:cs="仿宋_GB2312"/>
          <w:spacing w:val="6"/>
          <w:szCs w:val="30"/>
        </w:rPr>
      </w:pPr>
      <w:r>
        <w:rPr>
          <w:rFonts w:hint="eastAsia" w:ascii="仿宋_GB2312" w:hAnsi="仿宋_GB2312" w:eastAsia="仿宋_GB2312" w:cs="仿宋_GB2312"/>
          <w:spacing w:val="6"/>
          <w:szCs w:val="30"/>
        </w:rPr>
        <w:t>（1）立项依据充分性：该项目的设立方向与《昆明市财政局关于下达2022年第三批专项债券额度的通知》（昆财债〔2022〕60号）规定的专项债券支持方向相符，项目立项符合国民经济发展规划和乡村振兴发展政策要求，属于部门履职所需。</w:t>
      </w:r>
    </w:p>
    <w:p>
      <w:pPr>
        <w:pStyle w:val="40"/>
        <w:spacing w:line="579" w:lineRule="exact"/>
        <w:ind w:left="142" w:firstLine="656"/>
        <w:rPr>
          <w:rFonts w:ascii="仿宋_GB2312" w:hAnsi="仿宋_GB2312" w:eastAsia="仿宋_GB2312" w:cs="仿宋_GB2312"/>
          <w:spacing w:val="6"/>
          <w:szCs w:val="30"/>
        </w:rPr>
      </w:pPr>
      <w:r>
        <w:rPr>
          <w:rFonts w:hint="eastAsia" w:ascii="仿宋_GB2312" w:hAnsi="仿宋_GB2312" w:eastAsia="仿宋_GB2312" w:cs="仿宋_GB2312"/>
          <w:spacing w:val="6"/>
          <w:szCs w:val="30"/>
        </w:rPr>
        <w:t>（2）立项程序规范性：富民县现代农业示范园建设项目能够按照规定的程序申请设立。2022年2月11日，项目可行性研究报告和项目初步设计取得富民县发展和改革局的同意批复，2022年5月1日，富民县现代农业示范园建设项目取得开工令，按要求完成勘察、设计、用地、环评、开工许可等前期工作，事前已经过必要的决策环节，审批文件、材料符合相关要求。</w:t>
      </w:r>
    </w:p>
    <w:p>
      <w:pPr>
        <w:pStyle w:val="40"/>
        <w:spacing w:line="579" w:lineRule="exact"/>
        <w:ind w:left="142" w:firstLine="656"/>
        <w:rPr>
          <w:rFonts w:ascii="仿宋_GB2312" w:hAnsi="仿宋_GB2312" w:eastAsia="仿宋_GB2312" w:cs="仿宋_GB2312"/>
          <w:spacing w:val="6"/>
          <w:szCs w:val="30"/>
        </w:rPr>
      </w:pPr>
      <w:r>
        <w:rPr>
          <w:rFonts w:hint="eastAsia" w:ascii="仿宋_GB2312" w:hAnsi="仿宋_GB2312" w:eastAsia="仿宋_GB2312" w:cs="仿宋_GB2312"/>
          <w:spacing w:val="6"/>
          <w:szCs w:val="30"/>
        </w:rPr>
        <w:t>2.前期工作</w:t>
      </w:r>
    </w:p>
    <w:p>
      <w:pPr>
        <w:pStyle w:val="40"/>
        <w:spacing w:line="579" w:lineRule="exact"/>
        <w:ind w:left="142" w:firstLine="656"/>
        <w:rPr>
          <w:rFonts w:ascii="仿宋_GB2312" w:hAnsi="仿宋_GB2312" w:eastAsia="仿宋_GB2312" w:cs="仿宋_GB2312"/>
          <w:spacing w:val="6"/>
          <w:szCs w:val="30"/>
        </w:rPr>
      </w:pPr>
      <w:r>
        <w:rPr>
          <w:rFonts w:hint="eastAsia" w:ascii="仿宋_GB2312" w:hAnsi="仿宋_GB2312" w:eastAsia="仿宋_GB2312" w:cs="仿宋_GB2312"/>
          <w:spacing w:val="6"/>
          <w:szCs w:val="30"/>
        </w:rPr>
        <w:t>（1）</w:t>
      </w:r>
      <w:r>
        <w:rPr>
          <w:rFonts w:ascii="仿宋_GB2312" w:hAnsi="仿宋_GB2312" w:eastAsia="仿宋_GB2312" w:cs="仿宋_GB2312"/>
          <w:spacing w:val="6"/>
          <w:szCs w:val="30"/>
        </w:rPr>
        <w:t>前期工作准备充分性</w:t>
      </w:r>
      <w:r>
        <w:rPr>
          <w:rFonts w:hint="eastAsia" w:ascii="仿宋_GB2312" w:hAnsi="仿宋_GB2312" w:eastAsia="仿宋_GB2312" w:cs="仿宋_GB2312"/>
          <w:spacing w:val="6"/>
          <w:szCs w:val="30"/>
        </w:rPr>
        <w:t>：该项目勘察、设计、用地、环评等各项前期工作在计划时间内完成，但项目前期规划包括智能温控大棚建设，由于流转土地全部为基本农田，政策明确基本农田不允许建造大棚等设施，导致实施方案的相关规划需重新上报调整，影响项目整体进度。</w:t>
      </w:r>
    </w:p>
    <w:p>
      <w:pPr>
        <w:pStyle w:val="40"/>
        <w:spacing w:line="579" w:lineRule="exact"/>
        <w:ind w:left="142" w:firstLine="656"/>
        <w:rPr>
          <w:rFonts w:ascii="仿宋_GB2312" w:hAnsi="仿宋_GB2312" w:eastAsia="仿宋_GB2312" w:cs="仿宋_GB2312"/>
          <w:spacing w:val="6"/>
          <w:szCs w:val="30"/>
        </w:rPr>
      </w:pPr>
      <w:r>
        <w:rPr>
          <w:rFonts w:hint="eastAsia" w:ascii="仿宋_GB2312" w:hAnsi="仿宋_GB2312" w:eastAsia="仿宋_GB2312" w:cs="仿宋_GB2312"/>
          <w:spacing w:val="6"/>
          <w:szCs w:val="30"/>
        </w:rPr>
        <w:t>（2）前期工作开展规范性：项目建设工程实施前，项目用地已取得《富民县自然资源局关于富民县现代农业示范园建设项目的用地审查意见》（富自然资〔2022〕7号）和《昆明市生态环境局富民分局关于富民县现代</w:t>
      </w:r>
      <w:r>
        <w:rPr>
          <w:rFonts w:hint="eastAsia" w:ascii="仿宋_GB2312" w:hAnsi="仿宋_GB2312" w:eastAsia="仿宋_GB2312" w:cs="仿宋_GB2312"/>
          <w:spacing w:val="6"/>
          <w:szCs w:val="30"/>
          <w:lang w:val="en-US" w:eastAsia="zh-CN"/>
        </w:rPr>
        <w:t>农</w:t>
      </w:r>
      <w:r>
        <w:rPr>
          <w:rFonts w:hint="eastAsia" w:ascii="仿宋_GB2312" w:hAnsi="仿宋_GB2312" w:eastAsia="仿宋_GB2312" w:cs="仿宋_GB2312"/>
          <w:spacing w:val="6"/>
          <w:szCs w:val="30"/>
        </w:rPr>
        <w:t>业示范园建设项目 （一期）环评审批手续的复函》。2022年3月，通过公开招标的方式确定富民兴达建筑有限公司为富民县现代农业示范园建设项目（一期）的中标单位，招采程序规范，但项目一期于2022年4月6日开工建设，而开工令日期为2022年5月1日，存在未取得取施工许可证便进场施工的情况。</w:t>
      </w:r>
    </w:p>
    <w:p>
      <w:pPr>
        <w:pStyle w:val="40"/>
        <w:spacing w:line="579" w:lineRule="exact"/>
        <w:ind w:left="142" w:firstLine="656"/>
        <w:rPr>
          <w:rFonts w:ascii="仿宋_GB2312" w:hAnsi="仿宋_GB2312" w:eastAsia="仿宋_GB2312" w:cs="仿宋_GB2312"/>
          <w:spacing w:val="6"/>
          <w:szCs w:val="30"/>
        </w:rPr>
      </w:pPr>
      <w:r>
        <w:rPr>
          <w:rFonts w:hint="eastAsia" w:ascii="仿宋_GB2312" w:hAnsi="仿宋_GB2312" w:eastAsia="仿宋_GB2312" w:cs="仿宋_GB2312"/>
          <w:spacing w:val="6"/>
          <w:szCs w:val="30"/>
        </w:rPr>
        <w:t>3.专项债券安排</w:t>
      </w:r>
    </w:p>
    <w:p>
      <w:pPr>
        <w:pStyle w:val="40"/>
        <w:spacing w:line="579" w:lineRule="exact"/>
        <w:ind w:left="142" w:firstLine="656"/>
        <w:rPr>
          <w:rFonts w:ascii="仿宋_GB2312" w:hAnsi="仿宋_GB2312" w:eastAsia="仿宋_GB2312" w:cs="仿宋_GB2312"/>
          <w:spacing w:val="6"/>
          <w:szCs w:val="30"/>
        </w:rPr>
      </w:pPr>
      <w:r>
        <w:rPr>
          <w:rFonts w:ascii="仿宋_GB2312" w:hAnsi="仿宋_GB2312" w:eastAsia="仿宋_GB2312" w:cs="仿宋_GB2312"/>
          <w:spacing w:val="6"/>
          <w:szCs w:val="30"/>
        </w:rPr>
        <w:t>（1）项目与专项债券支持领域及方向匹配性：《昆明市财政局关于下达2022年第三批专项债券额度的通知》（昆财债〔2022〕60号）下发</w:t>
      </w:r>
      <w:r>
        <w:rPr>
          <w:rFonts w:hint="eastAsia" w:ascii="仿宋_GB2312" w:hAnsi="仿宋_GB2312" w:eastAsia="仿宋_GB2312" w:cs="仿宋_GB2312"/>
          <w:spacing w:val="6"/>
          <w:szCs w:val="30"/>
        </w:rPr>
        <w:t>了富民县现代农业示范园建设项目</w:t>
      </w:r>
      <w:r>
        <w:rPr>
          <w:rFonts w:ascii="仿宋_GB2312" w:hAnsi="仿宋_GB2312" w:eastAsia="仿宋_GB2312" w:cs="仿宋_GB2312"/>
          <w:spacing w:val="6"/>
          <w:szCs w:val="30"/>
        </w:rPr>
        <w:t>专债资金，</w:t>
      </w:r>
      <w:r>
        <w:rPr>
          <w:rFonts w:hint="eastAsia" w:ascii="仿宋_GB2312" w:hAnsi="仿宋_GB2312" w:eastAsia="仿宋_GB2312" w:cs="仿宋_GB2312"/>
          <w:spacing w:val="6"/>
          <w:szCs w:val="30"/>
        </w:rPr>
        <w:t>该项目属于</w:t>
      </w:r>
      <w:r>
        <w:rPr>
          <w:rFonts w:ascii="仿宋_GB2312" w:hAnsi="仿宋_GB2312" w:eastAsia="仿宋_GB2312" w:cs="仿宋_GB2312"/>
          <w:spacing w:val="6"/>
          <w:szCs w:val="30"/>
        </w:rPr>
        <w:t>农林水利</w:t>
      </w:r>
      <w:r>
        <w:rPr>
          <w:rFonts w:hint="eastAsia" w:ascii="仿宋_GB2312" w:hAnsi="仿宋_GB2312" w:eastAsia="仿宋_GB2312" w:cs="仿宋_GB2312"/>
          <w:spacing w:val="6"/>
          <w:szCs w:val="30"/>
        </w:rPr>
        <w:t>领域，</w:t>
      </w:r>
      <w:r>
        <w:rPr>
          <w:rFonts w:ascii="仿宋_GB2312" w:hAnsi="仿宋_GB2312" w:eastAsia="仿宋_GB2312" w:cs="仿宋_GB2312"/>
          <w:spacing w:val="6"/>
          <w:szCs w:val="30"/>
        </w:rPr>
        <w:t>符合地方政府专项债券资金支持范围。</w:t>
      </w:r>
    </w:p>
    <w:p>
      <w:pPr>
        <w:pStyle w:val="40"/>
        <w:spacing w:line="579" w:lineRule="exact"/>
        <w:ind w:left="142" w:firstLine="656"/>
        <w:rPr>
          <w:rFonts w:ascii="仿宋_GB2312" w:hAnsi="仿宋_GB2312" w:eastAsia="仿宋_GB2312" w:cs="仿宋_GB2312"/>
          <w:spacing w:val="6"/>
          <w:szCs w:val="30"/>
        </w:rPr>
      </w:pPr>
      <w:r>
        <w:rPr>
          <w:rFonts w:ascii="仿宋_GB2312" w:hAnsi="仿宋_GB2312" w:eastAsia="仿宋_GB2312" w:cs="仿宋_GB2312"/>
          <w:spacing w:val="6"/>
          <w:szCs w:val="30"/>
        </w:rPr>
        <w:t>（2）项目申报专项债券额度与实际需要匹配性：一是依据该项目可行性研究报告批复，项目总投资为</w:t>
      </w:r>
      <w:r>
        <w:rPr>
          <w:rFonts w:hint="eastAsia" w:ascii="仿宋_GB2312" w:hAnsi="仿宋_GB2312" w:eastAsia="仿宋_GB2312" w:cs="仿宋_GB2312"/>
          <w:spacing w:val="6"/>
          <w:szCs w:val="30"/>
        </w:rPr>
        <w:t>35,820.81</w:t>
      </w:r>
      <w:r>
        <w:rPr>
          <w:rFonts w:ascii="仿宋_GB2312" w:hAnsi="仿宋_GB2312" w:eastAsia="仿宋_GB2312" w:cs="仿宋_GB2312"/>
          <w:spacing w:val="6"/>
          <w:szCs w:val="30"/>
        </w:rPr>
        <w:t>万元，专项债券额度为1</w:t>
      </w:r>
      <w:r>
        <w:rPr>
          <w:rFonts w:hint="eastAsia" w:ascii="仿宋_GB2312" w:hAnsi="仿宋_GB2312" w:eastAsia="仿宋_GB2312" w:cs="仿宋_GB2312"/>
          <w:spacing w:val="6"/>
          <w:szCs w:val="30"/>
        </w:rPr>
        <w:t>8</w:t>
      </w:r>
      <w:r>
        <w:rPr>
          <w:rFonts w:ascii="仿宋_GB2312" w:hAnsi="仿宋_GB2312" w:eastAsia="仿宋_GB2312" w:cs="仿宋_GB2312"/>
          <w:spacing w:val="6"/>
          <w:szCs w:val="30"/>
        </w:rPr>
        <w:t>,000万元，</w:t>
      </w:r>
      <w:r>
        <w:rPr>
          <w:rFonts w:hint="eastAsia" w:ascii="仿宋_GB2312" w:hAnsi="仿宋_GB2312" w:eastAsia="仿宋_GB2312" w:cs="仿宋_GB2312"/>
          <w:spacing w:val="6"/>
          <w:szCs w:val="30"/>
        </w:rPr>
        <w:t>每年发行6,000万元，</w:t>
      </w:r>
      <w:r>
        <w:rPr>
          <w:rFonts w:ascii="仿宋_GB2312" w:hAnsi="仿宋_GB2312" w:eastAsia="仿宋_GB2312" w:cs="仿宋_GB2312"/>
          <w:spacing w:val="6"/>
          <w:szCs w:val="30"/>
        </w:rPr>
        <w:t>占项目总投资</w:t>
      </w:r>
      <w:r>
        <w:rPr>
          <w:rFonts w:hint="eastAsia" w:ascii="仿宋_GB2312" w:hAnsi="仿宋_GB2312" w:eastAsia="仿宋_GB2312" w:cs="仿宋_GB2312"/>
          <w:spacing w:val="6"/>
          <w:szCs w:val="30"/>
        </w:rPr>
        <w:t>50.25</w:t>
      </w:r>
      <w:r>
        <w:rPr>
          <w:rFonts w:ascii="仿宋_GB2312" w:hAnsi="仿宋_GB2312" w:eastAsia="仿宋_GB2312" w:cs="仿宋_GB2312"/>
          <w:spacing w:val="6"/>
          <w:szCs w:val="30"/>
        </w:rPr>
        <w:t>%；二是</w:t>
      </w:r>
      <w:r>
        <w:rPr>
          <w:rFonts w:hint="eastAsia" w:ascii="仿宋_GB2312" w:hAnsi="仿宋_GB2312" w:eastAsia="仿宋_GB2312" w:cs="仿宋_GB2312"/>
          <w:spacing w:val="6"/>
          <w:szCs w:val="30"/>
        </w:rPr>
        <w:t>项目建设（一期）已基本完工，</w:t>
      </w:r>
      <w:r>
        <w:rPr>
          <w:rFonts w:ascii="仿宋_GB2312" w:hAnsi="仿宋_GB2312" w:eastAsia="仿宋_GB2312" w:cs="仿宋_GB2312"/>
          <w:spacing w:val="6"/>
          <w:szCs w:val="30"/>
        </w:rPr>
        <w:t>项目资金依照建设进度拨付，</w:t>
      </w:r>
      <w:r>
        <w:rPr>
          <w:rFonts w:hint="eastAsia" w:ascii="仿宋_GB2312" w:hAnsi="仿宋_GB2312" w:eastAsia="仿宋_GB2312" w:cs="仿宋_GB2312"/>
          <w:spacing w:val="6"/>
          <w:szCs w:val="30"/>
        </w:rPr>
        <w:t>2022年</w:t>
      </w:r>
      <w:r>
        <w:rPr>
          <w:rFonts w:ascii="仿宋_GB2312" w:hAnsi="仿宋_GB2312" w:eastAsia="仿宋_GB2312" w:cs="仿宋_GB2312"/>
          <w:spacing w:val="6"/>
          <w:szCs w:val="30"/>
        </w:rPr>
        <w:t>专债资金可支持完成</w:t>
      </w:r>
      <w:r>
        <w:rPr>
          <w:rFonts w:hint="eastAsia" w:ascii="仿宋_GB2312" w:hAnsi="仿宋_GB2312" w:eastAsia="仿宋_GB2312" w:cs="仿宋_GB2312"/>
          <w:spacing w:val="6"/>
          <w:szCs w:val="30"/>
        </w:rPr>
        <w:t>项目建设一期</w:t>
      </w:r>
      <w:r>
        <w:rPr>
          <w:rFonts w:ascii="仿宋_GB2312" w:hAnsi="仿宋_GB2312" w:eastAsia="仿宋_GB2312" w:cs="仿宋_GB2312"/>
          <w:spacing w:val="6"/>
          <w:szCs w:val="30"/>
        </w:rPr>
        <w:t>全部工程量和</w:t>
      </w:r>
      <w:r>
        <w:rPr>
          <w:rFonts w:hint="eastAsia" w:ascii="仿宋_GB2312" w:hAnsi="仿宋_GB2312" w:eastAsia="仿宋_GB2312" w:cs="仿宋_GB2312"/>
          <w:spacing w:val="6"/>
          <w:szCs w:val="30"/>
        </w:rPr>
        <w:t>部分二期建设</w:t>
      </w:r>
      <w:r>
        <w:rPr>
          <w:rFonts w:ascii="仿宋_GB2312" w:hAnsi="仿宋_GB2312" w:eastAsia="仿宋_GB2312" w:cs="仿宋_GB2312"/>
          <w:spacing w:val="6"/>
          <w:szCs w:val="30"/>
        </w:rPr>
        <w:t>工程量。项目申报专项债券额度与实际需求相匹配。</w:t>
      </w:r>
    </w:p>
    <w:p>
      <w:pPr>
        <w:pStyle w:val="40"/>
        <w:spacing w:line="579" w:lineRule="exact"/>
        <w:ind w:left="142" w:firstLine="656"/>
        <w:rPr>
          <w:rFonts w:ascii="仿宋_GB2312" w:hAnsi="仿宋_GB2312" w:eastAsia="仿宋_GB2312" w:cs="仿宋_GB2312"/>
          <w:spacing w:val="6"/>
          <w:szCs w:val="30"/>
        </w:rPr>
      </w:pPr>
      <w:r>
        <w:rPr>
          <w:rFonts w:hint="eastAsia" w:ascii="仿宋_GB2312" w:hAnsi="仿宋_GB2312" w:eastAsia="仿宋_GB2312" w:cs="仿宋_GB2312"/>
          <w:spacing w:val="6"/>
          <w:szCs w:val="30"/>
        </w:rPr>
        <w:t>4.绩效目标</w:t>
      </w:r>
    </w:p>
    <w:p>
      <w:pPr>
        <w:pStyle w:val="40"/>
        <w:spacing w:line="579" w:lineRule="exact"/>
        <w:ind w:left="142" w:firstLine="656"/>
        <w:rPr>
          <w:rFonts w:ascii="仿宋_GB2312" w:hAnsi="仿宋_GB2312" w:eastAsia="仿宋_GB2312" w:cs="仿宋_GB2312"/>
          <w:spacing w:val="6"/>
          <w:szCs w:val="30"/>
          <w:highlight w:val="yellow"/>
        </w:rPr>
      </w:pPr>
      <w:r>
        <w:rPr>
          <w:rFonts w:hint="eastAsia" w:ascii="仿宋_GB2312" w:hAnsi="仿宋_GB2312" w:eastAsia="仿宋_GB2312" w:cs="仿宋_GB2312"/>
          <w:spacing w:val="6"/>
          <w:szCs w:val="30"/>
        </w:rPr>
        <w:t>（1）绩效目标合理性：县农业农村局2022年预算申报时确定了项目的总体目标和预算年度目标，绩效目标与实际工作内容具有相关性，但2022年度的绩效目标与预算确定的项目投资额或资金量不匹配，目标过于简单，未对项目年度内计划完成的内容和效益进行设置。</w:t>
      </w:r>
    </w:p>
    <w:p>
      <w:pPr>
        <w:pStyle w:val="40"/>
        <w:spacing w:line="579" w:lineRule="exact"/>
        <w:ind w:left="142" w:firstLine="656"/>
        <w:rPr>
          <w:rFonts w:ascii="仿宋_GB2312" w:hAnsi="仿宋_GB2312" w:eastAsia="仿宋_GB2312" w:cs="仿宋_GB2312"/>
          <w:spacing w:val="6"/>
          <w:szCs w:val="30"/>
        </w:rPr>
      </w:pPr>
      <w:r>
        <w:rPr>
          <w:rFonts w:hint="eastAsia" w:ascii="仿宋_GB2312" w:hAnsi="仿宋_GB2312" w:eastAsia="仿宋_GB2312" w:cs="仿宋_GB2312"/>
          <w:spacing w:val="6"/>
          <w:szCs w:val="30"/>
        </w:rPr>
        <w:t>（2）绩效指标明确性：根据县农业农村局2022年申报的项目绩效目标表，项目绩效目标细化分解为具体的绩效指标，数量指标已通过清晰、可衡量的指标值予以体现，指标与项目目标任务数或计划数相对应。</w:t>
      </w:r>
    </w:p>
    <w:p>
      <w:pPr>
        <w:spacing w:line="590" w:lineRule="exact"/>
        <w:ind w:firstLine="654" w:firstLineChars="200"/>
        <w:outlineLvl w:val="1"/>
        <w:rPr>
          <w:rFonts w:ascii="楷体_GB2312" w:hAnsi="楷体_GB2312" w:eastAsia="楷体_GB2312" w:cs="楷体_GB2312"/>
          <w:spacing w:val="6"/>
          <w:szCs w:val="30"/>
        </w:rPr>
      </w:pPr>
      <w:bookmarkStart w:id="20" w:name="_Toc17447"/>
      <w:r>
        <w:rPr>
          <w:rFonts w:hint="eastAsia" w:ascii="楷体_GB2312" w:hAnsi="楷体_GB2312" w:eastAsia="楷体_GB2312" w:cs="楷体_GB2312"/>
          <w:spacing w:val="6"/>
          <w:szCs w:val="30"/>
        </w:rPr>
        <w:t>（二）过程情况分析</w:t>
      </w:r>
      <w:bookmarkEnd w:id="20"/>
    </w:p>
    <w:p>
      <w:pPr>
        <w:pStyle w:val="40"/>
        <w:spacing w:line="579" w:lineRule="exact"/>
        <w:ind w:left="142" w:firstLine="656"/>
        <w:rPr>
          <w:rFonts w:ascii="仿宋_GB2312" w:hAnsi="仿宋_GB2312" w:eastAsia="仿宋_GB2312" w:cs="仿宋_GB2312"/>
          <w:spacing w:val="6"/>
          <w:szCs w:val="30"/>
        </w:rPr>
      </w:pPr>
      <w:r>
        <w:rPr>
          <w:rFonts w:hint="eastAsia" w:ascii="仿宋_GB2312" w:hAnsi="仿宋_GB2312" w:eastAsia="仿宋_GB2312" w:cs="仿宋_GB2312"/>
          <w:spacing w:val="6"/>
          <w:szCs w:val="30"/>
        </w:rPr>
        <w:t>过程部分满分为30分，此次绩效评价得分25.12分，得分率为83.73%，具体分析如下：</w:t>
      </w:r>
    </w:p>
    <w:p>
      <w:pPr>
        <w:pStyle w:val="40"/>
        <w:spacing w:line="590" w:lineRule="exact"/>
        <w:ind w:left="142" w:firstLine="656"/>
        <w:rPr>
          <w:rFonts w:ascii="仿宋_GB2312" w:hAnsi="仿宋_GB2312" w:eastAsia="仿宋_GB2312" w:cs="仿宋_GB2312"/>
          <w:spacing w:val="6"/>
          <w:szCs w:val="30"/>
        </w:rPr>
      </w:pPr>
      <w:r>
        <w:rPr>
          <w:rFonts w:hint="eastAsia" w:ascii="仿宋_GB2312" w:hAnsi="仿宋_GB2312" w:eastAsia="仿宋_GB2312" w:cs="仿宋_GB2312"/>
          <w:spacing w:val="6"/>
          <w:szCs w:val="30"/>
        </w:rPr>
        <w:t>1.专项债券管理</w:t>
      </w:r>
    </w:p>
    <w:p>
      <w:pPr>
        <w:pStyle w:val="40"/>
        <w:spacing w:line="590" w:lineRule="exact"/>
        <w:ind w:left="142" w:firstLine="656"/>
        <w:rPr>
          <w:rFonts w:ascii="仿宋_GB2312" w:hAnsi="仿宋_GB2312" w:eastAsia="仿宋_GB2312" w:cs="仿宋_GB2312"/>
          <w:spacing w:val="6"/>
          <w:szCs w:val="30"/>
        </w:rPr>
      </w:pPr>
      <w:r>
        <w:rPr>
          <w:rFonts w:hint="eastAsia" w:ascii="仿宋_GB2312" w:hAnsi="仿宋_GB2312" w:eastAsia="仿宋_GB2312" w:cs="仿宋_GB2312"/>
          <w:spacing w:val="6"/>
          <w:szCs w:val="30"/>
        </w:rPr>
        <w:t>（1）专项债券预算管理规范性：县农业农村局专项债券收支、还本付息和专项收入纳入政府性基金预算管理，黎乾实业公司按照相关规定单独设置收支科目核算专项债券的收支和利息收支。</w:t>
      </w:r>
    </w:p>
    <w:p>
      <w:pPr>
        <w:pStyle w:val="40"/>
        <w:spacing w:line="590" w:lineRule="exact"/>
        <w:ind w:left="142" w:firstLine="656"/>
        <w:rPr>
          <w:rFonts w:ascii="仿宋_GB2312" w:hAnsi="仿宋_GB2312" w:eastAsia="仿宋_GB2312" w:cs="仿宋_GB2312"/>
          <w:spacing w:val="6"/>
          <w:szCs w:val="30"/>
        </w:rPr>
      </w:pPr>
      <w:r>
        <w:rPr>
          <w:rFonts w:hint="eastAsia" w:ascii="仿宋_GB2312" w:hAnsi="仿宋_GB2312" w:eastAsia="仿宋_GB2312" w:cs="仿宋_GB2312"/>
          <w:spacing w:val="6"/>
          <w:szCs w:val="30"/>
        </w:rPr>
        <w:t>（2）专项债券本息偿还计划执行情况：2022年11月1日，第一期专项债券资金6,000万元已到位，根据黎乾实业公司提供的专项债券利息的支付记录，于2023年3月17日支付第一笔专项债券利息93.90万元，按时履行专项债券资金还本付息。</w:t>
      </w:r>
    </w:p>
    <w:p>
      <w:pPr>
        <w:pStyle w:val="40"/>
        <w:spacing w:line="590" w:lineRule="exact"/>
        <w:ind w:left="142" w:firstLine="656"/>
        <w:rPr>
          <w:rFonts w:ascii="仿宋_GB2312" w:hAnsi="仿宋_GB2312" w:eastAsia="仿宋_GB2312" w:cs="仿宋_GB2312"/>
          <w:spacing w:val="6"/>
          <w:szCs w:val="30"/>
        </w:rPr>
      </w:pPr>
      <w:r>
        <w:rPr>
          <w:rFonts w:hint="eastAsia" w:ascii="仿宋_GB2312" w:hAnsi="仿宋_GB2312" w:eastAsia="仿宋_GB2312" w:cs="仿宋_GB2312"/>
          <w:spacing w:val="6"/>
          <w:szCs w:val="30"/>
        </w:rPr>
        <w:t>（3）项目收入、成本及预期收益合理性：根据《富民县现代农业示范园建设项目专项债券财务评价报告》测算，项目收入、成本及预期收益基本合理，预期收益能够合理保障偿还融资本金及利息，实现项目收益和融资自求平衡。</w:t>
      </w:r>
    </w:p>
    <w:p>
      <w:pPr>
        <w:pStyle w:val="40"/>
        <w:spacing w:line="590" w:lineRule="exact"/>
        <w:ind w:left="142" w:firstLine="656"/>
        <w:rPr>
          <w:rFonts w:ascii="仿宋_GB2312" w:hAnsi="仿宋_GB2312" w:eastAsia="仿宋_GB2312" w:cs="仿宋_GB2312"/>
          <w:spacing w:val="6"/>
          <w:szCs w:val="30"/>
        </w:rPr>
      </w:pPr>
      <w:r>
        <w:rPr>
          <w:rFonts w:hint="eastAsia" w:ascii="仿宋_GB2312" w:hAnsi="仿宋_GB2312" w:eastAsia="仿宋_GB2312" w:cs="仿宋_GB2312"/>
          <w:spacing w:val="6"/>
          <w:szCs w:val="30"/>
        </w:rPr>
        <w:t>（4）专项债券期限结构合理性：该项目拟申请专债资金1.8亿元，年限为2022年10月至2024年10月，分三期发行，执行利率2.8%，期限10年（含3建设期，建设期只付息不还本），每年利息168万元，专项债券期限与项目建设和运营期限匹配。</w:t>
      </w:r>
    </w:p>
    <w:p>
      <w:pPr>
        <w:pStyle w:val="40"/>
        <w:spacing w:line="590" w:lineRule="exact"/>
        <w:ind w:left="142" w:firstLine="656"/>
        <w:rPr>
          <w:rFonts w:ascii="仿宋_GB2312" w:hAnsi="仿宋_GB2312" w:eastAsia="仿宋_GB2312" w:cs="仿宋_GB2312"/>
          <w:spacing w:val="6"/>
          <w:szCs w:val="30"/>
        </w:rPr>
      </w:pPr>
      <w:r>
        <w:rPr>
          <w:rFonts w:hint="eastAsia" w:ascii="仿宋_GB2312" w:hAnsi="仿宋_GB2312" w:eastAsia="仿宋_GB2312" w:cs="仿宋_GB2312"/>
          <w:spacing w:val="6"/>
          <w:szCs w:val="30"/>
        </w:rPr>
        <w:t>2.资金使用管理情况</w:t>
      </w:r>
    </w:p>
    <w:p>
      <w:pPr>
        <w:spacing w:line="56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（1）资金到位率：2022年专项债券批复下达6,000万元，实际到位6,000万元，专债资金到位率100%；该项目拟自筹资金17,820.81万元，截至评价日到位资金4</w:t>
      </w:r>
      <w:r>
        <w:rPr>
          <w:rFonts w:hint="eastAsia" w:ascii="仿宋_GB2312" w:hAnsi="仿宋_GB2312" w:eastAsia="仿宋_GB2312" w:cs="仿宋_GB2312"/>
          <w:spacing w:val="6"/>
          <w:szCs w:val="30"/>
          <w:lang w:val="en-US" w:eastAsia="zh-CN"/>
        </w:rPr>
        <w:t>,</w:t>
      </w:r>
      <w:r>
        <w:rPr>
          <w:rFonts w:hint="eastAsia" w:ascii="仿宋_GB2312" w:hAnsi="仿宋_GB2312" w:eastAsia="仿宋_GB2312" w:cs="仿宋_GB2312"/>
          <w:spacing w:val="6"/>
          <w:szCs w:val="30"/>
        </w:rPr>
        <w:t>000万元，自筹资金到位率22.45%。</w:t>
      </w:r>
    </w:p>
    <w:p>
      <w:pPr>
        <w:pStyle w:val="40"/>
        <w:spacing w:line="579" w:lineRule="exact"/>
        <w:ind w:left="142" w:firstLine="656"/>
        <w:rPr>
          <w:rFonts w:ascii="仿宋_GB2312" w:hAnsi="仿宋_GB2312" w:eastAsia="仿宋_GB2312" w:cs="仿宋_GB2312"/>
          <w:spacing w:val="6"/>
          <w:szCs w:val="30"/>
        </w:rPr>
      </w:pPr>
      <w:r>
        <w:rPr>
          <w:rFonts w:hint="eastAsia" w:ascii="仿宋_GB2312" w:hAnsi="仿宋_GB2312" w:eastAsia="仿宋_GB2312" w:cs="仿宋_GB2312"/>
          <w:spacing w:val="6"/>
          <w:szCs w:val="30"/>
        </w:rPr>
        <w:t>（2）资金使用率：截至2022年12月31日，实际到位资金6000万元，实际使用资金3,349.84万元，资金使用率55.83%；截至2023年2月28日，第一期专项债券资金6,000万元已支付完毕，资金使用率100%。</w:t>
      </w:r>
    </w:p>
    <w:p>
      <w:pPr>
        <w:pStyle w:val="40"/>
        <w:spacing w:line="579" w:lineRule="exact"/>
        <w:ind w:left="142" w:firstLine="656"/>
        <w:rPr>
          <w:rFonts w:ascii="仿宋_GB2312" w:hAnsi="仿宋_GB2312" w:eastAsia="仿宋_GB2312" w:cs="仿宋_GB2312"/>
          <w:spacing w:val="6"/>
          <w:szCs w:val="30"/>
        </w:rPr>
      </w:pPr>
      <w:r>
        <w:rPr>
          <w:rFonts w:hint="eastAsia" w:ascii="仿宋_GB2312" w:hAnsi="仿宋_GB2312" w:eastAsia="仿宋_GB2312" w:cs="仿宋_GB2312"/>
          <w:spacing w:val="6"/>
          <w:szCs w:val="30"/>
        </w:rPr>
        <w:t>（3）资金拨付和支出进度与项目建设进度匹配性：黎乾实业公司分别于2022年11月30日和2022年12月31日向富民兴达建筑公司支付两笔农业示范园建设项目工程款，共计3,349.84万元。但项目相关的可研编制费、设计费、监理费、造价咨询费等费用集中于2023年1月支付，资金拨付和支出进度与项目建设进度不匹配，如</w:t>
      </w:r>
      <w:r>
        <w:rPr>
          <w:rFonts w:hint="eastAsia" w:ascii="Times New Roman" w:eastAsia="仿宋_GB2312"/>
          <w:bCs/>
          <w:szCs w:val="32"/>
        </w:rPr>
        <w:t>黎乾实业公司</w:t>
      </w:r>
      <w:r>
        <w:rPr>
          <w:rFonts w:hint="eastAsia" w:ascii="仿宋_GB2312" w:hAnsi="仿宋_GB2312" w:eastAsia="仿宋_GB2312" w:cs="仿宋_GB2312"/>
          <w:spacing w:val="6"/>
          <w:szCs w:val="30"/>
        </w:rPr>
        <w:t>与云南科帕工程技术咨询有限公司签订的《工程咨询合同》约定“项目可行性研究报告编制工作完成提交发包方后3个工作日，发包方向咨询方支付可行性研究报告编制费用的70%……可行性研究报告通过专家评审后并通过相关主管部门审批后3个工作日内，发包方向咨询方支付可行性研究报告编制费用的30%…</w:t>
      </w:r>
      <w:r>
        <w:rPr>
          <w:rFonts w:hint="eastAsia" w:ascii="仿宋_GB2312" w:hAnsi="仿宋_GB2312" w:eastAsia="仿宋_GB2312" w:cs="仿宋_GB2312"/>
          <w:spacing w:val="6"/>
          <w:szCs w:val="30"/>
          <w:lang w:eastAsia="zh-CN"/>
        </w:rPr>
        <w:t>…</w:t>
      </w:r>
      <w:r>
        <w:rPr>
          <w:rFonts w:hint="eastAsia" w:ascii="仿宋_GB2312" w:hAnsi="仿宋_GB2312" w:eastAsia="仿宋_GB2312" w:cs="仿宋_GB2312"/>
          <w:spacing w:val="6"/>
          <w:szCs w:val="30"/>
        </w:rPr>
        <w:t>”，合同总价为32.67万元，均于2023年1月31日完成支付。</w:t>
      </w:r>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3）资金使用合规性：通过对本项目凭证进行抽查，项目实施单位黎乾实业公司采用“以拨代支”的方式，于2023年1月31日预付富民产投黎宏商贸有限公司材料款1,400万元。经评价，两家公司属于云南富民产业发展投资集团有限公司控股下的子公司，具有关联关系。根据《建材购销协议》，项目二期材料供应由富民产投黎宏商贸有限公司负责，但项目二期尚在进行施工方招标，在未确定项目施工单位，未签订正式购销合同的前提下就先预付1,400万元的专项债券资金不合理。</w:t>
      </w:r>
    </w:p>
    <w:p>
      <w:pPr>
        <w:pStyle w:val="40"/>
        <w:spacing w:line="590" w:lineRule="exact"/>
        <w:ind w:left="142" w:firstLine="656"/>
        <w:rPr>
          <w:rFonts w:ascii="仿宋_GB2312" w:hAnsi="仿宋_GB2312" w:eastAsia="仿宋_GB2312" w:cs="仿宋_GB2312"/>
          <w:spacing w:val="6"/>
          <w:szCs w:val="30"/>
        </w:rPr>
      </w:pPr>
      <w:r>
        <w:rPr>
          <w:rFonts w:hint="eastAsia" w:ascii="仿宋_GB2312" w:hAnsi="仿宋_GB2312" w:eastAsia="仿宋_GB2312" w:cs="仿宋_GB2312"/>
          <w:spacing w:val="6"/>
          <w:szCs w:val="30"/>
        </w:rPr>
        <w:t>3.项目管理</w:t>
      </w:r>
    </w:p>
    <w:p>
      <w:pPr>
        <w:pStyle w:val="40"/>
        <w:spacing w:line="590" w:lineRule="exact"/>
        <w:ind w:left="142" w:firstLine="656"/>
        <w:rPr>
          <w:rFonts w:ascii="仿宋_GB2312" w:hAnsi="仿宋_GB2312" w:eastAsia="仿宋_GB2312" w:cs="仿宋_GB2312"/>
          <w:spacing w:val="6"/>
          <w:szCs w:val="30"/>
        </w:rPr>
      </w:pPr>
      <w:r>
        <w:rPr>
          <w:rFonts w:hint="eastAsia" w:ascii="仿宋_GB2312" w:hAnsi="仿宋_GB2312" w:eastAsia="仿宋_GB2312" w:cs="仿宋_GB2312"/>
          <w:spacing w:val="6"/>
          <w:szCs w:val="30"/>
        </w:rPr>
        <w:t>（1）管理制度健全性：该项目按照《富民县人民政府办公室关于印发&lt;富民县现代农业示范园建设项目专债资金使用管理办法（暂行）&gt;的通知》（富政办通〔2023〕35号）和黎乾实业公司制定的《管理检查考核办法》对富民县现代农业示范园建设项目（一期）进行管理、检查考核，保证公司项目管理文件的各项规定得到有效地贯彻落实，通过检查掌握事业部的项目管理现状、存在的问题及产生的原因，制定相应的对策，确保项目管理持续改进。</w:t>
      </w:r>
    </w:p>
    <w:p>
      <w:pPr>
        <w:pStyle w:val="40"/>
        <w:spacing w:line="590" w:lineRule="exact"/>
        <w:ind w:left="142" w:firstLine="656"/>
        <w:rPr>
          <w:rFonts w:ascii="仿宋_GB2312" w:hAnsi="仿宋_GB2312" w:eastAsia="仿宋_GB2312" w:cs="仿宋_GB2312"/>
          <w:spacing w:val="6"/>
          <w:szCs w:val="30"/>
        </w:rPr>
      </w:pPr>
      <w:r>
        <w:rPr>
          <w:rFonts w:hint="eastAsia" w:ascii="仿宋_GB2312" w:hAnsi="仿宋_GB2312" w:eastAsia="仿宋_GB2312" w:cs="仿宋_GB2312"/>
          <w:spacing w:val="6"/>
          <w:szCs w:val="30"/>
        </w:rPr>
        <w:t>（2）项目运营制度健全性：一是《富民县现代农业示范园建设项目可行性研究报告》和实施方案明确了种植土地租赁、冷链物流仓库租赁及农产品初加工场地租赁的出租率论证、运营期成本估算等事项；二是项目计划2025年投入运营并产生运营收益，截至2023年7月31日，项目未制定运营服务方案。</w:t>
      </w:r>
    </w:p>
    <w:p>
      <w:pPr>
        <w:pStyle w:val="40"/>
        <w:spacing w:line="590" w:lineRule="exact"/>
        <w:ind w:left="142" w:firstLine="656"/>
        <w:rPr>
          <w:rFonts w:ascii="仿宋_GB2312" w:hAnsi="仿宋_GB2312" w:eastAsia="仿宋_GB2312" w:cs="仿宋_GB2312"/>
          <w:spacing w:val="6"/>
          <w:szCs w:val="30"/>
        </w:rPr>
      </w:pPr>
      <w:r>
        <w:rPr>
          <w:rFonts w:hint="eastAsia" w:ascii="仿宋_GB2312" w:hAnsi="仿宋_GB2312" w:eastAsia="仿宋_GB2312" w:cs="仿宋_GB2312"/>
          <w:spacing w:val="6"/>
          <w:szCs w:val="30"/>
        </w:rPr>
        <w:t>（3）项目管理规范性：一是项目合同书、技术鉴定等资料齐全并及时归档，按照《富民县现代农业产业示范园建设项目工作清单》厘清工作任务，强化组织领导，把握项目建设进度；二是经向县农业农村局和黎乾实业公司了解，该项目未因上级部门或外部监督发现需正式整改的问题。</w:t>
      </w:r>
    </w:p>
    <w:p>
      <w:pPr>
        <w:pStyle w:val="40"/>
        <w:spacing w:line="590" w:lineRule="exact"/>
        <w:ind w:left="142" w:firstLine="656"/>
        <w:rPr>
          <w:rFonts w:ascii="仿宋_GB2312" w:hAnsi="仿宋_GB2312" w:eastAsia="仿宋_GB2312" w:cs="仿宋_GB2312"/>
          <w:spacing w:val="6"/>
          <w:szCs w:val="30"/>
        </w:rPr>
      </w:pPr>
      <w:r>
        <w:rPr>
          <w:rFonts w:hint="eastAsia" w:ascii="仿宋_GB2312" w:hAnsi="仿宋_GB2312" w:eastAsia="仿宋_GB2312" w:cs="仿宋_GB2312"/>
          <w:spacing w:val="6"/>
          <w:szCs w:val="30"/>
        </w:rPr>
        <w:t>（4）专项债券项目信息管理规范性：专项债券信息按照规定及时、完整地录入云南省专项债券项目穿透式检测系统。</w:t>
      </w:r>
    </w:p>
    <w:p>
      <w:pPr>
        <w:spacing w:line="590" w:lineRule="exact"/>
        <w:ind w:firstLine="654" w:firstLineChars="200"/>
        <w:outlineLvl w:val="1"/>
        <w:rPr>
          <w:rFonts w:ascii="楷体_GB2312" w:hAnsi="楷体_GB2312" w:eastAsia="楷体_GB2312" w:cs="楷体_GB2312"/>
          <w:spacing w:val="6"/>
          <w:szCs w:val="30"/>
        </w:rPr>
      </w:pPr>
      <w:bookmarkStart w:id="21" w:name="_Toc6218"/>
      <w:r>
        <w:rPr>
          <w:rFonts w:hint="eastAsia" w:ascii="楷体_GB2312" w:hAnsi="楷体_GB2312" w:eastAsia="楷体_GB2312" w:cs="楷体_GB2312"/>
          <w:spacing w:val="6"/>
          <w:szCs w:val="30"/>
        </w:rPr>
        <w:t>（三）产出情况分析</w:t>
      </w:r>
      <w:bookmarkEnd w:id="21"/>
    </w:p>
    <w:p>
      <w:pPr>
        <w:pStyle w:val="40"/>
        <w:spacing w:line="590" w:lineRule="exact"/>
        <w:ind w:left="142" w:firstLine="656"/>
        <w:rPr>
          <w:rFonts w:ascii="仿宋_GB2312" w:hAnsi="仿宋_GB2312" w:eastAsia="仿宋_GB2312" w:cs="仿宋_GB2312"/>
          <w:spacing w:val="6"/>
          <w:szCs w:val="30"/>
        </w:rPr>
      </w:pPr>
      <w:r>
        <w:rPr>
          <w:rFonts w:hint="eastAsia" w:ascii="仿宋_GB2312" w:hAnsi="仿宋_GB2312" w:eastAsia="仿宋_GB2312" w:cs="仿宋_GB2312"/>
          <w:spacing w:val="6"/>
          <w:szCs w:val="30"/>
        </w:rPr>
        <w:t xml:space="preserve">产出部分满分为30分，此次绩效评价得分25.78分，得分率为85.93%，具体分析如下： </w:t>
      </w:r>
    </w:p>
    <w:p>
      <w:pPr>
        <w:pStyle w:val="40"/>
        <w:spacing w:line="590" w:lineRule="exact"/>
        <w:ind w:left="142" w:firstLine="656"/>
        <w:rPr>
          <w:rFonts w:ascii="仿宋_GB2312" w:hAnsi="仿宋_GB2312" w:eastAsia="仿宋_GB2312" w:cs="仿宋_GB2312"/>
          <w:spacing w:val="6"/>
          <w:szCs w:val="30"/>
        </w:rPr>
      </w:pPr>
      <w:r>
        <w:rPr>
          <w:rFonts w:hint="eastAsia" w:ascii="仿宋_GB2312" w:hAnsi="仿宋_GB2312" w:eastAsia="仿宋_GB2312" w:cs="仿宋_GB2312"/>
          <w:spacing w:val="6"/>
          <w:szCs w:val="30"/>
        </w:rPr>
        <w:t>1.产出数量指标</w:t>
      </w:r>
    </w:p>
    <w:p>
      <w:pPr>
        <w:pStyle w:val="40"/>
        <w:spacing w:line="590" w:lineRule="exact"/>
        <w:ind w:left="142" w:firstLine="656"/>
        <w:rPr>
          <w:rFonts w:ascii="仿宋_GB2312" w:hAnsi="仿宋_GB2312" w:eastAsia="仿宋_GB2312" w:cs="仿宋_GB2312"/>
          <w:spacing w:val="6"/>
          <w:szCs w:val="30"/>
        </w:rPr>
      </w:pPr>
      <w:r>
        <w:rPr>
          <w:rFonts w:hint="eastAsia" w:ascii="仿宋_GB2312" w:hAnsi="仿宋_GB2312" w:eastAsia="仿宋_GB2312" w:cs="仿宋_GB2312"/>
          <w:spacing w:val="6"/>
          <w:szCs w:val="30"/>
        </w:rPr>
        <w:t>（1）土地流转完成率：根据2022年规划，预计为项目流转土地1</w:t>
      </w:r>
      <w:r>
        <w:rPr>
          <w:rFonts w:hint="eastAsia" w:ascii="仿宋_GB2312" w:hAnsi="仿宋_GB2312" w:eastAsia="仿宋_GB2312" w:cs="仿宋_GB2312"/>
          <w:spacing w:val="6"/>
          <w:szCs w:val="30"/>
          <w:lang w:val="en-US" w:eastAsia="zh-CN"/>
        </w:rPr>
        <w:t>,</w:t>
      </w:r>
      <w:r>
        <w:rPr>
          <w:rFonts w:hint="eastAsia" w:ascii="仿宋_GB2312" w:hAnsi="仿宋_GB2312" w:eastAsia="仿宋_GB2312" w:cs="仿宋_GB2312"/>
          <w:spacing w:val="6"/>
          <w:szCs w:val="30"/>
        </w:rPr>
        <w:t>800亩，截至2022年12月31日，已完成土地流转1,670.16亩，占计划数的92.79%。</w:t>
      </w:r>
    </w:p>
    <w:p>
      <w:pPr>
        <w:pStyle w:val="40"/>
        <w:spacing w:line="590" w:lineRule="exact"/>
        <w:ind w:left="142" w:firstLine="656"/>
        <w:rPr>
          <w:rFonts w:ascii="仿宋_GB2312" w:hAnsi="仿宋_GB2312" w:eastAsia="仿宋_GB2312" w:cs="仿宋_GB2312"/>
          <w:spacing w:val="6"/>
          <w:szCs w:val="30"/>
        </w:rPr>
      </w:pPr>
      <w:r>
        <w:rPr>
          <w:rFonts w:hint="eastAsia" w:ascii="仿宋_GB2312" w:hAnsi="仿宋_GB2312" w:eastAsia="仿宋_GB2312" w:cs="仿宋_GB2312"/>
          <w:spacing w:val="6"/>
          <w:szCs w:val="30"/>
        </w:rPr>
        <w:t>（2）建设任务完成量：2022年对核心区乐在村320亩示范园进行场地平整、田间道路、灌溉排水等建设工程，主要完成机耕道路建设80%,排灌水沟渠90%，老河道及藕田清淤4,338.12m³，老河道回填100%，土方开挖转运工程量100,000</w:t>
      </w:r>
      <w:r>
        <w:rPr>
          <w:rFonts w:hint="eastAsia" w:ascii="仿宋_GB2312" w:hAnsi="仿宋_GB2312" w:eastAsia="仿宋_GB2312" w:cs="仿宋_GB2312"/>
          <w:spacing w:val="6"/>
          <w:szCs w:val="30"/>
          <w:lang w:val="en-US" w:eastAsia="zh-CN"/>
        </w:rPr>
        <w:t>立方米</w:t>
      </w:r>
      <w:r>
        <w:rPr>
          <w:rFonts w:hint="eastAsia" w:ascii="仿宋_GB2312" w:hAnsi="仿宋_GB2312" w:eastAsia="仿宋_GB2312" w:cs="仿宋_GB2312"/>
          <w:spacing w:val="6"/>
          <w:szCs w:val="30"/>
        </w:rPr>
        <w:t>，完成便桥搭建。</w:t>
      </w:r>
    </w:p>
    <w:p>
      <w:pPr>
        <w:pStyle w:val="40"/>
        <w:spacing w:line="590" w:lineRule="exact"/>
        <w:ind w:left="142" w:firstLine="656"/>
        <w:rPr>
          <w:rFonts w:ascii="仿宋_GB2312" w:hAnsi="仿宋_GB2312" w:eastAsia="仿宋_GB2312" w:cs="仿宋_GB2312"/>
          <w:spacing w:val="6"/>
          <w:szCs w:val="30"/>
        </w:rPr>
      </w:pPr>
      <w:r>
        <w:rPr>
          <w:rFonts w:hint="eastAsia" w:ascii="仿宋_GB2312" w:hAnsi="仿宋_GB2312" w:eastAsia="仿宋_GB2312" w:cs="仿宋_GB2312"/>
          <w:spacing w:val="6"/>
          <w:kern w:val="30"/>
          <w:sz w:val="30"/>
          <w:szCs w:val="30"/>
          <w:lang w:val="en-US" w:eastAsia="zh-CN" w:bidi="ar-SA"/>
        </w:rPr>
        <w:t>2.产</w:t>
      </w:r>
      <w:r>
        <w:rPr>
          <w:rFonts w:hint="eastAsia" w:ascii="仿宋_GB2312" w:hAnsi="仿宋_GB2312" w:eastAsia="仿宋_GB2312" w:cs="仿宋_GB2312"/>
          <w:spacing w:val="6"/>
          <w:szCs w:val="30"/>
        </w:rPr>
        <w:t>出质量指标</w:t>
      </w:r>
    </w:p>
    <w:p>
      <w:pPr>
        <w:pStyle w:val="40"/>
        <w:spacing w:line="590" w:lineRule="exact"/>
        <w:ind w:left="142" w:firstLine="656"/>
        <w:rPr>
          <w:rFonts w:ascii="仿宋_GB2312" w:hAnsi="仿宋_GB2312" w:eastAsia="仿宋_GB2312" w:cs="仿宋_GB2312"/>
          <w:spacing w:val="6"/>
          <w:szCs w:val="30"/>
        </w:rPr>
      </w:pPr>
      <w:r>
        <w:rPr>
          <w:rFonts w:hint="eastAsia" w:ascii="仿宋_GB2312" w:hAnsi="仿宋_GB2312" w:eastAsia="仿宋_GB2312" w:cs="仿宋_GB2312"/>
          <w:spacing w:val="6"/>
          <w:szCs w:val="30"/>
        </w:rPr>
        <w:t>该项目为在建项目，截至评价日，项目未完工，未开展竣工验收，也未开展阶段性验收。该项目在接受上级部门和相关部门的检查、调研和考察时，未因项目质量受到处罚或接到质量问题的整改通知，也未出现重大安全事故和被相关部门处罚的情况。但经现场评价和问卷调查，部分已流转土地长时间大面积抛荒，流转土地利用率不高。</w:t>
      </w:r>
    </w:p>
    <w:p>
      <w:pPr>
        <w:pStyle w:val="40"/>
        <w:spacing w:line="590" w:lineRule="exact"/>
        <w:ind w:left="142" w:firstLine="656"/>
        <w:rPr>
          <w:rFonts w:ascii="仿宋_GB2312" w:hAnsi="仿宋_GB2312" w:eastAsia="仿宋_GB2312" w:cs="仿宋_GB2312"/>
          <w:spacing w:val="6"/>
          <w:szCs w:val="30"/>
        </w:rPr>
      </w:pPr>
      <w:r>
        <w:rPr>
          <w:rFonts w:hint="eastAsia" w:ascii="仿宋_GB2312" w:hAnsi="仿宋_GB2312" w:eastAsia="仿宋_GB2312" w:cs="仿宋_GB2312"/>
          <w:spacing w:val="6"/>
          <w:szCs w:val="30"/>
        </w:rPr>
        <w:t>3.产出时效指标</w:t>
      </w:r>
    </w:p>
    <w:p>
      <w:pPr>
        <w:pStyle w:val="40"/>
        <w:spacing w:line="590" w:lineRule="exact"/>
        <w:ind w:left="142" w:firstLine="656"/>
        <w:rPr>
          <w:rFonts w:ascii="仿宋_GB2312" w:hAnsi="仿宋_GB2312" w:eastAsia="仿宋_GB2312" w:cs="仿宋_GB2312"/>
          <w:spacing w:val="6"/>
          <w:szCs w:val="30"/>
        </w:rPr>
      </w:pPr>
      <w:r>
        <w:rPr>
          <w:rFonts w:hint="eastAsia" w:ascii="仿宋_GB2312" w:hAnsi="仿宋_GB2312" w:eastAsia="仿宋_GB2312" w:cs="仿宋_GB2312"/>
          <w:spacing w:val="6"/>
          <w:szCs w:val="30"/>
        </w:rPr>
        <w:t>一是富民县现代农业产业示范园建设项目开工及时，施工进度计划的前期及进场施工准备阶段为2022年5月至2022年9月，项目取得开工令的时间为2022年5月1日，项目在计划时限内开工；二是项目建设进度与计划进度匹配，项目一期已于2022年4月6日开工建设，截至2023年7月31日，项目暂未完工，但项目建设一期内容已基本完成。</w:t>
      </w:r>
    </w:p>
    <w:p>
      <w:pPr>
        <w:pStyle w:val="40"/>
        <w:spacing w:line="590" w:lineRule="exact"/>
        <w:ind w:left="142" w:firstLine="656"/>
        <w:rPr>
          <w:rFonts w:ascii="仿宋_GB2312" w:hAnsi="仿宋_GB2312" w:eastAsia="仿宋_GB2312" w:cs="仿宋_GB2312"/>
          <w:spacing w:val="6"/>
          <w:szCs w:val="30"/>
        </w:rPr>
      </w:pPr>
      <w:r>
        <w:rPr>
          <w:rFonts w:hint="eastAsia" w:ascii="仿宋_GB2312" w:hAnsi="仿宋_GB2312" w:eastAsia="仿宋_GB2312" w:cs="仿宋_GB2312"/>
          <w:spacing w:val="6"/>
          <w:szCs w:val="30"/>
        </w:rPr>
        <w:t>4.产出成本指标</w:t>
      </w:r>
    </w:p>
    <w:p>
      <w:pPr>
        <w:pStyle w:val="40"/>
        <w:spacing w:line="590" w:lineRule="exact"/>
        <w:ind w:left="142" w:firstLine="656"/>
        <w:rPr>
          <w:rFonts w:ascii="仿宋_GB2312" w:hAnsi="仿宋_GB2312" w:eastAsia="仿宋_GB2312" w:cs="仿宋_GB2312"/>
          <w:spacing w:val="6"/>
          <w:szCs w:val="30"/>
        </w:rPr>
      </w:pPr>
      <w:r>
        <w:rPr>
          <w:rFonts w:hint="eastAsia" w:ascii="仿宋_GB2312" w:hAnsi="仿宋_GB2312" w:eastAsia="仿宋_GB2312" w:cs="仿宋_GB2312"/>
          <w:spacing w:val="6"/>
          <w:szCs w:val="30"/>
        </w:rPr>
        <w:t>该项目使用的专项债券期限为10年，分三期发行,执行利率2.8%。2022年11月1日，第一期6,000万元专项债券资金下达到位，资金于2023年2月28日支付完毕，累计支付金额6,000万元，专项债券资金不存在闲置问题，未出现因闲置增加的额外成本。但富民县现代农业示范园建设项目（一期）的中标通知书未明确中标金额，合同签订也未明确金额，故预期建设成本控制无法衡量。</w:t>
      </w:r>
    </w:p>
    <w:p>
      <w:pPr>
        <w:spacing w:line="590" w:lineRule="exact"/>
        <w:ind w:firstLine="654" w:firstLineChars="200"/>
        <w:outlineLvl w:val="1"/>
        <w:rPr>
          <w:rFonts w:ascii="楷体_GB2312" w:hAnsi="楷体_GB2312" w:eastAsia="楷体_GB2312" w:cs="楷体_GB2312"/>
          <w:spacing w:val="6"/>
          <w:szCs w:val="30"/>
        </w:rPr>
      </w:pPr>
      <w:bookmarkStart w:id="22" w:name="_Toc1405"/>
      <w:r>
        <w:rPr>
          <w:rFonts w:hint="eastAsia" w:ascii="楷体_GB2312" w:hAnsi="楷体_GB2312" w:eastAsia="楷体_GB2312" w:cs="楷体_GB2312"/>
          <w:spacing w:val="6"/>
          <w:szCs w:val="30"/>
        </w:rPr>
        <w:t>（四）效果情况分析</w:t>
      </w:r>
      <w:bookmarkEnd w:id="22"/>
    </w:p>
    <w:p>
      <w:pPr>
        <w:pStyle w:val="40"/>
        <w:spacing w:line="590" w:lineRule="exact"/>
        <w:ind w:left="142" w:firstLine="656"/>
        <w:rPr>
          <w:rFonts w:ascii="仿宋_GB2312" w:hAnsi="仿宋_GB2312" w:eastAsia="仿宋_GB2312" w:cs="仿宋_GB2312"/>
          <w:spacing w:val="6"/>
          <w:szCs w:val="30"/>
        </w:rPr>
      </w:pPr>
      <w:r>
        <w:rPr>
          <w:rFonts w:hint="eastAsia" w:ascii="仿宋_GB2312" w:hAnsi="仿宋_GB2312" w:eastAsia="仿宋_GB2312" w:cs="仿宋_GB2312"/>
          <w:spacing w:val="6"/>
          <w:szCs w:val="30"/>
        </w:rPr>
        <w:t>效益部分满分为25分，此次绩效评价得分22分，得分率为88%，具体分析如下：</w:t>
      </w:r>
    </w:p>
    <w:p>
      <w:pPr>
        <w:pStyle w:val="40"/>
        <w:spacing w:line="590" w:lineRule="exact"/>
        <w:ind w:left="142" w:firstLine="656"/>
        <w:rPr>
          <w:rFonts w:ascii="仿宋_GB2312" w:hAnsi="仿宋_GB2312" w:eastAsia="仿宋_GB2312" w:cs="仿宋_GB2312"/>
          <w:spacing w:val="6"/>
          <w:szCs w:val="30"/>
        </w:rPr>
      </w:pPr>
      <w:r>
        <w:rPr>
          <w:rFonts w:hint="eastAsia" w:ascii="仿宋_GB2312" w:hAnsi="仿宋_GB2312" w:eastAsia="仿宋_GB2312" w:cs="仿宋_GB2312"/>
          <w:spacing w:val="6"/>
          <w:szCs w:val="30"/>
        </w:rPr>
        <w:t>1.经济效益指标</w:t>
      </w:r>
    </w:p>
    <w:p>
      <w:pPr>
        <w:pStyle w:val="40"/>
        <w:spacing w:line="590" w:lineRule="exact"/>
        <w:ind w:left="142" w:firstLine="656"/>
        <w:rPr>
          <w:rFonts w:hint="eastAsia" w:ascii="仿宋_GB2312" w:hAnsi="仿宋_GB2312" w:eastAsia="仿宋_GB2312" w:cs="仿宋_GB2312"/>
          <w:spacing w:val="6"/>
          <w:szCs w:val="30"/>
          <w:highlight w:val="yellow"/>
        </w:rPr>
      </w:pPr>
      <w:r>
        <w:rPr>
          <w:rFonts w:hint="eastAsia" w:ascii="仿宋_GB2312" w:hAnsi="仿宋_GB2312" w:eastAsia="仿宋_GB2312" w:cs="仿宋_GB2312"/>
          <w:spacing w:val="6"/>
          <w:szCs w:val="30"/>
        </w:rPr>
        <w:t>项目运营预期总收入：</w:t>
      </w:r>
      <w:r>
        <w:rPr>
          <w:rFonts w:hint="eastAsia" w:ascii="仿宋_GB2312" w:hAnsi="仿宋_GB2312" w:eastAsia="仿宋_GB2312" w:cs="仿宋_GB2312"/>
          <w:spacing w:val="6"/>
          <w:szCs w:val="30"/>
          <w:highlight w:val="none"/>
        </w:rPr>
        <w:t>一是根据实地调研，黎乾实业公司在招商引资时按照实施方案确定的出租率和租赁价格作为最低收入保障与意向商户进行谈判，确保项目运营收入能够足额偿还专项债券本息；二是分析问卷第6题的结果可知，社会群众多为价格敏感型消费者，在面对不同租金标准时，大部分问卷对象选择更低租金标准的选项。结合耕地红线政策影响，在基本农田不允许建造大棚等设施的情况下，商户的租赁意愿会大幅下降，这将导致商业预期收益实现难度加大。</w:t>
      </w:r>
    </w:p>
    <w:p>
      <w:pPr>
        <w:pStyle w:val="40"/>
        <w:spacing w:line="590" w:lineRule="exact"/>
        <w:ind w:left="142" w:firstLine="656"/>
        <w:rPr>
          <w:rFonts w:ascii="仿宋_GB2312" w:hAnsi="仿宋_GB2312" w:eastAsia="仿宋_GB2312" w:cs="仿宋_GB2312"/>
          <w:spacing w:val="6"/>
          <w:szCs w:val="30"/>
        </w:rPr>
      </w:pPr>
      <w:r>
        <w:rPr>
          <w:rFonts w:hint="eastAsia" w:ascii="仿宋_GB2312" w:hAnsi="仿宋_GB2312" w:eastAsia="仿宋_GB2312" w:cs="仿宋_GB2312"/>
          <w:spacing w:val="6"/>
          <w:szCs w:val="30"/>
        </w:rPr>
        <w:t>2.社会效益指标</w:t>
      </w:r>
    </w:p>
    <w:p>
      <w:pPr>
        <w:pStyle w:val="40"/>
        <w:spacing w:line="590" w:lineRule="exact"/>
        <w:ind w:left="142" w:firstLine="656"/>
        <w:rPr>
          <w:rFonts w:ascii="仿宋_GB2312" w:hAnsi="仿宋_GB2312" w:eastAsia="仿宋_GB2312" w:cs="仿宋_GB2312"/>
          <w:spacing w:val="6"/>
          <w:szCs w:val="30"/>
        </w:rPr>
      </w:pPr>
      <w:r>
        <w:rPr>
          <w:rFonts w:hint="eastAsia" w:ascii="仿宋_GB2312" w:hAnsi="仿宋_GB2312" w:eastAsia="仿宋_GB2312" w:cs="仿宋_GB2312"/>
          <w:spacing w:val="6"/>
          <w:szCs w:val="30"/>
        </w:rPr>
        <w:t>增加当地就业：经现场询问和了解，该项目建设过程雇佣了当地居民进行土地耕种和瓜果采收，同时，根据问卷调查结果，84.52%的受益群众认为现代农业示范园建设项目的实施扩大了东村镇居民就业。</w:t>
      </w:r>
    </w:p>
    <w:p>
      <w:pPr>
        <w:pStyle w:val="40"/>
        <w:spacing w:line="590" w:lineRule="exact"/>
        <w:ind w:left="142" w:firstLine="656"/>
        <w:rPr>
          <w:rFonts w:ascii="仿宋_GB2312" w:hAnsi="仿宋_GB2312" w:eastAsia="仿宋_GB2312" w:cs="仿宋_GB2312"/>
          <w:spacing w:val="6"/>
          <w:szCs w:val="30"/>
        </w:rPr>
      </w:pPr>
      <w:r>
        <w:rPr>
          <w:rFonts w:hint="eastAsia" w:ascii="仿宋_GB2312" w:hAnsi="仿宋_GB2312" w:eastAsia="仿宋_GB2312" w:cs="仿宋_GB2312"/>
          <w:spacing w:val="6"/>
          <w:szCs w:val="30"/>
        </w:rPr>
        <w:t>3.生态效益指标</w:t>
      </w:r>
    </w:p>
    <w:p>
      <w:pPr>
        <w:pStyle w:val="40"/>
        <w:spacing w:line="590" w:lineRule="exact"/>
        <w:ind w:left="142" w:firstLine="656"/>
        <w:rPr>
          <w:rFonts w:ascii="仿宋_GB2312" w:hAnsi="仿宋_GB2312" w:eastAsia="仿宋_GB2312" w:cs="仿宋_GB2312"/>
          <w:spacing w:val="6"/>
          <w:szCs w:val="30"/>
        </w:rPr>
      </w:pPr>
      <w:r>
        <w:rPr>
          <w:rFonts w:ascii="仿宋_GB2312" w:hAnsi="仿宋_GB2312" w:eastAsia="仿宋_GB2312" w:cs="仿宋_GB2312"/>
          <w:spacing w:val="6"/>
          <w:szCs w:val="30"/>
        </w:rPr>
        <w:t>环保处罚事件：通过检查项目资料，浏览当地环保部门的网站信息，未发现该项目因建筑垃圾、粉尘污染及声噪污染受过环保处罚。</w:t>
      </w:r>
    </w:p>
    <w:p>
      <w:pPr>
        <w:pStyle w:val="40"/>
        <w:spacing w:line="590" w:lineRule="exact"/>
        <w:ind w:left="142" w:firstLine="656"/>
        <w:rPr>
          <w:rFonts w:ascii="仿宋_GB2312" w:hAnsi="仿宋_GB2312" w:eastAsia="仿宋_GB2312" w:cs="仿宋_GB2312"/>
          <w:spacing w:val="6"/>
          <w:szCs w:val="30"/>
        </w:rPr>
      </w:pPr>
      <w:r>
        <w:rPr>
          <w:rFonts w:hint="eastAsia" w:ascii="仿宋_GB2312" w:hAnsi="仿宋_GB2312" w:eastAsia="仿宋_GB2312" w:cs="仿宋_GB2312"/>
          <w:spacing w:val="6"/>
          <w:szCs w:val="30"/>
        </w:rPr>
        <w:t>4</w:t>
      </w:r>
      <w:r>
        <w:rPr>
          <w:rFonts w:ascii="仿宋_GB2312" w:hAnsi="仿宋_GB2312" w:eastAsia="仿宋_GB2312" w:cs="仿宋_GB2312"/>
          <w:spacing w:val="6"/>
          <w:szCs w:val="30"/>
        </w:rPr>
        <w:t>.满意度指标</w:t>
      </w:r>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本次绩效评价设置了三份调查问卷，调查对象分别是A.社会公众（主要为富民县东村镇受益群众）、B.黎乾实业公司工作人员和C.县农业农村局工作人员。本次收回问卷122份，实际有效问卷122份，其中：社会群众调查问卷84份，黎乾实业公司工作人员调查问卷18份，县农业农村局工作人员调查问卷20份。经统计分析，本项目综合满意度=行业主管部门</w:t>
      </w:r>
      <w:r>
        <w:rPr>
          <w:rFonts w:ascii="仿宋_GB2312" w:hAnsi="仿宋_GB2312" w:eastAsia="仿宋_GB2312" w:cs="仿宋_GB2312"/>
          <w:spacing w:val="6"/>
          <w:szCs w:val="30"/>
        </w:rPr>
        <w:t>×</w:t>
      </w:r>
      <w:r>
        <w:rPr>
          <w:rFonts w:hint="eastAsia" w:ascii="仿宋_GB2312" w:hAnsi="仿宋_GB2312" w:eastAsia="仿宋_GB2312" w:cs="仿宋_GB2312"/>
          <w:spacing w:val="6"/>
          <w:szCs w:val="30"/>
        </w:rPr>
        <w:t>20%+项目运营单位</w:t>
      </w:r>
      <w:r>
        <w:rPr>
          <w:rFonts w:ascii="仿宋_GB2312" w:hAnsi="仿宋_GB2312" w:eastAsia="仿宋_GB2312" w:cs="仿宋_GB2312"/>
          <w:spacing w:val="6"/>
          <w:szCs w:val="30"/>
        </w:rPr>
        <w:t>×</w:t>
      </w:r>
      <w:r>
        <w:rPr>
          <w:rFonts w:hint="eastAsia" w:ascii="仿宋_GB2312" w:hAnsi="仿宋_GB2312" w:eastAsia="仿宋_GB2312" w:cs="仿宋_GB2312"/>
          <w:spacing w:val="6"/>
          <w:szCs w:val="30"/>
        </w:rPr>
        <w:t>30%+受益群众</w:t>
      </w:r>
      <w:r>
        <w:rPr>
          <w:rFonts w:ascii="仿宋_GB2312" w:hAnsi="仿宋_GB2312" w:eastAsia="仿宋_GB2312" w:cs="仿宋_GB2312"/>
          <w:spacing w:val="6"/>
          <w:szCs w:val="30"/>
        </w:rPr>
        <w:t>×</w:t>
      </w:r>
      <w:r>
        <w:rPr>
          <w:rFonts w:hint="eastAsia" w:ascii="仿宋_GB2312" w:hAnsi="仿宋_GB2312" w:eastAsia="仿宋_GB2312" w:cs="仿宋_GB2312"/>
          <w:spacing w:val="6"/>
          <w:szCs w:val="30"/>
        </w:rPr>
        <w:t>50%=86.16%。</w:t>
      </w:r>
    </w:p>
    <w:p>
      <w:pPr>
        <w:spacing w:line="590" w:lineRule="exact"/>
        <w:ind w:firstLine="654" w:firstLineChars="200"/>
        <w:rPr>
          <w:rFonts w:ascii="仿宋_GB2312" w:hAnsi="仿宋_GB2312" w:eastAsia="仿宋_GB2312" w:cs="仿宋_GB2312"/>
          <w:spacing w:val="6"/>
          <w:szCs w:val="30"/>
          <w:highlight w:val="yellow"/>
        </w:rPr>
      </w:pPr>
      <w:r>
        <w:rPr>
          <w:rFonts w:hint="eastAsia" w:ascii="仿宋_GB2312" w:hAnsi="仿宋_GB2312" w:eastAsia="仿宋_GB2312" w:cs="仿宋_GB2312"/>
          <w:spacing w:val="6"/>
          <w:szCs w:val="30"/>
        </w:rPr>
        <w:t>一是对相关工作人员的调查，其中黎乾实业公司工作人员满意度为83.33%，县农业农村局工作人员满意度为85%。61.11%的项目运营单位受访对象和85%的项目主管单位受访对象预计项目建成后租售情况良好，对项目建成后的盈利能力较有信心，但有部分工作人员指出项目实施过程存在如下问题：一是种植土地租赁、冷链物流仓库租赁及农产品初加工场地租赁等管理实施细则缺失；二是自筹资金到位不及时；三是土地流转工作困难，部分村民不愿意进行土地流转。同时，因耕地政策影响，部分计划实施内容需做调整，导致项目无实质性推进，已流转土地长时间大面积抛荒，提出加强项目管理的建议。</w:t>
      </w:r>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lang w:eastAsia="zh-Hans"/>
        </w:rPr>
        <w:t>二是对社会群众的调查</w:t>
      </w:r>
      <w:r>
        <w:rPr>
          <w:rFonts w:hint="eastAsia" w:ascii="仿宋_GB2312" w:hAnsi="仿宋_GB2312" w:eastAsia="仿宋_GB2312" w:cs="仿宋_GB2312"/>
          <w:spacing w:val="6"/>
          <w:szCs w:val="30"/>
        </w:rPr>
        <w:t>。</w:t>
      </w:r>
      <w:r>
        <w:rPr>
          <w:rFonts w:hint="eastAsia" w:ascii="仿宋_GB2312" w:hAnsi="仿宋_GB2312" w:eastAsia="仿宋_GB2312" w:cs="仿宋_GB2312"/>
          <w:spacing w:val="6"/>
          <w:szCs w:val="30"/>
          <w:lang w:eastAsia="zh-Hans"/>
        </w:rPr>
        <w:t>调查发现，</w:t>
      </w:r>
      <w:r>
        <w:rPr>
          <w:rFonts w:hint="eastAsia" w:ascii="仿宋_GB2312" w:hAnsi="仿宋_GB2312" w:eastAsia="仿宋_GB2312" w:cs="仿宋_GB2312"/>
          <w:spacing w:val="6"/>
          <w:szCs w:val="30"/>
        </w:rPr>
        <w:t>55%的调查对象认为该项目的实施对促进乡村振兴，带动产业发展有很大帮助，社会公众满意度为88.33%，满意度较高。但同样有76.19%的调查对象认为土地流转工作困难，部分村民不愿意进行土地流转；51.19%调查对象认为自筹资金到位不及时；</w:t>
      </w:r>
      <w:r>
        <w:t>46.43%</w:t>
      </w:r>
      <w:r>
        <w:rPr>
          <w:rFonts w:hint="eastAsia" w:ascii="仿宋_GB2312" w:hAnsi="仿宋_GB2312" w:eastAsia="仿宋_GB2312" w:cs="仿宋_GB2312"/>
          <w:spacing w:val="6"/>
          <w:szCs w:val="30"/>
        </w:rPr>
        <w:t>调查对象认为种植土地租赁、冷链物流仓库租赁及农产品初加工场地租赁等管理实施细则缺失。建议项目资金落实到位，加快项目推进进程，强化招商引资落地实效。</w:t>
      </w:r>
    </w:p>
    <w:p>
      <w:pPr>
        <w:spacing w:line="590" w:lineRule="exact"/>
        <w:ind w:firstLine="630" w:firstLineChars="200"/>
        <w:outlineLvl w:val="0"/>
        <w:rPr>
          <w:rFonts w:hint="default" w:ascii="黑体" w:hAnsi="宋体" w:eastAsia="黑体" w:cs="宋体"/>
          <w:szCs w:val="30"/>
          <w:lang w:val="en-US" w:eastAsia="zh-CN"/>
        </w:rPr>
      </w:pPr>
      <w:bookmarkStart w:id="23" w:name="_Toc13566"/>
      <w:r>
        <w:rPr>
          <w:rFonts w:hint="eastAsia" w:ascii="黑体" w:hAnsi="宋体" w:eastAsia="黑体" w:cs="宋体"/>
          <w:szCs w:val="30"/>
        </w:rPr>
        <w:t>五、存在问题及原因分析</w:t>
      </w:r>
      <w:bookmarkEnd w:id="23"/>
    </w:p>
    <w:p>
      <w:pPr>
        <w:spacing w:line="590" w:lineRule="exact"/>
        <w:ind w:firstLine="654" w:firstLineChars="200"/>
        <w:outlineLvl w:val="1"/>
        <w:rPr>
          <w:rFonts w:ascii="楷体_GB2312" w:hAnsi="楷体_GB2312" w:eastAsia="楷体_GB2312" w:cs="楷体_GB2312"/>
          <w:spacing w:val="6"/>
          <w:szCs w:val="30"/>
        </w:rPr>
      </w:pPr>
      <w:bookmarkStart w:id="24" w:name="_Toc25946"/>
      <w:r>
        <w:rPr>
          <w:rFonts w:hint="eastAsia" w:ascii="楷体_GB2312" w:hAnsi="楷体_GB2312" w:eastAsia="楷体_GB2312" w:cs="楷体_GB2312"/>
          <w:spacing w:val="6"/>
          <w:szCs w:val="30"/>
        </w:rPr>
        <w:t>（一）项目前期规划不足，实施方案论证不充分</w:t>
      </w:r>
      <w:bookmarkEnd w:id="24"/>
    </w:p>
    <w:p>
      <w:pPr>
        <w:spacing w:line="590" w:lineRule="exact"/>
        <w:ind w:firstLine="654" w:firstLineChars="200"/>
        <w:rPr>
          <w:rFonts w:hint="eastAsia" w:ascii="仿宋_GB2312" w:hAnsi="仿宋_GB2312" w:eastAsia="仿宋_GB2312" w:cs="仿宋_GB2312"/>
          <w:spacing w:val="6"/>
          <w:szCs w:val="30"/>
          <w:lang w:eastAsia="zh-CN"/>
        </w:rPr>
      </w:pPr>
      <w:r>
        <w:rPr>
          <w:rFonts w:ascii="仿宋_GB2312" w:hAnsi="仿宋_GB2312" w:eastAsia="仿宋_GB2312" w:cs="仿宋_GB2312"/>
          <w:spacing w:val="6"/>
          <w:szCs w:val="30"/>
        </w:rPr>
        <w:t>该项目前期规划包括智能温控大棚建设</w:t>
      </w:r>
      <w:r>
        <w:rPr>
          <w:rFonts w:hint="eastAsia" w:ascii="仿宋_GB2312" w:hAnsi="仿宋_GB2312" w:eastAsia="仿宋_GB2312" w:cs="仿宋_GB2312"/>
          <w:spacing w:val="6"/>
          <w:szCs w:val="30"/>
        </w:rPr>
        <w:t>，</w:t>
      </w:r>
      <w:r>
        <w:rPr>
          <w:rFonts w:ascii="仿宋_GB2312" w:hAnsi="仿宋_GB2312" w:eastAsia="仿宋_GB2312" w:cs="仿宋_GB2312"/>
          <w:spacing w:val="6"/>
          <w:szCs w:val="30"/>
        </w:rPr>
        <w:t>流转土地</w:t>
      </w:r>
      <w:r>
        <w:rPr>
          <w:rFonts w:hint="eastAsia" w:ascii="仿宋_GB2312" w:hAnsi="仿宋_GB2312" w:eastAsia="仿宋_GB2312" w:cs="仿宋_GB2312"/>
          <w:spacing w:val="6"/>
          <w:szCs w:val="30"/>
        </w:rPr>
        <w:t>在规划时</w:t>
      </w:r>
      <w:r>
        <w:rPr>
          <w:rFonts w:ascii="仿宋_GB2312" w:hAnsi="仿宋_GB2312" w:eastAsia="仿宋_GB2312" w:cs="仿宋_GB2312"/>
          <w:spacing w:val="6"/>
          <w:szCs w:val="30"/>
        </w:rPr>
        <w:t>全部为基</w:t>
      </w:r>
      <w:r>
        <w:rPr>
          <w:rFonts w:hint="eastAsia" w:ascii="仿宋_GB2312" w:hAnsi="仿宋_GB2312" w:eastAsia="仿宋_GB2312" w:cs="仿宋_GB2312"/>
          <w:spacing w:val="6"/>
          <w:szCs w:val="30"/>
        </w:rPr>
        <w:t>本农田。按照《昆明市人民政府办公室关于印发&lt;昆明市防止耕地“非粮化”稳定粮食生产实施方案&gt;的通知》（昆政办函〔2021〕8号），政策要求基本农田不允许建造大</w:t>
      </w:r>
      <w:r>
        <w:rPr>
          <w:rFonts w:ascii="仿宋_GB2312" w:hAnsi="仿宋_GB2312" w:eastAsia="仿宋_GB2312" w:cs="仿宋_GB2312"/>
          <w:spacing w:val="6"/>
          <w:szCs w:val="30"/>
        </w:rPr>
        <w:t>棚等设施</w:t>
      </w:r>
      <w:r>
        <w:rPr>
          <w:rFonts w:hint="eastAsia" w:ascii="仿宋_GB2312" w:hAnsi="仿宋_GB2312" w:eastAsia="仿宋_GB2312" w:cs="仿宋_GB2312"/>
          <w:spacing w:val="6"/>
          <w:szCs w:val="30"/>
        </w:rPr>
        <w:t>。因前期规划未充分考虑政策限制要求，项目建设到二期时，只能</w:t>
      </w:r>
      <w:r>
        <w:rPr>
          <w:rFonts w:ascii="仿宋_GB2312" w:hAnsi="仿宋_GB2312" w:eastAsia="仿宋_GB2312" w:cs="仿宋_GB2312"/>
          <w:spacing w:val="6"/>
          <w:szCs w:val="30"/>
        </w:rPr>
        <w:t>对项目重新进行设计和报批</w:t>
      </w:r>
      <w:r>
        <w:rPr>
          <w:rFonts w:hint="eastAsia" w:ascii="仿宋_GB2312" w:hAnsi="仿宋_GB2312" w:eastAsia="仿宋_GB2312" w:cs="仿宋_GB2312"/>
          <w:spacing w:val="6"/>
          <w:szCs w:val="30"/>
        </w:rPr>
        <w:t>。</w:t>
      </w:r>
      <w:r>
        <w:rPr>
          <w:rFonts w:ascii="仿宋_GB2312" w:hAnsi="仿宋_GB2312" w:eastAsia="仿宋_GB2312" w:cs="仿宋_GB2312"/>
          <w:spacing w:val="6"/>
          <w:szCs w:val="30"/>
        </w:rPr>
        <w:t>项目前期的规划不严谨</w:t>
      </w:r>
      <w:r>
        <w:rPr>
          <w:rFonts w:hint="eastAsia" w:ascii="仿宋_GB2312" w:hAnsi="仿宋_GB2312" w:eastAsia="仿宋_GB2312" w:cs="仿宋_GB2312"/>
          <w:spacing w:val="6"/>
          <w:szCs w:val="30"/>
        </w:rPr>
        <w:t>、论证不充分不仅</w:t>
      </w:r>
      <w:r>
        <w:rPr>
          <w:rFonts w:ascii="仿宋_GB2312" w:hAnsi="仿宋_GB2312" w:eastAsia="仿宋_GB2312" w:cs="仿宋_GB2312"/>
          <w:spacing w:val="6"/>
          <w:szCs w:val="30"/>
        </w:rPr>
        <w:t>影响</w:t>
      </w:r>
      <w:r>
        <w:rPr>
          <w:rFonts w:hint="eastAsia" w:ascii="仿宋_GB2312" w:hAnsi="仿宋_GB2312" w:eastAsia="仿宋_GB2312" w:cs="仿宋_GB2312"/>
          <w:spacing w:val="6"/>
          <w:szCs w:val="30"/>
        </w:rPr>
        <w:t>了</w:t>
      </w:r>
      <w:r>
        <w:rPr>
          <w:rFonts w:ascii="仿宋_GB2312" w:hAnsi="仿宋_GB2312" w:eastAsia="仿宋_GB2312" w:cs="仿宋_GB2312"/>
          <w:spacing w:val="6"/>
          <w:szCs w:val="30"/>
        </w:rPr>
        <w:t>项目整体进度</w:t>
      </w:r>
      <w:r>
        <w:rPr>
          <w:rFonts w:hint="eastAsia" w:ascii="仿宋_GB2312" w:hAnsi="仿宋_GB2312" w:eastAsia="仿宋_GB2312" w:cs="仿宋_GB2312"/>
          <w:spacing w:val="6"/>
          <w:szCs w:val="30"/>
        </w:rPr>
        <w:t>，还</w:t>
      </w:r>
      <w:r>
        <w:rPr>
          <w:rFonts w:ascii="仿宋_GB2312" w:hAnsi="仿宋_GB2312" w:eastAsia="仿宋_GB2312" w:cs="仿宋_GB2312"/>
          <w:spacing w:val="6"/>
          <w:szCs w:val="30"/>
        </w:rPr>
        <w:t>增加</w:t>
      </w:r>
      <w:r>
        <w:rPr>
          <w:rFonts w:hint="eastAsia" w:ascii="仿宋_GB2312" w:hAnsi="仿宋_GB2312" w:eastAsia="仿宋_GB2312" w:cs="仿宋_GB2312"/>
          <w:spacing w:val="6"/>
          <w:szCs w:val="30"/>
        </w:rPr>
        <w:t>了</w:t>
      </w:r>
      <w:r>
        <w:rPr>
          <w:rFonts w:ascii="仿宋_GB2312" w:hAnsi="仿宋_GB2312" w:eastAsia="仿宋_GB2312" w:cs="仿宋_GB2312"/>
          <w:spacing w:val="6"/>
          <w:szCs w:val="30"/>
        </w:rPr>
        <w:t>项目</w:t>
      </w:r>
      <w:r>
        <w:rPr>
          <w:rFonts w:hint="eastAsia" w:ascii="仿宋_GB2312" w:hAnsi="仿宋_GB2312" w:eastAsia="仿宋_GB2312" w:cs="仿宋_GB2312"/>
          <w:spacing w:val="6"/>
          <w:szCs w:val="30"/>
        </w:rPr>
        <w:t>的</w:t>
      </w:r>
      <w:r>
        <w:rPr>
          <w:rFonts w:ascii="仿宋_GB2312" w:hAnsi="仿宋_GB2312" w:eastAsia="仿宋_GB2312" w:cs="仿宋_GB2312"/>
          <w:spacing w:val="6"/>
          <w:szCs w:val="30"/>
        </w:rPr>
        <w:t>建设成本</w:t>
      </w:r>
      <w:r>
        <w:rPr>
          <w:rFonts w:hint="eastAsia" w:ascii="仿宋_GB2312" w:hAnsi="仿宋_GB2312" w:eastAsia="仿宋_GB2312" w:cs="仿宋_GB2312"/>
          <w:spacing w:val="6"/>
          <w:szCs w:val="30"/>
          <w:lang w:val="en-US" w:eastAsia="zh-CN"/>
        </w:rPr>
        <w:t>和预期收益实现难度</w:t>
      </w:r>
      <w:r>
        <w:rPr>
          <w:rFonts w:hint="eastAsia" w:ascii="仿宋_GB2312" w:hAnsi="仿宋_GB2312" w:eastAsia="仿宋_GB2312" w:cs="仿宋_GB2312"/>
          <w:spacing w:val="6"/>
          <w:szCs w:val="30"/>
          <w:lang w:eastAsia="zh-CN"/>
        </w:rPr>
        <w:t>。</w:t>
      </w:r>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lang w:eastAsia="zh-CN"/>
        </w:rPr>
        <w:t>根据问卷B第6题的结果分析可知，社会群众多为价格敏感型消费者，在基本条件大致相同时，面对不同租金标准，大部分问卷对象会选择更低租金标准的选项。结合耕地红线政策影响，在基本农田不允许建造大棚等设施的情况下，商户的土地租赁意愿会大幅下降，这将导致商业预期收益实现难度加大</w:t>
      </w:r>
      <w:r>
        <w:rPr>
          <w:rFonts w:hint="default" w:ascii="仿宋_GB2312" w:hAnsi="仿宋_GB2312" w:eastAsia="仿宋_GB2312" w:cs="仿宋_GB2312"/>
          <w:spacing w:val="6"/>
          <w:sz w:val="30"/>
          <w:szCs w:val="30"/>
          <w:lang w:val="en-US" w:eastAsia="zh-CN"/>
        </w:rPr>
        <w:t>，项目偿债存在一定压力</w:t>
      </w:r>
      <w:r>
        <w:rPr>
          <w:rFonts w:hint="eastAsia" w:ascii="仿宋_GB2312" w:hAnsi="仿宋_GB2312" w:eastAsia="仿宋_GB2312" w:cs="仿宋_GB2312"/>
          <w:spacing w:val="6"/>
          <w:sz w:val="30"/>
          <w:szCs w:val="30"/>
          <w:lang w:val="en-US" w:eastAsia="zh-CN"/>
        </w:rPr>
        <w:t>。</w:t>
      </w:r>
    </w:p>
    <w:p>
      <w:pPr>
        <w:spacing w:line="590" w:lineRule="exact"/>
        <w:ind w:firstLine="654" w:firstLineChars="200"/>
        <w:outlineLvl w:val="1"/>
        <w:rPr>
          <w:rFonts w:ascii="楷体_GB2312" w:hAnsi="楷体_GB2312" w:eastAsia="楷体_GB2312" w:cs="楷体_GB2312"/>
          <w:spacing w:val="6"/>
          <w:szCs w:val="30"/>
        </w:rPr>
      </w:pPr>
      <w:bookmarkStart w:id="25" w:name="_Toc27419"/>
      <w:r>
        <w:rPr>
          <w:rFonts w:hint="eastAsia" w:ascii="楷体_GB2312" w:hAnsi="楷体_GB2312" w:eastAsia="楷体_GB2312" w:cs="楷体_GB2312"/>
          <w:spacing w:val="6"/>
          <w:szCs w:val="30"/>
        </w:rPr>
        <w:t>（二）施工合同未明确金额，项目成本控制不到位</w:t>
      </w:r>
      <w:bookmarkEnd w:id="25"/>
    </w:p>
    <w:p>
      <w:pPr>
        <w:spacing w:line="590" w:lineRule="exact"/>
        <w:ind w:firstLine="654" w:firstLineChars="200"/>
        <w:jc w:val="both"/>
        <w:rPr>
          <w:rFonts w:hint="eastAsia" w:ascii="仿宋_GB2312" w:hAnsi="仿宋_GB2312" w:eastAsia="仿宋_GB2312" w:cs="仿宋_GB2312"/>
          <w:spacing w:val="6"/>
          <w:szCs w:val="30"/>
        </w:rPr>
      </w:pPr>
      <w:bookmarkStart w:id="39" w:name="_GoBack"/>
      <w:r>
        <w:rPr>
          <w:rFonts w:ascii="仿宋_GB2312" w:hAnsi="仿宋_GB2312" w:eastAsia="仿宋_GB2312" w:cs="仿宋_GB2312"/>
          <w:spacing w:val="6"/>
          <w:szCs w:val="30"/>
        </w:rPr>
        <w:t>富民县现代农业示范园建设项目</w:t>
      </w:r>
      <w:r>
        <w:rPr>
          <w:rFonts w:hint="eastAsia" w:ascii="仿宋_GB2312" w:hAnsi="仿宋_GB2312" w:eastAsia="仿宋_GB2312" w:cs="仿宋_GB2312"/>
          <w:spacing w:val="6"/>
          <w:szCs w:val="30"/>
        </w:rPr>
        <w:t>（一期）通过公开招标的方式确定建设单位为富民兴达建筑有限公司，</w:t>
      </w:r>
      <w:r>
        <w:rPr>
          <w:rFonts w:hint="eastAsia" w:ascii="仿宋_GB2312" w:hAnsi="仿宋_GB2312" w:eastAsia="仿宋_GB2312" w:cs="仿宋_GB2312"/>
          <w:spacing w:val="6"/>
          <w:szCs w:val="30"/>
          <w:lang w:val="en-US" w:eastAsia="zh-CN"/>
        </w:rPr>
        <w:t>按照</w:t>
      </w:r>
      <w:r>
        <w:rPr>
          <w:rFonts w:hint="eastAsia" w:ascii="仿宋_GB2312" w:hAnsi="仿宋_GB2312" w:eastAsia="仿宋_GB2312" w:cs="仿宋_GB2312"/>
          <w:spacing w:val="6"/>
          <w:szCs w:val="30"/>
        </w:rPr>
        <w:t>《</w:t>
      </w:r>
      <w:r>
        <w:rPr>
          <w:rFonts w:hint="eastAsia" w:ascii="仿宋_GB2312" w:hAnsi="仿宋_GB2312" w:eastAsia="仿宋_GB2312" w:cs="仿宋_GB2312"/>
          <w:spacing w:val="6"/>
          <w:szCs w:val="30"/>
          <w:lang w:val="en-US" w:eastAsia="zh-CN"/>
        </w:rPr>
        <w:t>中华人民共和国</w:t>
      </w:r>
      <w:r>
        <w:rPr>
          <w:rFonts w:hint="eastAsia" w:ascii="仿宋_GB2312" w:hAnsi="仿宋_GB2312" w:eastAsia="仿宋_GB2312" w:cs="仿宋_GB2312"/>
          <w:spacing w:val="6"/>
          <w:szCs w:val="30"/>
        </w:rPr>
        <w:t xml:space="preserve">招标投标法实施条例》第五十七条 </w:t>
      </w:r>
      <w:r>
        <w:rPr>
          <w:rFonts w:hint="eastAsia" w:ascii="仿宋_GB2312" w:hAnsi="仿宋_GB2312" w:eastAsia="仿宋_GB2312" w:cs="仿宋_GB2312"/>
          <w:spacing w:val="6"/>
          <w:szCs w:val="30"/>
          <w:lang w:eastAsia="zh-CN"/>
        </w:rPr>
        <w:t>“</w:t>
      </w:r>
      <w:r>
        <w:rPr>
          <w:rFonts w:hint="eastAsia" w:ascii="仿宋_GB2312" w:hAnsi="仿宋_GB2312" w:eastAsia="仿宋_GB2312" w:cs="仿宋_GB2312"/>
          <w:spacing w:val="6"/>
          <w:szCs w:val="30"/>
        </w:rPr>
        <w:t>招标人和中标人应当依照招标投标法和本条例的规定签订书面合同，合同的标的、价款、质量、履行期限等主要条款应当与招标文件和中标人的投标文件的内容一致</w:t>
      </w:r>
      <w:r>
        <w:rPr>
          <w:rFonts w:hint="eastAsia" w:ascii="仿宋_GB2312" w:hAnsi="仿宋_GB2312" w:eastAsia="仿宋_GB2312" w:cs="仿宋_GB2312"/>
          <w:spacing w:val="6"/>
          <w:szCs w:val="30"/>
          <w:lang w:eastAsia="zh-CN"/>
        </w:rPr>
        <w:t>……</w:t>
      </w:r>
      <w:r>
        <w:rPr>
          <w:rFonts w:hint="default" w:ascii="仿宋_GB2312" w:hAnsi="仿宋_GB2312" w:eastAsia="仿宋_GB2312" w:cs="仿宋_GB2312"/>
          <w:spacing w:val="6"/>
          <w:szCs w:val="30"/>
          <w:lang w:val="en-US" w:eastAsia="zh-CN"/>
        </w:rPr>
        <w:t>”</w:t>
      </w:r>
      <w:r>
        <w:rPr>
          <w:rFonts w:hint="eastAsia" w:ascii="仿宋_GB2312" w:hAnsi="仿宋_GB2312" w:eastAsia="仿宋_GB2312" w:cs="仿宋_GB2312"/>
          <w:spacing w:val="6"/>
          <w:szCs w:val="30"/>
          <w:lang w:val="en-US" w:eastAsia="zh-CN"/>
        </w:rPr>
        <w:t>，合同签订应明确合同</w:t>
      </w:r>
      <w:r>
        <w:rPr>
          <w:rFonts w:hint="eastAsia" w:ascii="仿宋_GB2312" w:hAnsi="仿宋_GB2312" w:eastAsia="仿宋_GB2312" w:cs="仿宋_GB2312"/>
          <w:spacing w:val="6"/>
          <w:szCs w:val="30"/>
        </w:rPr>
        <w:t>标的、价款</w:t>
      </w:r>
      <w:r>
        <w:rPr>
          <w:rFonts w:hint="eastAsia" w:ascii="仿宋_GB2312" w:hAnsi="仿宋_GB2312" w:eastAsia="仿宋_GB2312" w:cs="仿宋_GB2312"/>
          <w:spacing w:val="6"/>
          <w:szCs w:val="30"/>
          <w:lang w:val="en-US" w:eastAsia="zh-CN"/>
        </w:rPr>
        <w:t>等主要条款，</w:t>
      </w:r>
      <w:r>
        <w:rPr>
          <w:rFonts w:hint="eastAsia" w:ascii="仿宋_GB2312" w:hAnsi="仿宋_GB2312" w:eastAsia="仿宋_GB2312" w:cs="仿宋_GB2312"/>
          <w:spacing w:val="6"/>
          <w:szCs w:val="30"/>
        </w:rPr>
        <w:t>但</w:t>
      </w:r>
      <w:r>
        <w:rPr>
          <w:rFonts w:hint="eastAsia" w:ascii="仿宋_GB2312" w:hAnsi="仿宋_GB2312" w:eastAsia="仿宋_GB2312" w:cs="仿宋_GB2312"/>
          <w:spacing w:val="6"/>
          <w:szCs w:val="30"/>
          <w:lang w:val="en-US" w:eastAsia="zh-CN"/>
        </w:rPr>
        <w:t>该项目</w:t>
      </w:r>
      <w:r>
        <w:rPr>
          <w:rFonts w:hint="eastAsia" w:ascii="仿宋_GB2312" w:hAnsi="仿宋_GB2312" w:eastAsia="仿宋_GB2312" w:cs="仿宋_GB2312"/>
          <w:spacing w:val="6"/>
          <w:szCs w:val="30"/>
        </w:rPr>
        <w:t>中标通知书和施工合同均未明确项目建设金额。</w:t>
      </w:r>
    </w:p>
    <w:bookmarkEnd w:id="39"/>
    <w:p>
      <w:pPr>
        <w:spacing w:line="590" w:lineRule="exact"/>
        <w:ind w:firstLine="654" w:firstLineChars="200"/>
        <w:rPr>
          <w:rFonts w:hint="eastAsia" w:ascii="楷体_GB2312" w:hAnsi="楷体_GB2312" w:eastAsia="楷体_GB2312" w:cs="楷体_GB2312"/>
          <w:spacing w:val="6"/>
          <w:szCs w:val="30"/>
        </w:rPr>
      </w:pPr>
      <w:r>
        <w:rPr>
          <w:rFonts w:hint="eastAsia" w:ascii="仿宋_GB2312" w:hAnsi="仿宋_GB2312" w:eastAsia="仿宋_GB2312" w:cs="仿宋_GB2312"/>
          <w:spacing w:val="6"/>
          <w:szCs w:val="30"/>
        </w:rPr>
        <w:t>按委托方与中标方的约定，因项目施工的具体工程量不确定，须施工单位进场测量后确定最终工程量及建设金额</w:t>
      </w:r>
      <w:r>
        <w:rPr>
          <w:rFonts w:hint="eastAsia" w:ascii="仿宋_GB2312" w:hAnsi="仿宋_GB2312" w:eastAsia="仿宋_GB2312" w:cs="仿宋_GB2312"/>
          <w:spacing w:val="6"/>
          <w:szCs w:val="30"/>
          <w:lang w:eastAsia="zh-CN"/>
        </w:rPr>
        <w:t>，</w:t>
      </w:r>
      <w:r>
        <w:rPr>
          <w:rFonts w:hint="eastAsia" w:ascii="仿宋_GB2312" w:hAnsi="仿宋_GB2312" w:eastAsia="仿宋_GB2312" w:cs="仿宋_GB2312"/>
          <w:spacing w:val="6"/>
          <w:szCs w:val="30"/>
        </w:rPr>
        <w:t>但待施工单位进场施工后也并未就合同金额补充相关协议</w:t>
      </w:r>
      <w:r>
        <w:rPr>
          <w:rFonts w:hint="eastAsia" w:ascii="仿宋_GB2312" w:hAnsi="仿宋_GB2312" w:eastAsia="仿宋_GB2312" w:cs="仿宋_GB2312"/>
          <w:spacing w:val="6"/>
          <w:szCs w:val="30"/>
          <w:lang w:eastAsia="zh-CN"/>
        </w:rPr>
        <w:t>。</w:t>
      </w:r>
      <w:r>
        <w:rPr>
          <w:rFonts w:hint="eastAsia" w:ascii="仿宋_GB2312" w:hAnsi="仿宋_GB2312" w:eastAsia="仿宋_GB2312" w:cs="仿宋_GB2312"/>
          <w:spacing w:val="6"/>
          <w:szCs w:val="30"/>
        </w:rPr>
        <w:t>项目建设成本的不确定会导致项目监理、造价咨询服务等相关服务定价无据可循，建设预期成本难以衡量，不利于项目建设成本的管控。</w:t>
      </w:r>
    </w:p>
    <w:p>
      <w:pPr>
        <w:spacing w:line="590" w:lineRule="exact"/>
        <w:ind w:firstLine="654" w:firstLineChars="200"/>
        <w:outlineLvl w:val="1"/>
        <w:rPr>
          <w:rFonts w:ascii="楷体_GB2312" w:hAnsi="楷体_GB2312" w:eastAsia="楷体_GB2312" w:cs="楷体_GB2312"/>
          <w:spacing w:val="6"/>
          <w:szCs w:val="30"/>
        </w:rPr>
      </w:pPr>
      <w:bookmarkStart w:id="26" w:name="_Toc23305"/>
      <w:r>
        <w:rPr>
          <w:rFonts w:hint="eastAsia" w:ascii="楷体_GB2312" w:hAnsi="楷体_GB2312" w:eastAsia="楷体_GB2312" w:cs="楷体_GB2312"/>
          <w:spacing w:val="6"/>
          <w:szCs w:val="30"/>
        </w:rPr>
        <w:t>（三）运营服务方案缺失，</w:t>
      </w:r>
      <w:r>
        <w:rPr>
          <w:rFonts w:hint="eastAsia" w:ascii="楷体_GB2312" w:hAnsi="楷体_GB2312" w:eastAsia="楷体_GB2312" w:cs="楷体_GB2312"/>
          <w:spacing w:val="6"/>
          <w:szCs w:val="30"/>
          <w:lang w:val="en-US" w:eastAsia="zh-CN"/>
        </w:rPr>
        <w:t>制度有待进一步完善</w:t>
      </w:r>
      <w:bookmarkEnd w:id="26"/>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根据《富民县现代农业示范园建设项目专项债券财务评价报告》，该项目将在2025年正式运营并产生运营收益。截至2023年7月31日，该项目一期建设内容已基本完成，尚未竣工验收，部分平整完成的土地已种植农作物</w:t>
      </w:r>
      <w:r>
        <w:rPr>
          <w:rFonts w:hint="eastAsia" w:ascii="仿宋_GB2312" w:hAnsi="仿宋_GB2312" w:eastAsia="仿宋_GB2312" w:cs="仿宋_GB2312"/>
          <w:spacing w:val="6"/>
          <w:szCs w:val="30"/>
          <w:lang w:eastAsia="zh-CN"/>
        </w:rPr>
        <w:t>，</w:t>
      </w:r>
      <w:r>
        <w:rPr>
          <w:rFonts w:hint="eastAsia" w:ascii="仿宋_GB2312" w:hAnsi="仿宋_GB2312" w:eastAsia="仿宋_GB2312" w:cs="仿宋_GB2312"/>
          <w:spacing w:val="6"/>
          <w:szCs w:val="30"/>
        </w:rPr>
        <w:t>但该项目暂未编制运营服务方案，未对项目运营模式、服务内容、合作对象等事项进行提前规划。运营服务方案</w:t>
      </w:r>
      <w:r>
        <w:rPr>
          <w:rFonts w:hint="eastAsia" w:ascii="仿宋_GB2312" w:hAnsi="仿宋_GB2312" w:eastAsia="仿宋_GB2312" w:cs="仿宋_GB2312"/>
          <w:spacing w:val="6"/>
          <w:szCs w:val="30"/>
          <w:lang w:val="en-US" w:eastAsia="zh-CN"/>
        </w:rPr>
        <w:t>的缺失会导致项目运作模式及收益来源不确定，影响后续项目有序开展。</w:t>
      </w:r>
    </w:p>
    <w:p>
      <w:pPr>
        <w:spacing w:line="590" w:lineRule="exact"/>
        <w:ind w:firstLine="654" w:firstLineChars="200"/>
        <w:outlineLvl w:val="1"/>
        <w:rPr>
          <w:rFonts w:ascii="楷体_GB2312" w:hAnsi="楷体_GB2312" w:eastAsia="楷体_GB2312" w:cs="楷体_GB2312"/>
          <w:spacing w:val="6"/>
          <w:szCs w:val="30"/>
        </w:rPr>
      </w:pPr>
      <w:bookmarkStart w:id="27" w:name="_Toc30369"/>
      <w:r>
        <w:rPr>
          <w:rFonts w:hint="eastAsia" w:ascii="楷体_GB2312" w:hAnsi="楷体_GB2312" w:eastAsia="楷体_GB2312" w:cs="楷体_GB2312"/>
          <w:spacing w:val="6"/>
          <w:szCs w:val="30"/>
        </w:rPr>
        <w:t>（四）支付进度较为缓慢</w:t>
      </w:r>
      <w:r>
        <w:rPr>
          <w:rFonts w:hint="eastAsia" w:ascii="楷体_GB2312" w:hAnsi="楷体_GB2312" w:eastAsia="楷体_GB2312" w:cs="楷体_GB2312"/>
          <w:spacing w:val="6"/>
          <w:szCs w:val="30"/>
          <w:lang w:eastAsia="zh-CN"/>
        </w:rPr>
        <w:t>，</w:t>
      </w:r>
      <w:r>
        <w:rPr>
          <w:rFonts w:hint="eastAsia" w:ascii="楷体_GB2312" w:hAnsi="楷体_GB2312" w:eastAsia="楷体_GB2312" w:cs="楷体_GB2312"/>
          <w:spacing w:val="6"/>
          <w:szCs w:val="30"/>
        </w:rPr>
        <w:t>资金使用不规范</w:t>
      </w:r>
      <w:bookmarkEnd w:id="27"/>
    </w:p>
    <w:p>
      <w:pPr>
        <w:spacing w:line="590" w:lineRule="exact"/>
        <w:ind w:firstLine="654" w:firstLineChars="200"/>
        <w:rPr>
          <w:rFonts w:hint="eastAsia" w:ascii="仿宋_GB2312" w:hAnsi="仿宋_GB2312" w:eastAsia="仿宋_GB2312" w:cs="仿宋_GB2312"/>
          <w:spacing w:val="6"/>
          <w:szCs w:val="30"/>
        </w:rPr>
      </w:pPr>
      <w:r>
        <w:rPr>
          <w:rFonts w:hint="eastAsia" w:ascii="仿宋_GB2312" w:hAnsi="仿宋_GB2312" w:eastAsia="仿宋_GB2312" w:cs="仿宋_GB2312"/>
          <w:spacing w:val="6"/>
          <w:szCs w:val="30"/>
        </w:rPr>
        <w:t>一是资金拨付和支出进度与项目建设进度不匹配。项目相关的可研编制费、设计费、监理费、造价咨询费等费用集中于2023年1月支付，未按合同约定的方式付款。如黎乾实业公司与云南科帕工程技术咨询有限公司签订的《工程咨询合同》约定“项目可行性研究报告编制工作完成提交发包方后3个工作日，发包方向咨询方支付可行性研究报告编制费用的70%……可行性研究报告通过专家评审后并通过相关主管部门审批后3个工作日内，发包方向咨询方支付可行性研究报告编制费用的30%…</w:t>
      </w:r>
      <w:r>
        <w:rPr>
          <w:rFonts w:hint="eastAsia" w:ascii="仿宋_GB2312" w:hAnsi="仿宋_GB2312" w:eastAsia="仿宋_GB2312" w:cs="仿宋_GB2312"/>
          <w:spacing w:val="6"/>
          <w:szCs w:val="30"/>
          <w:lang w:eastAsia="zh-CN"/>
        </w:rPr>
        <w:t>…</w:t>
      </w:r>
      <w:r>
        <w:rPr>
          <w:rFonts w:hint="eastAsia" w:ascii="仿宋_GB2312" w:hAnsi="仿宋_GB2312" w:eastAsia="仿宋_GB2312" w:cs="仿宋_GB2312"/>
          <w:spacing w:val="6"/>
          <w:szCs w:val="30"/>
        </w:rPr>
        <w:t>”，合同总价为32.67万元，均于2023年1月31日完成支付。</w:t>
      </w:r>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二是项目存在“以拨代支”的情形。为提高项目资金的拨付率，项目实施单位黎乾实业公司采用“以拨代支”的方式，于2023年1月31日预付富民产投黎宏商贸有限公司材料款1,400万元。评价</w:t>
      </w:r>
      <w:r>
        <w:rPr>
          <w:rFonts w:hint="eastAsia" w:ascii="仿宋_GB2312" w:hAnsi="仿宋_GB2312" w:eastAsia="仿宋_GB2312" w:cs="仿宋_GB2312"/>
          <w:spacing w:val="6"/>
          <w:szCs w:val="30"/>
          <w:lang w:val="en-US" w:eastAsia="zh-CN"/>
        </w:rPr>
        <w:t>发现</w:t>
      </w:r>
      <w:r>
        <w:rPr>
          <w:rFonts w:hint="eastAsia" w:ascii="仿宋_GB2312" w:hAnsi="仿宋_GB2312" w:eastAsia="仿宋_GB2312" w:cs="仿宋_GB2312"/>
          <w:spacing w:val="6"/>
          <w:szCs w:val="30"/>
        </w:rPr>
        <w:t>，两家公司属于云南富民产业发展投资集团有限公司控股下的子公司，具有关联关系。根据《建材购销协议》，项目二期材料供应由富民产投黎宏商贸有限公司负责，但项目二期尚在进行施工方招标。在未确定项目施工单位、未签订正式</w:t>
      </w:r>
      <w:r>
        <w:rPr>
          <w:rFonts w:hint="eastAsia" w:ascii="仿宋_GB2312" w:hAnsi="仿宋_GB2312" w:eastAsia="仿宋_GB2312" w:cs="仿宋_GB2312"/>
          <w:spacing w:val="6"/>
          <w:szCs w:val="30"/>
          <w:lang w:val="en-US" w:eastAsia="zh-CN"/>
        </w:rPr>
        <w:t>书面</w:t>
      </w:r>
      <w:r>
        <w:rPr>
          <w:rFonts w:hint="eastAsia" w:ascii="仿宋_GB2312" w:hAnsi="仿宋_GB2312" w:eastAsia="仿宋_GB2312" w:cs="仿宋_GB2312"/>
          <w:spacing w:val="6"/>
          <w:szCs w:val="30"/>
        </w:rPr>
        <w:t>合同</w:t>
      </w:r>
      <w:r>
        <w:rPr>
          <w:rFonts w:hint="eastAsia" w:ascii="仿宋_GB2312" w:hAnsi="仿宋_GB2312" w:eastAsia="仿宋_GB2312" w:cs="仿宋_GB2312"/>
          <w:spacing w:val="6"/>
          <w:szCs w:val="30"/>
          <w:lang w:val="en-US" w:eastAsia="zh-CN"/>
        </w:rPr>
        <w:t>前</w:t>
      </w:r>
      <w:r>
        <w:rPr>
          <w:rFonts w:hint="eastAsia" w:ascii="仿宋_GB2312" w:hAnsi="仿宋_GB2312" w:eastAsia="仿宋_GB2312" w:cs="仿宋_GB2312"/>
          <w:spacing w:val="6"/>
          <w:szCs w:val="30"/>
        </w:rPr>
        <w:t>，单位</w:t>
      </w:r>
      <w:r>
        <w:rPr>
          <w:rFonts w:hint="eastAsia" w:ascii="仿宋_GB2312" w:hAnsi="仿宋_GB2312" w:eastAsia="仿宋_GB2312" w:cs="仿宋_GB2312"/>
          <w:spacing w:val="6"/>
          <w:szCs w:val="30"/>
          <w:lang w:val="en-US" w:eastAsia="zh-CN"/>
        </w:rPr>
        <w:t>就</w:t>
      </w:r>
      <w:r>
        <w:rPr>
          <w:rFonts w:hint="eastAsia" w:ascii="仿宋_GB2312" w:hAnsi="仿宋_GB2312" w:eastAsia="仿宋_GB2312" w:cs="仿宋_GB2312"/>
          <w:spacing w:val="6"/>
          <w:szCs w:val="30"/>
        </w:rPr>
        <w:t>先预付1,400万元的专项债券资金不符</w:t>
      </w:r>
      <w:r>
        <w:rPr>
          <w:rFonts w:hint="eastAsia" w:ascii="仿宋_GB2312" w:hAnsi="仿宋_GB2312" w:eastAsia="仿宋_GB2312" w:cs="仿宋_GB2312"/>
          <w:spacing w:val="6"/>
          <w:szCs w:val="30"/>
          <w:lang w:val="en-US" w:eastAsia="zh-CN"/>
        </w:rPr>
        <w:t>合相关</w:t>
      </w:r>
      <w:r>
        <w:rPr>
          <w:rFonts w:hint="eastAsia" w:ascii="仿宋_GB2312" w:hAnsi="仿宋_GB2312" w:eastAsia="仿宋_GB2312" w:cs="仿宋_GB2312"/>
          <w:spacing w:val="6"/>
          <w:szCs w:val="30"/>
        </w:rPr>
        <w:t>法规制度要求。</w:t>
      </w:r>
    </w:p>
    <w:p>
      <w:pPr>
        <w:spacing w:line="579" w:lineRule="exact"/>
        <w:ind w:firstLine="630" w:firstLineChars="200"/>
        <w:outlineLvl w:val="0"/>
        <w:rPr>
          <w:rFonts w:hint="default" w:ascii="黑体" w:hAnsi="宋体" w:eastAsia="黑体" w:cs="宋体"/>
          <w:szCs w:val="30"/>
          <w:lang w:val="en-US" w:eastAsia="zh-CN"/>
        </w:rPr>
      </w:pPr>
      <w:bookmarkStart w:id="28" w:name="_Toc21729"/>
      <w:r>
        <w:rPr>
          <w:rFonts w:hint="eastAsia" w:ascii="黑体" w:hAnsi="宋体" w:eastAsia="黑体" w:cs="宋体"/>
          <w:szCs w:val="30"/>
        </w:rPr>
        <w:t>六、建议</w:t>
      </w:r>
      <w:bookmarkEnd w:id="28"/>
    </w:p>
    <w:p>
      <w:pPr>
        <w:spacing w:line="590" w:lineRule="exact"/>
        <w:ind w:firstLine="654" w:firstLineChars="200"/>
        <w:outlineLvl w:val="1"/>
        <w:rPr>
          <w:rFonts w:ascii="楷体_GB2312" w:hAnsi="楷体_GB2312" w:eastAsia="楷体_GB2312" w:cs="楷体_GB2312"/>
          <w:spacing w:val="6"/>
          <w:szCs w:val="30"/>
        </w:rPr>
      </w:pPr>
      <w:bookmarkStart w:id="29" w:name="_Toc3451"/>
      <w:r>
        <w:rPr>
          <w:rFonts w:hint="eastAsia" w:ascii="楷体_GB2312" w:hAnsi="楷体_GB2312" w:eastAsia="楷体_GB2312" w:cs="楷体_GB2312"/>
          <w:spacing w:val="6"/>
          <w:szCs w:val="30"/>
        </w:rPr>
        <w:t>（一）加强项目前期统筹规划，确保实施方案合理可行</w:t>
      </w:r>
      <w:bookmarkEnd w:id="29"/>
    </w:p>
    <w:p>
      <w:pPr>
        <w:spacing w:line="590" w:lineRule="exact"/>
        <w:ind w:firstLine="654" w:firstLineChars="200"/>
        <w:rPr>
          <w:rFonts w:hint="eastAsia" w:ascii="楷体_GB2312" w:hAnsi="楷体_GB2312" w:eastAsia="楷体_GB2312" w:cs="楷体_GB2312"/>
          <w:spacing w:val="6"/>
          <w:szCs w:val="30"/>
        </w:rPr>
      </w:pPr>
      <w:r>
        <w:rPr>
          <w:rFonts w:hint="eastAsia" w:ascii="仿宋_GB2312" w:hAnsi="仿宋_GB2312" w:eastAsia="仿宋_GB2312" w:cs="仿宋_GB2312"/>
          <w:spacing w:val="6"/>
          <w:szCs w:val="30"/>
          <w:lang w:eastAsia="zh-Hans"/>
        </w:rPr>
        <w:t>建立科学管理程序，深入项目前期考察，加强项目评审与监管工作，认真做好决策前的准备工作，全面保证项目实施方案的合理性与可行性</w:t>
      </w:r>
      <w:r>
        <w:rPr>
          <w:rFonts w:hint="eastAsia" w:ascii="仿宋_GB2312" w:hAnsi="仿宋_GB2312" w:eastAsia="仿宋_GB2312" w:cs="仿宋_GB2312"/>
          <w:spacing w:val="6"/>
          <w:szCs w:val="30"/>
        </w:rPr>
        <w:t>，符合相关政策要求</w:t>
      </w:r>
      <w:r>
        <w:rPr>
          <w:rFonts w:hint="eastAsia" w:ascii="仿宋_GB2312" w:hAnsi="仿宋_GB2312" w:eastAsia="仿宋_GB2312" w:cs="仿宋_GB2312"/>
          <w:spacing w:val="6"/>
          <w:szCs w:val="30"/>
          <w:lang w:eastAsia="zh-Hans"/>
        </w:rPr>
        <w:t>。</w:t>
      </w:r>
      <w:r>
        <w:rPr>
          <w:rFonts w:hint="eastAsia" w:ascii="仿宋_GB2312" w:hAnsi="仿宋_GB2312" w:eastAsia="仿宋_GB2312" w:cs="仿宋_GB2312"/>
          <w:spacing w:val="6"/>
          <w:kern w:val="0"/>
          <w:szCs w:val="30"/>
        </w:rPr>
        <w:t>根据预算安排开支，</w:t>
      </w:r>
      <w:r>
        <w:rPr>
          <w:rFonts w:hint="eastAsia" w:ascii="仿宋_GB2312" w:hAnsi="仿宋_GB2312" w:eastAsia="仿宋_GB2312" w:cs="仿宋_GB2312"/>
          <w:spacing w:val="6"/>
          <w:kern w:val="0"/>
          <w:szCs w:val="30"/>
          <w:lang w:val="zh-CN"/>
        </w:rPr>
        <w:t>强化预算支出执行责任，监督预算执行进度，</w:t>
      </w:r>
      <w:r>
        <w:rPr>
          <w:rFonts w:hint="eastAsia" w:ascii="仿宋_GB2312" w:hAnsi="仿宋_GB2312" w:eastAsia="仿宋_GB2312" w:cs="仿宋_GB2312"/>
          <w:spacing w:val="6"/>
          <w:kern w:val="0"/>
          <w:szCs w:val="30"/>
        </w:rPr>
        <w:t>做好项目实施的前期准备，制定详细的实施方案和措施，保证项目按计划进行。</w:t>
      </w:r>
    </w:p>
    <w:p>
      <w:pPr>
        <w:spacing w:line="590" w:lineRule="exact"/>
        <w:ind w:firstLine="654" w:firstLineChars="200"/>
        <w:outlineLvl w:val="1"/>
        <w:rPr>
          <w:rFonts w:ascii="楷体_GB2312" w:hAnsi="楷体_GB2312" w:eastAsia="楷体_GB2312" w:cs="楷体_GB2312"/>
          <w:spacing w:val="6"/>
          <w:szCs w:val="30"/>
        </w:rPr>
      </w:pPr>
      <w:bookmarkStart w:id="30" w:name="_Toc30282"/>
      <w:r>
        <w:rPr>
          <w:rFonts w:hint="eastAsia" w:ascii="楷体_GB2312" w:hAnsi="楷体_GB2312" w:eastAsia="楷体_GB2312" w:cs="楷体_GB2312"/>
          <w:spacing w:val="6"/>
          <w:szCs w:val="30"/>
        </w:rPr>
        <w:t>（二）签订合同补充协议，明确项目建设金额</w:t>
      </w:r>
      <w:bookmarkEnd w:id="30"/>
    </w:p>
    <w:p>
      <w:pPr>
        <w:spacing w:line="590" w:lineRule="exact"/>
        <w:ind w:firstLine="654" w:firstLineChars="200"/>
        <w:rPr>
          <w:rFonts w:hint="eastAsia" w:ascii="仿宋_GB2312" w:hAnsi="仿宋_GB2312" w:eastAsia="仿宋_GB2312" w:cs="仿宋_GB2312"/>
          <w:spacing w:val="6"/>
          <w:kern w:val="0"/>
          <w:szCs w:val="30"/>
          <w:lang w:val="zh-CN"/>
        </w:rPr>
      </w:pPr>
      <w:r>
        <w:rPr>
          <w:rFonts w:hint="eastAsia" w:ascii="仿宋_GB2312" w:hAnsi="仿宋_GB2312" w:eastAsia="仿宋_GB2312" w:cs="仿宋_GB2312"/>
          <w:spacing w:val="6"/>
          <w:kern w:val="0"/>
          <w:szCs w:val="30"/>
          <w:lang w:val="zh-CN"/>
        </w:rPr>
        <w:t>实施单位应加强项目管理，提供项目成本管控能力，应</w:t>
      </w:r>
      <w:r>
        <w:rPr>
          <w:rFonts w:hint="eastAsia" w:ascii="仿宋_GB2312" w:hAnsi="仿宋_GB2312" w:eastAsia="仿宋_GB2312" w:cs="仿宋_GB2312"/>
          <w:spacing w:val="6"/>
          <w:kern w:val="0"/>
          <w:szCs w:val="30"/>
          <w:lang w:val="zh-CN" w:eastAsia="zh-CN"/>
        </w:rPr>
        <w:t>事先进行工程预算编审</w:t>
      </w:r>
      <w:r>
        <w:rPr>
          <w:rFonts w:hint="eastAsia" w:ascii="仿宋_GB2312" w:hAnsi="仿宋_GB2312" w:eastAsia="仿宋_GB2312" w:cs="仿宋_GB2312"/>
          <w:spacing w:val="6"/>
          <w:kern w:val="0"/>
          <w:szCs w:val="30"/>
          <w:lang w:val="zh-CN"/>
        </w:rPr>
        <w:t>，</w:t>
      </w:r>
      <w:r>
        <w:rPr>
          <w:rFonts w:hint="eastAsia" w:ascii="仿宋_GB2312" w:hAnsi="仿宋_GB2312" w:eastAsia="仿宋_GB2312" w:cs="仿宋_GB2312"/>
          <w:spacing w:val="6"/>
          <w:kern w:val="0"/>
          <w:szCs w:val="30"/>
          <w:lang w:val="zh-CN" w:eastAsia="zh-CN"/>
        </w:rPr>
        <w:t>避免招标后再核实确定工程量，</w:t>
      </w:r>
      <w:r>
        <w:rPr>
          <w:rFonts w:hint="eastAsia" w:ascii="仿宋_GB2312" w:hAnsi="仿宋_GB2312" w:eastAsia="仿宋_GB2312" w:cs="仿宋_GB2312"/>
          <w:spacing w:val="6"/>
          <w:kern w:val="0"/>
          <w:szCs w:val="30"/>
          <w:lang w:val="zh-CN"/>
        </w:rPr>
        <w:t>确</w:t>
      </w:r>
      <w:r>
        <w:rPr>
          <w:rFonts w:hint="eastAsia" w:ascii="仿宋_GB2312" w:hAnsi="仿宋_GB2312" w:eastAsia="仿宋_GB2312" w:cs="仿宋_GB2312"/>
          <w:spacing w:val="6"/>
          <w:kern w:val="0"/>
          <w:szCs w:val="30"/>
          <w:lang w:val="zh-CN" w:eastAsia="zh-CN"/>
        </w:rPr>
        <w:t>保</w:t>
      </w:r>
      <w:r>
        <w:rPr>
          <w:rFonts w:hint="eastAsia" w:ascii="仿宋_GB2312" w:hAnsi="仿宋_GB2312" w:eastAsia="仿宋_GB2312" w:cs="仿宋_GB2312"/>
          <w:spacing w:val="6"/>
          <w:kern w:val="0"/>
          <w:szCs w:val="30"/>
          <w:lang w:val="zh-CN"/>
        </w:rPr>
        <w:t>项目建设</w:t>
      </w:r>
      <w:r>
        <w:rPr>
          <w:rFonts w:hint="eastAsia" w:ascii="仿宋_GB2312" w:hAnsi="仿宋_GB2312" w:eastAsia="仿宋_GB2312" w:cs="仿宋_GB2312"/>
          <w:spacing w:val="6"/>
          <w:kern w:val="0"/>
          <w:szCs w:val="30"/>
          <w:lang w:val="zh-CN" w:eastAsia="zh-CN"/>
        </w:rPr>
        <w:t>前确定</w:t>
      </w:r>
      <w:r>
        <w:rPr>
          <w:rFonts w:hint="eastAsia" w:ascii="仿宋_GB2312" w:hAnsi="仿宋_GB2312" w:eastAsia="仿宋_GB2312" w:cs="仿宋_GB2312"/>
          <w:spacing w:val="6"/>
          <w:kern w:val="0"/>
          <w:szCs w:val="30"/>
          <w:lang w:val="zh-CN"/>
        </w:rPr>
        <w:t>合同金额</w:t>
      </w:r>
      <w:r>
        <w:rPr>
          <w:rFonts w:hint="eastAsia" w:ascii="仿宋_GB2312" w:hAnsi="仿宋_GB2312" w:eastAsia="仿宋_GB2312" w:cs="仿宋_GB2312"/>
          <w:spacing w:val="6"/>
          <w:kern w:val="0"/>
          <w:szCs w:val="30"/>
          <w:lang w:val="zh-CN" w:eastAsia="zh-CN"/>
        </w:rPr>
        <w:t>。</w:t>
      </w:r>
      <w:r>
        <w:rPr>
          <w:rFonts w:hint="eastAsia" w:ascii="仿宋_GB2312" w:hAnsi="仿宋_GB2312" w:eastAsia="仿宋_GB2312" w:cs="仿宋_GB2312"/>
          <w:spacing w:val="6"/>
          <w:kern w:val="0"/>
          <w:szCs w:val="30"/>
          <w:lang w:val="zh-CN"/>
        </w:rPr>
        <w:t>同时加强资金支付审核，无工程量或工程量不明确的支付申请，不予审批支付。</w:t>
      </w:r>
    </w:p>
    <w:p>
      <w:pPr>
        <w:spacing w:line="590" w:lineRule="exact"/>
        <w:ind w:firstLine="654" w:firstLineChars="200"/>
        <w:outlineLvl w:val="1"/>
        <w:rPr>
          <w:rFonts w:ascii="楷体_GB2312" w:hAnsi="楷体_GB2312" w:eastAsia="楷体_GB2312" w:cs="楷体_GB2312"/>
          <w:spacing w:val="6"/>
          <w:szCs w:val="30"/>
        </w:rPr>
      </w:pPr>
      <w:bookmarkStart w:id="31" w:name="_Toc7668"/>
      <w:r>
        <w:rPr>
          <w:rFonts w:hint="eastAsia" w:ascii="楷体_GB2312" w:hAnsi="楷体_GB2312" w:eastAsia="楷体_GB2312" w:cs="楷体_GB2312"/>
          <w:spacing w:val="6"/>
          <w:szCs w:val="30"/>
        </w:rPr>
        <w:t>（三）把控项目制度建设进度，完善项目制度体系</w:t>
      </w:r>
      <w:bookmarkEnd w:id="31"/>
    </w:p>
    <w:p>
      <w:pPr>
        <w:spacing w:line="590" w:lineRule="exact"/>
        <w:ind w:firstLine="654" w:firstLineChars="200"/>
        <w:rPr>
          <w:rFonts w:ascii="仿宋_GB2312" w:hAnsi="仿宋_GB2312" w:eastAsia="仿宋_GB2312" w:cs="仿宋_GB2312"/>
          <w:spacing w:val="6"/>
          <w:szCs w:val="30"/>
        </w:rPr>
      </w:pPr>
      <w:r>
        <w:rPr>
          <w:rFonts w:ascii="仿宋_GB2312" w:hAnsi="仿宋_GB2312" w:eastAsia="仿宋_GB2312" w:cs="仿宋_GB2312"/>
          <w:spacing w:val="6"/>
          <w:szCs w:val="30"/>
        </w:rPr>
        <w:t>一是建议</w:t>
      </w:r>
      <w:r>
        <w:rPr>
          <w:rFonts w:hint="eastAsia" w:ascii="仿宋_GB2312" w:hAnsi="仿宋_GB2312" w:eastAsia="仿宋_GB2312" w:cs="仿宋_GB2312"/>
          <w:spacing w:val="6"/>
          <w:szCs w:val="30"/>
        </w:rPr>
        <w:t>黎乾实业公司</w:t>
      </w:r>
      <w:r>
        <w:rPr>
          <w:rFonts w:ascii="仿宋_GB2312" w:hAnsi="仿宋_GB2312" w:eastAsia="仿宋_GB2312" w:cs="仿宋_GB2312"/>
          <w:spacing w:val="6"/>
          <w:szCs w:val="30"/>
        </w:rPr>
        <w:t>尽快根据项目的运营计划，设计编制项目运营服务方案，对项目的</w:t>
      </w:r>
      <w:r>
        <w:rPr>
          <w:rFonts w:hint="eastAsia" w:ascii="仿宋_GB2312" w:hAnsi="仿宋_GB2312" w:eastAsia="仿宋_GB2312" w:cs="仿宋_GB2312"/>
          <w:spacing w:val="6"/>
          <w:szCs w:val="30"/>
        </w:rPr>
        <w:t>运营方式、</w:t>
      </w:r>
      <w:r>
        <w:rPr>
          <w:rFonts w:ascii="仿宋_GB2312" w:hAnsi="仿宋_GB2312" w:eastAsia="仿宋_GB2312" w:cs="仿宋_GB2312"/>
          <w:spacing w:val="6"/>
          <w:szCs w:val="30"/>
        </w:rPr>
        <w:t>推介渠道、</w:t>
      </w:r>
      <w:r>
        <w:rPr>
          <w:rFonts w:hint="eastAsia" w:ascii="仿宋_GB2312" w:hAnsi="仿宋_GB2312" w:eastAsia="仿宋_GB2312" w:cs="仿宋_GB2312"/>
          <w:spacing w:val="6"/>
          <w:szCs w:val="30"/>
        </w:rPr>
        <w:t>租赁</w:t>
      </w:r>
      <w:r>
        <w:rPr>
          <w:rFonts w:ascii="仿宋_GB2312" w:hAnsi="仿宋_GB2312" w:eastAsia="仿宋_GB2312" w:cs="仿宋_GB2312"/>
          <w:spacing w:val="6"/>
          <w:szCs w:val="30"/>
        </w:rPr>
        <w:t>标准</w:t>
      </w:r>
      <w:r>
        <w:rPr>
          <w:rFonts w:hint="eastAsia" w:ascii="仿宋_GB2312" w:hAnsi="仿宋_GB2312" w:eastAsia="仿宋_GB2312" w:cs="仿宋_GB2312"/>
          <w:spacing w:val="6"/>
          <w:szCs w:val="30"/>
        </w:rPr>
        <w:t>及管理细则</w:t>
      </w:r>
      <w:r>
        <w:rPr>
          <w:rFonts w:ascii="仿宋_GB2312" w:hAnsi="仿宋_GB2312" w:eastAsia="仿宋_GB2312" w:cs="仿宋_GB2312"/>
          <w:spacing w:val="6"/>
          <w:szCs w:val="30"/>
        </w:rPr>
        <w:t>进行设计和规定，做好运营前期准备，保障项目的顺利运营。二是</w:t>
      </w:r>
      <w:r>
        <w:rPr>
          <w:rFonts w:hint="eastAsia" w:ascii="仿宋_GB2312" w:hAnsi="仿宋_GB2312" w:eastAsia="仿宋_GB2312" w:cs="仿宋_GB2312"/>
          <w:spacing w:val="6"/>
          <w:szCs w:val="30"/>
        </w:rPr>
        <w:t>建议项目主管部门</w:t>
      </w:r>
      <w:r>
        <w:rPr>
          <w:rFonts w:ascii="仿宋_GB2312" w:hAnsi="仿宋_GB2312" w:eastAsia="仿宋_GB2312" w:cs="仿宋_GB2312"/>
          <w:spacing w:val="6"/>
          <w:szCs w:val="30"/>
        </w:rPr>
        <w:t>根据</w:t>
      </w:r>
      <w:r>
        <w:rPr>
          <w:rFonts w:hint="eastAsia" w:ascii="仿宋_GB2312" w:hAnsi="仿宋_GB2312" w:eastAsia="仿宋_GB2312" w:cs="仿宋_GB2312"/>
          <w:spacing w:val="6"/>
          <w:szCs w:val="30"/>
        </w:rPr>
        <w:t>现代农业示范园建设</w:t>
      </w:r>
      <w:r>
        <w:rPr>
          <w:rFonts w:ascii="仿宋_GB2312" w:hAnsi="仿宋_GB2312" w:eastAsia="仿宋_GB2312" w:cs="仿宋_GB2312"/>
          <w:spacing w:val="6"/>
          <w:szCs w:val="30"/>
        </w:rPr>
        <w:t>的相关规定，结合</w:t>
      </w:r>
      <w:r>
        <w:rPr>
          <w:rFonts w:hint="eastAsia" w:ascii="仿宋_GB2312" w:hAnsi="仿宋_GB2312" w:eastAsia="仿宋_GB2312" w:cs="仿宋_GB2312"/>
          <w:spacing w:val="6"/>
          <w:szCs w:val="30"/>
        </w:rPr>
        <w:t>富民县</w:t>
      </w:r>
      <w:r>
        <w:rPr>
          <w:rFonts w:ascii="仿宋_GB2312" w:hAnsi="仿宋_GB2312" w:eastAsia="仿宋_GB2312" w:cs="仿宋_GB2312"/>
          <w:spacing w:val="6"/>
          <w:szCs w:val="30"/>
        </w:rPr>
        <w:t>的实际情况，尽快制定出符合项目情况的</w:t>
      </w:r>
      <w:r>
        <w:rPr>
          <w:rFonts w:hint="eastAsia" w:ascii="仿宋_GB2312" w:hAnsi="仿宋_GB2312" w:eastAsia="仿宋_GB2312" w:cs="仿宋_GB2312"/>
          <w:spacing w:val="6"/>
          <w:szCs w:val="30"/>
        </w:rPr>
        <w:t>招商引资优惠政策</w:t>
      </w:r>
      <w:r>
        <w:rPr>
          <w:rFonts w:ascii="仿宋_GB2312" w:hAnsi="仿宋_GB2312" w:eastAsia="仿宋_GB2312" w:cs="仿宋_GB2312"/>
          <w:spacing w:val="6"/>
          <w:szCs w:val="30"/>
        </w:rPr>
        <w:t>，明确项目</w:t>
      </w:r>
      <w:r>
        <w:rPr>
          <w:rFonts w:hint="eastAsia" w:ascii="仿宋_GB2312" w:hAnsi="仿宋_GB2312" w:eastAsia="仿宋_GB2312" w:cs="仿宋_GB2312"/>
          <w:spacing w:val="6"/>
          <w:szCs w:val="30"/>
        </w:rPr>
        <w:t>扶持</w:t>
      </w:r>
      <w:r>
        <w:rPr>
          <w:rFonts w:ascii="仿宋_GB2312" w:hAnsi="仿宋_GB2312" w:eastAsia="仿宋_GB2312" w:cs="仿宋_GB2312"/>
          <w:spacing w:val="6"/>
          <w:szCs w:val="30"/>
        </w:rPr>
        <w:t>对象、租金标准及准入退出机制等事项。</w:t>
      </w:r>
    </w:p>
    <w:p>
      <w:pPr>
        <w:spacing w:line="590" w:lineRule="exact"/>
        <w:ind w:firstLine="654" w:firstLineChars="200"/>
        <w:outlineLvl w:val="1"/>
        <w:rPr>
          <w:rFonts w:ascii="楷体_GB2312" w:hAnsi="楷体_GB2312" w:eastAsia="楷体_GB2312" w:cs="楷体_GB2312"/>
          <w:spacing w:val="6"/>
          <w:szCs w:val="30"/>
        </w:rPr>
      </w:pPr>
      <w:bookmarkStart w:id="32" w:name="_Toc29411"/>
      <w:r>
        <w:rPr>
          <w:rFonts w:hint="eastAsia" w:ascii="楷体_GB2312" w:hAnsi="楷体_GB2312" w:eastAsia="楷体_GB2312" w:cs="楷体_GB2312"/>
          <w:spacing w:val="6"/>
          <w:szCs w:val="30"/>
        </w:rPr>
        <w:t>（四）加强专项债券资金管理，压实各环节管理责任</w:t>
      </w:r>
      <w:bookmarkEnd w:id="32"/>
    </w:p>
    <w:p>
      <w:pPr>
        <w:spacing w:line="590" w:lineRule="exact"/>
        <w:ind w:firstLine="654" w:firstLineChars="200"/>
        <w:rPr>
          <w:rFonts w:ascii="仿宋_GB2312" w:hAnsi="仿宋_GB2312" w:eastAsia="仿宋_GB2312" w:cs="仿宋_GB2312"/>
          <w:spacing w:val="6"/>
          <w:kern w:val="0"/>
          <w:szCs w:val="30"/>
        </w:rPr>
      </w:pPr>
      <w:r>
        <w:rPr>
          <w:rFonts w:hint="eastAsia" w:ascii="仿宋_GB2312" w:hAnsi="仿宋_GB2312" w:eastAsia="仿宋_GB2312" w:cs="仿宋_GB2312"/>
          <w:spacing w:val="6"/>
          <w:szCs w:val="30"/>
        </w:rPr>
        <w:t>建议加强专项债券资金使用全过程管理，按照合同约定的支付方式、支付比例及时支付合同款，避免延期付款、集中付款的现象发生。对已发生的专项债券超前支付问题，从资金下达、工程进度管理、资金使用规范性等方面进行原因分析。对问题产生的原因进行责任划分，</w:t>
      </w:r>
      <w:r>
        <w:rPr>
          <w:rFonts w:hint="default" w:ascii="仿宋_GB2312" w:hAnsi="仿宋_GB2312" w:eastAsia="仿宋_GB2312" w:cs="仿宋_GB2312"/>
          <w:spacing w:val="6"/>
          <w:szCs w:val="30"/>
          <w:lang w:val="en-US" w:eastAsia="zh-CN"/>
        </w:rPr>
        <w:t>压实</w:t>
      </w:r>
      <w:r>
        <w:rPr>
          <w:rFonts w:hint="eastAsia" w:ascii="仿宋_GB2312" w:hAnsi="仿宋_GB2312" w:eastAsia="仿宋_GB2312" w:cs="仿宋_GB2312"/>
          <w:spacing w:val="6"/>
          <w:szCs w:val="30"/>
        </w:rPr>
        <w:t>管理责任，避免再次出现专项债券资金使用不规范的问题。</w:t>
      </w:r>
    </w:p>
    <w:p>
      <w:pPr>
        <w:spacing w:line="579" w:lineRule="exact"/>
        <w:ind w:firstLine="630" w:firstLineChars="200"/>
        <w:outlineLvl w:val="0"/>
        <w:rPr>
          <w:rFonts w:ascii="黑体" w:hAnsi="宋体" w:eastAsia="黑体" w:cs="宋体"/>
          <w:szCs w:val="30"/>
        </w:rPr>
      </w:pPr>
      <w:bookmarkStart w:id="33" w:name="_Toc31170"/>
      <w:r>
        <w:rPr>
          <w:rFonts w:hint="eastAsia" w:ascii="黑体" w:hAnsi="宋体" w:eastAsia="黑体" w:cs="宋体"/>
          <w:szCs w:val="30"/>
        </w:rPr>
        <w:t>七、其它需说明的情况</w:t>
      </w:r>
      <w:bookmarkEnd w:id="33"/>
    </w:p>
    <w:p>
      <w:pPr>
        <w:pStyle w:val="40"/>
        <w:spacing w:line="579" w:lineRule="exact"/>
        <w:ind w:left="142" w:firstLine="656"/>
        <w:rPr>
          <w:rFonts w:ascii="仿宋_GB2312" w:hAnsi="仿宋_GB2312" w:eastAsia="仿宋_GB2312" w:cs="仿宋_GB2312"/>
          <w:spacing w:val="6"/>
          <w:szCs w:val="30"/>
        </w:rPr>
      </w:pPr>
      <w:r>
        <w:rPr>
          <w:rFonts w:hint="eastAsia" w:ascii="仿宋_GB2312" w:hAnsi="仿宋_GB2312" w:eastAsia="仿宋_GB2312" w:cs="仿宋_GB2312"/>
          <w:spacing w:val="6"/>
          <w:szCs w:val="30"/>
        </w:rPr>
        <w:t>无。</w:t>
      </w:r>
    </w:p>
    <w:p>
      <w:pPr>
        <w:pStyle w:val="40"/>
        <w:spacing w:line="579" w:lineRule="exact"/>
        <w:ind w:left="142" w:firstLine="656"/>
        <w:rPr>
          <w:rFonts w:ascii="仿宋_GB2312" w:hAnsi="仿宋_GB2312" w:eastAsia="仿宋_GB2312" w:cs="仿宋_GB2312"/>
          <w:spacing w:val="6"/>
          <w:szCs w:val="30"/>
        </w:rPr>
      </w:pPr>
    </w:p>
    <w:p>
      <w:pPr>
        <w:pStyle w:val="40"/>
        <w:spacing w:line="579" w:lineRule="exact"/>
        <w:ind w:left="142" w:firstLine="656"/>
        <w:rPr>
          <w:rFonts w:ascii="仿宋_GB2312" w:hAnsi="仿宋_GB2312" w:eastAsia="仿宋_GB2312" w:cs="仿宋_GB2312"/>
          <w:spacing w:val="6"/>
          <w:szCs w:val="30"/>
        </w:rPr>
      </w:pPr>
      <w:bookmarkStart w:id="34" w:name="_Hlk525314575"/>
      <w:r>
        <w:rPr>
          <w:rFonts w:hint="eastAsia" w:ascii="仿宋_GB2312" w:hAnsi="仿宋_GB2312" w:eastAsia="仿宋_GB2312" w:cs="仿宋_GB2312"/>
          <w:spacing w:val="6"/>
          <w:szCs w:val="30"/>
        </w:rPr>
        <w:t>附件：1.预算申报绩效目标表</w:t>
      </w:r>
    </w:p>
    <w:p>
      <w:pPr>
        <w:pStyle w:val="40"/>
        <w:spacing w:line="579" w:lineRule="exact"/>
        <w:ind w:left="142" w:firstLine="1635" w:firstLineChars="500"/>
        <w:rPr>
          <w:rFonts w:ascii="仿宋_GB2312" w:hAnsi="仿宋_GB2312" w:eastAsia="仿宋_GB2312" w:cs="仿宋_GB2312"/>
          <w:spacing w:val="6"/>
          <w:szCs w:val="30"/>
        </w:rPr>
      </w:pPr>
      <w:r>
        <w:rPr>
          <w:rFonts w:hint="eastAsia" w:ascii="仿宋_GB2312" w:hAnsi="仿宋_GB2312" w:eastAsia="仿宋_GB2312" w:cs="仿宋_GB2312"/>
          <w:spacing w:val="6"/>
          <w:szCs w:val="30"/>
        </w:rPr>
        <w:t>2.</w:t>
      </w:r>
      <w:bookmarkStart w:id="35" w:name="_Hlk527019547"/>
      <w:r>
        <w:rPr>
          <w:rFonts w:hint="eastAsia" w:ascii="仿宋_GB2312" w:hAnsi="仿宋_GB2312" w:eastAsia="仿宋_GB2312" w:cs="仿宋_GB2312"/>
          <w:spacing w:val="6"/>
          <w:szCs w:val="30"/>
        </w:rPr>
        <w:t>绩效评价指标体系及评分表</w:t>
      </w:r>
      <w:bookmarkEnd w:id="35"/>
    </w:p>
    <w:p>
      <w:pPr>
        <w:pStyle w:val="40"/>
        <w:spacing w:line="579" w:lineRule="exact"/>
        <w:ind w:left="142" w:firstLine="1635" w:firstLineChars="500"/>
        <w:rPr>
          <w:rFonts w:ascii="仿宋_GB2312" w:hAnsi="仿宋_GB2312" w:eastAsia="仿宋_GB2312" w:cs="仿宋_GB2312"/>
          <w:spacing w:val="6"/>
          <w:szCs w:val="30"/>
        </w:rPr>
      </w:pPr>
      <w:r>
        <w:rPr>
          <w:rFonts w:hint="eastAsia" w:ascii="仿宋_GB2312" w:hAnsi="仿宋_GB2312" w:eastAsia="仿宋_GB2312" w:cs="仿宋_GB2312"/>
          <w:spacing w:val="6"/>
          <w:szCs w:val="30"/>
        </w:rPr>
        <w:t>3.</w:t>
      </w:r>
      <w:bookmarkStart w:id="36" w:name="_Hlk527019566"/>
      <w:r>
        <w:rPr>
          <w:rFonts w:hint="eastAsia" w:ascii="仿宋_GB2312" w:hAnsi="仿宋_GB2312" w:eastAsia="仿宋_GB2312" w:cs="仿宋_GB2312"/>
          <w:spacing w:val="6"/>
          <w:szCs w:val="30"/>
        </w:rPr>
        <w:t>抽样点资金使用情况表</w:t>
      </w:r>
      <w:bookmarkEnd w:id="36"/>
    </w:p>
    <w:p>
      <w:pPr>
        <w:pStyle w:val="40"/>
        <w:spacing w:line="579" w:lineRule="exact"/>
        <w:ind w:left="142" w:firstLine="1635" w:firstLineChars="500"/>
        <w:rPr>
          <w:rFonts w:ascii="仿宋_GB2312" w:hAnsi="仿宋_GB2312" w:eastAsia="仿宋_GB2312" w:cs="仿宋_GB2312"/>
          <w:spacing w:val="6"/>
          <w:szCs w:val="30"/>
        </w:rPr>
      </w:pPr>
      <w:r>
        <w:rPr>
          <w:rFonts w:hint="eastAsia" w:ascii="仿宋_GB2312" w:hAnsi="仿宋_GB2312" w:eastAsia="仿宋_GB2312" w:cs="仿宋_GB2312"/>
          <w:spacing w:val="6"/>
          <w:szCs w:val="30"/>
        </w:rPr>
        <w:t>4.</w:t>
      </w:r>
      <w:bookmarkStart w:id="37" w:name="_Hlk527019595"/>
      <w:r>
        <w:rPr>
          <w:rFonts w:hint="eastAsia" w:ascii="仿宋_GB2312" w:hAnsi="仿宋_GB2312" w:eastAsia="仿宋_GB2312" w:cs="仿宋_GB2312"/>
          <w:spacing w:val="6"/>
          <w:szCs w:val="30"/>
        </w:rPr>
        <w:t>抽样点发现问题汇总表</w:t>
      </w:r>
      <w:bookmarkEnd w:id="37"/>
    </w:p>
    <w:p>
      <w:pPr>
        <w:pStyle w:val="40"/>
        <w:spacing w:line="579" w:lineRule="exact"/>
        <w:ind w:left="142" w:firstLine="1635" w:firstLineChars="500"/>
        <w:rPr>
          <w:rFonts w:ascii="仿宋_GB2312" w:hAnsi="仿宋_GB2312" w:eastAsia="仿宋_GB2312" w:cs="仿宋_GB2312"/>
          <w:spacing w:val="6"/>
          <w:szCs w:val="30"/>
        </w:rPr>
      </w:pPr>
      <w:r>
        <w:rPr>
          <w:rFonts w:hint="eastAsia" w:ascii="仿宋_GB2312" w:hAnsi="仿宋_GB2312" w:eastAsia="仿宋_GB2312" w:cs="仿宋_GB2312"/>
          <w:spacing w:val="6"/>
          <w:szCs w:val="30"/>
        </w:rPr>
        <w:t>5.调查问卷结果汇总表</w:t>
      </w:r>
    </w:p>
    <w:p>
      <w:pPr>
        <w:pStyle w:val="40"/>
        <w:spacing w:line="579" w:lineRule="exact"/>
        <w:ind w:left="142" w:firstLine="1635" w:firstLineChars="500"/>
        <w:rPr>
          <w:rFonts w:ascii="仿宋_GB2312" w:hAnsi="仿宋_GB2312" w:eastAsia="仿宋_GB2312" w:cs="仿宋_GB2312"/>
          <w:spacing w:val="6"/>
          <w:szCs w:val="30"/>
        </w:rPr>
      </w:pPr>
      <w:r>
        <w:rPr>
          <w:rFonts w:hint="eastAsia" w:ascii="仿宋_GB2312" w:hAnsi="仿宋_GB2312" w:eastAsia="仿宋_GB2312" w:cs="仿宋_GB2312"/>
          <w:spacing w:val="6"/>
          <w:szCs w:val="30"/>
        </w:rPr>
        <w:t>6.绩效自评报告</w:t>
      </w:r>
    </w:p>
    <w:p>
      <w:pPr>
        <w:pStyle w:val="40"/>
        <w:spacing w:line="579" w:lineRule="exact"/>
        <w:ind w:left="142" w:firstLine="1635" w:firstLineChars="500"/>
        <w:rPr>
          <w:rFonts w:ascii="仿宋_GB2312" w:hAnsi="仿宋_GB2312" w:eastAsia="仿宋_GB2312" w:cs="仿宋_GB2312"/>
          <w:spacing w:val="6"/>
          <w:szCs w:val="30"/>
        </w:rPr>
      </w:pPr>
      <w:r>
        <w:rPr>
          <w:rFonts w:hint="eastAsia" w:ascii="仿宋_GB2312" w:hAnsi="仿宋_GB2312" w:eastAsia="仿宋_GB2312" w:cs="仿宋_GB2312"/>
          <w:spacing w:val="6"/>
          <w:szCs w:val="30"/>
        </w:rPr>
        <w:t>7.绩效评价报告意见反馈表（部门）</w:t>
      </w:r>
    </w:p>
    <w:p>
      <w:pPr>
        <w:pStyle w:val="40"/>
        <w:spacing w:line="579" w:lineRule="exact"/>
        <w:ind w:left="142" w:firstLine="1635" w:firstLineChars="500"/>
        <w:rPr>
          <w:rFonts w:ascii="仿宋_GB2312" w:hAnsi="仿宋_GB2312" w:eastAsia="仿宋_GB2312" w:cs="仿宋_GB2312"/>
          <w:spacing w:val="6"/>
          <w:szCs w:val="30"/>
        </w:rPr>
      </w:pPr>
      <w:r>
        <w:rPr>
          <w:rFonts w:hint="eastAsia" w:ascii="仿宋_GB2312" w:hAnsi="仿宋_GB2312" w:eastAsia="仿宋_GB2312" w:cs="仿宋_GB2312"/>
          <w:spacing w:val="6"/>
          <w:szCs w:val="30"/>
        </w:rPr>
        <w:t>8.</w:t>
      </w:r>
      <w:bookmarkStart w:id="38" w:name="_Hlk527019729"/>
      <w:r>
        <w:rPr>
          <w:rFonts w:hint="eastAsia" w:ascii="仿宋_GB2312" w:hAnsi="仿宋_GB2312" w:eastAsia="仿宋_GB2312" w:cs="仿宋_GB2312"/>
          <w:spacing w:val="6"/>
          <w:szCs w:val="30"/>
        </w:rPr>
        <w:t>绩效评价报告意见反馈采纳情况表（部门）</w:t>
      </w:r>
    </w:p>
    <w:p>
      <w:pPr>
        <w:pStyle w:val="40"/>
        <w:spacing w:line="579" w:lineRule="exact"/>
        <w:ind w:left="142" w:firstLine="1635" w:firstLineChars="500"/>
        <w:rPr>
          <w:rFonts w:ascii="仿宋_GB2312" w:hAnsi="仿宋_GB2312" w:eastAsia="仿宋_GB2312" w:cs="仿宋_GB2312"/>
          <w:spacing w:val="6"/>
          <w:szCs w:val="30"/>
        </w:rPr>
      </w:pPr>
      <w:r>
        <w:rPr>
          <w:rFonts w:hint="eastAsia" w:ascii="仿宋_GB2312" w:hAnsi="仿宋_GB2312" w:eastAsia="仿宋_GB2312" w:cs="仿宋_GB2312"/>
          <w:spacing w:val="6"/>
          <w:szCs w:val="30"/>
        </w:rPr>
        <w:t>9.</w:t>
      </w:r>
      <w:bookmarkEnd w:id="38"/>
      <w:r>
        <w:rPr>
          <w:rFonts w:hint="eastAsia" w:ascii="仿宋_GB2312" w:hAnsi="仿宋_GB2312" w:eastAsia="仿宋_GB2312" w:cs="仿宋_GB2312"/>
          <w:spacing w:val="6"/>
          <w:szCs w:val="30"/>
        </w:rPr>
        <w:t>绩效评价报告意见反馈表（科室）</w:t>
      </w:r>
    </w:p>
    <w:p>
      <w:pPr>
        <w:pStyle w:val="40"/>
        <w:spacing w:line="579" w:lineRule="exact"/>
        <w:ind w:left="142" w:firstLine="1635" w:firstLineChars="500"/>
        <w:rPr>
          <w:rFonts w:ascii="仿宋_GB2312" w:hAnsi="仿宋_GB2312" w:eastAsia="仿宋_GB2312" w:cs="仿宋_GB2312"/>
          <w:spacing w:val="6"/>
          <w:szCs w:val="30"/>
        </w:rPr>
      </w:pPr>
      <w:r>
        <w:rPr>
          <w:rFonts w:hint="eastAsia" w:ascii="仿宋_GB2312" w:hAnsi="仿宋_GB2312" w:eastAsia="仿宋_GB2312" w:cs="仿宋_GB2312"/>
          <w:spacing w:val="6"/>
          <w:szCs w:val="30"/>
        </w:rPr>
        <w:t>10.绩效评价报告意见反馈采纳情况表（科室）</w:t>
      </w:r>
    </w:p>
    <w:p>
      <w:pPr>
        <w:pStyle w:val="40"/>
        <w:spacing w:line="579" w:lineRule="exact"/>
        <w:ind w:left="142" w:firstLine="1635" w:firstLineChars="500"/>
        <w:rPr>
          <w:rFonts w:hAnsi="仿宋"/>
          <w:spacing w:val="6"/>
          <w:szCs w:val="30"/>
        </w:rPr>
      </w:pPr>
      <w:r>
        <w:rPr>
          <w:rFonts w:hint="eastAsia" w:ascii="仿宋_GB2312" w:hAnsi="仿宋_GB2312" w:eastAsia="仿宋_GB2312" w:cs="仿宋_GB2312"/>
          <w:spacing w:val="6"/>
          <w:szCs w:val="30"/>
        </w:rPr>
        <w:t>11.绩效评价主要依据文件</w:t>
      </w:r>
      <w:bookmarkEnd w:id="34"/>
    </w:p>
    <w:p>
      <w:pPr>
        <w:spacing w:line="590" w:lineRule="exact"/>
        <w:ind w:firstLine="654" w:firstLineChars="200"/>
        <w:jc w:val="right"/>
        <w:rPr>
          <w:rFonts w:ascii="仿宋_GB2312" w:hAnsi="仿宋_GB2312" w:eastAsia="仿宋_GB2312" w:cs="仿宋_GB2312"/>
          <w:spacing w:val="6"/>
          <w:szCs w:val="30"/>
        </w:rPr>
      </w:pPr>
    </w:p>
    <w:p>
      <w:pPr>
        <w:spacing w:line="590" w:lineRule="exact"/>
        <w:ind w:firstLine="654" w:firstLineChars="200"/>
        <w:jc w:val="right"/>
        <w:rPr>
          <w:rFonts w:ascii="仿宋_GB2312" w:hAnsi="仿宋_GB2312" w:eastAsia="仿宋_GB2312" w:cs="仿宋_GB2312"/>
          <w:spacing w:val="6"/>
          <w:szCs w:val="30"/>
        </w:rPr>
      </w:pPr>
      <w:r>
        <w:rPr>
          <w:rFonts w:hint="eastAsia" w:ascii="仿宋_GB2312" w:hAnsi="仿宋_GB2312" w:eastAsia="仿宋_GB2312" w:cs="仿宋_GB2312"/>
          <w:spacing w:val="6"/>
          <w:szCs w:val="30"/>
        </w:rPr>
        <w:t>云南明博会计师事务所（普通合伙）</w:t>
      </w:r>
    </w:p>
    <w:p>
      <w:pPr>
        <w:spacing w:line="590" w:lineRule="exact"/>
        <w:ind w:firstLine="654" w:firstLineChars="200"/>
        <w:rPr>
          <w:rFonts w:ascii="仿宋_GB2312" w:hAnsi="仿宋_GB2312" w:eastAsia="仿宋_GB2312" w:cs="仿宋_GB2312"/>
          <w:spacing w:val="6"/>
          <w:szCs w:val="30"/>
        </w:rPr>
      </w:pPr>
      <w:r>
        <w:rPr>
          <w:rFonts w:hint="eastAsia" w:ascii="仿宋_GB2312" w:hAnsi="仿宋_GB2312" w:eastAsia="仿宋_GB2312" w:cs="仿宋_GB2312"/>
          <w:spacing w:val="6"/>
          <w:szCs w:val="30"/>
        </w:rPr>
        <w:t xml:space="preserve">                       2023年10月20日</w:t>
      </w:r>
    </w:p>
    <w:sectPr>
      <w:footerReference r:id="rId6" w:type="default"/>
      <w:footerReference r:id="rId7" w:type="even"/>
      <w:type w:val="oddPage"/>
      <w:pgSz w:w="11906" w:h="16838"/>
      <w:pgMar w:top="2098" w:right="1474" w:bottom="1985" w:left="1588" w:header="851" w:footer="1474" w:gutter="0"/>
      <w:pgNumType w:start="1"/>
      <w:cols w:space="425" w:num="1"/>
      <w:docGrid w:type="linesAndChars" w:linePitch="579" w:charSpace="32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6DF34BE-AF39-49AF-A8B3-529A5903ADA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C19DDBB7-303C-44F4-BA19-20B03E83E959}"/>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59A6913A-545B-4117-AF45-F54547CD430C}"/>
  </w:font>
  <w:font w:name="方正小标宋..">
    <w:altName w:val="方正小标宋简体"/>
    <w:panose1 w:val="020B0604020202020204"/>
    <w:charset w:val="86"/>
    <w:family w:val="roman"/>
    <w:pitch w:val="default"/>
    <w:sig w:usb0="00000000" w:usb1="00000000" w:usb2="00000010" w:usb3="00000000" w:csb0="00040000" w:csb1="00000000"/>
  </w:font>
  <w:font w:name="方正小标宋简体">
    <w:panose1 w:val="02000000000000000000"/>
    <w:charset w:val="86"/>
    <w:family w:val="script"/>
    <w:pitch w:val="default"/>
    <w:sig w:usb0="00000001" w:usb1="080E0000" w:usb2="00000000" w:usb3="00000000" w:csb0="00040000" w:csb1="00000000"/>
    <w:embedRegular r:id="rId4" w:fontKey="{DD9036BE-8138-4DA7-9F9B-EF4CBFA11A32}"/>
  </w:font>
  <w:font w:name="楷体_GB2312">
    <w:panose1 w:val="02010609030101010101"/>
    <w:charset w:val="86"/>
    <w:family w:val="modern"/>
    <w:pitch w:val="default"/>
    <w:sig w:usb0="00000001" w:usb1="080E0000" w:usb2="00000000" w:usb3="00000000" w:csb0="00040000" w:csb1="00000000"/>
    <w:embedRegular r:id="rId5" w:fontKey="{F706D66D-3109-402C-99E7-6AEF61D55A39}"/>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rPr>
        <w:rFonts w:ascii="仿宋" w:hAnsi="仿宋" w:eastAsia="仿宋"/>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rPr>
        <w:rFonts w:ascii="仿宋" w:hAnsi="仿宋" w:eastAsia="仿宋"/>
        <w:sz w:val="28"/>
        <w:szCs w:val="28"/>
      </w:rPr>
    </w:pPr>
    <w:r>
      <w:rPr>
        <w:rFonts w:ascii="宋体" w:hAnsi="宋体" w:eastAsia="宋体" w:cs="宋体"/>
        <w:sz w:val="28"/>
        <w:szCs w:val="28"/>
      </w:rPr>
      <w:pict>
        <v:shape id="_x0000_s1027" o:spid="_x0000_s1027" o:spt="202" type="#_x0000_t202" style="position:absolute;left:0pt;margin-left:191.9pt;margin-top:0pt;height:36.3pt;width:71.25pt;mso-position-horizontal-relative:margin;z-index:251662336;mso-width-relative:page;mso-height-relative:page;" filled="f" stroked="f" coordsize="21600,21600">
          <v:path/>
          <v:fill on="f" focussize="0,0"/>
          <v:stroke on="f" joinstyle="miter"/>
          <v:imagedata o:title=""/>
          <o:lock v:ext="edit"/>
          <v:textbox inset="0mm,0mm,0mm,0mm">
            <w:txbxContent>
              <w:p>
                <w:pPr>
                  <w:snapToGrid w:val="0"/>
                  <w:rPr>
                    <w:rFonts w:ascii="宋体" w:hAnsi="宋体" w:eastAsia="宋体" w:cs="宋体"/>
                    <w:sz w:val="36"/>
                    <w:szCs w:val="36"/>
                  </w:rPr>
                </w:pPr>
                <w:r>
                  <w:rPr>
                    <w:rFonts w:hint="eastAsia" w:ascii="宋体" w:hAnsi="宋体" w:eastAsia="宋体" w:cs="宋体"/>
                    <w:sz w:val="28"/>
                    <w:szCs w:val="28"/>
                  </w:rPr>
                  <w:t xml:space="preserve"> </w:t>
                </w:r>
                <w:r>
                  <w:rPr>
                    <w:rFonts w:hint="eastAsia" w:ascii="宋体" w:hAnsi="宋体" w:eastAsia="宋体" w:cs="宋体"/>
                    <w:sz w:val="28"/>
                    <w:szCs w:val="28"/>
                    <w:lang w:eastAsia="zh-Hans"/>
                  </w:rPr>
                  <w:t>—</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i</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rFonts w:hint="eastAsia" w:ascii="宋体" w:hAnsi="宋体" w:eastAsia="宋体" w:cs="宋体"/>
                    <w:sz w:val="28"/>
                    <w:szCs w:val="28"/>
                    <w:lang w:eastAsia="zh-Hans"/>
                  </w:rPr>
                  <w:t>—</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_x0000_s1028" o:spid="_x0000_s1028" o:spt="202" type="#_x0000_t202" style="position:absolute;left:0pt;margin-left:217.15pt;margin-top:-5.95pt;height:16.95pt;width:61.15pt;mso-position-horizontal-relative:margin;z-index:251659264;mso-width-relative:page;mso-height-relative:page;" filled="f" stroked="f" coordsize="21600,21600">
          <v:path/>
          <v:fill on="f" focussize="0,0"/>
          <v:stroke on="f" joinstyle="miter"/>
          <v:imagedata o:title=""/>
          <o:lock v:ext="edit"/>
          <v:textbox inset="0mm,0mm,0mm,0mm">
            <w:txbxContent>
              <w:p>
                <w:pPr>
                  <w:pStyle w:val="13"/>
                  <w:rPr>
                    <w:rFonts w:ascii="仿宋" w:hAnsi="仿宋" w:eastAsia="仿宋" w:cs="仿宋"/>
                    <w:sz w:val="28"/>
                    <w:szCs w:val="28"/>
                  </w:rPr>
                </w:pPr>
                <w:r>
                  <w:rPr>
                    <w:rFonts w:hint="eastAsia" w:ascii="宋体" w:hAnsi="宋体" w:eastAsia="宋体" w:cs="宋体"/>
                    <w:sz w:val="28"/>
                    <w:szCs w:val="28"/>
                    <w:lang w:eastAsia="zh-Hans"/>
                  </w:rPr>
                  <w:t>—</w:t>
                </w:r>
                <w:r>
                  <w:rPr>
                    <w:rFonts w:hint="eastAsia" w:ascii="宋体" w:hAnsi="宋体" w:eastAsia="宋体" w:cs="宋体"/>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ii</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r>
                  <w:rPr>
                    <w:rFonts w:hint="eastAsia" w:ascii="宋体" w:hAnsi="宋体" w:eastAsia="宋体" w:cs="宋体"/>
                    <w:sz w:val="28"/>
                    <w:szCs w:val="28"/>
                    <w:lang w:eastAsia="zh-Hans"/>
                  </w:rPr>
                  <w:t>—</w:t>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tabs>
        <w:tab w:val="center" w:pos="4422"/>
        <w:tab w:val="right" w:pos="8964"/>
      </w:tabs>
      <w:rPr>
        <w:rFonts w:ascii="仿宋" w:hAnsi="仿宋" w:eastAsia="仿宋"/>
        <w:sz w:val="28"/>
        <w:szCs w:val="28"/>
      </w:rPr>
    </w:pPr>
    <w:r>
      <w:rPr>
        <w:sz w:val="28"/>
      </w:rPr>
      <w:pict>
        <v:shape id="_x0000_s1025" o:spid="_x0000_s1025" o:spt="202" type="#_x0000_t202" style="position:absolute;left:0pt;margin-top:0pt;height:18.15pt;width:56.05pt;mso-position-horizontal:outside;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13"/>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i</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v:textbox>
        </v:shape>
      </w:pict>
    </w:r>
    <w:r>
      <w:rPr>
        <w:rFonts w:hint="eastAsia" w:ascii="仿宋" w:hAnsi="仿宋" w:eastAsia="仿宋"/>
        <w:sz w:val="28"/>
        <w:szCs w:val="28"/>
      </w:rPr>
      <w:tab/>
    </w:r>
    <w:r>
      <w:rPr>
        <w:rFonts w:hint="eastAsia" w:ascii="仿宋" w:hAnsi="仿宋" w:eastAsia="仿宋"/>
        <w:sz w:val="28"/>
        <w:szCs w:val="28"/>
      </w:rPr>
      <w:tab/>
    </w:r>
    <w:r>
      <w:rPr>
        <w:rFonts w:hint="eastAsia" w:ascii="仿宋" w:hAnsi="仿宋" w:eastAsia="仿宋"/>
        <w:sz w:val="28"/>
        <w:szCs w:val="28"/>
      </w:rPr>
      <w:tab/>
    </w:r>
    <w:r>
      <w:rPr>
        <w:rFonts w:hint="eastAsia" w:ascii="仿宋" w:hAnsi="仿宋" w:eastAsia="仿宋"/>
        <w:sz w:val="28"/>
        <w:szCs w:val="28"/>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仿宋" w:hAnsi="仿宋" w:eastAsia="仿宋"/>
        <w:sz w:val="28"/>
        <w:szCs w:val="28"/>
      </w:rPr>
    </w:pPr>
    <w:r>
      <w:rPr>
        <w:sz w:val="28"/>
      </w:rPr>
      <w:pict>
        <v:shape id="_x0000_s1026" o:spid="_x0000_s1026" o:spt="202" type="#_x0000_t202" style="position:absolute;left:0pt;margin-top:0pt;height:18.15pt;width:56.05pt;mso-position-horizontal:outside;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pPr>
                  <w:pStyle w:val="13"/>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ii</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embedTrueTypeFonts/>
  <w:saveSubsetFonts/>
  <w:bordersDoNotSurroundHeader w:val="0"/>
  <w:bordersDoNotSurroundFooter w:val="0"/>
  <w:documentProtection w:enforcement="0"/>
  <w:defaultTabStop w:val="420"/>
  <w:evenAndOddHeaders w:val="1"/>
  <w:drawingGridHorizontalSpacing w:val="158"/>
  <w:drawingGridVerticalSpacing w:val="579"/>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jYzMWIxNDI2MzJiMGZlNWZjMjA3MDQzOGY5Y2EyZjcifQ=="/>
  </w:docVars>
  <w:rsids>
    <w:rsidRoot w:val="00763D8D"/>
    <w:rsid w:val="000027B8"/>
    <w:rsid w:val="00003457"/>
    <w:rsid w:val="000052AF"/>
    <w:rsid w:val="000053D4"/>
    <w:rsid w:val="000101DC"/>
    <w:rsid w:val="000109E6"/>
    <w:rsid w:val="00011162"/>
    <w:rsid w:val="000163D2"/>
    <w:rsid w:val="00021B6D"/>
    <w:rsid w:val="00022FFA"/>
    <w:rsid w:val="00023FF0"/>
    <w:rsid w:val="000302F4"/>
    <w:rsid w:val="00030BA6"/>
    <w:rsid w:val="000317EA"/>
    <w:rsid w:val="00032A27"/>
    <w:rsid w:val="00032BAE"/>
    <w:rsid w:val="000377E6"/>
    <w:rsid w:val="00037F46"/>
    <w:rsid w:val="0004014B"/>
    <w:rsid w:val="00044EEC"/>
    <w:rsid w:val="00046291"/>
    <w:rsid w:val="00046463"/>
    <w:rsid w:val="00050813"/>
    <w:rsid w:val="00073C73"/>
    <w:rsid w:val="00075831"/>
    <w:rsid w:val="000761D2"/>
    <w:rsid w:val="00077515"/>
    <w:rsid w:val="0008006D"/>
    <w:rsid w:val="0008270C"/>
    <w:rsid w:val="00082DC6"/>
    <w:rsid w:val="000910C9"/>
    <w:rsid w:val="000913F5"/>
    <w:rsid w:val="000926D7"/>
    <w:rsid w:val="00093656"/>
    <w:rsid w:val="00095539"/>
    <w:rsid w:val="000A19AD"/>
    <w:rsid w:val="000A3ED9"/>
    <w:rsid w:val="000A4562"/>
    <w:rsid w:val="000A60AC"/>
    <w:rsid w:val="000C04DE"/>
    <w:rsid w:val="000C0984"/>
    <w:rsid w:val="000C1909"/>
    <w:rsid w:val="000C3CE0"/>
    <w:rsid w:val="000C5033"/>
    <w:rsid w:val="000D71DD"/>
    <w:rsid w:val="000E21D8"/>
    <w:rsid w:val="000E6F75"/>
    <w:rsid w:val="000F1534"/>
    <w:rsid w:val="000F3E60"/>
    <w:rsid w:val="000F46ED"/>
    <w:rsid w:val="000F6595"/>
    <w:rsid w:val="00106A8B"/>
    <w:rsid w:val="001075E2"/>
    <w:rsid w:val="001114F0"/>
    <w:rsid w:val="00114580"/>
    <w:rsid w:val="001146BA"/>
    <w:rsid w:val="00116445"/>
    <w:rsid w:val="00122361"/>
    <w:rsid w:val="00124FFE"/>
    <w:rsid w:val="001258F0"/>
    <w:rsid w:val="00125D9C"/>
    <w:rsid w:val="001308E4"/>
    <w:rsid w:val="00142242"/>
    <w:rsid w:val="001439E1"/>
    <w:rsid w:val="00147856"/>
    <w:rsid w:val="00147F84"/>
    <w:rsid w:val="00150F3E"/>
    <w:rsid w:val="001513E5"/>
    <w:rsid w:val="00152B2B"/>
    <w:rsid w:val="001537D8"/>
    <w:rsid w:val="00153BC6"/>
    <w:rsid w:val="00155A7C"/>
    <w:rsid w:val="00157E96"/>
    <w:rsid w:val="0016290B"/>
    <w:rsid w:val="00162B90"/>
    <w:rsid w:val="00167E57"/>
    <w:rsid w:val="001722F7"/>
    <w:rsid w:val="00175976"/>
    <w:rsid w:val="00182613"/>
    <w:rsid w:val="001836BB"/>
    <w:rsid w:val="00183D89"/>
    <w:rsid w:val="001844AE"/>
    <w:rsid w:val="00184577"/>
    <w:rsid w:val="0018788E"/>
    <w:rsid w:val="001905A5"/>
    <w:rsid w:val="001A2410"/>
    <w:rsid w:val="001A2D6F"/>
    <w:rsid w:val="001A644B"/>
    <w:rsid w:val="001A77EE"/>
    <w:rsid w:val="001A7B0F"/>
    <w:rsid w:val="001B4784"/>
    <w:rsid w:val="001D4E03"/>
    <w:rsid w:val="001D58D7"/>
    <w:rsid w:val="001E07CC"/>
    <w:rsid w:val="001E410D"/>
    <w:rsid w:val="001E6E29"/>
    <w:rsid w:val="001E713D"/>
    <w:rsid w:val="001F1285"/>
    <w:rsid w:val="001F1844"/>
    <w:rsid w:val="001F1E4B"/>
    <w:rsid w:val="001F3638"/>
    <w:rsid w:val="001F46E7"/>
    <w:rsid w:val="001F566D"/>
    <w:rsid w:val="00200263"/>
    <w:rsid w:val="00201C2D"/>
    <w:rsid w:val="00207FFC"/>
    <w:rsid w:val="002115B2"/>
    <w:rsid w:val="00212FA7"/>
    <w:rsid w:val="00217869"/>
    <w:rsid w:val="0021797F"/>
    <w:rsid w:val="00217AA8"/>
    <w:rsid w:val="002229E2"/>
    <w:rsid w:val="0022365E"/>
    <w:rsid w:val="002260C9"/>
    <w:rsid w:val="00226E95"/>
    <w:rsid w:val="00227678"/>
    <w:rsid w:val="00227EAF"/>
    <w:rsid w:val="00230719"/>
    <w:rsid w:val="00230C67"/>
    <w:rsid w:val="00235C5D"/>
    <w:rsid w:val="00240602"/>
    <w:rsid w:val="002422DC"/>
    <w:rsid w:val="00243F53"/>
    <w:rsid w:val="00246276"/>
    <w:rsid w:val="00251346"/>
    <w:rsid w:val="00252898"/>
    <w:rsid w:val="002532A4"/>
    <w:rsid w:val="00254804"/>
    <w:rsid w:val="00254B91"/>
    <w:rsid w:val="002554E5"/>
    <w:rsid w:val="002567E0"/>
    <w:rsid w:val="00256D4E"/>
    <w:rsid w:val="002606F4"/>
    <w:rsid w:val="00274648"/>
    <w:rsid w:val="00277ACC"/>
    <w:rsid w:val="00282CC8"/>
    <w:rsid w:val="00283F38"/>
    <w:rsid w:val="00285265"/>
    <w:rsid w:val="00290595"/>
    <w:rsid w:val="002917E5"/>
    <w:rsid w:val="0029258C"/>
    <w:rsid w:val="0029356B"/>
    <w:rsid w:val="002A020A"/>
    <w:rsid w:val="002A1DF7"/>
    <w:rsid w:val="002A5AD2"/>
    <w:rsid w:val="002A6EAA"/>
    <w:rsid w:val="002B3F00"/>
    <w:rsid w:val="002B7B5E"/>
    <w:rsid w:val="002C46F4"/>
    <w:rsid w:val="002C555C"/>
    <w:rsid w:val="002C7E52"/>
    <w:rsid w:val="002D1D67"/>
    <w:rsid w:val="002D3C45"/>
    <w:rsid w:val="002D498A"/>
    <w:rsid w:val="002D55A2"/>
    <w:rsid w:val="002D59D2"/>
    <w:rsid w:val="002E06C9"/>
    <w:rsid w:val="002E1041"/>
    <w:rsid w:val="002E280F"/>
    <w:rsid w:val="002E5BDD"/>
    <w:rsid w:val="002E60CA"/>
    <w:rsid w:val="002F4221"/>
    <w:rsid w:val="002F516E"/>
    <w:rsid w:val="002F59F0"/>
    <w:rsid w:val="002F7BE7"/>
    <w:rsid w:val="00301F5D"/>
    <w:rsid w:val="003020B9"/>
    <w:rsid w:val="00307963"/>
    <w:rsid w:val="00307B63"/>
    <w:rsid w:val="003116BB"/>
    <w:rsid w:val="00313C52"/>
    <w:rsid w:val="00321FF5"/>
    <w:rsid w:val="003270CD"/>
    <w:rsid w:val="003305B8"/>
    <w:rsid w:val="0033130B"/>
    <w:rsid w:val="0033489A"/>
    <w:rsid w:val="0033762E"/>
    <w:rsid w:val="0034304B"/>
    <w:rsid w:val="00347579"/>
    <w:rsid w:val="00347950"/>
    <w:rsid w:val="00353796"/>
    <w:rsid w:val="003568A8"/>
    <w:rsid w:val="00357576"/>
    <w:rsid w:val="0036565B"/>
    <w:rsid w:val="00365B28"/>
    <w:rsid w:val="00371BB6"/>
    <w:rsid w:val="00371CAA"/>
    <w:rsid w:val="00375AF4"/>
    <w:rsid w:val="003761AE"/>
    <w:rsid w:val="00376534"/>
    <w:rsid w:val="00376A60"/>
    <w:rsid w:val="00380118"/>
    <w:rsid w:val="003807BD"/>
    <w:rsid w:val="00381F0D"/>
    <w:rsid w:val="0038336A"/>
    <w:rsid w:val="00384495"/>
    <w:rsid w:val="00392745"/>
    <w:rsid w:val="00393295"/>
    <w:rsid w:val="00394FDE"/>
    <w:rsid w:val="003A3987"/>
    <w:rsid w:val="003A5711"/>
    <w:rsid w:val="003A6AB4"/>
    <w:rsid w:val="003B2603"/>
    <w:rsid w:val="003B355C"/>
    <w:rsid w:val="003B5FE1"/>
    <w:rsid w:val="003B74B5"/>
    <w:rsid w:val="003D112A"/>
    <w:rsid w:val="003D12B5"/>
    <w:rsid w:val="003D2104"/>
    <w:rsid w:val="003D35C0"/>
    <w:rsid w:val="003D6830"/>
    <w:rsid w:val="003E0E49"/>
    <w:rsid w:val="003E28AB"/>
    <w:rsid w:val="003E37CD"/>
    <w:rsid w:val="003F1515"/>
    <w:rsid w:val="003F16E7"/>
    <w:rsid w:val="003F402E"/>
    <w:rsid w:val="003F6354"/>
    <w:rsid w:val="00400D06"/>
    <w:rsid w:val="0040239B"/>
    <w:rsid w:val="00402CE7"/>
    <w:rsid w:val="00405226"/>
    <w:rsid w:val="00405C75"/>
    <w:rsid w:val="00406D6A"/>
    <w:rsid w:val="00420BEC"/>
    <w:rsid w:val="0042251D"/>
    <w:rsid w:val="00426FE5"/>
    <w:rsid w:val="004272A6"/>
    <w:rsid w:val="0043119F"/>
    <w:rsid w:val="00433CAA"/>
    <w:rsid w:val="00436B3B"/>
    <w:rsid w:val="00437980"/>
    <w:rsid w:val="004401ED"/>
    <w:rsid w:val="00440843"/>
    <w:rsid w:val="0044349C"/>
    <w:rsid w:val="00452585"/>
    <w:rsid w:val="00452895"/>
    <w:rsid w:val="00453319"/>
    <w:rsid w:val="004542C8"/>
    <w:rsid w:val="004549D1"/>
    <w:rsid w:val="00457099"/>
    <w:rsid w:val="00460E4C"/>
    <w:rsid w:val="00462343"/>
    <w:rsid w:val="00464A91"/>
    <w:rsid w:val="00465B8C"/>
    <w:rsid w:val="004671F2"/>
    <w:rsid w:val="00472258"/>
    <w:rsid w:val="00474787"/>
    <w:rsid w:val="0048081D"/>
    <w:rsid w:val="0048089A"/>
    <w:rsid w:val="004811D4"/>
    <w:rsid w:val="004839EA"/>
    <w:rsid w:val="00484612"/>
    <w:rsid w:val="004860CD"/>
    <w:rsid w:val="004866EA"/>
    <w:rsid w:val="004949AC"/>
    <w:rsid w:val="004A0A75"/>
    <w:rsid w:val="004A3DDB"/>
    <w:rsid w:val="004A4700"/>
    <w:rsid w:val="004A711A"/>
    <w:rsid w:val="004B34FB"/>
    <w:rsid w:val="004B448D"/>
    <w:rsid w:val="004C51F5"/>
    <w:rsid w:val="004C5806"/>
    <w:rsid w:val="004C5D7B"/>
    <w:rsid w:val="004C6BF0"/>
    <w:rsid w:val="004D0D4D"/>
    <w:rsid w:val="004D2649"/>
    <w:rsid w:val="004D31B0"/>
    <w:rsid w:val="004D34AD"/>
    <w:rsid w:val="004D5F2D"/>
    <w:rsid w:val="004D678B"/>
    <w:rsid w:val="004E013B"/>
    <w:rsid w:val="004E0906"/>
    <w:rsid w:val="004E5E85"/>
    <w:rsid w:val="004F0288"/>
    <w:rsid w:val="004F0B47"/>
    <w:rsid w:val="004F43AA"/>
    <w:rsid w:val="004F47FC"/>
    <w:rsid w:val="004F5DE3"/>
    <w:rsid w:val="004F6CCC"/>
    <w:rsid w:val="005102A2"/>
    <w:rsid w:val="00510BAB"/>
    <w:rsid w:val="00514671"/>
    <w:rsid w:val="00515734"/>
    <w:rsid w:val="005174B2"/>
    <w:rsid w:val="00522A6C"/>
    <w:rsid w:val="0052473B"/>
    <w:rsid w:val="00526431"/>
    <w:rsid w:val="00531B00"/>
    <w:rsid w:val="00536F5B"/>
    <w:rsid w:val="00542670"/>
    <w:rsid w:val="00545001"/>
    <w:rsid w:val="00550937"/>
    <w:rsid w:val="0055330D"/>
    <w:rsid w:val="005578D6"/>
    <w:rsid w:val="00561795"/>
    <w:rsid w:val="00562BA8"/>
    <w:rsid w:val="0056376A"/>
    <w:rsid w:val="00564552"/>
    <w:rsid w:val="00566921"/>
    <w:rsid w:val="005750C4"/>
    <w:rsid w:val="00576CB6"/>
    <w:rsid w:val="00576FBF"/>
    <w:rsid w:val="00577FAD"/>
    <w:rsid w:val="00585784"/>
    <w:rsid w:val="00587462"/>
    <w:rsid w:val="00587C8D"/>
    <w:rsid w:val="00591EF2"/>
    <w:rsid w:val="00592198"/>
    <w:rsid w:val="0059320E"/>
    <w:rsid w:val="005953FB"/>
    <w:rsid w:val="00597B52"/>
    <w:rsid w:val="005A2E6F"/>
    <w:rsid w:val="005A3998"/>
    <w:rsid w:val="005A50E5"/>
    <w:rsid w:val="005B0482"/>
    <w:rsid w:val="005B6066"/>
    <w:rsid w:val="005B70F0"/>
    <w:rsid w:val="005C40D3"/>
    <w:rsid w:val="005D06E4"/>
    <w:rsid w:val="005E0F3C"/>
    <w:rsid w:val="005E4ABD"/>
    <w:rsid w:val="005E6172"/>
    <w:rsid w:val="005F1102"/>
    <w:rsid w:val="00613763"/>
    <w:rsid w:val="00620526"/>
    <w:rsid w:val="00621602"/>
    <w:rsid w:val="00623AF9"/>
    <w:rsid w:val="006251E6"/>
    <w:rsid w:val="00626208"/>
    <w:rsid w:val="00627439"/>
    <w:rsid w:val="006323C6"/>
    <w:rsid w:val="00634466"/>
    <w:rsid w:val="00636016"/>
    <w:rsid w:val="00643CC5"/>
    <w:rsid w:val="0064402F"/>
    <w:rsid w:val="0065445B"/>
    <w:rsid w:val="00655674"/>
    <w:rsid w:val="00656020"/>
    <w:rsid w:val="00656A9A"/>
    <w:rsid w:val="00656F7D"/>
    <w:rsid w:val="006571CA"/>
    <w:rsid w:val="00657FEB"/>
    <w:rsid w:val="006633E2"/>
    <w:rsid w:val="00663BBB"/>
    <w:rsid w:val="00671269"/>
    <w:rsid w:val="00674DB5"/>
    <w:rsid w:val="00682BA0"/>
    <w:rsid w:val="0068495B"/>
    <w:rsid w:val="00687D46"/>
    <w:rsid w:val="00693295"/>
    <w:rsid w:val="00694B78"/>
    <w:rsid w:val="00694EAF"/>
    <w:rsid w:val="006960BB"/>
    <w:rsid w:val="006A28E5"/>
    <w:rsid w:val="006A2942"/>
    <w:rsid w:val="006A2A32"/>
    <w:rsid w:val="006A5995"/>
    <w:rsid w:val="006A5FFB"/>
    <w:rsid w:val="006A6752"/>
    <w:rsid w:val="006B5BCF"/>
    <w:rsid w:val="006B610A"/>
    <w:rsid w:val="006B70DE"/>
    <w:rsid w:val="006C0244"/>
    <w:rsid w:val="006C0E35"/>
    <w:rsid w:val="006D012E"/>
    <w:rsid w:val="006D2836"/>
    <w:rsid w:val="006E342B"/>
    <w:rsid w:val="006E36CF"/>
    <w:rsid w:val="006E3A23"/>
    <w:rsid w:val="006E76CA"/>
    <w:rsid w:val="006E79B8"/>
    <w:rsid w:val="006F09DA"/>
    <w:rsid w:val="00701599"/>
    <w:rsid w:val="00703419"/>
    <w:rsid w:val="00704906"/>
    <w:rsid w:val="00704B20"/>
    <w:rsid w:val="0070532D"/>
    <w:rsid w:val="007061AB"/>
    <w:rsid w:val="00706C0E"/>
    <w:rsid w:val="00707272"/>
    <w:rsid w:val="00711BD6"/>
    <w:rsid w:val="0071646D"/>
    <w:rsid w:val="00720795"/>
    <w:rsid w:val="00723885"/>
    <w:rsid w:val="007258CC"/>
    <w:rsid w:val="0072647A"/>
    <w:rsid w:val="00727017"/>
    <w:rsid w:val="007319A2"/>
    <w:rsid w:val="00733D12"/>
    <w:rsid w:val="00733E02"/>
    <w:rsid w:val="0073677A"/>
    <w:rsid w:val="007431B7"/>
    <w:rsid w:val="00746DEF"/>
    <w:rsid w:val="007474F3"/>
    <w:rsid w:val="0075085D"/>
    <w:rsid w:val="00751985"/>
    <w:rsid w:val="00752CA1"/>
    <w:rsid w:val="00753514"/>
    <w:rsid w:val="00754346"/>
    <w:rsid w:val="007622C7"/>
    <w:rsid w:val="00763D8D"/>
    <w:rsid w:val="00763F0B"/>
    <w:rsid w:val="0076664D"/>
    <w:rsid w:val="00771DBA"/>
    <w:rsid w:val="00772B5E"/>
    <w:rsid w:val="00774689"/>
    <w:rsid w:val="00775421"/>
    <w:rsid w:val="00780354"/>
    <w:rsid w:val="00780EAF"/>
    <w:rsid w:val="00780F68"/>
    <w:rsid w:val="00783983"/>
    <w:rsid w:val="007854FB"/>
    <w:rsid w:val="00786B54"/>
    <w:rsid w:val="00792193"/>
    <w:rsid w:val="00795893"/>
    <w:rsid w:val="00796558"/>
    <w:rsid w:val="007A0D31"/>
    <w:rsid w:val="007A1C7C"/>
    <w:rsid w:val="007A2BCD"/>
    <w:rsid w:val="007A58C0"/>
    <w:rsid w:val="007A6474"/>
    <w:rsid w:val="007A7277"/>
    <w:rsid w:val="007B064B"/>
    <w:rsid w:val="007B2D33"/>
    <w:rsid w:val="007B72C4"/>
    <w:rsid w:val="007C023F"/>
    <w:rsid w:val="007C1423"/>
    <w:rsid w:val="007C2CA2"/>
    <w:rsid w:val="007C38FA"/>
    <w:rsid w:val="007C3BD4"/>
    <w:rsid w:val="007C3CB2"/>
    <w:rsid w:val="007C7E73"/>
    <w:rsid w:val="007D051F"/>
    <w:rsid w:val="007D0BBA"/>
    <w:rsid w:val="007D2550"/>
    <w:rsid w:val="007D3332"/>
    <w:rsid w:val="007D333C"/>
    <w:rsid w:val="007D6583"/>
    <w:rsid w:val="007D778F"/>
    <w:rsid w:val="007E0FFD"/>
    <w:rsid w:val="007E18FC"/>
    <w:rsid w:val="007E494F"/>
    <w:rsid w:val="007E5BBF"/>
    <w:rsid w:val="007E68BF"/>
    <w:rsid w:val="007F0B94"/>
    <w:rsid w:val="007F26DD"/>
    <w:rsid w:val="007F2884"/>
    <w:rsid w:val="007F2CFD"/>
    <w:rsid w:val="007F3CED"/>
    <w:rsid w:val="00801696"/>
    <w:rsid w:val="00803FFB"/>
    <w:rsid w:val="00805C6A"/>
    <w:rsid w:val="00807246"/>
    <w:rsid w:val="00812AFF"/>
    <w:rsid w:val="00814803"/>
    <w:rsid w:val="00814C48"/>
    <w:rsid w:val="00822129"/>
    <w:rsid w:val="00832C5F"/>
    <w:rsid w:val="00833991"/>
    <w:rsid w:val="00833D1D"/>
    <w:rsid w:val="00834B6A"/>
    <w:rsid w:val="008369B8"/>
    <w:rsid w:val="0083743C"/>
    <w:rsid w:val="00837E6A"/>
    <w:rsid w:val="0084288D"/>
    <w:rsid w:val="008429AF"/>
    <w:rsid w:val="008444BD"/>
    <w:rsid w:val="00846B79"/>
    <w:rsid w:val="00851B24"/>
    <w:rsid w:val="00851F54"/>
    <w:rsid w:val="0086023E"/>
    <w:rsid w:val="00866AB0"/>
    <w:rsid w:val="00867F1E"/>
    <w:rsid w:val="00870D8D"/>
    <w:rsid w:val="008735D5"/>
    <w:rsid w:val="00873D83"/>
    <w:rsid w:val="00877854"/>
    <w:rsid w:val="00882E11"/>
    <w:rsid w:val="00884635"/>
    <w:rsid w:val="00885EF1"/>
    <w:rsid w:val="00890F31"/>
    <w:rsid w:val="00894CB7"/>
    <w:rsid w:val="00896267"/>
    <w:rsid w:val="00896DBE"/>
    <w:rsid w:val="008A096F"/>
    <w:rsid w:val="008A3471"/>
    <w:rsid w:val="008A5EF0"/>
    <w:rsid w:val="008B035B"/>
    <w:rsid w:val="008B4790"/>
    <w:rsid w:val="008C134F"/>
    <w:rsid w:val="008C1413"/>
    <w:rsid w:val="008C33C4"/>
    <w:rsid w:val="008C3699"/>
    <w:rsid w:val="008D007F"/>
    <w:rsid w:val="008D5ECA"/>
    <w:rsid w:val="008D6C00"/>
    <w:rsid w:val="008D7D2E"/>
    <w:rsid w:val="008E077D"/>
    <w:rsid w:val="008E0FBB"/>
    <w:rsid w:val="008E70EF"/>
    <w:rsid w:val="008F0F5E"/>
    <w:rsid w:val="008F2F92"/>
    <w:rsid w:val="008F5A63"/>
    <w:rsid w:val="008F689B"/>
    <w:rsid w:val="00901D0E"/>
    <w:rsid w:val="009034E6"/>
    <w:rsid w:val="00903C2E"/>
    <w:rsid w:val="0090678C"/>
    <w:rsid w:val="00910CE3"/>
    <w:rsid w:val="00915956"/>
    <w:rsid w:val="0091651E"/>
    <w:rsid w:val="00920E07"/>
    <w:rsid w:val="0092374D"/>
    <w:rsid w:val="00923BAA"/>
    <w:rsid w:val="00924970"/>
    <w:rsid w:val="009267F6"/>
    <w:rsid w:val="009317C0"/>
    <w:rsid w:val="009326BF"/>
    <w:rsid w:val="0093787B"/>
    <w:rsid w:val="00937BC1"/>
    <w:rsid w:val="00942C8E"/>
    <w:rsid w:val="0095111A"/>
    <w:rsid w:val="009515F2"/>
    <w:rsid w:val="00954F31"/>
    <w:rsid w:val="009607A3"/>
    <w:rsid w:val="00961330"/>
    <w:rsid w:val="00961BEE"/>
    <w:rsid w:val="00963095"/>
    <w:rsid w:val="00964F1C"/>
    <w:rsid w:val="00965869"/>
    <w:rsid w:val="009672A4"/>
    <w:rsid w:val="00973859"/>
    <w:rsid w:val="00974A70"/>
    <w:rsid w:val="00983C33"/>
    <w:rsid w:val="00983EB5"/>
    <w:rsid w:val="009900E6"/>
    <w:rsid w:val="00990F17"/>
    <w:rsid w:val="009912B5"/>
    <w:rsid w:val="00991437"/>
    <w:rsid w:val="009914DC"/>
    <w:rsid w:val="00993E30"/>
    <w:rsid w:val="009A3DA3"/>
    <w:rsid w:val="009A3DE0"/>
    <w:rsid w:val="009B2564"/>
    <w:rsid w:val="009B4C1C"/>
    <w:rsid w:val="009C07AA"/>
    <w:rsid w:val="009C3ECB"/>
    <w:rsid w:val="009C5FAB"/>
    <w:rsid w:val="009C6BDC"/>
    <w:rsid w:val="009C6D8D"/>
    <w:rsid w:val="009D25F6"/>
    <w:rsid w:val="009D3B4B"/>
    <w:rsid w:val="009D4D5E"/>
    <w:rsid w:val="009E56D5"/>
    <w:rsid w:val="009E662A"/>
    <w:rsid w:val="009E7A09"/>
    <w:rsid w:val="009F0910"/>
    <w:rsid w:val="009F17BE"/>
    <w:rsid w:val="009F2679"/>
    <w:rsid w:val="009F41F3"/>
    <w:rsid w:val="00A000D9"/>
    <w:rsid w:val="00A00612"/>
    <w:rsid w:val="00A02D03"/>
    <w:rsid w:val="00A02E94"/>
    <w:rsid w:val="00A057DC"/>
    <w:rsid w:val="00A0611D"/>
    <w:rsid w:val="00A0725B"/>
    <w:rsid w:val="00A10153"/>
    <w:rsid w:val="00A11EC9"/>
    <w:rsid w:val="00A121FB"/>
    <w:rsid w:val="00A12F69"/>
    <w:rsid w:val="00A17A74"/>
    <w:rsid w:val="00A22A04"/>
    <w:rsid w:val="00A23FCD"/>
    <w:rsid w:val="00A24E49"/>
    <w:rsid w:val="00A25F38"/>
    <w:rsid w:val="00A27411"/>
    <w:rsid w:val="00A27C51"/>
    <w:rsid w:val="00A31048"/>
    <w:rsid w:val="00A33005"/>
    <w:rsid w:val="00A34C99"/>
    <w:rsid w:val="00A36910"/>
    <w:rsid w:val="00A370A6"/>
    <w:rsid w:val="00A375F1"/>
    <w:rsid w:val="00A41B24"/>
    <w:rsid w:val="00A43DC7"/>
    <w:rsid w:val="00A444BF"/>
    <w:rsid w:val="00A5152D"/>
    <w:rsid w:val="00A57205"/>
    <w:rsid w:val="00A57436"/>
    <w:rsid w:val="00A605F9"/>
    <w:rsid w:val="00A60E45"/>
    <w:rsid w:val="00A63BA5"/>
    <w:rsid w:val="00A66EE9"/>
    <w:rsid w:val="00A6714F"/>
    <w:rsid w:val="00A7047C"/>
    <w:rsid w:val="00A7287F"/>
    <w:rsid w:val="00A73844"/>
    <w:rsid w:val="00A76165"/>
    <w:rsid w:val="00A77E6F"/>
    <w:rsid w:val="00A80D20"/>
    <w:rsid w:val="00A83F2E"/>
    <w:rsid w:val="00A8504E"/>
    <w:rsid w:val="00A86EA4"/>
    <w:rsid w:val="00A91A3E"/>
    <w:rsid w:val="00A92139"/>
    <w:rsid w:val="00A95E98"/>
    <w:rsid w:val="00AA01D4"/>
    <w:rsid w:val="00AA2D96"/>
    <w:rsid w:val="00AB0EEC"/>
    <w:rsid w:val="00AB312A"/>
    <w:rsid w:val="00AB5B2F"/>
    <w:rsid w:val="00AB738C"/>
    <w:rsid w:val="00AC240E"/>
    <w:rsid w:val="00AC318C"/>
    <w:rsid w:val="00AC3F10"/>
    <w:rsid w:val="00AC42D0"/>
    <w:rsid w:val="00AC5A44"/>
    <w:rsid w:val="00AC66C5"/>
    <w:rsid w:val="00AD26D1"/>
    <w:rsid w:val="00AD619D"/>
    <w:rsid w:val="00AD6AB3"/>
    <w:rsid w:val="00AD6DA0"/>
    <w:rsid w:val="00AD712B"/>
    <w:rsid w:val="00AE0A63"/>
    <w:rsid w:val="00AE1D02"/>
    <w:rsid w:val="00AE1EF8"/>
    <w:rsid w:val="00AE4EBF"/>
    <w:rsid w:val="00AF0B62"/>
    <w:rsid w:val="00B020FB"/>
    <w:rsid w:val="00B0556F"/>
    <w:rsid w:val="00B06A9C"/>
    <w:rsid w:val="00B07B88"/>
    <w:rsid w:val="00B10C1D"/>
    <w:rsid w:val="00B2516C"/>
    <w:rsid w:val="00B2587E"/>
    <w:rsid w:val="00B300AD"/>
    <w:rsid w:val="00B327D2"/>
    <w:rsid w:val="00B348CF"/>
    <w:rsid w:val="00B35B22"/>
    <w:rsid w:val="00B36265"/>
    <w:rsid w:val="00B45B74"/>
    <w:rsid w:val="00B53412"/>
    <w:rsid w:val="00B54DC6"/>
    <w:rsid w:val="00B55B57"/>
    <w:rsid w:val="00B567D7"/>
    <w:rsid w:val="00B57693"/>
    <w:rsid w:val="00B60E95"/>
    <w:rsid w:val="00B61B4E"/>
    <w:rsid w:val="00B70DE9"/>
    <w:rsid w:val="00B74E74"/>
    <w:rsid w:val="00B873B5"/>
    <w:rsid w:val="00B93260"/>
    <w:rsid w:val="00B93F28"/>
    <w:rsid w:val="00B972CB"/>
    <w:rsid w:val="00BA0FD9"/>
    <w:rsid w:val="00BA40D9"/>
    <w:rsid w:val="00BB0BA8"/>
    <w:rsid w:val="00BB37A8"/>
    <w:rsid w:val="00BB6206"/>
    <w:rsid w:val="00BC66F9"/>
    <w:rsid w:val="00BC6820"/>
    <w:rsid w:val="00BC6C03"/>
    <w:rsid w:val="00BC6F02"/>
    <w:rsid w:val="00BC6F77"/>
    <w:rsid w:val="00BD1031"/>
    <w:rsid w:val="00BD455D"/>
    <w:rsid w:val="00BE2CD8"/>
    <w:rsid w:val="00BE2E79"/>
    <w:rsid w:val="00BE36D4"/>
    <w:rsid w:val="00BF212F"/>
    <w:rsid w:val="00BF373E"/>
    <w:rsid w:val="00BF43FA"/>
    <w:rsid w:val="00BF652B"/>
    <w:rsid w:val="00C045BB"/>
    <w:rsid w:val="00C06CB9"/>
    <w:rsid w:val="00C12472"/>
    <w:rsid w:val="00C127E3"/>
    <w:rsid w:val="00C12993"/>
    <w:rsid w:val="00C14194"/>
    <w:rsid w:val="00C1562E"/>
    <w:rsid w:val="00C15C47"/>
    <w:rsid w:val="00C20FD7"/>
    <w:rsid w:val="00C21C6A"/>
    <w:rsid w:val="00C226BA"/>
    <w:rsid w:val="00C25D38"/>
    <w:rsid w:val="00C3203F"/>
    <w:rsid w:val="00C322A8"/>
    <w:rsid w:val="00C342E1"/>
    <w:rsid w:val="00C377A0"/>
    <w:rsid w:val="00C40B0E"/>
    <w:rsid w:val="00C40CCE"/>
    <w:rsid w:val="00C41346"/>
    <w:rsid w:val="00C4210A"/>
    <w:rsid w:val="00C43BD6"/>
    <w:rsid w:val="00C45B16"/>
    <w:rsid w:val="00C45EBD"/>
    <w:rsid w:val="00C466DC"/>
    <w:rsid w:val="00C468DC"/>
    <w:rsid w:val="00C47B12"/>
    <w:rsid w:val="00C534CE"/>
    <w:rsid w:val="00C5415C"/>
    <w:rsid w:val="00C541D9"/>
    <w:rsid w:val="00C62615"/>
    <w:rsid w:val="00C6335B"/>
    <w:rsid w:val="00C63F3D"/>
    <w:rsid w:val="00C645D0"/>
    <w:rsid w:val="00C65119"/>
    <w:rsid w:val="00C67B4F"/>
    <w:rsid w:val="00C71AC0"/>
    <w:rsid w:val="00C72787"/>
    <w:rsid w:val="00C80468"/>
    <w:rsid w:val="00C82510"/>
    <w:rsid w:val="00C83288"/>
    <w:rsid w:val="00C83A49"/>
    <w:rsid w:val="00C846E1"/>
    <w:rsid w:val="00C90211"/>
    <w:rsid w:val="00C90783"/>
    <w:rsid w:val="00C95C0B"/>
    <w:rsid w:val="00CA0927"/>
    <w:rsid w:val="00CA0E05"/>
    <w:rsid w:val="00CA4623"/>
    <w:rsid w:val="00CA4B6A"/>
    <w:rsid w:val="00CA7A9C"/>
    <w:rsid w:val="00CB007D"/>
    <w:rsid w:val="00CB0544"/>
    <w:rsid w:val="00CB140F"/>
    <w:rsid w:val="00CC1977"/>
    <w:rsid w:val="00CC1F56"/>
    <w:rsid w:val="00CC2185"/>
    <w:rsid w:val="00CC28DD"/>
    <w:rsid w:val="00CC4601"/>
    <w:rsid w:val="00CC75A2"/>
    <w:rsid w:val="00CD2162"/>
    <w:rsid w:val="00CD49EF"/>
    <w:rsid w:val="00CE0348"/>
    <w:rsid w:val="00CE3BE7"/>
    <w:rsid w:val="00CE423E"/>
    <w:rsid w:val="00CE67AF"/>
    <w:rsid w:val="00D02747"/>
    <w:rsid w:val="00D029A4"/>
    <w:rsid w:val="00D03FFF"/>
    <w:rsid w:val="00D107B7"/>
    <w:rsid w:val="00D1120B"/>
    <w:rsid w:val="00D11B8A"/>
    <w:rsid w:val="00D14664"/>
    <w:rsid w:val="00D175D4"/>
    <w:rsid w:val="00D226A0"/>
    <w:rsid w:val="00D2388E"/>
    <w:rsid w:val="00D27175"/>
    <w:rsid w:val="00D304CE"/>
    <w:rsid w:val="00D3157C"/>
    <w:rsid w:val="00D32626"/>
    <w:rsid w:val="00D33D96"/>
    <w:rsid w:val="00D35671"/>
    <w:rsid w:val="00D364E5"/>
    <w:rsid w:val="00D37658"/>
    <w:rsid w:val="00D41184"/>
    <w:rsid w:val="00D42666"/>
    <w:rsid w:val="00D428E9"/>
    <w:rsid w:val="00D434B3"/>
    <w:rsid w:val="00D47CF4"/>
    <w:rsid w:val="00D5212F"/>
    <w:rsid w:val="00D52D57"/>
    <w:rsid w:val="00D52EB8"/>
    <w:rsid w:val="00D53012"/>
    <w:rsid w:val="00D543E3"/>
    <w:rsid w:val="00D557FA"/>
    <w:rsid w:val="00D56D8A"/>
    <w:rsid w:val="00D6208B"/>
    <w:rsid w:val="00D6323D"/>
    <w:rsid w:val="00D65736"/>
    <w:rsid w:val="00D67916"/>
    <w:rsid w:val="00D70277"/>
    <w:rsid w:val="00D7082A"/>
    <w:rsid w:val="00D76498"/>
    <w:rsid w:val="00D86780"/>
    <w:rsid w:val="00D86E4E"/>
    <w:rsid w:val="00D878B0"/>
    <w:rsid w:val="00D94156"/>
    <w:rsid w:val="00D94439"/>
    <w:rsid w:val="00DA15E3"/>
    <w:rsid w:val="00DA72B0"/>
    <w:rsid w:val="00DB4813"/>
    <w:rsid w:val="00DB6228"/>
    <w:rsid w:val="00DC5F49"/>
    <w:rsid w:val="00DC77D8"/>
    <w:rsid w:val="00DC7BEC"/>
    <w:rsid w:val="00DE073C"/>
    <w:rsid w:val="00DE16E9"/>
    <w:rsid w:val="00DE4365"/>
    <w:rsid w:val="00DE4C6F"/>
    <w:rsid w:val="00E01B46"/>
    <w:rsid w:val="00E05F95"/>
    <w:rsid w:val="00E06324"/>
    <w:rsid w:val="00E109B2"/>
    <w:rsid w:val="00E11C47"/>
    <w:rsid w:val="00E1400B"/>
    <w:rsid w:val="00E17B51"/>
    <w:rsid w:val="00E2249A"/>
    <w:rsid w:val="00E2474A"/>
    <w:rsid w:val="00E271BE"/>
    <w:rsid w:val="00E30C20"/>
    <w:rsid w:val="00E30E91"/>
    <w:rsid w:val="00E30EBB"/>
    <w:rsid w:val="00E32B5E"/>
    <w:rsid w:val="00E33420"/>
    <w:rsid w:val="00E33D2F"/>
    <w:rsid w:val="00E35D4E"/>
    <w:rsid w:val="00E363D3"/>
    <w:rsid w:val="00E41E7A"/>
    <w:rsid w:val="00E4272F"/>
    <w:rsid w:val="00E42FD5"/>
    <w:rsid w:val="00E503CA"/>
    <w:rsid w:val="00E57717"/>
    <w:rsid w:val="00E6040B"/>
    <w:rsid w:val="00E610C7"/>
    <w:rsid w:val="00E66C39"/>
    <w:rsid w:val="00E67AC7"/>
    <w:rsid w:val="00E70CC7"/>
    <w:rsid w:val="00E70F09"/>
    <w:rsid w:val="00E727B4"/>
    <w:rsid w:val="00E758B8"/>
    <w:rsid w:val="00E773A0"/>
    <w:rsid w:val="00E77F0E"/>
    <w:rsid w:val="00E82285"/>
    <w:rsid w:val="00E85022"/>
    <w:rsid w:val="00E85235"/>
    <w:rsid w:val="00E91702"/>
    <w:rsid w:val="00E9493D"/>
    <w:rsid w:val="00EA48FC"/>
    <w:rsid w:val="00EA69C3"/>
    <w:rsid w:val="00EB0D59"/>
    <w:rsid w:val="00EB2203"/>
    <w:rsid w:val="00EB3CD1"/>
    <w:rsid w:val="00EB3FD4"/>
    <w:rsid w:val="00EB5501"/>
    <w:rsid w:val="00EB75FE"/>
    <w:rsid w:val="00EC031D"/>
    <w:rsid w:val="00EC2985"/>
    <w:rsid w:val="00EC33B7"/>
    <w:rsid w:val="00EC366B"/>
    <w:rsid w:val="00EC5738"/>
    <w:rsid w:val="00EC5BA4"/>
    <w:rsid w:val="00ED063F"/>
    <w:rsid w:val="00ED7CDD"/>
    <w:rsid w:val="00ED7FF2"/>
    <w:rsid w:val="00EE7F07"/>
    <w:rsid w:val="00EF18F6"/>
    <w:rsid w:val="00EF6E58"/>
    <w:rsid w:val="00F00DC9"/>
    <w:rsid w:val="00F03A6F"/>
    <w:rsid w:val="00F078B5"/>
    <w:rsid w:val="00F12E05"/>
    <w:rsid w:val="00F15CE1"/>
    <w:rsid w:val="00F15F42"/>
    <w:rsid w:val="00F1642E"/>
    <w:rsid w:val="00F1677C"/>
    <w:rsid w:val="00F22E84"/>
    <w:rsid w:val="00F24F9C"/>
    <w:rsid w:val="00F27899"/>
    <w:rsid w:val="00F30AB9"/>
    <w:rsid w:val="00F361CB"/>
    <w:rsid w:val="00F3751F"/>
    <w:rsid w:val="00F448F4"/>
    <w:rsid w:val="00F50FEA"/>
    <w:rsid w:val="00F51A53"/>
    <w:rsid w:val="00F52273"/>
    <w:rsid w:val="00F52C04"/>
    <w:rsid w:val="00F53597"/>
    <w:rsid w:val="00F56C74"/>
    <w:rsid w:val="00F57207"/>
    <w:rsid w:val="00F5747F"/>
    <w:rsid w:val="00F606DB"/>
    <w:rsid w:val="00F60A3F"/>
    <w:rsid w:val="00F63A66"/>
    <w:rsid w:val="00F644D9"/>
    <w:rsid w:val="00F656A9"/>
    <w:rsid w:val="00F66DF8"/>
    <w:rsid w:val="00F67ECF"/>
    <w:rsid w:val="00F70120"/>
    <w:rsid w:val="00F72138"/>
    <w:rsid w:val="00F73E58"/>
    <w:rsid w:val="00F74539"/>
    <w:rsid w:val="00F842CC"/>
    <w:rsid w:val="00F8543D"/>
    <w:rsid w:val="00F86C2F"/>
    <w:rsid w:val="00F9086D"/>
    <w:rsid w:val="00F908C4"/>
    <w:rsid w:val="00F9496E"/>
    <w:rsid w:val="00F96741"/>
    <w:rsid w:val="00F97D8B"/>
    <w:rsid w:val="00FA211A"/>
    <w:rsid w:val="00FA215F"/>
    <w:rsid w:val="00FA390E"/>
    <w:rsid w:val="00FA3A5D"/>
    <w:rsid w:val="00FA5054"/>
    <w:rsid w:val="00FA6FA2"/>
    <w:rsid w:val="00FB1764"/>
    <w:rsid w:val="00FB190E"/>
    <w:rsid w:val="00FB5172"/>
    <w:rsid w:val="00FB698D"/>
    <w:rsid w:val="00FC0283"/>
    <w:rsid w:val="00FC076E"/>
    <w:rsid w:val="00FC11EF"/>
    <w:rsid w:val="00FC24B4"/>
    <w:rsid w:val="00FC2B68"/>
    <w:rsid w:val="00FC49E1"/>
    <w:rsid w:val="00FD1537"/>
    <w:rsid w:val="00FD7AFE"/>
    <w:rsid w:val="00FE0ABD"/>
    <w:rsid w:val="00FE12EB"/>
    <w:rsid w:val="00FE1A58"/>
    <w:rsid w:val="00FE2D4E"/>
    <w:rsid w:val="00FE3AFA"/>
    <w:rsid w:val="00FE6D8D"/>
    <w:rsid w:val="00FF362B"/>
    <w:rsid w:val="01452C37"/>
    <w:rsid w:val="01DC0C59"/>
    <w:rsid w:val="01FA5D88"/>
    <w:rsid w:val="023613C7"/>
    <w:rsid w:val="03AF11FF"/>
    <w:rsid w:val="050E20B2"/>
    <w:rsid w:val="05410997"/>
    <w:rsid w:val="059F61D2"/>
    <w:rsid w:val="06571966"/>
    <w:rsid w:val="068571D6"/>
    <w:rsid w:val="07140111"/>
    <w:rsid w:val="077B603A"/>
    <w:rsid w:val="08AC4379"/>
    <w:rsid w:val="09BE27AD"/>
    <w:rsid w:val="0AD75BC5"/>
    <w:rsid w:val="0AFD6852"/>
    <w:rsid w:val="0B1C2F1E"/>
    <w:rsid w:val="0C923C39"/>
    <w:rsid w:val="0E8F2773"/>
    <w:rsid w:val="10191E5C"/>
    <w:rsid w:val="10BC63D9"/>
    <w:rsid w:val="11692E07"/>
    <w:rsid w:val="12291DDB"/>
    <w:rsid w:val="123144A8"/>
    <w:rsid w:val="12635635"/>
    <w:rsid w:val="12AA1814"/>
    <w:rsid w:val="140F184B"/>
    <w:rsid w:val="1483771F"/>
    <w:rsid w:val="15650875"/>
    <w:rsid w:val="17944956"/>
    <w:rsid w:val="17D92831"/>
    <w:rsid w:val="19511708"/>
    <w:rsid w:val="1A2D776E"/>
    <w:rsid w:val="1B4A23AA"/>
    <w:rsid w:val="1B8B42C2"/>
    <w:rsid w:val="1B8B4BE8"/>
    <w:rsid w:val="1BAE3374"/>
    <w:rsid w:val="1C7A67C8"/>
    <w:rsid w:val="1D2E344B"/>
    <w:rsid w:val="1D792B32"/>
    <w:rsid w:val="1E366B19"/>
    <w:rsid w:val="201523AC"/>
    <w:rsid w:val="206E043A"/>
    <w:rsid w:val="20E64474"/>
    <w:rsid w:val="22603CE7"/>
    <w:rsid w:val="22A75EA3"/>
    <w:rsid w:val="24213A15"/>
    <w:rsid w:val="24536CF6"/>
    <w:rsid w:val="24CB34B3"/>
    <w:rsid w:val="260A083B"/>
    <w:rsid w:val="26B25260"/>
    <w:rsid w:val="29177784"/>
    <w:rsid w:val="2A026AD1"/>
    <w:rsid w:val="2A2878AC"/>
    <w:rsid w:val="2A364451"/>
    <w:rsid w:val="2A41473E"/>
    <w:rsid w:val="2A532040"/>
    <w:rsid w:val="2A8B4A34"/>
    <w:rsid w:val="2C7378F4"/>
    <w:rsid w:val="2D4A1BAD"/>
    <w:rsid w:val="2DA10BFD"/>
    <w:rsid w:val="2DD81B6C"/>
    <w:rsid w:val="2E020414"/>
    <w:rsid w:val="2E9F0DF9"/>
    <w:rsid w:val="324C0285"/>
    <w:rsid w:val="32A9456B"/>
    <w:rsid w:val="33340117"/>
    <w:rsid w:val="342B67BE"/>
    <w:rsid w:val="357E5912"/>
    <w:rsid w:val="35BD2C0F"/>
    <w:rsid w:val="372326E0"/>
    <w:rsid w:val="373D6BD1"/>
    <w:rsid w:val="381F10F6"/>
    <w:rsid w:val="38AD6C0F"/>
    <w:rsid w:val="38F56527"/>
    <w:rsid w:val="3A1430A0"/>
    <w:rsid w:val="3C6814F5"/>
    <w:rsid w:val="3EAB139A"/>
    <w:rsid w:val="3EB40CE5"/>
    <w:rsid w:val="3F45312E"/>
    <w:rsid w:val="3FA17AA8"/>
    <w:rsid w:val="3FDE3D90"/>
    <w:rsid w:val="406333E4"/>
    <w:rsid w:val="4273180F"/>
    <w:rsid w:val="42CB506B"/>
    <w:rsid w:val="441B18E1"/>
    <w:rsid w:val="45555751"/>
    <w:rsid w:val="45976845"/>
    <w:rsid w:val="46054AED"/>
    <w:rsid w:val="46380A1F"/>
    <w:rsid w:val="46824838"/>
    <w:rsid w:val="495F2766"/>
    <w:rsid w:val="4A332EDB"/>
    <w:rsid w:val="4AC22E42"/>
    <w:rsid w:val="4B872257"/>
    <w:rsid w:val="4C136790"/>
    <w:rsid w:val="4C365AA6"/>
    <w:rsid w:val="4ECF0B77"/>
    <w:rsid w:val="4F3A5808"/>
    <w:rsid w:val="50035168"/>
    <w:rsid w:val="51052F88"/>
    <w:rsid w:val="516B2882"/>
    <w:rsid w:val="52540326"/>
    <w:rsid w:val="52552958"/>
    <w:rsid w:val="526B3F2A"/>
    <w:rsid w:val="53092753"/>
    <w:rsid w:val="55A20422"/>
    <w:rsid w:val="55B9314B"/>
    <w:rsid w:val="56E62BF7"/>
    <w:rsid w:val="59A321FB"/>
    <w:rsid w:val="5A5215C1"/>
    <w:rsid w:val="5B0B618E"/>
    <w:rsid w:val="5B5A05F6"/>
    <w:rsid w:val="5C24720C"/>
    <w:rsid w:val="5CEA5B6B"/>
    <w:rsid w:val="5CFE08AF"/>
    <w:rsid w:val="5DC72F63"/>
    <w:rsid w:val="5E6F08FE"/>
    <w:rsid w:val="5EFE682A"/>
    <w:rsid w:val="5F4C1CFE"/>
    <w:rsid w:val="5F57524D"/>
    <w:rsid w:val="60913956"/>
    <w:rsid w:val="60B105C1"/>
    <w:rsid w:val="610D70E9"/>
    <w:rsid w:val="610E08A2"/>
    <w:rsid w:val="612858F1"/>
    <w:rsid w:val="61935EEC"/>
    <w:rsid w:val="61DB0EB3"/>
    <w:rsid w:val="62DF2BC6"/>
    <w:rsid w:val="63BF26CF"/>
    <w:rsid w:val="63FF2724"/>
    <w:rsid w:val="64BE4015"/>
    <w:rsid w:val="64DD4BDC"/>
    <w:rsid w:val="65031A37"/>
    <w:rsid w:val="668D7140"/>
    <w:rsid w:val="673F0FF4"/>
    <w:rsid w:val="691B2548"/>
    <w:rsid w:val="692842B8"/>
    <w:rsid w:val="69782D5D"/>
    <w:rsid w:val="69F83112"/>
    <w:rsid w:val="6A8F6E4D"/>
    <w:rsid w:val="6AD163B2"/>
    <w:rsid w:val="6B8859DE"/>
    <w:rsid w:val="6BED1D67"/>
    <w:rsid w:val="6ECF2EE2"/>
    <w:rsid w:val="6F1B0983"/>
    <w:rsid w:val="6FF32CE8"/>
    <w:rsid w:val="70211976"/>
    <w:rsid w:val="70897C0E"/>
    <w:rsid w:val="70E11231"/>
    <w:rsid w:val="71CF7BDA"/>
    <w:rsid w:val="71DB68AF"/>
    <w:rsid w:val="72AF4117"/>
    <w:rsid w:val="731E1E8E"/>
    <w:rsid w:val="73421520"/>
    <w:rsid w:val="73684264"/>
    <w:rsid w:val="7385162C"/>
    <w:rsid w:val="763B4950"/>
    <w:rsid w:val="793171D7"/>
    <w:rsid w:val="79E01479"/>
    <w:rsid w:val="7A385B78"/>
    <w:rsid w:val="7AAF1BC1"/>
    <w:rsid w:val="7B5B24DE"/>
    <w:rsid w:val="7C240B22"/>
    <w:rsid w:val="7C9E530C"/>
    <w:rsid w:val="7D8078C2"/>
    <w:rsid w:val="7DCA6DF9"/>
    <w:rsid w:val="7FAA2B9E"/>
    <w:rsid w:val="7FD11567"/>
    <w:rsid w:val="DF5F237B"/>
    <w:rsid w:val="F04D9843"/>
    <w:rsid w:val="FF5D754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name="footnote text"/>
    <w:lsdException w:qFormat="1" w:uiPriority="99" w:semiHidden="0"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 w:hAnsi="Times New Roman" w:eastAsia="仿宋" w:cs="Times New Roman"/>
      <w:kern w:val="30"/>
      <w:sz w:val="30"/>
      <w:szCs w:val="21"/>
      <w:lang w:val="en-US" w:eastAsia="zh-CN" w:bidi="ar-SA"/>
    </w:rPr>
  </w:style>
  <w:style w:type="paragraph" w:styleId="2">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9"/>
    <w:qFormat/>
    <w:uiPriority w:val="9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30"/>
    <w:qFormat/>
    <w:uiPriority w:val="99"/>
    <w:pPr>
      <w:keepNext/>
      <w:keepLines/>
      <w:spacing w:before="260" w:after="260" w:line="416" w:lineRule="auto"/>
      <w:outlineLvl w:val="2"/>
    </w:pPr>
    <w:rPr>
      <w:b/>
      <w:bCs/>
      <w:kern w:val="0"/>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unhideWhenUsed/>
    <w:qFormat/>
    <w:uiPriority w:val="99"/>
    <w:pPr>
      <w:snapToGrid w:val="0"/>
      <w:spacing w:line="300" w:lineRule="auto"/>
      <w:ind w:firstLine="556"/>
    </w:pPr>
    <w:rPr>
      <w:rFonts w:ascii="仿宋_GB2312" w:eastAsia="仿宋_GB2312"/>
      <w:kern w:val="0"/>
    </w:rPr>
  </w:style>
  <w:style w:type="paragraph" w:styleId="6">
    <w:name w:val="Document Map"/>
    <w:basedOn w:val="1"/>
    <w:link w:val="36"/>
    <w:semiHidden/>
    <w:unhideWhenUsed/>
    <w:qFormat/>
    <w:uiPriority w:val="99"/>
    <w:rPr>
      <w:rFonts w:ascii="宋体"/>
      <w:sz w:val="18"/>
      <w:szCs w:val="18"/>
    </w:rPr>
  </w:style>
  <w:style w:type="paragraph" w:styleId="7">
    <w:name w:val="toa heading"/>
    <w:basedOn w:val="1"/>
    <w:next w:val="1"/>
    <w:qFormat/>
    <w:uiPriority w:val="0"/>
    <w:pPr>
      <w:snapToGrid w:val="0"/>
      <w:spacing w:before="120"/>
    </w:pPr>
    <w:rPr>
      <w:rFonts w:ascii="Cambria" w:hAnsi="Cambria" w:cs="Cambria"/>
      <w:sz w:val="24"/>
    </w:rPr>
  </w:style>
  <w:style w:type="paragraph" w:styleId="8">
    <w:name w:val="annotation text"/>
    <w:basedOn w:val="1"/>
    <w:link w:val="34"/>
    <w:unhideWhenUsed/>
    <w:qFormat/>
    <w:uiPriority w:val="99"/>
    <w:pPr>
      <w:jc w:val="left"/>
    </w:pPr>
  </w:style>
  <w:style w:type="paragraph" w:styleId="9">
    <w:name w:val="Body Text"/>
    <w:basedOn w:val="1"/>
    <w:link w:val="41"/>
    <w:qFormat/>
    <w:uiPriority w:val="1"/>
    <w:pPr>
      <w:ind w:left="119"/>
      <w:jc w:val="left"/>
    </w:pPr>
    <w:rPr>
      <w:rFonts w:ascii="仿宋_GB2312" w:hAnsi="仿宋_GB2312" w:eastAsia="仿宋_GB2312" w:cstheme="minorBidi"/>
      <w:kern w:val="0"/>
      <w:szCs w:val="30"/>
      <w:lang w:eastAsia="en-US"/>
    </w:rPr>
  </w:style>
  <w:style w:type="paragraph" w:styleId="10">
    <w:name w:val="toc 3"/>
    <w:basedOn w:val="1"/>
    <w:next w:val="1"/>
    <w:unhideWhenUsed/>
    <w:qFormat/>
    <w:uiPriority w:val="39"/>
    <w:pPr>
      <w:widowControl/>
      <w:spacing w:after="100" w:line="259" w:lineRule="auto"/>
      <w:ind w:left="440"/>
      <w:jc w:val="left"/>
    </w:pPr>
    <w:rPr>
      <w:rFonts w:asciiTheme="minorHAnsi" w:hAnsiTheme="minorHAnsi" w:eastAsiaTheme="minorEastAsia"/>
      <w:kern w:val="0"/>
      <w:sz w:val="22"/>
      <w:szCs w:val="22"/>
    </w:rPr>
  </w:style>
  <w:style w:type="paragraph" w:styleId="11">
    <w:name w:val="Plain Text"/>
    <w:basedOn w:val="1"/>
    <w:next w:val="1"/>
    <w:unhideWhenUsed/>
    <w:qFormat/>
    <w:uiPriority w:val="99"/>
    <w:rPr>
      <w:rFonts w:hAnsi="Courier New"/>
      <w:kern w:val="0"/>
      <w:sz w:val="20"/>
      <w:lang w:val="zh-CN"/>
    </w:rPr>
  </w:style>
  <w:style w:type="paragraph" w:styleId="12">
    <w:name w:val="Balloon Text"/>
    <w:basedOn w:val="1"/>
    <w:link w:val="33"/>
    <w:semiHidden/>
    <w:unhideWhenUsed/>
    <w:qFormat/>
    <w:uiPriority w:val="99"/>
    <w:rPr>
      <w:sz w:val="18"/>
      <w:szCs w:val="18"/>
    </w:rPr>
  </w:style>
  <w:style w:type="paragraph" w:styleId="13">
    <w:name w:val="footer"/>
    <w:basedOn w:val="1"/>
    <w:link w:val="32"/>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3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toc 1"/>
    <w:basedOn w:val="1"/>
    <w:next w:val="1"/>
    <w:unhideWhenUsed/>
    <w:qFormat/>
    <w:uiPriority w:val="39"/>
    <w:pPr>
      <w:widowControl/>
      <w:tabs>
        <w:tab w:val="right" w:leader="dot" w:pos="8931"/>
      </w:tabs>
      <w:spacing w:line="420" w:lineRule="exact"/>
      <w:ind w:right="25" w:rightChars="12"/>
      <w:jc w:val="left"/>
    </w:pPr>
    <w:rPr>
      <w:rFonts w:asciiTheme="minorHAnsi" w:hAnsiTheme="minorHAnsi" w:eastAsiaTheme="minorEastAsia"/>
      <w:kern w:val="0"/>
      <w:sz w:val="22"/>
      <w:szCs w:val="22"/>
    </w:rPr>
  </w:style>
  <w:style w:type="paragraph" w:styleId="16">
    <w:name w:val="footnote text"/>
    <w:basedOn w:val="1"/>
    <w:semiHidden/>
    <w:qFormat/>
    <w:uiPriority w:val="0"/>
    <w:pPr>
      <w:snapToGrid w:val="0"/>
      <w:jc w:val="left"/>
    </w:pPr>
    <w:rPr>
      <w:sz w:val="18"/>
      <w:szCs w:val="18"/>
    </w:rPr>
  </w:style>
  <w:style w:type="paragraph" w:styleId="17">
    <w:name w:val="toc 2"/>
    <w:basedOn w:val="1"/>
    <w:next w:val="1"/>
    <w:unhideWhenUsed/>
    <w:qFormat/>
    <w:uiPriority w:val="39"/>
    <w:pPr>
      <w:widowControl/>
      <w:tabs>
        <w:tab w:val="right" w:leader="dot" w:pos="8789"/>
      </w:tabs>
      <w:spacing w:line="400" w:lineRule="exact"/>
      <w:jc w:val="left"/>
    </w:pPr>
    <w:rPr>
      <w:rFonts w:ascii="仿宋_GB2312" w:eastAsia="仿宋_GB2312" w:hAnsiTheme="minorHAnsi"/>
      <w:b/>
      <w:bCs/>
      <w:kern w:val="0"/>
      <w:sz w:val="24"/>
      <w:szCs w:val="24"/>
      <w:lang w:val="zh-CN"/>
    </w:rPr>
  </w:style>
  <w:style w:type="paragraph" w:styleId="18">
    <w:name w:val="Normal (Web)"/>
    <w:basedOn w:val="1"/>
    <w:semiHidden/>
    <w:unhideWhenUsed/>
    <w:qFormat/>
    <w:uiPriority w:val="99"/>
    <w:pPr>
      <w:spacing w:beforeAutospacing="1" w:afterAutospacing="1"/>
      <w:jc w:val="left"/>
    </w:pPr>
    <w:rPr>
      <w:kern w:val="0"/>
      <w:sz w:val="24"/>
    </w:rPr>
  </w:style>
  <w:style w:type="paragraph" w:styleId="19">
    <w:name w:val="annotation subject"/>
    <w:basedOn w:val="8"/>
    <w:next w:val="8"/>
    <w:link w:val="35"/>
    <w:semiHidden/>
    <w:unhideWhenUsed/>
    <w:qFormat/>
    <w:uiPriority w:val="99"/>
    <w:rPr>
      <w:b/>
      <w:bCs/>
    </w:rPr>
  </w:style>
  <w:style w:type="table" w:styleId="21">
    <w:name w:val="Table Grid"/>
    <w:basedOn w:val="20"/>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3">
    <w:name w:val="page number"/>
    <w:basedOn w:val="22"/>
    <w:qFormat/>
    <w:uiPriority w:val="0"/>
  </w:style>
  <w:style w:type="character" w:styleId="24">
    <w:name w:val="Hyperlink"/>
    <w:basedOn w:val="22"/>
    <w:unhideWhenUsed/>
    <w:qFormat/>
    <w:uiPriority w:val="99"/>
    <w:rPr>
      <w:color w:val="0000FF" w:themeColor="hyperlink"/>
      <w:u w:val="single"/>
    </w:rPr>
  </w:style>
  <w:style w:type="character" w:styleId="25">
    <w:name w:val="annotation reference"/>
    <w:basedOn w:val="22"/>
    <w:semiHidden/>
    <w:unhideWhenUsed/>
    <w:qFormat/>
    <w:uiPriority w:val="99"/>
    <w:rPr>
      <w:sz w:val="21"/>
      <w:szCs w:val="21"/>
    </w:rPr>
  </w:style>
  <w:style w:type="character" w:styleId="26">
    <w:name w:val="footnote reference"/>
    <w:basedOn w:val="22"/>
    <w:qFormat/>
    <w:uiPriority w:val="0"/>
    <w:rPr>
      <w:vertAlign w:val="superscript"/>
    </w:rPr>
  </w:style>
  <w:style w:type="paragraph" w:customStyle="1" w:styleId="27">
    <w:name w:val="Default"/>
    <w:qFormat/>
    <w:uiPriority w:val="0"/>
    <w:pPr>
      <w:widowControl w:val="0"/>
      <w:autoSpaceDE w:val="0"/>
      <w:autoSpaceDN w:val="0"/>
      <w:adjustRightInd w:val="0"/>
    </w:pPr>
    <w:rPr>
      <w:rFonts w:ascii="方正小标宋.." w:hAnsi="Calibri" w:eastAsia="方正小标宋.." w:cs="方正小标宋.."/>
      <w:color w:val="000000"/>
      <w:sz w:val="24"/>
      <w:szCs w:val="24"/>
      <w:lang w:val="en-US" w:eastAsia="zh-CN" w:bidi="ar-SA"/>
    </w:rPr>
  </w:style>
  <w:style w:type="character" w:customStyle="1" w:styleId="28">
    <w:name w:val="标题 1 字符"/>
    <w:basedOn w:val="22"/>
    <w:link w:val="2"/>
    <w:qFormat/>
    <w:uiPriority w:val="9"/>
    <w:rPr>
      <w:rFonts w:ascii="Times New Roman" w:hAnsi="Times New Roman" w:eastAsia="宋体" w:cs="Times New Roman"/>
      <w:b/>
      <w:bCs/>
      <w:kern w:val="44"/>
      <w:sz w:val="44"/>
      <w:szCs w:val="44"/>
    </w:rPr>
  </w:style>
  <w:style w:type="character" w:customStyle="1" w:styleId="29">
    <w:name w:val="标题 2 字符"/>
    <w:basedOn w:val="22"/>
    <w:link w:val="3"/>
    <w:qFormat/>
    <w:uiPriority w:val="99"/>
    <w:rPr>
      <w:rFonts w:ascii="Cambria" w:hAnsi="Cambria" w:eastAsia="宋体" w:cs="Times New Roman"/>
      <w:b/>
      <w:bCs/>
      <w:kern w:val="0"/>
      <w:sz w:val="32"/>
      <w:szCs w:val="32"/>
    </w:rPr>
  </w:style>
  <w:style w:type="character" w:customStyle="1" w:styleId="30">
    <w:name w:val="标题 3 字符"/>
    <w:basedOn w:val="22"/>
    <w:link w:val="4"/>
    <w:qFormat/>
    <w:uiPriority w:val="99"/>
    <w:rPr>
      <w:rFonts w:ascii="Times New Roman" w:hAnsi="Times New Roman" w:eastAsia="宋体" w:cs="Times New Roman"/>
      <w:b/>
      <w:bCs/>
      <w:kern w:val="0"/>
      <w:sz w:val="32"/>
      <w:szCs w:val="32"/>
    </w:rPr>
  </w:style>
  <w:style w:type="character" w:customStyle="1" w:styleId="31">
    <w:name w:val="页眉 字符"/>
    <w:basedOn w:val="22"/>
    <w:link w:val="14"/>
    <w:qFormat/>
    <w:uiPriority w:val="99"/>
    <w:rPr>
      <w:sz w:val="18"/>
      <w:szCs w:val="18"/>
    </w:rPr>
  </w:style>
  <w:style w:type="character" w:customStyle="1" w:styleId="32">
    <w:name w:val="页脚 字符"/>
    <w:basedOn w:val="22"/>
    <w:link w:val="13"/>
    <w:qFormat/>
    <w:uiPriority w:val="0"/>
    <w:rPr>
      <w:sz w:val="18"/>
      <w:szCs w:val="18"/>
    </w:rPr>
  </w:style>
  <w:style w:type="character" w:customStyle="1" w:styleId="33">
    <w:name w:val="批注框文本 字符"/>
    <w:basedOn w:val="22"/>
    <w:link w:val="12"/>
    <w:semiHidden/>
    <w:qFormat/>
    <w:uiPriority w:val="99"/>
    <w:rPr>
      <w:rFonts w:ascii="Times New Roman" w:hAnsi="Times New Roman" w:eastAsia="宋体" w:cs="Times New Roman"/>
      <w:sz w:val="18"/>
      <w:szCs w:val="18"/>
    </w:rPr>
  </w:style>
  <w:style w:type="character" w:customStyle="1" w:styleId="34">
    <w:name w:val="批注文字 字符"/>
    <w:basedOn w:val="22"/>
    <w:link w:val="8"/>
    <w:qFormat/>
    <w:uiPriority w:val="99"/>
    <w:rPr>
      <w:rFonts w:ascii="Times New Roman" w:hAnsi="Times New Roman" w:eastAsia="宋体" w:cs="Times New Roman"/>
      <w:szCs w:val="21"/>
    </w:rPr>
  </w:style>
  <w:style w:type="character" w:customStyle="1" w:styleId="35">
    <w:name w:val="批注主题 字符"/>
    <w:basedOn w:val="34"/>
    <w:link w:val="19"/>
    <w:semiHidden/>
    <w:qFormat/>
    <w:uiPriority w:val="99"/>
    <w:rPr>
      <w:rFonts w:ascii="Times New Roman" w:hAnsi="Times New Roman" w:eastAsia="宋体" w:cs="Times New Roman"/>
      <w:b/>
      <w:bCs/>
      <w:szCs w:val="21"/>
    </w:rPr>
  </w:style>
  <w:style w:type="character" w:customStyle="1" w:styleId="36">
    <w:name w:val="文档结构图 字符"/>
    <w:basedOn w:val="22"/>
    <w:link w:val="6"/>
    <w:semiHidden/>
    <w:qFormat/>
    <w:uiPriority w:val="99"/>
    <w:rPr>
      <w:rFonts w:ascii="宋体" w:hAnsi="Times New Roman" w:eastAsia="宋体" w:cs="Times New Roman"/>
      <w:sz w:val="18"/>
      <w:szCs w:val="18"/>
    </w:rPr>
  </w:style>
  <w:style w:type="paragraph" w:customStyle="1" w:styleId="37">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66091" w:themeColor="accent1" w:themeShade="BF"/>
      <w:kern w:val="0"/>
      <w:sz w:val="32"/>
      <w:szCs w:val="32"/>
    </w:rPr>
  </w:style>
  <w:style w:type="paragraph" w:customStyle="1" w:styleId="38">
    <w:name w:val="修订1"/>
    <w:hidden/>
    <w:semiHidden/>
    <w:qFormat/>
    <w:uiPriority w:val="99"/>
    <w:rPr>
      <w:rFonts w:ascii="Times New Roman" w:hAnsi="Times New Roman" w:eastAsia="宋体" w:cs="Times New Roman"/>
      <w:kern w:val="2"/>
      <w:sz w:val="21"/>
      <w:szCs w:val="21"/>
      <w:lang w:val="en-US" w:eastAsia="zh-CN" w:bidi="ar-SA"/>
    </w:rPr>
  </w:style>
  <w:style w:type="character" w:customStyle="1" w:styleId="39">
    <w:name w:val="页码 New New"/>
    <w:basedOn w:val="22"/>
    <w:qFormat/>
    <w:uiPriority w:val="0"/>
  </w:style>
  <w:style w:type="paragraph" w:styleId="40">
    <w:name w:val="List Paragraph"/>
    <w:basedOn w:val="1"/>
    <w:qFormat/>
    <w:uiPriority w:val="34"/>
    <w:pPr>
      <w:ind w:firstLine="420" w:firstLineChars="200"/>
    </w:pPr>
  </w:style>
  <w:style w:type="character" w:customStyle="1" w:styleId="41">
    <w:name w:val="正文文本 字符"/>
    <w:basedOn w:val="22"/>
    <w:link w:val="9"/>
    <w:qFormat/>
    <w:uiPriority w:val="1"/>
    <w:rPr>
      <w:rFonts w:ascii="仿宋_GB2312" w:hAnsi="仿宋_GB2312" w:eastAsia="仿宋_GB2312"/>
      <w:kern w:val="0"/>
      <w:sz w:val="30"/>
      <w:szCs w:val="30"/>
      <w:lang w:eastAsia="en-US"/>
    </w:rPr>
  </w:style>
  <w:style w:type="character" w:customStyle="1" w:styleId="42">
    <w:name w:val="未处理的提及1"/>
    <w:basedOn w:val="22"/>
    <w:semiHidden/>
    <w:unhideWhenUsed/>
    <w:qFormat/>
    <w:uiPriority w:val="99"/>
    <w:rPr>
      <w:color w:val="605E5C"/>
      <w:shd w:val="clear" w:color="auto" w:fill="E1DFDD"/>
    </w:rPr>
  </w:style>
  <w:style w:type="paragraph" w:customStyle="1" w:styleId="43">
    <w:name w:val="实施方案正文"/>
    <w:basedOn w:val="1"/>
    <w:qFormat/>
    <w:uiPriority w:val="0"/>
    <w:pPr>
      <w:ind w:firstLine="566" w:firstLineChars="202"/>
    </w:pPr>
    <w:rPr>
      <w:szCs w:val="28"/>
    </w:rPr>
  </w:style>
  <w:style w:type="paragraph" w:customStyle="1" w:styleId="44">
    <w:name w:val="Revision"/>
    <w:hidden/>
    <w:unhideWhenUsed/>
    <w:qFormat/>
    <w:uiPriority w:val="99"/>
    <w:rPr>
      <w:rFonts w:ascii="仿宋" w:hAnsi="Times New Roman" w:eastAsia="仿宋" w:cs="Times New Roman"/>
      <w:kern w:val="30"/>
      <w:sz w:val="30"/>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7"/>
    <customShpInfo spid="_x0000_s1028"/>
    <customShpInfo spid="_x0000_s1025"/>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41</Pages>
  <Words>18100</Words>
  <Characters>19261</Characters>
  <Lines>148</Lines>
  <Paragraphs>41</Paragraphs>
  <TotalTime>72</TotalTime>
  <ScaleCrop>false</ScaleCrop>
  <LinksUpToDate>false</LinksUpToDate>
  <CharactersWithSpaces>19408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2017-10-30T23:15:00Z</dcterms:created>
  <dcterms:modified xsi:type="dcterms:W3CDTF">2024-11-19T09:56:39Z</dcterms:modified>
  <dc:title>目  录</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C4C77E4B64D5419982E06B2B0541E85F_12</vt:lpwstr>
  </property>
</Properties>
</file>